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84DE4">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312BA0A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361341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6C48272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4BCE96A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（服务类）</w:t>
      </w:r>
    </w:p>
    <w:p w14:paraId="52EFAA34">
      <w:pPr>
        <w:widowControl/>
        <w:jc w:val="center"/>
        <w:rPr>
          <w:rFonts w:hint="eastAsia"/>
          <w:color w:val="auto"/>
          <w:highlight w:val="none"/>
        </w:rPr>
      </w:pPr>
      <w:r>
        <w:rPr>
          <w:rFonts w:hint="eastAsia" w:ascii="宋体" w:hAnsi="宋体" w:eastAsia="宋体" w:cs="宋体"/>
          <w:b/>
          <w:bCs/>
          <w:color w:val="auto"/>
          <w:kern w:val="0"/>
          <w:sz w:val="52"/>
          <w:szCs w:val="52"/>
          <w:highlight w:val="none"/>
          <w:lang w:bidi="ar"/>
        </w:rPr>
        <w:t>（</w:t>
      </w:r>
      <w:r>
        <w:rPr>
          <w:rFonts w:hint="eastAsia" w:ascii="宋体" w:hAnsi="宋体" w:eastAsia="宋体" w:cs="宋体"/>
          <w:b/>
          <w:bCs/>
          <w:color w:val="auto"/>
          <w:kern w:val="0"/>
          <w:sz w:val="52"/>
          <w:szCs w:val="52"/>
          <w:highlight w:val="none"/>
          <w:lang w:eastAsia="zh-CN" w:bidi="ar"/>
        </w:rPr>
        <w:t>202</w:t>
      </w:r>
      <w:r>
        <w:rPr>
          <w:rFonts w:hint="eastAsia" w:ascii="宋体" w:hAnsi="宋体" w:eastAsia="宋体" w:cs="宋体"/>
          <w:b/>
          <w:bCs/>
          <w:color w:val="auto"/>
          <w:kern w:val="0"/>
          <w:sz w:val="52"/>
          <w:szCs w:val="52"/>
          <w:highlight w:val="none"/>
          <w:lang w:val="en-US" w:eastAsia="zh-CN" w:bidi="ar"/>
        </w:rPr>
        <w:t>4</w:t>
      </w:r>
      <w:r>
        <w:rPr>
          <w:rFonts w:hint="eastAsia" w:ascii="宋体" w:hAnsi="宋体" w:eastAsia="宋体" w:cs="宋体"/>
          <w:b/>
          <w:bCs/>
          <w:color w:val="auto"/>
          <w:kern w:val="0"/>
          <w:sz w:val="52"/>
          <w:szCs w:val="52"/>
          <w:highlight w:val="none"/>
          <w:lang w:eastAsia="zh-CN" w:bidi="ar"/>
        </w:rPr>
        <w:t>年</w:t>
      </w:r>
      <w:r>
        <w:rPr>
          <w:rFonts w:hint="eastAsia" w:ascii="宋体" w:hAnsi="宋体" w:eastAsia="宋体" w:cs="宋体"/>
          <w:b/>
          <w:bCs/>
          <w:color w:val="auto"/>
          <w:kern w:val="0"/>
          <w:sz w:val="52"/>
          <w:szCs w:val="52"/>
          <w:highlight w:val="none"/>
          <w:lang w:bidi="ar"/>
        </w:rPr>
        <w:t>版）</w:t>
      </w:r>
    </w:p>
    <w:p w14:paraId="53D957FB">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06D3F0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7CE23E5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0571D0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9E86D8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FB41B1D">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滁州职业技术学院专业教学资源库教学资源建设项目</w:t>
      </w:r>
    </w:p>
    <w:p w14:paraId="3252225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czsjcg202509-046</w:t>
      </w:r>
    </w:p>
    <w:p w14:paraId="71488570">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eastAsia="zh-CN"/>
        </w:rPr>
        <w:t>滁州职业技术学院</w:t>
      </w:r>
    </w:p>
    <w:p w14:paraId="6519319F">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eastAsia="zh-CN"/>
        </w:rPr>
        <w:t>滁州市政府采购中心</w:t>
      </w:r>
    </w:p>
    <w:p w14:paraId="35FA485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FD7CDE5">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lang w:eastAsia="zh-CN"/>
        </w:rPr>
        <w:t>2025</w:t>
      </w:r>
      <w:r>
        <w:rPr>
          <w:rFonts w:hint="eastAsia" w:ascii="宋体" w:hAnsi="宋体" w:eastAsia="宋体"/>
          <w:b/>
          <w:color w:val="auto"/>
          <w:sz w:val="36"/>
          <w:highlight w:val="none"/>
          <w:u w:val="single"/>
          <w:lang w:val="en-US" w:eastAsia="zh-CN"/>
        </w:rPr>
        <w:t xml:space="preserve"> </w:t>
      </w:r>
      <w:r>
        <w:rPr>
          <w:rFonts w:hint="eastAsia" w:ascii="宋体" w:hAnsi="宋体" w:eastAsia="宋体"/>
          <w:b/>
          <w:color w:val="auto"/>
          <w:sz w:val="36"/>
          <w:highlight w:val="none"/>
          <w:u w:val="none"/>
          <w:lang w:eastAsia="zh-CN"/>
        </w:rPr>
        <w:t>年</w:t>
      </w:r>
      <w:r>
        <w:rPr>
          <w:rFonts w:hint="eastAsia" w:ascii="宋体" w:hAnsi="宋体" w:eastAsia="宋体"/>
          <w:b/>
          <w:color w:val="auto"/>
          <w:sz w:val="36"/>
          <w:highlight w:val="none"/>
          <w:u w:val="single"/>
          <w:lang w:val="en-US" w:eastAsia="zh-CN"/>
        </w:rPr>
        <w:t xml:space="preserve"> 9 </w:t>
      </w:r>
      <w:r>
        <w:rPr>
          <w:rFonts w:hint="eastAsia" w:ascii="宋体" w:hAnsi="宋体" w:eastAsia="宋体"/>
          <w:b/>
          <w:color w:val="auto"/>
          <w:sz w:val="36"/>
          <w:highlight w:val="none"/>
          <w:u w:val="none"/>
        </w:rPr>
        <w:t>月</w:t>
      </w:r>
      <w:r>
        <w:rPr>
          <w:rFonts w:ascii="宋体" w:hAnsi="宋体" w:eastAsia="宋体"/>
          <w:b/>
          <w:color w:val="auto"/>
          <w:sz w:val="36"/>
          <w:highlight w:val="none"/>
        </w:rPr>
        <w:br w:type="page"/>
      </w:r>
    </w:p>
    <w:p w14:paraId="65481BAA">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230856EF">
      <w:pPr>
        <w:tabs>
          <w:tab w:val="left" w:pos="2410"/>
        </w:tabs>
        <w:autoSpaceDE w:val="0"/>
        <w:autoSpaceDN w:val="0"/>
        <w:adjustRightInd w:val="0"/>
        <w:snapToGrid w:val="0"/>
        <w:spacing w:line="600" w:lineRule="exact"/>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bookmarkStart w:id="322" w:name="_GoBack"/>
      <w:bookmarkEnd w:id="322"/>
    </w:p>
    <w:p w14:paraId="1E9C4577">
      <w:pPr>
        <w:pStyle w:val="29"/>
        <w:tabs>
          <w:tab w:val="right" w:leader="dot" w:pos="9638"/>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_Toc32424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 xml:space="preserve">第一章 </w:t>
      </w:r>
      <w:r>
        <w:rPr>
          <w:rFonts w:asciiTheme="minorEastAsia" w:hAnsiTheme="minorEastAsia" w:eastAsiaTheme="minorEastAsia"/>
          <w:color w:val="auto"/>
          <w:highlight w:val="none"/>
        </w:rPr>
        <w:t xml:space="preserve"> 投标邀请</w:t>
      </w:r>
      <w:r>
        <w:rPr>
          <w:color w:val="auto"/>
          <w:highlight w:val="none"/>
        </w:rPr>
        <w:tab/>
      </w:r>
      <w:r>
        <w:rPr>
          <w:color w:val="auto"/>
          <w:highlight w:val="none"/>
        </w:rPr>
        <w:fldChar w:fldCharType="begin"/>
      </w:r>
      <w:r>
        <w:rPr>
          <w:color w:val="auto"/>
          <w:highlight w:val="none"/>
        </w:rPr>
        <w:instrText xml:space="preserve"> PAGEREF _Toc32424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7D8933D9">
      <w:pPr>
        <w:pStyle w:val="29"/>
        <w:tabs>
          <w:tab w:val="right" w:leader="dot" w:pos="9638"/>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_Toc16470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第二章</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_Toc16470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5EB3E859">
      <w:pPr>
        <w:pStyle w:val="29"/>
        <w:tabs>
          <w:tab w:val="right" w:leader="dot" w:pos="9638"/>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_Toc4998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_Toc4998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40E9A319">
      <w:pPr>
        <w:pStyle w:val="29"/>
        <w:tabs>
          <w:tab w:val="right" w:leader="dot" w:pos="9638"/>
        </w:tabs>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_Toc15656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第四章  评标方法和标准（综合评分法）</w:t>
      </w:r>
      <w:r>
        <w:rPr>
          <w:color w:val="auto"/>
          <w:highlight w:val="none"/>
        </w:rPr>
        <w:tab/>
      </w:r>
      <w:r>
        <w:rPr>
          <w:rFonts w:hint="eastAsia"/>
          <w:color w:val="auto"/>
          <w:highlight w:val="none"/>
          <w:lang w:val="en-US" w:eastAsia="zh-CN"/>
        </w:rPr>
        <w:t>4</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8</w:t>
      </w:r>
    </w:p>
    <w:p w14:paraId="1B31E907">
      <w:pPr>
        <w:pStyle w:val="29"/>
        <w:tabs>
          <w:tab w:val="right" w:leader="dot" w:pos="9638"/>
        </w:tabs>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_Toc17117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 xml:space="preserve">第五章  </w:t>
      </w:r>
      <w:r>
        <w:rPr>
          <w:rFonts w:asciiTheme="minorEastAsia" w:hAnsiTheme="minorEastAsia" w:eastAsiaTheme="minorEastAsia"/>
          <w:color w:val="auto"/>
          <w:highlight w:val="none"/>
        </w:rPr>
        <w:t>政府采购合同</w:t>
      </w:r>
      <w:r>
        <w:rPr>
          <w:color w:val="auto"/>
          <w:highlight w:val="none"/>
        </w:rPr>
        <w:tab/>
      </w:r>
      <w:r>
        <w:rPr>
          <w:rFonts w:hint="eastAsia"/>
          <w:color w:val="auto"/>
          <w:highlight w:val="none"/>
          <w:lang w:val="en-US" w:eastAsia="zh-CN"/>
        </w:rPr>
        <w:t>5</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6</w:t>
      </w:r>
    </w:p>
    <w:p w14:paraId="2E5995FC">
      <w:pPr>
        <w:pStyle w:val="29"/>
        <w:tabs>
          <w:tab w:val="right" w:leader="dot" w:pos="9638"/>
        </w:tabs>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_Toc6987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第六章 投标文件格式</w:t>
      </w:r>
      <w:r>
        <w:rPr>
          <w:color w:val="auto"/>
          <w:highlight w:val="none"/>
        </w:rPr>
        <w:tab/>
      </w:r>
      <w:r>
        <w:rPr>
          <w:rFonts w:hint="eastAsia"/>
          <w:color w:val="auto"/>
          <w:highlight w:val="none"/>
          <w:lang w:val="en-US" w:eastAsia="zh-CN"/>
        </w:rPr>
        <w:t>6</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5</w:t>
      </w:r>
    </w:p>
    <w:p w14:paraId="68E6240B">
      <w:pPr>
        <w:pStyle w:val="29"/>
        <w:tabs>
          <w:tab w:val="right" w:leader="dot" w:pos="9638"/>
        </w:tabs>
        <w:rPr>
          <w:rFonts w:hint="eastAsia" w:eastAsia="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_Toc20872 </w:instrText>
      </w:r>
      <w:r>
        <w:rPr>
          <w:rFonts w:hint="eastAsia" w:ascii="宋体" w:hAnsi="宋体" w:eastAsia="宋体" w:cs="宋体"/>
          <w:color w:val="auto"/>
          <w:szCs w:val="24"/>
          <w:highlight w:val="none"/>
        </w:rPr>
        <w:fldChar w:fldCharType="separate"/>
      </w:r>
      <w:r>
        <w:rPr>
          <w:rFonts w:hint="eastAsia" w:asciiTheme="minorEastAsia" w:hAnsiTheme="minorEastAsia" w:eastAsiaTheme="minorEastAsia"/>
          <w:color w:val="auto"/>
          <w:highlight w:val="none"/>
        </w:rPr>
        <w:t>第七章</w:t>
      </w:r>
      <w:r>
        <w:rPr>
          <w:rFonts w:hint="eastAsia" w:ascii="宋体" w:hAnsi="宋体" w:eastAsia="宋体"/>
          <w:bCs/>
          <w:color w:val="auto"/>
          <w:highlight w:val="none"/>
        </w:rPr>
        <w:t xml:space="preserve">  政府采购</w:t>
      </w:r>
      <w:r>
        <w:rPr>
          <w:rFonts w:hint="eastAsia" w:asciiTheme="minorEastAsia" w:hAnsiTheme="minorEastAsia" w:eastAsia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rFonts w:hint="eastAsia"/>
          <w:color w:val="auto"/>
          <w:highlight w:val="none"/>
          <w:lang w:val="en-US" w:eastAsia="zh-CN"/>
        </w:rPr>
        <w:t>8</w:t>
      </w:r>
      <w:r>
        <w:rPr>
          <w:rFonts w:hint="eastAsia" w:ascii="宋体" w:hAnsi="宋体" w:eastAsia="宋体" w:cs="宋体"/>
          <w:color w:val="auto"/>
          <w:szCs w:val="24"/>
          <w:highlight w:val="none"/>
        </w:rPr>
        <w:fldChar w:fldCharType="end"/>
      </w:r>
      <w:r>
        <w:rPr>
          <w:rFonts w:hint="eastAsia" w:ascii="宋体" w:hAnsi="宋体" w:eastAsia="宋体" w:cs="宋体"/>
          <w:color w:val="auto"/>
          <w:szCs w:val="24"/>
          <w:highlight w:val="none"/>
          <w:lang w:val="en-US" w:eastAsia="zh-CN"/>
        </w:rPr>
        <w:t>3</w:t>
      </w:r>
    </w:p>
    <w:p w14:paraId="0F2A8B7F">
      <w:pPr>
        <w:pStyle w:val="29"/>
        <w:tabs>
          <w:tab w:val="right" w:leader="dot" w:pos="8306"/>
        </w:tabs>
        <w:rPr>
          <w:rFonts w:hint="eastAsia" w:asciiTheme="minorEastAsia" w:hAnsiTheme="minorEastAsia"/>
          <w:b/>
          <w:color w:val="auto"/>
          <w:sz w:val="32"/>
          <w:highlight w:val="none"/>
        </w:rPr>
      </w:pPr>
      <w:r>
        <w:rPr>
          <w:rFonts w:hint="eastAsia" w:ascii="宋体" w:hAnsi="宋体" w:eastAsia="宋体" w:cs="宋体"/>
          <w:color w:val="auto"/>
          <w:szCs w:val="24"/>
          <w:highlight w:val="none"/>
        </w:rPr>
        <w:fldChar w:fldCharType="end"/>
      </w:r>
    </w:p>
    <w:p w14:paraId="5C37E7E0">
      <w:pPr>
        <w:spacing w:line="360" w:lineRule="auto"/>
        <w:rPr>
          <w:rFonts w:hint="eastAsia" w:asciiTheme="minorEastAsia" w:hAnsiTheme="minorEastAsia" w:eastAsiaTheme="minorEastAsia"/>
          <w:b/>
          <w:color w:val="auto"/>
          <w:sz w:val="32"/>
          <w:highlight w:val="none"/>
        </w:rPr>
      </w:pPr>
    </w:p>
    <w:p w14:paraId="6E88115B">
      <w:pPr>
        <w:spacing w:line="360" w:lineRule="auto"/>
        <w:jc w:val="center"/>
        <w:outlineLvl w:val="1"/>
        <w:rPr>
          <w:rFonts w:hint="eastAsia" w:asciiTheme="minorEastAsia" w:hAnsiTheme="minorEastAsia" w:eastAsiaTheme="minorEastAsia"/>
          <w:b/>
          <w:color w:val="auto"/>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4B59D948">
      <w:pPr>
        <w:pStyle w:val="4"/>
        <w:pageBreakBefore w:val="0"/>
        <w:tabs>
          <w:tab w:val="left" w:pos="0"/>
          <w:tab w:val="left" w:pos="3165"/>
          <w:tab w:val="center" w:pos="4153"/>
        </w:tabs>
        <w:kinsoku/>
        <w:overflowPunct/>
        <w:topLinePunct w:val="0"/>
        <w:autoSpaceDE w:val="0"/>
        <w:autoSpaceDN w:val="0"/>
        <w:bidi w:val="0"/>
        <w:adjustRightInd w:val="0"/>
        <w:snapToGrid/>
        <w:spacing w:before="0" w:after="0" w:line="420" w:lineRule="exact"/>
        <w:jc w:val="center"/>
        <w:textAlignment w:val="auto"/>
        <w:rPr>
          <w:rFonts w:hint="eastAsia" w:asciiTheme="minorEastAsia" w:hAnsiTheme="minorEastAsia" w:eastAsiaTheme="minorEastAsia"/>
          <w:color w:val="auto"/>
          <w:sz w:val="28"/>
          <w:highlight w:val="none"/>
        </w:rPr>
      </w:pPr>
      <w:bookmarkStart w:id="1" w:name="_Toc32424"/>
      <w:r>
        <w:rPr>
          <w:rFonts w:hint="eastAsia" w:asciiTheme="minorEastAsia" w:hAnsiTheme="minorEastAsia" w:eastAsiaTheme="minorEastAsia"/>
          <w:color w:val="auto"/>
          <w:sz w:val="28"/>
          <w:highlight w:val="none"/>
        </w:rPr>
        <w:t xml:space="preserve">第一章 </w:t>
      </w:r>
      <w:r>
        <w:rPr>
          <w:rFonts w:asciiTheme="minorEastAsia" w:hAnsiTheme="minorEastAsia" w:eastAsiaTheme="minorEastAsia"/>
          <w:color w:val="auto"/>
          <w:sz w:val="28"/>
          <w:highlight w:val="none"/>
        </w:rPr>
        <w:t xml:space="preserve"> </w:t>
      </w:r>
      <w:bookmarkStart w:id="2" w:name="_Toc35393790"/>
      <w:bookmarkStart w:id="3" w:name="_Toc35393621"/>
      <w:bookmarkStart w:id="4" w:name="_Toc28359079"/>
      <w:bookmarkStart w:id="5" w:name="_Toc28359002"/>
      <w:bookmarkStart w:id="6" w:name="_Hlk24379207"/>
      <w:r>
        <w:rPr>
          <w:rFonts w:asciiTheme="minorEastAsia" w:hAnsiTheme="minorEastAsia" w:eastAsiaTheme="minorEastAsia"/>
          <w:color w:val="auto"/>
          <w:sz w:val="28"/>
          <w:highlight w:val="none"/>
        </w:rPr>
        <w:t>投标邀请</w:t>
      </w:r>
      <w:bookmarkEnd w:id="1"/>
    </w:p>
    <w:p w14:paraId="0709C694">
      <w:pPr>
        <w:keepNext/>
        <w:keepLines/>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23A1569">
      <w:pPr>
        <w:keepNext/>
        <w:keepLines/>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滁州职业技术学院专业教学资源库教学资源建设项目</w:t>
      </w:r>
      <w:r>
        <w:rPr>
          <w:rFonts w:hint="eastAsia" w:ascii="宋体" w:hAnsi="宋体" w:eastAsia="宋体" w:cs="宋体"/>
          <w:color w:val="auto"/>
          <w:sz w:val="24"/>
          <w:szCs w:val="24"/>
          <w:highlight w:val="none"/>
        </w:rPr>
        <w:t>的潜在供应商应在滁州市公共资源交易中心网（http：//ggzy.chuzhou.gov.cn/）获取招标文件，并于</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rPr>
        <w:t>8点00</w:t>
      </w:r>
      <w:r>
        <w:rPr>
          <w:rFonts w:hint="eastAsia" w:ascii="宋体" w:hAnsi="宋体" w:eastAsia="宋体" w:cs="宋体"/>
          <w:color w:val="auto"/>
          <w:sz w:val="24"/>
          <w:szCs w:val="24"/>
          <w:highlight w:val="none"/>
        </w:rPr>
        <w:t>分（北京时间）前递交投标文件。</w:t>
      </w:r>
    </w:p>
    <w:p w14:paraId="3AA259BD">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7" w:name="_Toc1787"/>
      <w:r>
        <w:rPr>
          <w:rFonts w:hint="eastAsia" w:ascii="宋体" w:hAnsi="宋体" w:eastAsia="宋体" w:cs="宋体"/>
          <w:b/>
          <w:bCs/>
          <w:color w:val="auto"/>
          <w:sz w:val="24"/>
          <w:szCs w:val="24"/>
          <w:highlight w:val="none"/>
        </w:rPr>
        <w:t>一、项目基本情况</w:t>
      </w:r>
      <w:bookmarkEnd w:id="2"/>
      <w:bookmarkEnd w:id="3"/>
      <w:bookmarkEnd w:id="4"/>
      <w:bookmarkEnd w:id="5"/>
      <w:bookmarkEnd w:id="7"/>
    </w:p>
    <w:p w14:paraId="50641132">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项目编号：czsjcg202509-046</w:t>
      </w:r>
    </w:p>
    <w:p w14:paraId="4E573E2A">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End w:id="6"/>
      <w:r>
        <w:rPr>
          <w:rFonts w:hint="eastAsia" w:ascii="宋体" w:hAnsi="宋体" w:eastAsia="宋体" w:cs="宋体"/>
          <w:color w:val="auto"/>
          <w:sz w:val="24"/>
          <w:szCs w:val="24"/>
          <w:highlight w:val="none"/>
          <w:lang w:eastAsia="zh-CN"/>
        </w:rPr>
        <w:t>滁州职业技术学院专业教学资源库教学资源建设项目</w:t>
      </w:r>
    </w:p>
    <w:p w14:paraId="6EA10EE7">
      <w:pPr>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100万元</w:t>
      </w:r>
    </w:p>
    <w:p w14:paraId="63F2D8F7">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最高限价：100万元，投标报价高于最高限价的，其投标文件按无效投标处理。</w:t>
      </w:r>
    </w:p>
    <w:p w14:paraId="47389866">
      <w:pPr>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采购需求：滁</w:t>
      </w:r>
      <w:r>
        <w:rPr>
          <w:rFonts w:hint="eastAsia" w:ascii="宋体" w:hAnsi="宋体" w:eastAsia="宋体" w:cs="宋体"/>
          <w:color w:val="auto"/>
          <w:sz w:val="24"/>
          <w:szCs w:val="24"/>
          <w:highlight w:val="none"/>
          <w:lang w:eastAsia="zh-CN"/>
        </w:rPr>
        <w:t>州职业技术学院专业教学资源库教学资源建设，</w:t>
      </w:r>
      <w:r>
        <w:rPr>
          <w:rFonts w:hint="eastAsia" w:ascii="宋体" w:hAnsi="宋体" w:eastAsia="宋体" w:cs="宋体"/>
          <w:color w:val="auto"/>
          <w:sz w:val="24"/>
          <w:szCs w:val="24"/>
          <w:highlight w:val="none"/>
          <w:lang w:val="en-US" w:eastAsia="zh-CN"/>
        </w:rPr>
        <w:t>具体详见采购内容及服务要求。</w:t>
      </w:r>
    </w:p>
    <w:p w14:paraId="403FAAD2">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合同履行期限：合同签订后所有课程在1年内完成制作并上线平台。</w:t>
      </w:r>
    </w:p>
    <w:p w14:paraId="5A129A13">
      <w:pPr>
        <w:autoSpaceDE w:val="0"/>
        <w:autoSpaceDN w:val="0"/>
        <w:adjustRightInd w:val="0"/>
        <w:spacing w:line="480" w:lineRule="exact"/>
        <w:ind w:firstLine="436" w:firstLineChars="182"/>
        <w:jc w:val="left"/>
        <w:rPr>
          <w:rFonts w:ascii="宋体" w:hAnsi="宋体" w:eastAsia="宋体"/>
          <w:color w:val="auto"/>
          <w:sz w:val="24"/>
          <w:szCs w:val="24"/>
          <w:highlight w:val="none"/>
        </w:rPr>
      </w:pPr>
      <w:bookmarkStart w:id="8" w:name="_Toc28359003"/>
      <w:bookmarkStart w:id="9" w:name="_Toc28359080"/>
      <w:bookmarkStart w:id="10" w:name="_Toc35393791"/>
      <w:bookmarkStart w:id="11" w:name="_Toc35393622"/>
      <w:r>
        <w:rPr>
          <w:rFonts w:hint="eastAsia" w:ascii="宋体" w:hAnsi="宋体" w:eastAsia="宋体" w:cs="宋体"/>
          <w:color w:val="auto"/>
          <w:sz w:val="24"/>
          <w:szCs w:val="24"/>
          <w:highlight w:val="none"/>
          <w:lang w:bidi="ar"/>
        </w:rPr>
        <w:t>本项目</w:t>
      </w:r>
      <w:r>
        <w:rPr>
          <w:rFonts w:hint="eastAsia" w:ascii="宋体" w:hAnsi="宋体" w:eastAsia="宋体" w:cs="宋体"/>
          <w:color w:val="auto"/>
          <w:sz w:val="24"/>
          <w:szCs w:val="24"/>
          <w:highlight w:val="none"/>
          <w:lang w:val="en-US" w:eastAsia="zh-CN" w:bidi="ar"/>
        </w:rPr>
        <w:t>不</w:t>
      </w:r>
      <w:r>
        <w:rPr>
          <w:rFonts w:hint="eastAsia" w:ascii="宋体" w:hAnsi="宋体" w:eastAsia="宋体" w:cs="宋体"/>
          <w:color w:val="auto"/>
          <w:sz w:val="24"/>
          <w:szCs w:val="24"/>
          <w:highlight w:val="none"/>
          <w:lang w:bidi="ar"/>
        </w:rPr>
        <w:t>接受联合体。</w:t>
      </w:r>
    </w:p>
    <w:p w14:paraId="5EEA7E25">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12" w:name="_Toc1950"/>
      <w:r>
        <w:rPr>
          <w:rFonts w:hint="eastAsia" w:ascii="宋体" w:hAnsi="宋体" w:eastAsia="宋体" w:cs="宋体"/>
          <w:b/>
          <w:bCs/>
          <w:color w:val="auto"/>
          <w:sz w:val="24"/>
          <w:szCs w:val="24"/>
          <w:highlight w:val="none"/>
        </w:rPr>
        <w:t>二、申请人的资格要求：</w:t>
      </w:r>
      <w:bookmarkEnd w:id="8"/>
      <w:bookmarkEnd w:id="9"/>
      <w:bookmarkEnd w:id="10"/>
      <w:bookmarkEnd w:id="11"/>
      <w:bookmarkEnd w:id="12"/>
    </w:p>
    <w:p w14:paraId="1CEB93B3">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7A68C557">
      <w:pPr>
        <w:pStyle w:val="33"/>
        <w:pageBreakBefore w:val="0"/>
        <w:kinsoku/>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Cs w:val="24"/>
          <w:highlight w:val="none"/>
          <w:lang w:eastAsia="zh-CN"/>
        </w:rPr>
      </w:pPr>
      <w:bookmarkStart w:id="13" w:name="_Toc28359004"/>
      <w:bookmarkStart w:id="14" w:name="_Toc28359081"/>
      <w:r>
        <w:rPr>
          <w:rFonts w:hint="eastAsia" w:ascii="宋体" w:hAnsi="宋体" w:eastAsia="宋体" w:cs="宋体"/>
          <w:color w:val="auto"/>
          <w:szCs w:val="24"/>
          <w:highlight w:val="none"/>
        </w:rPr>
        <w:t>2.落实政府采购政策需满足的资格要求：</w:t>
      </w:r>
      <w:r>
        <w:rPr>
          <w:rFonts w:hint="eastAsia" w:ascii="宋体" w:hAnsi="宋体" w:eastAsia="宋体" w:cs="宋体"/>
          <w:color w:val="auto"/>
          <w:sz w:val="24"/>
          <w:szCs w:val="24"/>
          <w:highlight w:val="none"/>
          <w:lang w:bidi="ar"/>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4BC36D7A">
      <w:pPr>
        <w:pStyle w:val="33"/>
        <w:pageBreakBefore w:val="0"/>
        <w:kinsoku/>
        <w:overflowPunct/>
        <w:topLinePunct w:val="0"/>
        <w:autoSpaceDE/>
        <w:autoSpaceDN/>
        <w:bidi w:val="0"/>
        <w:adjustRightInd/>
        <w:snapToGrid/>
        <w:spacing w:before="0" w:beforeAutospacing="0" w:after="0" w:afterAutospacing="0" w:line="520" w:lineRule="exact"/>
        <w:ind w:firstLine="480" w:firstLineChars="2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3.本项目的特定资格要求：</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w:t>
      </w:r>
    </w:p>
    <w:p w14:paraId="00A7349E">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4.信誉要求：投标人不得存在以下情形：</w:t>
      </w:r>
    </w:p>
    <w:p w14:paraId="299FC43B">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bookmarkStart w:id="15" w:name="_Toc35393623"/>
      <w:bookmarkStart w:id="16" w:name="_Toc35393792"/>
      <w:r>
        <w:rPr>
          <w:rFonts w:hint="eastAsia" w:ascii="宋体" w:hAnsi="宋体" w:eastAsia="宋体" w:cs="宋体"/>
          <w:color w:val="auto"/>
          <w:sz w:val="24"/>
          <w:szCs w:val="24"/>
          <w:highlight w:val="none"/>
        </w:rPr>
        <w:t>①被列入“信用中国”网站“失信被执行人”的；</w:t>
      </w:r>
    </w:p>
    <w:p w14:paraId="07C2D827">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②被列入“信用中国”网站“重大税收违法失信主体”的；</w:t>
      </w:r>
    </w:p>
    <w:p w14:paraId="3FA22E20">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③被列入“信用中国”网站 “严重失信主体名单”的；</w:t>
      </w:r>
    </w:p>
    <w:p w14:paraId="369CC1DC">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④在“信用中国”网站上披露的仍在公示期的严重失信行为(具体行为类别及判定依据见“信用中国”查询的严重失信行为类别及判定依据)的；</w:t>
      </w:r>
    </w:p>
    <w:p w14:paraId="1808610F">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⑤被列入国家企业信用信息公示系统网站“经营异常名录”或者“严重违法失信名单”的。</w:t>
      </w:r>
    </w:p>
    <w:p w14:paraId="7267B69A">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⑥被列入中国政府采购网站“政府采购严重违法失信行为信息记录”的；</w:t>
      </w:r>
    </w:p>
    <w:p w14:paraId="1D56B471">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⑦前三年有行贿犯罪行为的单位和个人。</w:t>
      </w:r>
    </w:p>
    <w:p w14:paraId="1560EC6F">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所属分公司、办事处等分支机构存在第4条信誉要求①-⑦项情形之一的，接受</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参加本项目。</w:t>
      </w:r>
    </w:p>
    <w:p w14:paraId="052F9655">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备注：第4、5条按照“关于联合惩戒失信行为加强信用查询管理的通知”查询或承诺。</w:t>
      </w:r>
    </w:p>
    <w:p w14:paraId="44F792A7">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17" w:name="_Toc2447"/>
      <w:r>
        <w:rPr>
          <w:rFonts w:hint="eastAsia" w:ascii="宋体" w:hAnsi="宋体" w:eastAsia="宋体" w:cs="宋体"/>
          <w:b/>
          <w:bCs/>
          <w:color w:val="auto"/>
          <w:sz w:val="24"/>
          <w:szCs w:val="24"/>
          <w:highlight w:val="none"/>
        </w:rPr>
        <w:t>三、获取招标文件</w:t>
      </w:r>
      <w:bookmarkEnd w:id="13"/>
      <w:bookmarkEnd w:id="14"/>
      <w:bookmarkEnd w:id="15"/>
      <w:bookmarkEnd w:id="16"/>
      <w:bookmarkEnd w:id="17"/>
    </w:p>
    <w:p w14:paraId="272CD6D2">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iCs/>
          <w:color w:val="auto"/>
          <w:sz w:val="24"/>
          <w:szCs w:val="24"/>
          <w:highlight w:val="none"/>
          <w:u w:val="single"/>
        </w:rPr>
        <w:t>（提供期限自本公告发布之日起不得少于5个工作日）</w:t>
      </w:r>
    </w:p>
    <w:p w14:paraId="0891141F">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地点：滁州市公共资源交易中心网</w:t>
      </w:r>
    </w:p>
    <w:p w14:paraId="3BA82BA7">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方式：网上下载</w:t>
      </w:r>
    </w:p>
    <w:p w14:paraId="3DA1BE0B">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3DF7BF44">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18" w:name="_Toc28359082"/>
      <w:bookmarkStart w:id="19" w:name="_Toc28359005"/>
      <w:bookmarkStart w:id="20" w:name="_Toc35393624"/>
      <w:bookmarkStart w:id="21" w:name="_Toc35393793"/>
      <w:bookmarkStart w:id="22" w:name="_Toc17949"/>
      <w:r>
        <w:rPr>
          <w:rFonts w:hint="eastAsia" w:ascii="宋体" w:hAnsi="宋体" w:eastAsia="宋体" w:cs="宋体"/>
          <w:b/>
          <w:bCs/>
          <w:color w:val="auto"/>
          <w:sz w:val="24"/>
          <w:szCs w:val="24"/>
          <w:highlight w:val="none"/>
        </w:rPr>
        <w:t>四、提交投标文件</w:t>
      </w:r>
      <w:bookmarkEnd w:id="18"/>
      <w:bookmarkEnd w:id="19"/>
      <w:r>
        <w:rPr>
          <w:rFonts w:hint="eastAsia" w:ascii="宋体" w:hAnsi="宋体" w:eastAsia="宋体" w:cs="宋体"/>
          <w:b/>
          <w:bCs/>
          <w:color w:val="auto"/>
          <w:sz w:val="24"/>
          <w:szCs w:val="24"/>
          <w:highlight w:val="none"/>
        </w:rPr>
        <w:t>截止时间、开标时间和地点</w:t>
      </w:r>
      <w:bookmarkEnd w:id="20"/>
      <w:bookmarkEnd w:id="21"/>
      <w:bookmarkEnd w:id="22"/>
    </w:p>
    <w:p w14:paraId="5F66D9F2">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bCs/>
          <w:color w:val="auto"/>
          <w:sz w:val="24"/>
          <w:szCs w:val="24"/>
          <w:highlight w:val="none"/>
          <w:u w:val="single"/>
        </w:rPr>
        <w:t>08点00分</w:t>
      </w:r>
      <w:r>
        <w:rPr>
          <w:rFonts w:hint="eastAsia" w:ascii="宋体" w:hAnsi="宋体" w:eastAsia="宋体" w:cs="宋体"/>
          <w:bCs/>
          <w:color w:val="auto"/>
          <w:sz w:val="24"/>
          <w:szCs w:val="24"/>
          <w:highlight w:val="none"/>
        </w:rPr>
        <w:t>（北京时间）</w:t>
      </w:r>
      <w:r>
        <w:rPr>
          <w:rFonts w:hint="eastAsia" w:ascii="宋体" w:hAnsi="宋体" w:eastAsia="宋体" w:cs="宋体"/>
          <w:iCs/>
          <w:color w:val="auto"/>
          <w:sz w:val="24"/>
          <w:szCs w:val="24"/>
          <w:highlight w:val="none"/>
          <w:u w:val="single"/>
        </w:rPr>
        <w:t>（自招标文件开始发出之日起至供应商提交投标文件截止之日止，不得少于20日）</w:t>
      </w:r>
    </w:p>
    <w:p w14:paraId="2E08CA03">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滁州市公共资源交易平台电子交易系统</w:t>
      </w:r>
    </w:p>
    <w:p w14:paraId="41A109E4">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23" w:name="_Toc28359084"/>
      <w:bookmarkStart w:id="24" w:name="_Toc35393794"/>
      <w:bookmarkStart w:id="25" w:name="_Toc8068"/>
      <w:bookmarkStart w:id="26" w:name="_Toc28359007"/>
      <w:bookmarkStart w:id="27" w:name="_Toc35393625"/>
      <w:r>
        <w:rPr>
          <w:rFonts w:hint="eastAsia" w:ascii="宋体" w:hAnsi="宋体" w:eastAsia="宋体" w:cs="宋体"/>
          <w:b/>
          <w:bCs/>
          <w:color w:val="auto"/>
          <w:sz w:val="24"/>
          <w:szCs w:val="24"/>
          <w:highlight w:val="none"/>
        </w:rPr>
        <w:t>五、公告期限</w:t>
      </w:r>
      <w:bookmarkEnd w:id="23"/>
      <w:bookmarkEnd w:id="24"/>
      <w:bookmarkEnd w:id="25"/>
      <w:bookmarkEnd w:id="26"/>
      <w:bookmarkEnd w:id="27"/>
    </w:p>
    <w:p w14:paraId="7277D29E">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507AC48A">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28" w:name="_Toc9102"/>
      <w:r>
        <w:rPr>
          <w:rFonts w:hint="eastAsia" w:ascii="宋体" w:hAnsi="宋体" w:eastAsia="宋体" w:cs="宋体"/>
          <w:b/>
          <w:bCs/>
          <w:color w:val="auto"/>
          <w:sz w:val="24"/>
          <w:szCs w:val="24"/>
          <w:highlight w:val="none"/>
        </w:rPr>
        <w:t>六、投标保证金金额及缴纳账户</w:t>
      </w:r>
      <w:bookmarkEnd w:id="28"/>
    </w:p>
    <w:p w14:paraId="63785185">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bookmarkStart w:id="29" w:name="_Toc35393795"/>
      <w:bookmarkStart w:id="30" w:name="_Toc35393626"/>
      <w:r>
        <w:rPr>
          <w:rFonts w:hint="eastAsia" w:ascii="宋体" w:hAnsi="宋体" w:eastAsia="宋体" w:cs="宋体"/>
          <w:color w:val="auto"/>
          <w:sz w:val="24"/>
          <w:szCs w:val="24"/>
          <w:highlight w:val="none"/>
        </w:rPr>
        <w:t>是否要求投标人提交投标保证金：不要求。</w:t>
      </w:r>
    </w:p>
    <w:p w14:paraId="5917E5DD">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31" w:name="_Toc28261"/>
      <w:r>
        <w:rPr>
          <w:rFonts w:hint="eastAsia" w:ascii="宋体" w:hAnsi="宋体" w:eastAsia="宋体" w:cs="宋体"/>
          <w:b/>
          <w:bCs/>
          <w:color w:val="auto"/>
          <w:sz w:val="24"/>
          <w:szCs w:val="24"/>
          <w:highlight w:val="none"/>
        </w:rPr>
        <w:t>七、其他补充事宜</w:t>
      </w:r>
      <w:bookmarkEnd w:id="29"/>
      <w:bookmarkEnd w:id="30"/>
      <w:bookmarkEnd w:id="31"/>
    </w:p>
    <w:p w14:paraId="2C28897E">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w:t>
      </w:r>
      <w:r>
        <w:rPr>
          <w:rFonts w:hint="eastAsia" w:ascii="宋体" w:hAnsi="宋体" w:eastAsia="宋体" w:cs="宋体"/>
          <w:color w:val="auto"/>
          <w:sz w:val="24"/>
          <w:szCs w:val="24"/>
          <w:highlight w:val="none"/>
          <w:lang w:eastAsia="zh-CN"/>
        </w:rPr>
        <w:t>0512-58188516</w:t>
      </w:r>
      <w:r>
        <w:rPr>
          <w:rFonts w:hint="eastAsia" w:ascii="宋体" w:hAnsi="宋体" w:eastAsia="宋体" w:cs="宋体"/>
          <w:color w:val="auto"/>
          <w:sz w:val="24"/>
          <w:szCs w:val="24"/>
          <w:highlight w:val="none"/>
        </w:rPr>
        <w:t>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1385251F">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2.请投标人登录滁州市公共资源交易中心网站查看参加本项目的程序。（具体操作步骤和程序请参见服务指南&gt;交易须知&gt;投标人填写投标信息、下载文件及网上提问操作手册）。</w:t>
      </w:r>
    </w:p>
    <w:p w14:paraId="640ADF9E">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不见面开标（远程解密)方式，开标时投标人无须至开标现场进行解密，开标采取远程解密方式解密投标文件，解密方式为：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0C16C82E">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12CD5790">
      <w:pPr>
        <w:pageBreakBefore w:val="0"/>
        <w:kinsoku/>
        <w:overflowPunct/>
        <w:topLinePunct w:val="0"/>
        <w:autoSpaceDE/>
        <w:autoSpaceDN/>
        <w:bidi w:val="0"/>
        <w:adjustRightInd/>
        <w:snapToGrid/>
        <w:spacing w:line="520" w:lineRule="exact"/>
        <w:ind w:firstLine="437"/>
        <w:textAlignment w:val="auto"/>
        <w:outlineLvl w:val="1"/>
        <w:rPr>
          <w:rFonts w:hint="eastAsia" w:ascii="宋体" w:hAnsi="宋体" w:eastAsia="宋体" w:cs="宋体"/>
          <w:b/>
          <w:bCs/>
          <w:color w:val="auto"/>
          <w:sz w:val="24"/>
          <w:szCs w:val="24"/>
          <w:highlight w:val="none"/>
        </w:rPr>
      </w:pPr>
      <w:bookmarkStart w:id="32" w:name="_Toc12782"/>
      <w:r>
        <w:rPr>
          <w:rFonts w:hint="eastAsia" w:ascii="宋体" w:hAnsi="宋体" w:eastAsia="宋体" w:cs="宋体"/>
          <w:b/>
          <w:bCs/>
          <w:color w:val="auto"/>
          <w:sz w:val="24"/>
          <w:szCs w:val="24"/>
          <w:highlight w:val="none"/>
        </w:rPr>
        <w:t>八、对本次招标提出询问，请按以下方式联系</w:t>
      </w:r>
      <w:bookmarkEnd w:id="32"/>
    </w:p>
    <w:p w14:paraId="0D4AD80D">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D18A8CA">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滁州职业技术学院</w:t>
      </w:r>
    </w:p>
    <w:p w14:paraId="3D3C3D21">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eastAsia="zh-CN"/>
        </w:rPr>
        <w:t>安徽滁州市丰乐大道2188号</w:t>
      </w:r>
    </w:p>
    <w:p w14:paraId="034477EE">
      <w:pPr>
        <w:pageBreakBefore w:val="0"/>
        <w:kinsoku/>
        <w:wordWrap w:val="0"/>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陈老师、李老师</w:t>
      </w:r>
    </w:p>
    <w:p w14:paraId="4C1FBDCD">
      <w:pPr>
        <w:pageBreakBefore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val="en-US" w:eastAsia="zh-CN"/>
        </w:rPr>
        <w:t>0550-3854662</w:t>
      </w:r>
      <w:r>
        <w:rPr>
          <w:rFonts w:hint="eastAsia" w:ascii="宋体" w:hAnsi="宋体" w:eastAsia="宋体" w:cs="宋体"/>
          <w:color w:val="auto"/>
          <w:sz w:val="24"/>
          <w:szCs w:val="24"/>
          <w:highlight w:val="none"/>
          <w:lang w:val="en-US" w:eastAsia="zh-CN"/>
        </w:rPr>
        <w:t xml:space="preserve"> </w:t>
      </w:r>
    </w:p>
    <w:p w14:paraId="00F795CC">
      <w:pPr>
        <w:pageBreakBefore w:val="0"/>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234235FA">
      <w:pPr>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eastAsia="zh-CN"/>
        </w:rPr>
        <w:t>滁州市政府采购中心</w:t>
      </w:r>
    </w:p>
    <w:p w14:paraId="1D8C66A3">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滁州市龙蟠大道109号房产大厦</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single"/>
        </w:rPr>
        <w:t>楼</w:t>
      </w:r>
    </w:p>
    <w:p w14:paraId="561D8FCA">
      <w:pPr>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周晓培</w:t>
      </w:r>
    </w:p>
    <w:p w14:paraId="7C54384B">
      <w:pPr>
        <w:pageBreakBefore w:val="0"/>
        <w:kinsoku/>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lang w:eastAsia="zh-CN"/>
        </w:rPr>
        <w:t>0550-3519512</w:t>
      </w:r>
      <w:r>
        <w:rPr>
          <w:rFonts w:hint="eastAsia" w:ascii="宋体" w:hAnsi="宋体" w:eastAsia="宋体" w:cs="宋体"/>
          <w:color w:val="auto"/>
          <w:sz w:val="24"/>
          <w:szCs w:val="24"/>
          <w:highlight w:val="none"/>
          <w:u w:val="single"/>
          <w:lang w:val="en-US" w:eastAsia="zh-CN"/>
        </w:rPr>
        <w:t>、18255055896</w:t>
      </w:r>
    </w:p>
    <w:p w14:paraId="2440F9C8">
      <w:pPr>
        <w:pageBreakBefore w:val="0"/>
        <w:widowControl/>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3.政府采购监督管理部门信息</w:t>
      </w:r>
    </w:p>
    <w:p w14:paraId="676CA12B">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滁州市公共资源交易监督管理局</w:t>
      </w:r>
    </w:p>
    <w:p w14:paraId="0BC2EBD8">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滁州市龙蟠大道109号房产大厦</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楼</w:t>
      </w:r>
    </w:p>
    <w:p w14:paraId="6E28C13F">
      <w:pPr>
        <w:pageBreakBefore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0550-3801656</w:t>
      </w:r>
    </w:p>
    <w:p w14:paraId="6FBD8872">
      <w:pPr>
        <w:pageBreakBefore w:val="0"/>
        <w:kinsoku/>
        <w:overflowPunct/>
        <w:topLinePunct w:val="0"/>
        <w:autoSpaceDE/>
        <w:autoSpaceDN/>
        <w:bidi w:val="0"/>
        <w:adjustRightInd/>
        <w:snapToGrid/>
        <w:spacing w:line="520" w:lineRule="exact"/>
        <w:jc w:val="lef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36D45845">
      <w:pPr>
        <w:spacing w:line="360" w:lineRule="auto"/>
        <w:jc w:val="center"/>
        <w:outlineLvl w:val="0"/>
        <w:rPr>
          <w:rFonts w:hint="eastAsia" w:asciiTheme="minorEastAsia" w:hAnsiTheme="minorEastAsia" w:eastAsiaTheme="minorEastAsia"/>
          <w:b/>
          <w:color w:val="auto"/>
          <w:sz w:val="28"/>
          <w:highlight w:val="none"/>
        </w:rPr>
      </w:pPr>
      <w:bookmarkStart w:id="33" w:name="_Toc1647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33"/>
    </w:p>
    <w:p w14:paraId="6FB5B657">
      <w:pPr>
        <w:keepNext w:val="0"/>
        <w:keepLines w:val="0"/>
        <w:pageBreakBefore w:val="0"/>
        <w:widowControl w:val="0"/>
        <w:kinsoku/>
        <w:wordWrap/>
        <w:overflowPunct/>
        <w:topLinePunct w:val="0"/>
        <w:autoSpaceDE/>
        <w:autoSpaceDN/>
        <w:bidi w:val="0"/>
        <w:adjustRightInd/>
        <w:snapToGrid/>
        <w:spacing w:before="95" w:beforeLines="30" w:after="95" w:afterLines="30" w:line="520" w:lineRule="exact"/>
        <w:jc w:val="center"/>
        <w:textAlignment w:val="auto"/>
        <w:outlineLvl w:val="1"/>
        <w:rPr>
          <w:rFonts w:hint="eastAsia" w:asciiTheme="minorEastAsia" w:hAnsiTheme="minorEastAsia" w:eastAsiaTheme="minorEastAsia"/>
          <w:b/>
          <w:color w:val="auto"/>
          <w:sz w:val="24"/>
          <w:highlight w:val="none"/>
        </w:rPr>
      </w:pPr>
      <w:bookmarkStart w:id="34" w:name="_Toc31368"/>
      <w:bookmarkStart w:id="35" w:name="_Toc13589"/>
      <w:bookmarkStart w:id="36"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34"/>
      <w:bookmarkEnd w:id="35"/>
      <w:bookmarkEnd w:id="36"/>
    </w:p>
    <w:p w14:paraId="449DCBB3">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39"/>
        <w:tblW w:w="5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944"/>
        <w:gridCol w:w="7343"/>
      </w:tblGrid>
      <w:tr w14:paraId="7DBF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224D371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939" w:type="pct"/>
            <w:vAlign w:val="center"/>
          </w:tcPr>
          <w:p w14:paraId="78254157">
            <w:pPr>
              <w:pStyle w:val="60"/>
              <w:keepNext w:val="0"/>
              <w:keepLines w:val="0"/>
              <w:pageBreakBefore w:val="0"/>
              <w:widowControl w:val="0"/>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546" w:type="pct"/>
            <w:vAlign w:val="center"/>
          </w:tcPr>
          <w:p w14:paraId="2BC46E8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3FBC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60DB44AD">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5.2</w:t>
            </w:r>
          </w:p>
        </w:tc>
        <w:tc>
          <w:tcPr>
            <w:tcW w:w="939" w:type="pct"/>
            <w:vAlign w:val="center"/>
          </w:tcPr>
          <w:p w14:paraId="4C882B4C">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现场考察或标前答疑会</w:t>
            </w:r>
          </w:p>
        </w:tc>
        <w:tc>
          <w:tcPr>
            <w:tcW w:w="3546" w:type="pct"/>
            <w:vAlign w:val="center"/>
          </w:tcPr>
          <w:p w14:paraId="73E264AD">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不组织或不召开</w:t>
            </w:r>
          </w:p>
          <w:p w14:paraId="73B6EEF1">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统一组织或统一召开</w:t>
            </w:r>
          </w:p>
          <w:p w14:paraId="61541C59">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分</w:t>
            </w:r>
          </w:p>
          <w:p w14:paraId="1A98AC4A">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w:t>
            </w:r>
          </w:p>
          <w:p w14:paraId="692F83B3">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p>
          <w:p w14:paraId="71F63287">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注：如投标人未参加采购人统一组织的现场考察或采购人统一召开的标前答疑会，视同放弃现场考察或标前答疑会，由此引起的一切责任由投标人自行承担。</w:t>
            </w:r>
          </w:p>
        </w:tc>
      </w:tr>
      <w:tr w14:paraId="48B5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37B01325">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6.1</w:t>
            </w:r>
          </w:p>
        </w:tc>
        <w:tc>
          <w:tcPr>
            <w:tcW w:w="939" w:type="pct"/>
            <w:vAlign w:val="center"/>
          </w:tcPr>
          <w:p w14:paraId="7A1A1FBC">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bidi="ar"/>
              </w:rPr>
              <w:t>网上询问截止时间</w:t>
            </w:r>
          </w:p>
        </w:tc>
        <w:tc>
          <w:tcPr>
            <w:tcW w:w="3546" w:type="pct"/>
            <w:vAlign w:val="center"/>
          </w:tcPr>
          <w:p w14:paraId="13F99917">
            <w:pPr>
              <w:keepNext w:val="0"/>
              <w:keepLines w:val="0"/>
              <w:pageBreakBefore w:val="0"/>
              <w:widowControl/>
              <w:kinsoku/>
              <w:wordWrap/>
              <w:overflowPunct/>
              <w:topLinePunct w:val="0"/>
              <w:autoSpaceDE/>
              <w:autoSpaceDN/>
              <w:bidi w:val="0"/>
              <w:spacing w:line="5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9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17</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分</w:t>
            </w:r>
          </w:p>
        </w:tc>
      </w:tr>
      <w:tr w14:paraId="7CD8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7B02B7E0">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7.1</w:t>
            </w:r>
          </w:p>
        </w:tc>
        <w:tc>
          <w:tcPr>
            <w:tcW w:w="939" w:type="pct"/>
            <w:vAlign w:val="center"/>
          </w:tcPr>
          <w:p w14:paraId="0848C341">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546" w:type="pct"/>
            <w:vAlign w:val="center"/>
          </w:tcPr>
          <w:p w14:paraId="1DD5E66D">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不</w:t>
            </w:r>
            <w:r>
              <w:rPr>
                <w:rFonts w:hint="eastAsia" w:ascii="宋体" w:hAnsi="宋体" w:eastAsia="宋体" w:cs="宋体"/>
                <w:bCs/>
                <w:color w:val="auto"/>
                <w:kern w:val="0"/>
                <w:sz w:val="24"/>
                <w:szCs w:val="24"/>
                <w:highlight w:val="none"/>
              </w:rPr>
              <w:t xml:space="preserve">分包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分</w:t>
            </w:r>
            <w:r>
              <w:rPr>
                <w:rFonts w:hint="eastAsia" w:ascii="宋体" w:hAnsi="宋体" w:eastAsia="宋体" w:cs="宋体"/>
                <w:b w:val="0"/>
                <w:color w:val="auto"/>
                <w:sz w:val="24"/>
                <w:szCs w:val="24"/>
                <w:highlight w:val="none"/>
                <w:lang w:val="en-US" w:eastAsia="zh-CN"/>
              </w:rPr>
              <w:t xml:space="preserve">包 </w:t>
            </w:r>
          </w:p>
        </w:tc>
      </w:tr>
      <w:tr w14:paraId="0748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14" w:type="pct"/>
            <w:vAlign w:val="center"/>
          </w:tcPr>
          <w:p w14:paraId="23FBC3B1">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10.1</w:t>
            </w:r>
          </w:p>
        </w:tc>
        <w:tc>
          <w:tcPr>
            <w:tcW w:w="939" w:type="pct"/>
            <w:vAlign w:val="center"/>
          </w:tcPr>
          <w:p w14:paraId="30FE6439">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投标保证金</w:t>
            </w:r>
          </w:p>
        </w:tc>
        <w:tc>
          <w:tcPr>
            <w:tcW w:w="3546" w:type="pct"/>
            <w:vAlign w:val="center"/>
          </w:tcPr>
          <w:p w14:paraId="1DCA8F81">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不收取</w:t>
            </w:r>
          </w:p>
        </w:tc>
      </w:tr>
      <w:tr w14:paraId="28F0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121827ED">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11.1</w:t>
            </w:r>
          </w:p>
        </w:tc>
        <w:tc>
          <w:tcPr>
            <w:tcW w:w="939" w:type="pct"/>
            <w:vAlign w:val="center"/>
          </w:tcPr>
          <w:p w14:paraId="16EFE6E4">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投标有效期</w:t>
            </w:r>
          </w:p>
        </w:tc>
        <w:tc>
          <w:tcPr>
            <w:tcW w:w="3546" w:type="pct"/>
            <w:vAlign w:val="center"/>
          </w:tcPr>
          <w:p w14:paraId="4EA4A772">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90</w:t>
            </w:r>
            <w:r>
              <w:rPr>
                <w:rFonts w:hint="eastAsia" w:ascii="宋体" w:hAnsi="宋体" w:eastAsia="宋体" w:cs="宋体"/>
                <w:b w:val="0"/>
                <w:color w:val="auto"/>
                <w:sz w:val="24"/>
                <w:szCs w:val="24"/>
                <w:highlight w:val="none"/>
              </w:rPr>
              <w:t>日历日</w:t>
            </w:r>
          </w:p>
        </w:tc>
      </w:tr>
      <w:tr w14:paraId="30CC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085A5857">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w:t>
            </w:r>
          </w:p>
        </w:tc>
        <w:tc>
          <w:tcPr>
            <w:tcW w:w="939" w:type="pct"/>
            <w:vAlign w:val="center"/>
          </w:tcPr>
          <w:p w14:paraId="52826A31">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投标文件解密时间</w:t>
            </w:r>
          </w:p>
        </w:tc>
        <w:tc>
          <w:tcPr>
            <w:tcW w:w="3546" w:type="pct"/>
            <w:vAlign w:val="center"/>
          </w:tcPr>
          <w:p w14:paraId="3B9B6B2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投标截止时间后</w:t>
            </w:r>
            <w:r>
              <w:rPr>
                <w:rFonts w:hint="eastAsia" w:ascii="宋体" w:hAnsi="宋体" w:eastAsia="宋体" w:cs="宋体"/>
                <w:bCs/>
                <w:color w:val="auto"/>
                <w:kern w:val="0"/>
                <w:sz w:val="24"/>
                <w:szCs w:val="24"/>
                <w:highlight w:val="none"/>
              </w:rPr>
              <w:t>60分钟内（以本项目网上招投标系统解密倒计时为准）</w:t>
            </w:r>
          </w:p>
        </w:tc>
      </w:tr>
      <w:tr w14:paraId="232C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0F3CAACB">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w:t>
            </w:r>
          </w:p>
        </w:tc>
        <w:tc>
          <w:tcPr>
            <w:tcW w:w="939" w:type="pct"/>
            <w:vAlign w:val="center"/>
          </w:tcPr>
          <w:p w14:paraId="61613021">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资格审查</w:t>
            </w:r>
          </w:p>
        </w:tc>
        <w:tc>
          <w:tcPr>
            <w:tcW w:w="3546" w:type="pct"/>
            <w:vAlign w:val="center"/>
          </w:tcPr>
          <w:p w14:paraId="74C6A3AC">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☑采购人审查</w:t>
            </w:r>
          </w:p>
          <w:p w14:paraId="15479F84">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□采购人出具委托函委托采购代理机构进行审查</w:t>
            </w:r>
          </w:p>
        </w:tc>
      </w:tr>
      <w:tr w14:paraId="4FF1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6885559C">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17.2</w:t>
            </w:r>
          </w:p>
        </w:tc>
        <w:tc>
          <w:tcPr>
            <w:tcW w:w="939" w:type="pct"/>
            <w:vAlign w:val="center"/>
          </w:tcPr>
          <w:p w14:paraId="0453AC8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评标方法</w:t>
            </w:r>
          </w:p>
        </w:tc>
        <w:tc>
          <w:tcPr>
            <w:tcW w:w="3546" w:type="pct"/>
            <w:vAlign w:val="center"/>
          </w:tcPr>
          <w:p w14:paraId="2168AF2A">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最低评标价法</w:t>
            </w:r>
          </w:p>
          <w:p w14:paraId="485AF811">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综合评分法</w:t>
            </w:r>
          </w:p>
        </w:tc>
      </w:tr>
      <w:tr w14:paraId="6574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4E0911BC">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17.3</w:t>
            </w:r>
          </w:p>
        </w:tc>
        <w:tc>
          <w:tcPr>
            <w:tcW w:w="939" w:type="pct"/>
            <w:vAlign w:val="center"/>
          </w:tcPr>
          <w:p w14:paraId="3EE8D22E">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i/>
                <w:color w:val="auto"/>
                <w:sz w:val="24"/>
                <w:szCs w:val="24"/>
                <w:highlight w:val="none"/>
              </w:rPr>
            </w:pPr>
            <w:r>
              <w:rPr>
                <w:rFonts w:hint="eastAsia" w:ascii="宋体" w:hAnsi="宋体" w:eastAsia="宋体" w:cs="宋体"/>
                <w:b w:val="0"/>
                <w:color w:val="auto"/>
                <w:sz w:val="24"/>
                <w:szCs w:val="24"/>
                <w:highlight w:val="none"/>
              </w:rPr>
              <w:t>报价扣除</w:t>
            </w:r>
            <w:r>
              <w:rPr>
                <w:rFonts w:hint="eastAsia" w:ascii="宋体" w:hAnsi="宋体" w:eastAsia="宋体" w:cs="宋体"/>
                <w:b w:val="0"/>
                <w:i/>
                <w:color w:val="auto"/>
                <w:sz w:val="24"/>
                <w:szCs w:val="24"/>
                <w:highlight w:val="none"/>
              </w:rPr>
              <w:t>（非专门面向中小企业采购项目适用）</w:t>
            </w:r>
          </w:p>
        </w:tc>
        <w:tc>
          <w:tcPr>
            <w:tcW w:w="3546" w:type="pct"/>
            <w:vAlign w:val="center"/>
          </w:tcPr>
          <w:p w14:paraId="7655D17C">
            <w:pPr>
              <w:pStyle w:val="6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w:t>
            </w:r>
            <w:r>
              <w:rPr>
                <w:rFonts w:hint="eastAsia" w:ascii="宋体" w:hAnsi="宋体" w:eastAsia="宋体"/>
                <w:b w:val="0"/>
                <w:color w:val="auto"/>
                <w:sz w:val="24"/>
                <w:highlight w:val="none"/>
              </w:rPr>
              <w:t>。</w:t>
            </w:r>
          </w:p>
          <w:p w14:paraId="081522BA">
            <w:pPr>
              <w:pStyle w:val="6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1D3077DC">
            <w:pPr>
              <w:pStyle w:val="6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6DC68061">
            <w:pPr>
              <w:pStyle w:val="6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rPr>
              <w:t>。</w:t>
            </w:r>
          </w:p>
          <w:p w14:paraId="6BEC51A2">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tc>
      </w:tr>
      <w:tr w14:paraId="4B0B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65416DB8">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21.1</w:t>
            </w:r>
          </w:p>
        </w:tc>
        <w:tc>
          <w:tcPr>
            <w:tcW w:w="939" w:type="pct"/>
            <w:vAlign w:val="center"/>
          </w:tcPr>
          <w:p w14:paraId="2AA4603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评标委员会推荐中标候选人的数量</w:t>
            </w:r>
          </w:p>
        </w:tc>
        <w:tc>
          <w:tcPr>
            <w:tcW w:w="3546" w:type="pct"/>
            <w:vAlign w:val="center"/>
          </w:tcPr>
          <w:p w14:paraId="38A21937">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评标委员会推荐3名中标候选人。</w:t>
            </w:r>
          </w:p>
        </w:tc>
      </w:tr>
      <w:tr w14:paraId="545A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4633CC93">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21.2</w:t>
            </w:r>
          </w:p>
        </w:tc>
        <w:tc>
          <w:tcPr>
            <w:tcW w:w="939" w:type="pct"/>
            <w:vAlign w:val="center"/>
          </w:tcPr>
          <w:p w14:paraId="46A6E432">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确定中标人</w:t>
            </w:r>
          </w:p>
        </w:tc>
        <w:tc>
          <w:tcPr>
            <w:tcW w:w="3546" w:type="pct"/>
            <w:vAlign w:val="center"/>
          </w:tcPr>
          <w:p w14:paraId="6CBA08E4">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采购人委托评标委员会确定</w:t>
            </w:r>
          </w:p>
          <w:p w14:paraId="65934E61">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2"/>
                <w:sz w:val="24"/>
                <w:szCs w:val="24"/>
                <w:highlight w:val="none"/>
              </w:rPr>
              <w:t>☑采购人确定</w:t>
            </w:r>
          </w:p>
        </w:tc>
      </w:tr>
      <w:tr w14:paraId="793E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14" w:type="pct"/>
            <w:vAlign w:val="center"/>
          </w:tcPr>
          <w:p w14:paraId="6B23D521">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23.3</w:t>
            </w:r>
          </w:p>
        </w:tc>
        <w:tc>
          <w:tcPr>
            <w:tcW w:w="939" w:type="pct"/>
            <w:vAlign w:val="center"/>
          </w:tcPr>
          <w:p w14:paraId="64CA7E15">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随中标结果公告同时公告的内容</w:t>
            </w:r>
          </w:p>
        </w:tc>
        <w:tc>
          <w:tcPr>
            <w:tcW w:w="3546" w:type="pct"/>
            <w:vAlign w:val="center"/>
          </w:tcPr>
          <w:p w14:paraId="2C8B02A2">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（1）中小企业声明函；</w:t>
            </w:r>
          </w:p>
          <w:p w14:paraId="202DCAA0">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i/>
                <w:color w:val="auto"/>
                <w:sz w:val="24"/>
                <w:szCs w:val="24"/>
                <w:highlight w:val="none"/>
              </w:rPr>
            </w:pPr>
            <w:r>
              <w:rPr>
                <w:rFonts w:hint="eastAsia" w:ascii="宋体" w:hAnsi="宋体" w:eastAsia="宋体" w:cs="宋体"/>
                <w:b w:val="0"/>
                <w:color w:val="auto"/>
                <w:sz w:val="24"/>
                <w:szCs w:val="24"/>
                <w:highlight w:val="none"/>
              </w:rPr>
              <w:t>（2）残疾人福利性单位声明函</w:t>
            </w:r>
            <w:r>
              <w:rPr>
                <w:rFonts w:hint="eastAsia" w:ascii="宋体" w:hAnsi="宋体" w:eastAsia="宋体" w:cs="宋体"/>
                <w:b w:val="0"/>
                <w:i/>
                <w:iCs/>
                <w:color w:val="auto"/>
                <w:sz w:val="24"/>
                <w:szCs w:val="24"/>
                <w:highlight w:val="none"/>
              </w:rPr>
              <w:t>（如有）</w:t>
            </w:r>
            <w:r>
              <w:rPr>
                <w:rFonts w:hint="eastAsia" w:ascii="宋体" w:hAnsi="宋体" w:eastAsia="宋体" w:cs="宋体"/>
                <w:b w:val="0"/>
                <w:color w:val="auto"/>
                <w:sz w:val="24"/>
                <w:szCs w:val="24"/>
                <w:highlight w:val="none"/>
              </w:rPr>
              <w:t>；</w:t>
            </w:r>
          </w:p>
          <w:p w14:paraId="0C3832AF">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i/>
                <w:iCs/>
                <w:color w:val="auto"/>
                <w:sz w:val="24"/>
                <w:szCs w:val="24"/>
                <w:highlight w:val="none"/>
              </w:rPr>
            </w:pPr>
            <w:r>
              <w:rPr>
                <w:rFonts w:hint="eastAsia" w:ascii="宋体" w:hAnsi="宋体" w:eastAsia="宋体" w:cs="宋体"/>
                <w:b w:val="0"/>
                <w:color w:val="auto"/>
                <w:sz w:val="24"/>
                <w:szCs w:val="24"/>
                <w:highlight w:val="none"/>
              </w:rPr>
              <w:t>（3）中标（成交）供应商的评审总得分</w:t>
            </w:r>
            <w:r>
              <w:rPr>
                <w:rFonts w:hint="eastAsia" w:ascii="宋体" w:hAnsi="宋体" w:eastAsia="宋体" w:cs="宋体"/>
                <w:b w:val="0"/>
                <w:i/>
                <w:iCs/>
                <w:color w:val="auto"/>
                <w:sz w:val="24"/>
                <w:szCs w:val="24"/>
                <w:highlight w:val="none"/>
              </w:rPr>
              <w:t>。</w:t>
            </w:r>
          </w:p>
          <w:p w14:paraId="6C6D9F7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i/>
                <w:iCs/>
                <w:color w:val="auto"/>
                <w:sz w:val="24"/>
                <w:szCs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u w:val="none"/>
                <w:lang w:val="en-US" w:eastAsia="zh-CN"/>
              </w:rPr>
              <w:t>中标（成交）供应商的分项报价清单。</w:t>
            </w:r>
          </w:p>
        </w:tc>
      </w:tr>
      <w:tr w14:paraId="7AC7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1EB0F990">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24.1</w:t>
            </w:r>
          </w:p>
        </w:tc>
        <w:tc>
          <w:tcPr>
            <w:tcW w:w="939" w:type="pct"/>
            <w:vAlign w:val="center"/>
          </w:tcPr>
          <w:p w14:paraId="4CC3559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中标通知书发出的形式</w:t>
            </w:r>
          </w:p>
        </w:tc>
        <w:tc>
          <w:tcPr>
            <w:tcW w:w="3546" w:type="pct"/>
            <w:vAlign w:val="center"/>
          </w:tcPr>
          <w:p w14:paraId="0F9663EB">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4C4B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6ADF5CBB">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25.1</w:t>
            </w:r>
          </w:p>
        </w:tc>
        <w:tc>
          <w:tcPr>
            <w:tcW w:w="939" w:type="pct"/>
            <w:vAlign w:val="center"/>
          </w:tcPr>
          <w:p w14:paraId="4971928B">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告知招标结果的形式</w:t>
            </w:r>
          </w:p>
        </w:tc>
        <w:tc>
          <w:tcPr>
            <w:tcW w:w="3546" w:type="pct"/>
            <w:vAlign w:val="center"/>
          </w:tcPr>
          <w:p w14:paraId="02689F74">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宋体" w:hAnsi="宋体" w:eastAsia="宋体" w:cs="宋体"/>
                <w:color w:val="auto"/>
                <w:kern w:val="0"/>
                <w:sz w:val="24"/>
                <w:szCs w:val="24"/>
                <w:highlight w:val="none"/>
              </w:rPr>
              <w:t>系统查看</w:t>
            </w:r>
          </w:p>
          <w:p w14:paraId="75DD774A">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□评标现场告知</w:t>
            </w:r>
          </w:p>
        </w:tc>
      </w:tr>
      <w:tr w14:paraId="36B1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shd w:val="clear" w:color="auto" w:fill="auto"/>
            <w:vAlign w:val="center"/>
          </w:tcPr>
          <w:p w14:paraId="638ED97E">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rPr>
              <w:t>26.1</w:t>
            </w:r>
          </w:p>
        </w:tc>
        <w:tc>
          <w:tcPr>
            <w:tcW w:w="939" w:type="pct"/>
            <w:shd w:val="clear" w:color="auto" w:fill="auto"/>
            <w:vAlign w:val="center"/>
          </w:tcPr>
          <w:p w14:paraId="65C961E6">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rPr>
              <w:t>履约保证金</w:t>
            </w:r>
          </w:p>
        </w:tc>
        <w:tc>
          <w:tcPr>
            <w:tcW w:w="3546" w:type="pct"/>
            <w:shd w:val="clear" w:color="auto" w:fill="auto"/>
            <w:vAlign w:val="top"/>
          </w:tcPr>
          <w:p w14:paraId="535ABF53">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（1）金额：</w:t>
            </w:r>
          </w:p>
          <w:p w14:paraId="21C4ADAB">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☑免收</w:t>
            </w:r>
          </w:p>
          <w:p w14:paraId="119C5801">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□合同价的</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rPr>
              <w:t>%</w:t>
            </w:r>
          </w:p>
          <w:p w14:paraId="6D4314FC">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□定额收取：人民币</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rPr>
              <w:t>元</w:t>
            </w:r>
          </w:p>
          <w:p w14:paraId="3D77CDE4">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（2）支付方式：</w:t>
            </w:r>
          </w:p>
          <w:p w14:paraId="23C74FAF">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转账/电汇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支票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汇票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本票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 xml:space="preserve">保险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bCs/>
                <w:color w:val="auto"/>
                <w:kern w:val="0"/>
                <w:sz w:val="24"/>
                <w:szCs w:val="24"/>
                <w:highlight w:val="none"/>
              </w:rPr>
              <w:t>保函</w:t>
            </w:r>
          </w:p>
          <w:p w14:paraId="376D74F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（3）收取单位：</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rPr>
              <w:t xml:space="preserve">              </w:t>
            </w:r>
          </w:p>
          <w:p w14:paraId="63E20BE9">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（4）收取账号：</w:t>
            </w:r>
            <w:r>
              <w:rPr>
                <w:rFonts w:hint="eastAsia" w:ascii="宋体" w:hAnsi="宋体" w:eastAsia="宋体" w:cs="宋体"/>
                <w:bCs/>
                <w:color w:val="auto"/>
                <w:sz w:val="24"/>
                <w:szCs w:val="24"/>
                <w:highlight w:val="none"/>
                <w:u w:val="single"/>
              </w:rPr>
              <w:t>/</w:t>
            </w:r>
          </w:p>
          <w:p w14:paraId="407F9DFF">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eastAsia="宋体" w:cs="宋体"/>
                <w:color w:val="auto"/>
                <w:sz w:val="24"/>
                <w:szCs w:val="24"/>
                <w:highlight w:val="none"/>
              </w:rPr>
              <w:t>退还时间：</w:t>
            </w:r>
            <w:r>
              <w:rPr>
                <w:rFonts w:hint="eastAsia" w:ascii="宋体" w:hAnsi="宋体" w:eastAsia="宋体" w:cs="宋体"/>
                <w:bCs/>
                <w:color w:val="auto"/>
                <w:sz w:val="24"/>
                <w:szCs w:val="24"/>
                <w:highlight w:val="none"/>
                <w:u w:val="single"/>
              </w:rPr>
              <w:t>/</w:t>
            </w:r>
          </w:p>
          <w:p w14:paraId="7939159F">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35C6DAAA">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D8F47AC">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67BC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4" w:type="pct"/>
            <w:vAlign w:val="center"/>
          </w:tcPr>
          <w:p w14:paraId="6FC8C509">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27.1</w:t>
            </w:r>
          </w:p>
        </w:tc>
        <w:tc>
          <w:tcPr>
            <w:tcW w:w="939" w:type="pct"/>
            <w:vAlign w:val="center"/>
          </w:tcPr>
          <w:p w14:paraId="7D2FFCEF">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签订合同和合同公告时间</w:t>
            </w:r>
          </w:p>
        </w:tc>
        <w:tc>
          <w:tcPr>
            <w:tcW w:w="3546" w:type="pct"/>
          </w:tcPr>
          <w:p w14:paraId="26286524">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（1）采购人与中标人应当自发出中标通知书之日起7个工作日内签订合同，采购合同签订之日起2个工作日内完成政府采购合同公开。</w:t>
            </w:r>
          </w:p>
          <w:p w14:paraId="3DFEE062">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3A8D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166722C2">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28.1</w:t>
            </w:r>
          </w:p>
        </w:tc>
        <w:tc>
          <w:tcPr>
            <w:tcW w:w="939" w:type="pct"/>
            <w:vAlign w:val="center"/>
          </w:tcPr>
          <w:p w14:paraId="18C06830">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代理费用</w:t>
            </w:r>
          </w:p>
        </w:tc>
        <w:tc>
          <w:tcPr>
            <w:tcW w:w="3546" w:type="pct"/>
            <w:vAlign w:val="center"/>
          </w:tcPr>
          <w:p w14:paraId="0CF5F1AD">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（1）收费对象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 xml:space="preserve">采购人   </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中标人</w:t>
            </w:r>
          </w:p>
          <w:p w14:paraId="399B0B19">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w:t>
            </w:r>
          </w:p>
          <w:p w14:paraId="158A77A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color w:val="auto"/>
                <w:sz w:val="24"/>
                <w:szCs w:val="24"/>
                <w:highlight w:val="none"/>
              </w:rPr>
              <w:t>收费标准</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u w:val="single"/>
                <w:lang w:val="en-US" w:eastAsia="zh-CN"/>
              </w:rPr>
              <w:t>参考</w:t>
            </w:r>
            <w:r>
              <w:rPr>
                <w:rFonts w:hint="eastAsia" w:ascii="宋体" w:hAnsi="宋体" w:eastAsia="宋体" w:cs="宋体"/>
                <w:b w:val="0"/>
                <w:bCs w:val="0"/>
                <w:color w:val="auto"/>
                <w:kern w:val="2"/>
                <w:sz w:val="24"/>
                <w:szCs w:val="24"/>
                <w:highlight w:val="none"/>
                <w:u w:val="single" w:color="auto"/>
                <w:lang w:val="en-US" w:eastAsia="zh-CN" w:bidi="ar-SA"/>
              </w:rPr>
              <w:t>《滁州市公共资源交易代理机构及从业人员管理暂行办法》滁公管〔2022〕5号标准</w:t>
            </w:r>
            <w:r>
              <w:rPr>
                <w:rFonts w:hint="eastAsia" w:ascii="宋体" w:hAnsi="宋体" w:eastAsia="宋体" w:cs="宋体"/>
                <w:b w:val="0"/>
                <w:bCs w:val="0"/>
                <w:color w:val="auto"/>
                <w:kern w:val="2"/>
                <w:sz w:val="24"/>
                <w:szCs w:val="24"/>
                <w:highlight w:val="none"/>
                <w:u w:val="single"/>
                <w:lang w:eastAsia="zh-CN"/>
              </w:rPr>
              <w:t>。</w:t>
            </w:r>
            <w:r>
              <w:rPr>
                <w:rFonts w:hint="eastAsia" w:ascii="宋体" w:hAnsi="宋体" w:eastAsia="宋体" w:cs="宋体"/>
                <w:b w:val="0"/>
                <w:bCs w:val="0"/>
                <w:color w:val="auto"/>
                <w:kern w:val="2"/>
                <w:sz w:val="24"/>
                <w:szCs w:val="24"/>
                <w:highlight w:val="none"/>
                <w:u w:val="single"/>
                <w:lang w:val="en-US" w:eastAsia="zh-CN"/>
              </w:rPr>
              <w:t xml:space="preserve"> </w:t>
            </w:r>
          </w:p>
        </w:tc>
      </w:tr>
      <w:tr w14:paraId="3BE4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47DC45CE">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31.3</w:t>
            </w:r>
          </w:p>
        </w:tc>
        <w:tc>
          <w:tcPr>
            <w:tcW w:w="939" w:type="pct"/>
            <w:vAlign w:val="center"/>
          </w:tcPr>
          <w:p w14:paraId="7915CD28">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546" w:type="pct"/>
            <w:vAlign w:val="center"/>
          </w:tcPr>
          <w:p w14:paraId="2E0299AF">
            <w:pPr>
              <w:keepNext w:val="0"/>
              <w:keepLines w:val="0"/>
              <w:pageBreakBefore w:val="0"/>
              <w:widowControl/>
              <w:kinsoku/>
              <w:wordWrap/>
              <w:overflowPunct/>
              <w:topLinePunct w:val="0"/>
              <w:autoSpaceDE/>
              <w:autoSpaceDN/>
              <w:bidi w:val="0"/>
              <w:spacing w:line="520" w:lineRule="exact"/>
              <w:jc w:val="left"/>
              <w:textAlignment w:val="auto"/>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sz w:val="24"/>
                <w:szCs w:val="24"/>
                <w:highlight w:val="none"/>
              </w:rPr>
              <w:t>递交</w:t>
            </w:r>
            <w:r>
              <w:rPr>
                <w:rFonts w:hint="eastAsia" w:ascii="宋体" w:hAnsi="宋体" w:eastAsia="宋体" w:cs="宋体"/>
                <w:bCs/>
                <w:color w:val="auto"/>
                <w:sz w:val="24"/>
                <w:szCs w:val="24"/>
                <w:highlight w:val="none"/>
              </w:rPr>
              <w:t>方式：</w:t>
            </w:r>
            <w:r>
              <w:rPr>
                <w:rFonts w:hint="eastAsia" w:ascii="宋体" w:hAnsi="宋体" w:eastAsia="宋体" w:cs="宋体"/>
                <w:bCs/>
                <w:color w:val="auto"/>
                <w:kern w:val="0"/>
                <w:sz w:val="24"/>
                <w:szCs w:val="24"/>
                <w:highlight w:val="none"/>
                <w:u w:val="single"/>
              </w:rPr>
              <w:t>如投标人对招标文件有质疑，依据中华人民共和国财政部令第94号《政府采购质疑和投诉办法》规定提出质疑；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50685F91">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接收部门：</w:t>
            </w:r>
            <w:r>
              <w:rPr>
                <w:rFonts w:hint="eastAsia" w:ascii="宋体" w:hAnsi="宋体" w:eastAsia="宋体" w:cs="宋体"/>
                <w:b w:val="0"/>
                <w:color w:val="auto"/>
                <w:sz w:val="24"/>
                <w:szCs w:val="24"/>
                <w:highlight w:val="none"/>
                <w:u w:val="single"/>
                <w:lang w:eastAsia="zh-CN"/>
              </w:rPr>
              <w:t>滁州职业技术学院</w:t>
            </w:r>
            <w:r>
              <w:rPr>
                <w:rFonts w:hint="eastAsia" w:ascii="宋体" w:hAnsi="宋体" w:eastAsia="宋体" w:cs="宋体"/>
                <w:b w:val="0"/>
                <w:color w:val="auto"/>
                <w:sz w:val="24"/>
                <w:szCs w:val="24"/>
                <w:highlight w:val="none"/>
                <w:u w:val="single"/>
              </w:rPr>
              <w:t>、</w:t>
            </w:r>
            <w:r>
              <w:rPr>
                <w:rFonts w:hint="eastAsia" w:ascii="宋体" w:hAnsi="宋体" w:eastAsia="宋体"/>
                <w:b w:val="0"/>
                <w:color w:val="auto"/>
                <w:sz w:val="24"/>
                <w:highlight w:val="none"/>
                <w:u w:val="single"/>
                <w:lang w:eastAsia="zh-CN"/>
              </w:rPr>
              <w:t>滁州市政府采购中心</w:t>
            </w:r>
          </w:p>
          <w:p w14:paraId="031AC9BE">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联系电话：</w:t>
            </w:r>
            <w:r>
              <w:rPr>
                <w:rFonts w:hint="eastAsia" w:ascii="宋体" w:hAnsi="宋体" w:eastAsia="宋体" w:cs="宋体"/>
                <w:b w:val="0"/>
                <w:color w:val="auto"/>
                <w:sz w:val="24"/>
                <w:szCs w:val="24"/>
                <w:highlight w:val="none"/>
                <w:u w:val="single"/>
                <w:lang w:eastAsia="zh-CN"/>
              </w:rPr>
              <w:t>0550-3854662</w:t>
            </w:r>
            <w:r>
              <w:rPr>
                <w:rFonts w:hint="eastAsia" w:ascii="宋体" w:hAnsi="宋体" w:eastAsia="宋体" w:cs="宋体"/>
                <w:b w:val="0"/>
                <w:color w:val="auto"/>
                <w:sz w:val="24"/>
                <w:szCs w:val="24"/>
                <w:highlight w:val="none"/>
                <w:u w:val="single"/>
                <w:lang w:val="en-US" w:eastAsia="zh-CN"/>
              </w:rPr>
              <w:t>、0550-3519512、18255055896</w:t>
            </w:r>
          </w:p>
          <w:p w14:paraId="7A8C9820">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通讯地址：</w:t>
            </w:r>
            <w:r>
              <w:rPr>
                <w:rFonts w:hint="eastAsia" w:ascii="宋体" w:hAnsi="宋体" w:eastAsia="宋体" w:cs="宋体"/>
                <w:b w:val="0"/>
                <w:bCs w:val="0"/>
                <w:color w:val="auto"/>
                <w:sz w:val="24"/>
                <w:szCs w:val="24"/>
                <w:highlight w:val="none"/>
                <w:u w:val="single"/>
                <w:lang w:eastAsia="zh-CN"/>
              </w:rPr>
              <w:t>安徽滁州市丰乐大道2188号</w:t>
            </w:r>
            <w:r>
              <w:rPr>
                <w:rFonts w:hint="eastAsia" w:ascii="宋体" w:hAnsi="宋体" w:eastAsia="宋体" w:cs="宋体"/>
                <w:b w:val="0"/>
                <w:bCs w:val="0"/>
                <w:color w:val="auto"/>
                <w:sz w:val="24"/>
                <w:szCs w:val="24"/>
                <w:highlight w:val="none"/>
                <w:u w:val="single"/>
              </w:rPr>
              <w:t>、滁州市龙蟠大道109号房产大厦</w:t>
            </w:r>
            <w:r>
              <w:rPr>
                <w:rFonts w:hint="eastAsia" w:ascii="宋体" w:hAnsi="宋体" w:eastAsia="宋体" w:cs="宋体"/>
                <w:b w:val="0"/>
                <w:bCs w:val="0"/>
                <w:color w:val="auto"/>
                <w:sz w:val="24"/>
                <w:szCs w:val="24"/>
                <w:highlight w:val="none"/>
                <w:u w:val="single"/>
                <w:lang w:val="en-US" w:eastAsia="zh-CN"/>
              </w:rPr>
              <w:t>二</w:t>
            </w:r>
            <w:r>
              <w:rPr>
                <w:rFonts w:hint="eastAsia" w:ascii="宋体" w:hAnsi="宋体" w:eastAsia="宋体" w:cs="宋体"/>
                <w:b w:val="0"/>
                <w:bCs w:val="0"/>
                <w:color w:val="auto"/>
                <w:sz w:val="24"/>
                <w:szCs w:val="24"/>
                <w:highlight w:val="none"/>
                <w:u w:val="single"/>
              </w:rPr>
              <w:t>楼</w:t>
            </w:r>
          </w:p>
        </w:tc>
      </w:tr>
      <w:tr w14:paraId="70EC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14" w:type="pct"/>
            <w:vAlign w:val="center"/>
          </w:tcPr>
          <w:p w14:paraId="08C834EF">
            <w:pPr>
              <w:pStyle w:val="6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w:t>
            </w:r>
          </w:p>
        </w:tc>
        <w:tc>
          <w:tcPr>
            <w:tcW w:w="939" w:type="pct"/>
            <w:vAlign w:val="center"/>
          </w:tcPr>
          <w:p w14:paraId="173E7216">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546" w:type="pct"/>
            <w:vAlign w:val="center"/>
          </w:tcPr>
          <w:p w14:paraId="00AE56A9">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1.解释权：</w:t>
            </w:r>
          </w:p>
          <w:p w14:paraId="50A02CB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1B8E298A">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518B91F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2DAD6BE5">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624256B4">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（5）按本款前述规定仍不能形成结论的，由采购人负责解释。</w:t>
            </w:r>
          </w:p>
          <w:p w14:paraId="4B2E0909">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62609374">
            <w:pPr>
              <w:pStyle w:val="60"/>
              <w:keepNext w:val="0"/>
              <w:keepLines w:val="0"/>
              <w:pageBreakBefore w:val="0"/>
              <w:widowControl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3.电子保函指引：中标人可访问安徽省政府采购网“融资/保函”栏目，申请办理电子保函（包括：履约保函、预付款保函）。</w:t>
            </w:r>
          </w:p>
          <w:p w14:paraId="2FCDC18A">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w:t>
            </w:r>
            <w:r>
              <w:rPr>
                <w:rFonts w:hint="eastAsia" w:ascii="宋体" w:hAnsi="宋体" w:eastAsia="宋体" w:cs="宋体"/>
                <w:bCs/>
                <w:color w:val="auto"/>
                <w:kern w:val="2"/>
                <w:sz w:val="24"/>
                <w:szCs w:val="24"/>
                <w:highlight w:val="none"/>
                <w:lang w:bidi="ar"/>
              </w:rPr>
              <w:t>部分可提供线下政采贷的金融机构：</w:t>
            </w:r>
          </w:p>
          <w:p w14:paraId="5585F506">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市本级</w:t>
            </w:r>
          </w:p>
          <w:p w14:paraId="77C0583E">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金融机构名称：兴业银行滁州分行</w:t>
            </w:r>
          </w:p>
          <w:p w14:paraId="3F88C596">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安徽省滁州市琅琊区丰乐大道1090号</w:t>
            </w:r>
          </w:p>
          <w:p w14:paraId="0456E4CD">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lang w:bidi="ar"/>
              </w:rPr>
            </w:pPr>
            <w:r>
              <w:rPr>
                <w:rFonts w:hint="eastAsia" w:ascii="宋体" w:hAnsi="宋体" w:eastAsia="宋体" w:cs="宋体"/>
                <w:bCs/>
                <w:color w:val="auto"/>
                <w:kern w:val="2"/>
                <w:sz w:val="24"/>
                <w:szCs w:val="24"/>
                <w:highlight w:val="none"/>
                <w:lang w:bidi="ar"/>
              </w:rPr>
              <w:t>伏庚：17755080811</w:t>
            </w:r>
          </w:p>
          <w:p w14:paraId="367AF00C">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5.特别提示：</w:t>
            </w:r>
          </w:p>
          <w:p w14:paraId="625501BE">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（1）投标人应填写投标信息并下载招标文件，否则无法上传投标文件。</w:t>
            </w:r>
          </w:p>
          <w:p w14:paraId="25E81266">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7DCC6C2F">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（3）如果过程中出现招标文件更改，应以最后发布的招标答疑澄清文件中的模板制作本项目最新投标文件。</w:t>
            </w:r>
          </w:p>
          <w:p w14:paraId="4D63652E">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 xml:space="preserve">（4）投标人应当用本单位CA数字证书制作投标文件，制作成功后进行投标文件上传。 </w:t>
            </w:r>
          </w:p>
          <w:p w14:paraId="262AA798">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48F82CB7">
            <w:pPr>
              <w:pStyle w:val="33"/>
              <w:keepNext w:val="0"/>
              <w:keepLines w:val="0"/>
              <w:pageBreakBefore w:val="0"/>
              <w:kinsoku/>
              <w:wordWrap/>
              <w:overflowPunct/>
              <w:topLinePunct w:val="0"/>
              <w:autoSpaceDE/>
              <w:autoSpaceDN/>
              <w:bidi w:val="0"/>
              <w:spacing w:before="0" w:beforeAutospacing="0" w:after="0" w:afterAutospacing="0" w:line="52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（6）请投标人注意加密投标文件CA数字证书的有效期，不在有效期的CA数字证书无法解密投标文件。</w:t>
            </w:r>
          </w:p>
          <w:p w14:paraId="73EEAC52">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（7）投标人投标MAC地址或投标人联系人或联系电话相同的，由评标委员会否决其投标，并报告监管部门作不良行为处理和进一步调查。</w:t>
            </w:r>
          </w:p>
          <w:p w14:paraId="21642CB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（8）投标人单方面出现其他投标人材料的，由评标委员会否决其投标。</w:t>
            </w:r>
          </w:p>
          <w:p w14:paraId="5336D337">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306533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3F34788F">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6.评标过程中的澄清、说明或补正：</w:t>
            </w:r>
          </w:p>
          <w:p w14:paraId="3CEA763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0A7851B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758D87C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7.同义词语：</w:t>
            </w:r>
          </w:p>
          <w:p w14:paraId="44E89F9A">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bidi="ar"/>
              </w:rPr>
              <w:t>招标文件第六章投标文件格式、附件1“关于联合惩戒失信行为 加强信用查询管理的通知”等章节中 “招标人”、“供应商”，等同于“采购人”、“投标人”。</w:t>
            </w:r>
          </w:p>
          <w:p w14:paraId="206E0217">
            <w:pPr>
              <w:pStyle w:val="60"/>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 w:val="0"/>
                <w:color w:val="auto"/>
                <w:kern w:val="2"/>
                <w:sz w:val="24"/>
                <w:szCs w:val="24"/>
                <w:highlight w:val="none"/>
                <w:lang w:bidi="ar"/>
              </w:rPr>
            </w:pPr>
            <w:r>
              <w:rPr>
                <w:rFonts w:hint="eastAsia" w:ascii="宋体" w:hAnsi="宋体" w:eastAsia="宋体" w:cs="宋体"/>
                <w:b w:val="0"/>
                <w:color w:val="auto"/>
                <w:kern w:val="2"/>
                <w:sz w:val="24"/>
                <w:szCs w:val="24"/>
                <w:highlight w:val="none"/>
                <w:lang w:bidi="ar"/>
              </w:rPr>
              <w:t>落实政府采购支持节能产品、环境标志产品政策。</w:t>
            </w:r>
          </w:p>
          <w:p w14:paraId="7F21FA55">
            <w:pPr>
              <w:pStyle w:val="60"/>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b w:val="0"/>
                <w:color w:val="auto"/>
                <w:kern w:val="2"/>
                <w:sz w:val="24"/>
                <w:szCs w:val="24"/>
                <w:highlight w:val="none"/>
                <w:lang w:bidi="ar"/>
              </w:rPr>
            </w:pPr>
            <w:r>
              <w:rPr>
                <w:rFonts w:hint="eastAsia" w:ascii="宋体" w:hAnsi="宋体" w:eastAsia="宋体" w:cs="宋体"/>
                <w:b w:val="0"/>
                <w:color w:val="auto"/>
                <w:kern w:val="2"/>
                <w:sz w:val="24"/>
                <w:szCs w:val="24"/>
                <w:highlight w:val="none"/>
              </w:rPr>
              <w:t>系统中提供的表格与</w:t>
            </w:r>
            <w:r>
              <w:rPr>
                <w:rFonts w:hint="eastAsia" w:ascii="宋体" w:hAnsi="宋体" w:eastAsia="宋体" w:cs="宋体"/>
                <w:b w:val="0"/>
                <w:color w:val="auto"/>
                <w:kern w:val="2"/>
                <w:sz w:val="24"/>
                <w:szCs w:val="24"/>
                <w:highlight w:val="none"/>
                <w:lang w:eastAsia="zh-CN"/>
              </w:rPr>
              <w:t>招标文件</w:t>
            </w:r>
            <w:r>
              <w:rPr>
                <w:rFonts w:hint="eastAsia" w:ascii="宋体" w:hAnsi="宋体" w:eastAsia="宋体" w:cs="宋体"/>
                <w:b w:val="0"/>
                <w:color w:val="auto"/>
                <w:kern w:val="2"/>
                <w:sz w:val="24"/>
                <w:szCs w:val="24"/>
                <w:highlight w:val="none"/>
              </w:rPr>
              <w:t>中不一致时，以</w:t>
            </w:r>
            <w:r>
              <w:rPr>
                <w:rFonts w:hint="eastAsia" w:ascii="宋体" w:hAnsi="宋体" w:eastAsia="宋体" w:cs="宋体"/>
                <w:b w:val="0"/>
                <w:color w:val="auto"/>
                <w:kern w:val="2"/>
                <w:sz w:val="24"/>
                <w:szCs w:val="24"/>
                <w:highlight w:val="none"/>
                <w:lang w:eastAsia="zh-CN"/>
              </w:rPr>
              <w:t>招标文件</w:t>
            </w:r>
            <w:r>
              <w:rPr>
                <w:rFonts w:hint="eastAsia" w:ascii="宋体" w:hAnsi="宋体" w:eastAsia="宋体" w:cs="宋体"/>
                <w:b w:val="0"/>
                <w:color w:val="auto"/>
                <w:kern w:val="2"/>
                <w:sz w:val="24"/>
                <w:szCs w:val="24"/>
                <w:highlight w:val="none"/>
              </w:rPr>
              <w:t>中提供的表格格式为准。</w:t>
            </w:r>
          </w:p>
        </w:tc>
      </w:tr>
    </w:tbl>
    <w:p w14:paraId="29BA03E8">
      <w:pPr>
        <w:keepNext w:val="0"/>
        <w:keepLines w:val="0"/>
        <w:pageBreakBefore w:val="0"/>
        <w:widowControl w:val="0"/>
        <w:kinsoku/>
        <w:wordWrap/>
        <w:overflowPunct/>
        <w:topLinePunct w:val="0"/>
        <w:autoSpaceDE/>
        <w:autoSpaceDN/>
        <w:bidi w:val="0"/>
        <w:adjustRightInd/>
        <w:snapToGrid/>
        <w:spacing w:before="95" w:beforeLines="30" w:after="95" w:afterLines="30" w:line="520" w:lineRule="exact"/>
        <w:jc w:val="center"/>
        <w:textAlignment w:val="auto"/>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37" w:name="_Toc24882"/>
      <w:bookmarkStart w:id="38" w:name="_Toc2655"/>
      <w:bookmarkStart w:id="39" w:name="_Toc9427"/>
      <w:r>
        <w:rPr>
          <w:rFonts w:hint="eastAsia" w:asciiTheme="minorEastAsia" w:hAnsiTheme="minorEastAsia" w:eastAsiaTheme="minorEastAsia"/>
          <w:b/>
          <w:color w:val="auto"/>
          <w:sz w:val="24"/>
          <w:highlight w:val="none"/>
        </w:rPr>
        <w:t>二、投标人须知正文</w:t>
      </w:r>
      <w:bookmarkEnd w:id="37"/>
      <w:bookmarkEnd w:id="38"/>
      <w:bookmarkEnd w:id="39"/>
    </w:p>
    <w:p w14:paraId="365AF474">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3736662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4A50804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B7E5C8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726F1082">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1804D5A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54D55AE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4E1F091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142A0152">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7BE1734">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7B9B1FB2">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0AFA2C54">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30B8B1FD">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231B460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64C45583">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1E25DA01">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643ECD5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DD62DF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73BF25D9">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0FAA9EDF">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50B12A9C">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757F41A4">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1708B1C6">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1D86380D">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2D39941B">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317A19A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4768A7C3">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053D14EF">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7BDA1E31">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186B4CF6">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5045094A">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094426E2">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47C9EAD7">
      <w:pPr>
        <w:keepNext w:val="0"/>
        <w:keepLines w:val="0"/>
        <w:pageBreakBefore w:val="0"/>
        <w:widowControl w:val="0"/>
        <w:kinsoku/>
        <w:overflowPunct/>
        <w:topLinePunct w:val="0"/>
        <w:autoSpaceDE/>
        <w:autoSpaceDN/>
        <w:bidi w:val="0"/>
        <w:adjustRightInd/>
        <w:snapToGrid/>
        <w:spacing w:line="520" w:lineRule="exact"/>
        <w:ind w:firstLine="840" w:firstLineChars="3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2D219B6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A16EF93">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128F0404">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1A116D95">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154431E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D9A2A55">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F23A39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155B46A0">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0A86621F">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12DCAB3">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64F37F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bookmarkStart w:id="40"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40"/>
    <w:p w14:paraId="79D73F7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0C9C5F3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17871E00">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55AA407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236F4D51">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41" w:name="_Hlk11703583"/>
      <w:r>
        <w:rPr>
          <w:rFonts w:hint="eastAsia" w:ascii="宋体" w:hAnsi="宋体" w:eastAsia="宋体" w:cs="宋体"/>
          <w:color w:val="auto"/>
          <w:sz w:val="24"/>
          <w:highlight w:val="none"/>
        </w:rPr>
        <w:t>等。</w:t>
      </w:r>
    </w:p>
    <w:bookmarkEnd w:id="41"/>
    <w:p w14:paraId="07DCE1D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7FC24BF0">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158CE0B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9.1投标人的报价应当包括满足本次招标全部采购需求。除招标文件另有规定外，所有投标均应以人民币报价。投标人的投标报价应遵守《中华人民共和国价格法》。</w:t>
      </w:r>
    </w:p>
    <w:p w14:paraId="555DE62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075AD0E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bCs/>
          <w:color w:val="auto"/>
          <w:sz w:val="24"/>
          <w:highlight w:val="none"/>
        </w:rPr>
        <w:t>投标无效。</w:t>
      </w:r>
    </w:p>
    <w:p w14:paraId="0D98E2F2">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8E2144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2D4BAFF2">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07C137D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36A704C8">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655C224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D740394">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996012F">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4F4C599A">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4365055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2E96897B">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59D0807">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3C5E2F7B">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35EC529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2F4C161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6FAC0D22">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6E0B5557">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72C031A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3450F1A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szCs w:val="24"/>
          <w:highlight w:val="none"/>
        </w:rPr>
      </w:pPr>
      <w:bookmarkStart w:id="42"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0B5C7A4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72A13A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2"/>
    <w:p w14:paraId="4C1A2FE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6BAD7483">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14FF51E5">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716B745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74AB06E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6469479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5B7E748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781E9D3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6F633BEF">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7F569F5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64BCDC3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50AF069D">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39C7967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62B9D16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15.3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FE64694">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58E9284A">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46EF7305">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28CBEA5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3610E7A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6AA9BF6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7D06611">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2FBE224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3D93FB9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38F0064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014286D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5F60AB61">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772B92F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5C4DD59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2C0CD65F">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A6B6C31">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22507242">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0E26AA74">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7EA5F09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0F61F184">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37B7C4B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50B49C2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587BA39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32310F4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6233D49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31838F7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69A873D1">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72785FC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1E6606C3">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777B799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6597449A">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4055700B">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1822D58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0F2573BD">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4E9501C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5903C73D">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4F91A338">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7662D36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3A4F38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438C7246">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0828F71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27CDF06">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09ED2FB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5EF29D3">
      <w:pPr>
        <w:keepNext w:val="0"/>
        <w:keepLines w:val="0"/>
        <w:pageBreakBefore w:val="0"/>
        <w:widowControl w:val="0"/>
        <w:kinsoku/>
        <w:wordWrap w:val="0"/>
        <w:overflowPunct/>
        <w:topLinePunct w:val="0"/>
        <w:autoSpaceDE/>
        <w:autoSpaceDN/>
        <w:bidi w:val="0"/>
        <w:adjustRightInd/>
        <w:snapToGrid/>
        <w:spacing w:line="520" w:lineRule="exact"/>
        <w:ind w:firstLine="437"/>
        <w:jc w:val="left"/>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23.2自中标人确定之日起2个工作日内，采购代理机构将在安徽省政府采购网（www.ccgp-anhui.gov.cn）、滁州市公共资源交易中心网（http://ggzy.chuzhou.gov.cn /）上发布中标结果公告。</w:t>
      </w:r>
    </w:p>
    <w:p w14:paraId="4E39362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投标人须知前附表中约定进行公告的内容。中标公告期限为1个工作日。</w:t>
      </w:r>
    </w:p>
    <w:p w14:paraId="4016AECB">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46EA7D1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53CE9FC6">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04587638">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760AACBB">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79FC6CA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31871D18">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48366EA5">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71A997DB">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39411B43">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4381FDB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2B6E45F3">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3413382C">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5A1D9CDB">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380BD638">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397C2C63">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3BA2728B">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bookmarkStart w:id="43" w:name="_Toc2583661"/>
      <w:bookmarkStart w:id="44" w:name="_Toc518923100"/>
      <w:r>
        <w:rPr>
          <w:rFonts w:hint="eastAsia" w:ascii="宋体" w:hAnsi="宋体" w:eastAsia="宋体" w:cs="宋体"/>
          <w:b/>
          <w:color w:val="auto"/>
          <w:sz w:val="24"/>
          <w:highlight w:val="none"/>
        </w:rPr>
        <w:t>29.廉洁自律规定</w:t>
      </w:r>
      <w:bookmarkEnd w:id="43"/>
      <w:bookmarkEnd w:id="44"/>
    </w:p>
    <w:p w14:paraId="3AD5BD19">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0B6DD10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48339F27">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bookmarkStart w:id="45" w:name="_Toc2583662"/>
      <w:bookmarkStart w:id="46" w:name="_Toc518923101"/>
      <w:r>
        <w:rPr>
          <w:rFonts w:hint="eastAsia" w:ascii="宋体" w:hAnsi="宋体" w:eastAsia="宋体" w:cs="宋体"/>
          <w:b/>
          <w:color w:val="auto"/>
          <w:sz w:val="24"/>
          <w:highlight w:val="none"/>
        </w:rPr>
        <w:t>30.人员回避</w:t>
      </w:r>
      <w:bookmarkEnd w:id="45"/>
      <w:bookmarkEnd w:id="46"/>
    </w:p>
    <w:p w14:paraId="3CEC382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18B8C4AE">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1389B870">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72869A1E">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D29103D">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31.3采购代理机构质疑函接收部门、联系电话和通讯地址，见投标人须知前附表。</w:t>
      </w:r>
    </w:p>
    <w:p w14:paraId="18068007">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0BDA43E0">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36295240">
      <w:pPr>
        <w:keepNext w:val="0"/>
        <w:keepLines w:val="0"/>
        <w:pageBreakBefore w:val="0"/>
        <w:widowControl w:val="0"/>
        <w:kinsoku/>
        <w:wordWrap w:val="0"/>
        <w:overflowPunct/>
        <w:topLinePunct w:val="0"/>
        <w:autoSpaceDE/>
        <w:autoSpaceDN/>
        <w:bidi w:val="0"/>
        <w:adjustRightInd/>
        <w:snapToGrid/>
        <w:spacing w:line="520" w:lineRule="exact"/>
        <w:ind w:firstLine="437"/>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105B799C">
      <w:pPr>
        <w:keepNext w:val="0"/>
        <w:keepLines w:val="0"/>
        <w:pageBreakBefore w:val="0"/>
        <w:widowControl w:val="0"/>
        <w:kinsoku/>
        <w:wordWrap w:val="0"/>
        <w:overflowPunct/>
        <w:topLinePunct w:val="0"/>
        <w:autoSpaceDE/>
        <w:autoSpaceDN/>
        <w:bidi w:val="0"/>
        <w:adjustRightInd/>
        <w:snapToGrid/>
        <w:spacing w:line="520" w:lineRule="exact"/>
        <w:ind w:firstLine="437"/>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35B102CB">
      <w:pPr>
        <w:keepNext w:val="0"/>
        <w:keepLines w:val="0"/>
        <w:pageBreakBefore w:val="0"/>
        <w:widowControl w:val="0"/>
        <w:kinsoku/>
        <w:wordWrap w:val="0"/>
        <w:overflowPunct/>
        <w:topLinePunct w:val="0"/>
        <w:autoSpaceDE/>
        <w:autoSpaceDN/>
        <w:bidi w:val="0"/>
        <w:adjustRightInd/>
        <w:snapToGrid/>
        <w:spacing w:line="520" w:lineRule="exact"/>
        <w:ind w:firstLine="437"/>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5C6B4688">
      <w:pPr>
        <w:keepNext w:val="0"/>
        <w:keepLines w:val="0"/>
        <w:pageBreakBefore w:val="0"/>
        <w:widowControl w:val="0"/>
        <w:kinsoku/>
        <w:overflowPunct/>
        <w:topLinePunct w:val="0"/>
        <w:autoSpaceDE/>
        <w:autoSpaceDN/>
        <w:bidi w:val="0"/>
        <w:adjustRightInd/>
        <w:snapToGrid/>
        <w:spacing w:line="520" w:lineRule="exact"/>
        <w:ind w:firstLine="437"/>
        <w:jc w:val="left"/>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57F33835">
      <w:pPr>
        <w:keepNext w:val="0"/>
        <w:keepLines w:val="0"/>
        <w:pageBreakBefore w:val="0"/>
        <w:widowControl w:val="0"/>
        <w:kinsoku/>
        <w:overflowPunct/>
        <w:topLinePunct w:val="0"/>
        <w:autoSpaceDE/>
        <w:autoSpaceDN/>
        <w:bidi w:val="0"/>
        <w:adjustRightInd/>
        <w:snapToGrid/>
        <w:spacing w:line="520" w:lineRule="exact"/>
        <w:ind w:firstLine="43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54455C97">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3AC9FF0">
      <w:pPr>
        <w:numPr>
          <w:ilvl w:val="0"/>
          <w:numId w:val="3"/>
        </w:num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 </w:t>
      </w:r>
      <w:bookmarkStart w:id="47" w:name="_Toc4998"/>
      <w:r>
        <w:rPr>
          <w:rFonts w:hint="eastAsia" w:asciiTheme="minorEastAsia" w:hAnsiTheme="minorEastAsia" w:eastAsiaTheme="minorEastAsia"/>
          <w:b/>
          <w:color w:val="auto"/>
          <w:sz w:val="28"/>
          <w:highlight w:val="none"/>
        </w:rPr>
        <w:t>采购需求</w:t>
      </w:r>
      <w:bookmarkEnd w:id="47"/>
    </w:p>
    <w:p w14:paraId="62EAA827">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2AC48C9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4976465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2.政府采购政策（包括但不限于下列具体政策要求）：</w:t>
      </w:r>
    </w:p>
    <w:p w14:paraId="2D85FAE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0650620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CD6DAA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3.如采购人允许采用分包方式履行合同的，应当明确可以分包履行的相关内容。</w:t>
      </w:r>
    </w:p>
    <w:p w14:paraId="140AF78F">
      <w:pPr>
        <w:keepNext w:val="0"/>
        <w:keepLines w:val="0"/>
        <w:pageBreakBefore w:val="0"/>
        <w:widowControl w:val="0"/>
        <w:kinsoku/>
        <w:wordWrap/>
        <w:overflowPunct/>
        <w:topLinePunct w:val="0"/>
        <w:autoSpaceDE/>
        <w:autoSpaceDN/>
        <w:bidi w:val="0"/>
        <w:adjustRightInd/>
        <w:snapToGrid/>
        <w:spacing w:before="95" w:beforeLines="30" w:beforeAutospacing="0" w:after="95" w:afterLines="30" w:afterAutospacing="0" w:line="520" w:lineRule="exact"/>
        <w:ind w:firstLine="437"/>
        <w:jc w:val="left"/>
        <w:textAlignment w:val="auto"/>
        <w:outlineLvl w:val="1"/>
        <w:rPr>
          <w:rFonts w:hint="eastAsia" w:ascii="宋体" w:hAnsi="宋体" w:eastAsia="宋体" w:cs="宋体"/>
          <w:b/>
          <w:color w:val="auto"/>
          <w:sz w:val="24"/>
          <w:szCs w:val="18"/>
          <w:highlight w:val="none"/>
        </w:rPr>
      </w:pPr>
      <w:bookmarkStart w:id="48" w:name="_Toc12863"/>
      <w:bookmarkStart w:id="49" w:name="_Toc4148"/>
      <w:bookmarkStart w:id="50" w:name="_Toc21798"/>
      <w:bookmarkStart w:id="51" w:name="_Hlk23621890"/>
      <w:r>
        <w:rPr>
          <w:rFonts w:hint="eastAsia" w:ascii="宋体" w:hAnsi="宋体" w:eastAsia="宋体" w:cs="宋体"/>
          <w:b/>
          <w:color w:val="auto"/>
          <w:sz w:val="24"/>
          <w:szCs w:val="18"/>
          <w:highlight w:val="none"/>
        </w:rPr>
        <w:t>一、采购需求前附表</w:t>
      </w:r>
      <w:bookmarkEnd w:id="48"/>
      <w:bookmarkEnd w:id="49"/>
      <w:bookmarkEnd w:id="50"/>
    </w:p>
    <w:bookmarkEnd w:id="51"/>
    <w:tbl>
      <w:tblPr>
        <w:tblStyle w:val="39"/>
        <w:tblW w:w="54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77"/>
        <w:gridCol w:w="6819"/>
      </w:tblGrid>
      <w:tr w14:paraId="256C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7977221C">
            <w:pPr>
              <w:pStyle w:val="61"/>
              <w:pageBreakBefore w:val="0"/>
              <w:pBdr>
                <w:bottom w:val="none" w:color="auto" w:sz="0" w:space="0"/>
              </w:pBdr>
              <w:tabs>
                <w:tab w:val="clear" w:pos="4153"/>
                <w:tab w:val="clear" w:pos="8306"/>
              </w:tabs>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b/>
                <w:color w:val="auto"/>
                <w:kern w:val="2"/>
                <w:highlight w:val="none"/>
              </w:rPr>
            </w:pPr>
            <w:bookmarkStart w:id="52" w:name="_Hlk16461016"/>
            <w:r>
              <w:rPr>
                <w:rFonts w:hint="eastAsia" w:ascii="宋体" w:hAnsi="宋体" w:eastAsia="宋体" w:cs="宋体"/>
                <w:b/>
                <w:color w:val="auto"/>
                <w:kern w:val="2"/>
                <w:highlight w:val="none"/>
              </w:rPr>
              <w:t>序号</w:t>
            </w:r>
          </w:p>
        </w:tc>
        <w:tc>
          <w:tcPr>
            <w:tcW w:w="1028" w:type="pct"/>
            <w:vAlign w:val="center"/>
          </w:tcPr>
          <w:p w14:paraId="24AA039E">
            <w:pPr>
              <w:pStyle w:val="60"/>
              <w:pageBreakBefore w:val="0"/>
              <w:widowControl w:val="0"/>
              <w:kinsoku/>
              <w:wordWrap/>
              <w:overflowPunct/>
              <w:topLinePunct w:val="0"/>
              <w:autoSpaceDE/>
              <w:autoSpaceDN/>
              <w:bidi w:val="0"/>
              <w:adjustRightInd/>
              <w:snapToGrid/>
              <w:spacing w:before="0" w:beforeAutospacing="0" w:after="0" w:afterAutospacing="0" w:line="520" w:lineRule="exact"/>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546" w:type="pct"/>
            <w:vAlign w:val="center"/>
          </w:tcPr>
          <w:p w14:paraId="0161B6B2">
            <w:pPr>
              <w:pStyle w:val="60"/>
              <w:pageBreakBefore w:val="0"/>
              <w:widowControl w:val="0"/>
              <w:kinsoku/>
              <w:wordWrap/>
              <w:overflowPunct/>
              <w:topLinePunct w:val="0"/>
              <w:autoSpaceDE/>
              <w:autoSpaceDN/>
              <w:bidi w:val="0"/>
              <w:adjustRightInd/>
              <w:snapToGrid/>
              <w:spacing w:before="0" w:beforeAutospacing="0" w:after="0" w:afterAutospacing="0" w:line="520" w:lineRule="exact"/>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48F2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 w:type="pct"/>
            <w:vAlign w:val="center"/>
          </w:tcPr>
          <w:p w14:paraId="68FCC028">
            <w:pPr>
              <w:pStyle w:val="61"/>
              <w:pageBreakBefore w:val="0"/>
              <w:pBdr>
                <w:bottom w:val="none" w:color="auto" w:sz="0" w:space="0"/>
              </w:pBdr>
              <w:tabs>
                <w:tab w:val="clear" w:pos="4153"/>
                <w:tab w:val="clear" w:pos="8306"/>
              </w:tabs>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028" w:type="pct"/>
            <w:vAlign w:val="center"/>
          </w:tcPr>
          <w:p w14:paraId="22030A68">
            <w:pPr>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w:t>
            </w:r>
          </w:p>
        </w:tc>
        <w:tc>
          <w:tcPr>
            <w:tcW w:w="3546" w:type="pct"/>
            <w:vAlign w:val="center"/>
          </w:tcPr>
          <w:p w14:paraId="634FA777">
            <w:pPr>
              <w:pStyle w:val="60"/>
              <w:pageBreakBefore w:val="0"/>
              <w:widowControl w:val="0"/>
              <w:kinsoku/>
              <w:wordWrap/>
              <w:overflowPunct/>
              <w:topLinePunct w:val="0"/>
              <w:autoSpaceDE/>
              <w:autoSpaceDN/>
              <w:bidi w:val="0"/>
              <w:adjustRightInd/>
              <w:snapToGrid/>
              <w:spacing w:before="0" w:beforeAutospacing="0" w:after="0" w:afterAutospacing="0" w:line="520" w:lineRule="exact"/>
              <w:jc w:val="both"/>
              <w:rPr>
                <w:rFonts w:hint="eastAsia" w:ascii="宋体" w:hAnsi="宋体" w:eastAsia="宋体" w:cs="宋体"/>
                <w:b w:val="0"/>
                <w:color w:val="auto"/>
                <w:sz w:val="24"/>
                <w:highlight w:val="none"/>
                <w:u w:val="single"/>
                <w:lang w:val="en-US" w:eastAsia="zh-CN"/>
              </w:rPr>
            </w:pPr>
            <w:r>
              <w:rPr>
                <w:rFonts w:hint="eastAsia" w:ascii="宋体" w:hAnsi="宋体" w:eastAsia="宋体"/>
                <w:b w:val="0"/>
                <w:color w:val="auto"/>
                <w:sz w:val="24"/>
                <w:highlight w:val="none"/>
                <w:lang w:val="en-US" w:eastAsia="zh-CN"/>
              </w:rPr>
              <w:t>合同签订生效并具备实施条件后支付合同金额的40%预付款（预付款支付前，中标人须提供等额的见索即付预付款保函），所有资源制作完成并通过验收后，支付剩余合同价款。</w:t>
            </w:r>
          </w:p>
        </w:tc>
      </w:tr>
      <w:tr w14:paraId="2FAC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0ECFDE3D">
            <w:pPr>
              <w:pStyle w:val="61"/>
              <w:pageBreakBefore w:val="0"/>
              <w:pBdr>
                <w:bottom w:val="none" w:color="auto" w:sz="0" w:space="0"/>
              </w:pBdr>
              <w:tabs>
                <w:tab w:val="clear" w:pos="4153"/>
                <w:tab w:val="clear" w:pos="8306"/>
              </w:tabs>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028" w:type="pct"/>
            <w:vAlign w:val="center"/>
          </w:tcPr>
          <w:p w14:paraId="5DB5A168">
            <w:pPr>
              <w:pStyle w:val="60"/>
              <w:pageBreakBefore w:val="0"/>
              <w:widowControl w:val="0"/>
              <w:kinsoku/>
              <w:wordWrap/>
              <w:overflowPunct/>
              <w:topLinePunct w:val="0"/>
              <w:autoSpaceDE/>
              <w:autoSpaceDN/>
              <w:bidi w:val="0"/>
              <w:adjustRightInd/>
              <w:snapToGrid/>
              <w:spacing w:before="0" w:beforeAutospacing="0" w:after="0" w:afterAutospacing="0" w:line="52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546" w:type="pct"/>
            <w:vAlign w:val="center"/>
          </w:tcPr>
          <w:p w14:paraId="07FF2F10">
            <w:pPr>
              <w:pStyle w:val="60"/>
              <w:pageBreakBefore w:val="0"/>
              <w:widowControl w:val="0"/>
              <w:kinsoku/>
              <w:wordWrap/>
              <w:overflowPunct/>
              <w:topLinePunct w:val="0"/>
              <w:autoSpaceDE/>
              <w:autoSpaceDN/>
              <w:bidi w:val="0"/>
              <w:adjustRightInd/>
              <w:snapToGrid/>
              <w:spacing w:before="0" w:beforeAutospacing="0" w:after="0" w:afterAutospacing="0" w:line="520" w:lineRule="exact"/>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滁州市，采购人指定地点。</w:t>
            </w:r>
          </w:p>
        </w:tc>
      </w:tr>
      <w:tr w14:paraId="22D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4" w:type="pct"/>
            <w:vAlign w:val="center"/>
          </w:tcPr>
          <w:p w14:paraId="6C5A40DF">
            <w:pPr>
              <w:pStyle w:val="61"/>
              <w:pageBreakBefore w:val="0"/>
              <w:pBdr>
                <w:bottom w:val="none" w:color="auto" w:sz="0" w:space="0"/>
              </w:pBdr>
              <w:tabs>
                <w:tab w:val="clear" w:pos="4153"/>
                <w:tab w:val="clear" w:pos="8306"/>
              </w:tabs>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028" w:type="pct"/>
            <w:vAlign w:val="center"/>
          </w:tcPr>
          <w:p w14:paraId="1D5DB70F">
            <w:pPr>
              <w:pStyle w:val="60"/>
              <w:pageBreakBefore w:val="0"/>
              <w:widowControl w:val="0"/>
              <w:kinsoku/>
              <w:wordWrap/>
              <w:overflowPunct/>
              <w:topLinePunct w:val="0"/>
              <w:autoSpaceDE/>
              <w:autoSpaceDN/>
              <w:bidi w:val="0"/>
              <w:adjustRightInd/>
              <w:snapToGrid/>
              <w:spacing w:before="0" w:beforeAutospacing="0" w:after="0" w:afterAutospacing="0" w:line="52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546" w:type="pct"/>
            <w:vAlign w:val="center"/>
          </w:tcPr>
          <w:p w14:paraId="4481B4DC">
            <w:pPr>
              <w:pStyle w:val="60"/>
              <w:pageBreakBefore w:val="0"/>
              <w:widowControl w:val="0"/>
              <w:kinsoku/>
              <w:wordWrap/>
              <w:overflowPunct/>
              <w:topLinePunct w:val="0"/>
              <w:autoSpaceDE/>
              <w:autoSpaceDN/>
              <w:bidi w:val="0"/>
              <w:adjustRightInd/>
              <w:snapToGrid/>
              <w:spacing w:before="0" w:beforeAutospacing="0" w:after="0" w:afterAutospacing="0" w:line="520" w:lineRule="exact"/>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合同签订后所有课程在1年内完成制作并上线平台。</w:t>
            </w:r>
          </w:p>
        </w:tc>
      </w:tr>
      <w:tr w14:paraId="072B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4" w:type="pct"/>
            <w:vAlign w:val="center"/>
          </w:tcPr>
          <w:p w14:paraId="613E6174">
            <w:pPr>
              <w:pStyle w:val="61"/>
              <w:pageBreakBefore w:val="0"/>
              <w:pBdr>
                <w:bottom w:val="none" w:color="auto" w:sz="0" w:space="0"/>
              </w:pBdr>
              <w:tabs>
                <w:tab w:val="clear" w:pos="4153"/>
                <w:tab w:val="clear" w:pos="8306"/>
              </w:tabs>
              <w:kinsoku/>
              <w:wordWrap/>
              <w:overflowPunct/>
              <w:topLinePunct w:val="0"/>
              <w:autoSpaceDE/>
              <w:autoSpaceDN/>
              <w:bidi w:val="0"/>
              <w:adjustRightInd/>
              <w:snapToGrid/>
              <w:spacing w:beforeAutospacing="0" w:afterAutospacing="0" w:line="520" w:lineRule="exact"/>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lang w:val="en-US" w:eastAsia="zh-CN"/>
              </w:rPr>
              <w:t>4</w:t>
            </w:r>
          </w:p>
        </w:tc>
        <w:tc>
          <w:tcPr>
            <w:tcW w:w="1028" w:type="pct"/>
            <w:vAlign w:val="center"/>
          </w:tcPr>
          <w:p w14:paraId="79494CC6">
            <w:pPr>
              <w:pStyle w:val="60"/>
              <w:pageBreakBefore w:val="0"/>
              <w:widowControl w:val="0"/>
              <w:kinsoku/>
              <w:wordWrap/>
              <w:overflowPunct/>
              <w:topLinePunct w:val="0"/>
              <w:autoSpaceDE/>
              <w:autoSpaceDN/>
              <w:bidi w:val="0"/>
              <w:adjustRightInd/>
              <w:snapToGrid/>
              <w:spacing w:before="0" w:beforeAutospacing="0" w:after="0" w:afterAutospacing="0" w:line="520" w:lineRule="exac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本项目采购标的名称及所属行业</w:t>
            </w:r>
          </w:p>
        </w:tc>
        <w:tc>
          <w:tcPr>
            <w:tcW w:w="3546" w:type="pct"/>
            <w:vAlign w:val="center"/>
          </w:tcPr>
          <w:p w14:paraId="6BA83A67">
            <w:pPr>
              <w:pStyle w:val="60"/>
              <w:pageBreakBefore w:val="0"/>
              <w:widowControl w:val="0"/>
              <w:kinsoku/>
              <w:wordWrap/>
              <w:overflowPunct/>
              <w:topLinePunct w:val="0"/>
              <w:autoSpaceDE/>
              <w:autoSpaceDN/>
              <w:bidi w:val="0"/>
              <w:adjustRightInd/>
              <w:snapToGrid/>
              <w:spacing w:before="0" w:beforeAutospacing="0" w:after="0" w:afterAutospacing="0" w:line="520" w:lineRule="exact"/>
              <w:jc w:val="both"/>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标的名称：滁州职业技术学院专业教学资源库教学资源建设项目</w:t>
            </w:r>
          </w:p>
          <w:p w14:paraId="37E7A491">
            <w:pPr>
              <w:pStyle w:val="60"/>
              <w:pageBreakBefore w:val="0"/>
              <w:widowControl w:val="0"/>
              <w:kinsoku/>
              <w:wordWrap/>
              <w:overflowPunct/>
              <w:topLinePunct w:val="0"/>
              <w:autoSpaceDE/>
              <w:autoSpaceDN/>
              <w:bidi w:val="0"/>
              <w:adjustRightInd/>
              <w:snapToGrid/>
              <w:spacing w:before="0" w:beforeAutospacing="0" w:after="0" w:afterAutospacing="0" w:line="520" w:lineRule="exact"/>
              <w:jc w:val="both"/>
              <w:rPr>
                <w:rFonts w:hint="default" w:ascii="宋体" w:hAnsi="宋体" w:eastAsia="宋体" w:cs="宋体"/>
                <w:color w:val="auto"/>
                <w:sz w:val="24"/>
                <w:highlight w:val="none"/>
                <w:lang w:val="en-US"/>
              </w:rPr>
            </w:pPr>
            <w:r>
              <w:rPr>
                <w:rFonts w:hint="eastAsia" w:ascii="宋体" w:hAnsi="宋体" w:eastAsia="宋体" w:cs="宋体"/>
                <w:b w:val="0"/>
                <w:bCs w:val="0"/>
                <w:color w:val="auto"/>
                <w:sz w:val="24"/>
                <w:szCs w:val="20"/>
                <w:highlight w:val="none"/>
                <w:lang w:val="en-US" w:eastAsia="zh-CN"/>
              </w:rPr>
              <w:t>所属行业：其他未列明行业</w:t>
            </w:r>
          </w:p>
        </w:tc>
      </w:tr>
      <w:bookmarkEnd w:id="52"/>
    </w:tbl>
    <w:p w14:paraId="15A10D50">
      <w:pPr>
        <w:keepNext w:val="0"/>
        <w:keepLines w:val="0"/>
        <w:pageBreakBefore w:val="0"/>
        <w:widowControl w:val="0"/>
        <w:kinsoku/>
        <w:wordWrap/>
        <w:overflowPunct/>
        <w:topLinePunct w:val="0"/>
        <w:autoSpaceDE/>
        <w:autoSpaceDN/>
        <w:bidi w:val="0"/>
        <w:adjustRightInd/>
        <w:snapToGrid/>
        <w:spacing w:before="95" w:beforeLines="30" w:beforeAutospacing="0" w:after="95" w:afterLines="30" w:afterAutospacing="0" w:line="520" w:lineRule="exact"/>
        <w:ind w:firstLine="437"/>
        <w:jc w:val="left"/>
        <w:textAlignment w:val="auto"/>
        <w:outlineLvl w:val="1"/>
        <w:rPr>
          <w:rFonts w:hint="eastAsia" w:ascii="宋体" w:hAnsi="宋体" w:eastAsia="宋体" w:cs="宋体"/>
          <w:b/>
          <w:color w:val="auto"/>
          <w:sz w:val="24"/>
          <w:szCs w:val="18"/>
          <w:highlight w:val="none"/>
          <w:lang w:val="en-US" w:eastAsia="zh-CN"/>
        </w:rPr>
      </w:pPr>
      <w:bookmarkStart w:id="53" w:name="_Toc138615905"/>
      <w:bookmarkStart w:id="54" w:name="_Toc4391"/>
      <w:bookmarkStart w:id="55" w:name="_Toc22256"/>
      <w:bookmarkStart w:id="56" w:name="_Toc4351"/>
      <w:bookmarkStart w:id="57" w:name="_Toc17907"/>
      <w:bookmarkStart w:id="58" w:name="_Toc1642"/>
      <w:bookmarkStart w:id="59" w:name="_Toc26143"/>
      <w:bookmarkStart w:id="60" w:name="_Toc29411"/>
    </w:p>
    <w:p w14:paraId="32646BDC">
      <w:pPr>
        <w:keepNext w:val="0"/>
        <w:keepLines w:val="0"/>
        <w:pageBreakBefore w:val="0"/>
        <w:widowControl w:val="0"/>
        <w:numPr>
          <w:ilvl w:val="0"/>
          <w:numId w:val="4"/>
        </w:numPr>
        <w:kinsoku/>
        <w:wordWrap/>
        <w:overflowPunct/>
        <w:topLinePunct w:val="0"/>
        <w:autoSpaceDE/>
        <w:autoSpaceDN/>
        <w:bidi w:val="0"/>
        <w:adjustRightInd/>
        <w:snapToGrid/>
        <w:spacing w:before="95" w:beforeLines="30" w:beforeAutospacing="0" w:after="95" w:afterLines="30" w:afterAutospacing="0" w:line="520" w:lineRule="exact"/>
        <w:ind w:firstLine="437"/>
        <w:jc w:val="left"/>
        <w:textAlignment w:val="auto"/>
        <w:outlineLvl w:val="1"/>
        <w:rPr>
          <w:rFonts w:hint="eastAsia" w:ascii="宋体" w:hAnsi="宋体" w:eastAsia="宋体" w:cs="宋体"/>
          <w:b/>
          <w:color w:val="auto"/>
          <w:sz w:val="24"/>
          <w:szCs w:val="18"/>
          <w:highlight w:val="none"/>
          <w:lang w:val="en-US" w:eastAsia="zh-CN"/>
        </w:rPr>
      </w:pPr>
      <w:bookmarkStart w:id="61" w:name="_Toc15098"/>
      <w:r>
        <w:rPr>
          <w:rFonts w:hint="eastAsia" w:ascii="宋体" w:hAnsi="宋体" w:eastAsia="宋体" w:cs="宋体"/>
          <w:b/>
          <w:color w:val="auto"/>
          <w:sz w:val="24"/>
          <w:szCs w:val="18"/>
          <w:highlight w:val="none"/>
          <w:lang w:val="en-US" w:eastAsia="zh-CN"/>
        </w:rPr>
        <w:t>项目概述</w:t>
      </w:r>
      <w:bookmarkEnd w:id="61"/>
    </w:p>
    <w:p w14:paraId="3344A60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铜雕技艺传承与创新资源库建设项目是滁州职业技术学院深化职业教育教学改革的重要举措，旨在响应职教内涵式发展要求，突破传统专业建设瓶颈。项目聚焦铜雕技艺领域，通过整合优质教育资源，开发多媒体课件、教学视频、宣传片、动画、试题库等数字化课程资源，构建系统化教学体系，通过专业标准化课程纳入专业人才培养方案，覆盖专业核心课程、专业基础课程，建成“1馆、1库、1平台”的铜雕技艺传承与创新教学资源库，满足线上线下混合教学的需要，建设成国家级教学资源库，推动专业集群协同发展，促进跨专业师资融合与资源共享，形成“专业+技艺”特色发展模式。</w:t>
      </w:r>
    </w:p>
    <w:p w14:paraId="3CA0D228">
      <w:pPr>
        <w:keepNext w:val="0"/>
        <w:keepLines w:val="0"/>
        <w:pageBreakBefore w:val="0"/>
        <w:widowControl w:val="0"/>
        <w:kinsoku/>
        <w:wordWrap/>
        <w:overflowPunct/>
        <w:topLinePunct w:val="0"/>
        <w:autoSpaceDE/>
        <w:autoSpaceDN/>
        <w:bidi w:val="0"/>
        <w:adjustRightInd/>
        <w:snapToGrid/>
        <w:spacing w:before="95" w:beforeLines="30" w:beforeAutospacing="0" w:after="95" w:afterLines="30" w:afterAutospacing="0" w:line="520" w:lineRule="exact"/>
        <w:ind w:firstLine="437"/>
        <w:jc w:val="left"/>
        <w:textAlignment w:val="auto"/>
        <w:outlineLvl w:val="1"/>
        <w:rPr>
          <w:rFonts w:hint="default" w:ascii="宋体" w:hAnsi="宋体" w:eastAsia="宋体" w:cs="宋体"/>
          <w:b/>
          <w:color w:val="auto"/>
          <w:sz w:val="24"/>
          <w:szCs w:val="18"/>
          <w:highlight w:val="none"/>
          <w:lang w:val="en-US" w:eastAsia="zh-CN"/>
        </w:rPr>
      </w:pPr>
      <w:bookmarkStart w:id="62" w:name="_Toc30663"/>
      <w:r>
        <w:rPr>
          <w:rFonts w:hint="eastAsia" w:ascii="宋体" w:hAnsi="宋体" w:eastAsia="宋体" w:cs="宋体"/>
          <w:b/>
          <w:color w:val="auto"/>
          <w:sz w:val="24"/>
          <w:szCs w:val="18"/>
          <w:highlight w:val="none"/>
          <w:lang w:val="en-US" w:eastAsia="zh-CN"/>
        </w:rPr>
        <w:t>三、采购需求</w:t>
      </w:r>
      <w:bookmarkEnd w:id="62"/>
    </w:p>
    <w:bookmarkEnd w:id="53"/>
    <w:bookmarkEnd w:id="54"/>
    <w:bookmarkEnd w:id="55"/>
    <w:bookmarkEnd w:id="56"/>
    <w:bookmarkEnd w:id="57"/>
    <w:bookmarkEnd w:id="58"/>
    <w:bookmarkEnd w:id="59"/>
    <w:bookmarkEnd w:id="60"/>
    <w:tbl>
      <w:tblPr>
        <w:tblStyle w:val="39"/>
        <w:tblW w:w="10182" w:type="dxa"/>
        <w:tblInd w:w="-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12"/>
        <w:gridCol w:w="1063"/>
        <w:gridCol w:w="6258"/>
        <w:gridCol w:w="657"/>
        <w:gridCol w:w="704"/>
      </w:tblGrid>
      <w:tr w14:paraId="3C70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shd w:val="clear" w:color="000000" w:fill="auto"/>
            <w:vAlign w:val="center"/>
          </w:tcPr>
          <w:p w14:paraId="6571AD50">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序号</w:t>
            </w:r>
            <w:r>
              <w:rPr>
                <w:rFonts w:hint="eastAsia" w:ascii="宋体" w:hAnsi="宋体" w:eastAsia="宋体" w:cs="宋体"/>
                <w:b/>
                <w:bCs/>
                <w:color w:val="auto"/>
                <w:kern w:val="0"/>
                <w:sz w:val="21"/>
                <w:szCs w:val="21"/>
                <w:highlight w:val="none"/>
              </w:rPr>
              <w:t>　</w:t>
            </w:r>
          </w:p>
        </w:tc>
        <w:tc>
          <w:tcPr>
            <w:tcW w:w="812" w:type="dxa"/>
            <w:shd w:val="clear" w:color="000000" w:fill="auto"/>
            <w:vAlign w:val="center"/>
          </w:tcPr>
          <w:p w14:paraId="7B457E82">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1063" w:type="dxa"/>
            <w:shd w:val="clear" w:color="000000" w:fill="auto"/>
            <w:vAlign w:val="center"/>
          </w:tcPr>
          <w:p w14:paraId="77E4CE56">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6258" w:type="dxa"/>
            <w:shd w:val="clear" w:color="000000" w:fill="auto"/>
            <w:vAlign w:val="center"/>
          </w:tcPr>
          <w:p w14:paraId="7A8FD674">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服务要求</w:t>
            </w:r>
          </w:p>
        </w:tc>
        <w:tc>
          <w:tcPr>
            <w:tcW w:w="657" w:type="dxa"/>
            <w:shd w:val="clear" w:color="000000" w:fill="auto"/>
            <w:vAlign w:val="center"/>
          </w:tcPr>
          <w:p w14:paraId="2998703F">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04" w:type="dxa"/>
            <w:shd w:val="clear" w:color="000000" w:fill="auto"/>
            <w:vAlign w:val="center"/>
          </w:tcPr>
          <w:p w14:paraId="2EF6F1D8">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251A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182" w:type="dxa"/>
            <w:gridSpan w:val="6"/>
            <w:shd w:val="clear" w:color="auto" w:fill="auto"/>
            <w:vAlign w:val="center"/>
          </w:tcPr>
          <w:p w14:paraId="32C8B81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一、资源库资源建设</w:t>
            </w:r>
          </w:p>
        </w:tc>
      </w:tr>
      <w:tr w14:paraId="5463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restart"/>
            <w:shd w:val="clear" w:color="auto" w:fill="auto"/>
            <w:vAlign w:val="center"/>
          </w:tcPr>
          <w:p w14:paraId="4F110DF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2" w:type="dxa"/>
            <w:vMerge w:val="restart"/>
            <w:shd w:val="clear" w:color="auto" w:fill="auto"/>
            <w:vAlign w:val="center"/>
          </w:tcPr>
          <w:p w14:paraId="21AEFAD7">
            <w:pPr>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w:t>
            </w:r>
          </w:p>
          <w:p w14:paraId="2DC5522D">
            <w:pPr>
              <w:pageBreakBefore w:val="0"/>
              <w:widowControl/>
              <w:kinsoku/>
              <w:wordWrap/>
              <w:overflowPunct/>
              <w:topLinePunct w:val="0"/>
              <w:autoSpaceDE/>
              <w:autoSpaceDN/>
              <w:bidi w:val="0"/>
              <w:snapToGrid/>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视</w:t>
            </w:r>
          </w:p>
          <w:p w14:paraId="78ED1B01">
            <w:pPr>
              <w:pageBreakBefore w:val="0"/>
              <w:widowControl/>
              <w:kinsoku/>
              <w:wordWrap/>
              <w:overflowPunct/>
              <w:topLinePunct w:val="0"/>
              <w:autoSpaceDE/>
              <w:autoSpaceDN/>
              <w:bidi w:val="0"/>
              <w:snapToGrid/>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频</w:t>
            </w:r>
          </w:p>
          <w:p w14:paraId="11920F7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类</w:t>
            </w:r>
          </w:p>
        </w:tc>
        <w:tc>
          <w:tcPr>
            <w:tcW w:w="1063" w:type="dxa"/>
            <w:shd w:val="clear" w:color="auto" w:fill="auto"/>
            <w:vAlign w:val="center"/>
          </w:tcPr>
          <w:p w14:paraId="50A2AE35">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课程导学</w:t>
            </w:r>
          </w:p>
          <w:p w14:paraId="300EBEDA">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课程封面</w:t>
            </w:r>
          </w:p>
        </w:tc>
        <w:tc>
          <w:tcPr>
            <w:tcW w:w="6258" w:type="dxa"/>
            <w:shd w:val="clear" w:color="auto" w:fill="auto"/>
            <w:vAlign w:val="center"/>
          </w:tcPr>
          <w:p w14:paraId="4F6DAA7C">
            <w:pPr>
              <w:pageBreakBefore w:val="0"/>
              <w:widowControl/>
              <w:numPr>
                <w:ilvl w:val="0"/>
                <w:numId w:val="5"/>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每门课程制作一段课程导学，时间 3-5 分钟左右，要求能够充分反映课程的主要内容，集、形、声、色、动态于一体，生动直观、易于接受、感染力强、形式新颖、富有新意</w:t>
            </w:r>
            <w:r>
              <w:rPr>
                <w:rFonts w:hint="eastAsia" w:ascii="宋体" w:hAnsi="宋体" w:eastAsia="宋体" w:cs="宋体"/>
                <w:color w:val="auto"/>
                <w:kern w:val="0"/>
                <w:sz w:val="21"/>
                <w:szCs w:val="21"/>
                <w:highlight w:val="none"/>
                <w:lang w:eastAsia="zh-CN"/>
              </w:rPr>
              <w:t>；</w:t>
            </w:r>
          </w:p>
          <w:p w14:paraId="74D70108">
            <w:pPr>
              <w:pageBreakBefore w:val="0"/>
              <w:widowControl/>
              <w:numPr>
                <w:ilvl w:val="0"/>
                <w:numId w:val="5"/>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每门课程制作一张课程封面，封面尺寸为480*270, 格式可为png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jpg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jpeg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gif。</w:t>
            </w:r>
          </w:p>
        </w:tc>
        <w:tc>
          <w:tcPr>
            <w:tcW w:w="657" w:type="dxa"/>
            <w:shd w:val="clear" w:color="auto" w:fill="auto"/>
            <w:vAlign w:val="center"/>
          </w:tcPr>
          <w:p w14:paraId="698CE76E">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704" w:type="dxa"/>
            <w:shd w:val="clear" w:color="auto" w:fill="auto"/>
            <w:vAlign w:val="center"/>
          </w:tcPr>
          <w:p w14:paraId="00A991F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295D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shd w:val="clear" w:color="auto" w:fill="auto"/>
            <w:vAlign w:val="center"/>
          </w:tcPr>
          <w:p w14:paraId="05F3AC9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continue"/>
            <w:shd w:val="clear" w:color="auto" w:fill="auto"/>
            <w:vAlign w:val="center"/>
          </w:tcPr>
          <w:p w14:paraId="4F057F4E">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p>
        </w:tc>
        <w:tc>
          <w:tcPr>
            <w:tcW w:w="1063" w:type="dxa"/>
            <w:shd w:val="clear" w:color="auto" w:fill="auto"/>
            <w:vAlign w:val="center"/>
          </w:tcPr>
          <w:p w14:paraId="7E5738B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教学</w:t>
            </w:r>
          </w:p>
          <w:p w14:paraId="12790FC1">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w:t>
            </w:r>
          </w:p>
        </w:tc>
        <w:tc>
          <w:tcPr>
            <w:tcW w:w="6258" w:type="dxa"/>
            <w:shd w:val="clear" w:color="auto" w:fill="auto"/>
            <w:vAlign w:val="center"/>
          </w:tcPr>
          <w:p w14:paraId="1CBBD87A">
            <w:pPr>
              <w:pageBreakBefore w:val="0"/>
              <w:widowControl/>
              <w:numPr>
                <w:ilvl w:val="0"/>
                <w:numId w:val="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含片头、片尾、教师出镜拍摄、PPT 合理穿插、配乐、字幕、后期剪辑合成；</w:t>
            </w:r>
          </w:p>
          <w:p w14:paraId="4CBB04B8">
            <w:pPr>
              <w:pageBreakBefore w:val="0"/>
              <w:widowControl/>
              <w:numPr>
                <w:ilvl w:val="0"/>
                <w:numId w:val="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实操课程主要是课程技能训练或典型工作任务或企业案例的数字化专题展示，场景可采用虚拟或实景方式；</w:t>
            </w:r>
          </w:p>
          <w:p w14:paraId="7301A638">
            <w:pPr>
              <w:pageBreakBefore w:val="0"/>
              <w:widowControl/>
              <w:numPr>
                <w:ilvl w:val="0"/>
                <w:numId w:val="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理论课程是教师出镜讲解及PPT 画面文字应进行适当包装；</w:t>
            </w:r>
          </w:p>
          <w:p w14:paraId="68737EE2">
            <w:pPr>
              <w:pageBreakBefore w:val="0"/>
              <w:widowControl/>
              <w:numPr>
                <w:ilvl w:val="0"/>
                <w:numId w:val="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每门课不低于32个知识点，每个课程时长5-15 min，内容应符合我国法律法规，尊重各民族的风俗习惯；</w:t>
            </w:r>
          </w:p>
          <w:p w14:paraId="68242DF6">
            <w:pPr>
              <w:pageBreakBefore w:val="0"/>
              <w:widowControl/>
              <w:numPr>
                <w:ilvl w:val="0"/>
                <w:numId w:val="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p w14:paraId="052520B5">
            <w:pPr>
              <w:pageBreakBefore w:val="0"/>
              <w:widowControl/>
              <w:numPr>
                <w:ilvl w:val="0"/>
                <w:numId w:val="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视频要求图像清晰，声音和画面同步，播放时没有明显的噪点，播放流畅。</w:t>
            </w:r>
          </w:p>
        </w:tc>
        <w:tc>
          <w:tcPr>
            <w:tcW w:w="657" w:type="dxa"/>
            <w:shd w:val="clear" w:color="auto" w:fill="auto"/>
            <w:vAlign w:val="center"/>
          </w:tcPr>
          <w:p w14:paraId="4590499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338</w:t>
            </w:r>
            <w:r>
              <w:rPr>
                <w:rFonts w:hint="eastAsia" w:ascii="宋体" w:hAnsi="宋体" w:eastAsia="宋体" w:cs="宋体"/>
                <w:color w:val="auto"/>
                <w:kern w:val="0"/>
                <w:sz w:val="21"/>
                <w:szCs w:val="21"/>
                <w:highlight w:val="none"/>
                <w:lang w:val="en-US" w:eastAsia="zh-CN"/>
              </w:rPr>
              <w:tab/>
            </w:r>
          </w:p>
        </w:tc>
        <w:tc>
          <w:tcPr>
            <w:tcW w:w="704" w:type="dxa"/>
            <w:shd w:val="clear" w:color="auto" w:fill="auto"/>
            <w:vAlign w:val="center"/>
          </w:tcPr>
          <w:p w14:paraId="4C1158E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14:paraId="3679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shd w:val="clear" w:color="auto" w:fill="auto"/>
            <w:vAlign w:val="center"/>
          </w:tcPr>
          <w:p w14:paraId="4BF125A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continue"/>
            <w:shd w:val="clear" w:color="auto" w:fill="auto"/>
            <w:vAlign w:val="center"/>
          </w:tcPr>
          <w:p w14:paraId="7BFB703E">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1063" w:type="dxa"/>
            <w:shd w:val="clear" w:color="auto" w:fill="auto"/>
            <w:vAlign w:val="center"/>
          </w:tcPr>
          <w:p w14:paraId="7EEFCD1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授课</w:t>
            </w:r>
          </w:p>
          <w:p w14:paraId="5351CA6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w:t>
            </w:r>
          </w:p>
        </w:tc>
        <w:tc>
          <w:tcPr>
            <w:tcW w:w="6258" w:type="dxa"/>
            <w:shd w:val="clear" w:color="auto" w:fill="auto"/>
            <w:vAlign w:val="center"/>
          </w:tcPr>
          <w:p w14:paraId="549116E5">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每个5-15分钟，要求声音清晰、稳定、噪音低，回响小，无失真采用 MP3 格式，音频的采样频率不低于22.05 kHz。</w:t>
            </w:r>
          </w:p>
        </w:tc>
        <w:tc>
          <w:tcPr>
            <w:tcW w:w="657" w:type="dxa"/>
            <w:shd w:val="clear" w:color="auto" w:fill="auto"/>
            <w:vAlign w:val="center"/>
          </w:tcPr>
          <w:p w14:paraId="449FCC3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288</w:t>
            </w:r>
          </w:p>
        </w:tc>
        <w:tc>
          <w:tcPr>
            <w:tcW w:w="704" w:type="dxa"/>
            <w:shd w:val="clear" w:color="auto" w:fill="auto"/>
            <w:vAlign w:val="center"/>
          </w:tcPr>
          <w:p w14:paraId="50CF20D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个</w:t>
            </w:r>
          </w:p>
        </w:tc>
      </w:tr>
      <w:tr w14:paraId="549D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shd w:val="clear" w:color="auto" w:fill="auto"/>
            <w:vAlign w:val="center"/>
          </w:tcPr>
          <w:p w14:paraId="64CD9EF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continue"/>
            <w:shd w:val="clear" w:color="auto" w:fill="auto"/>
            <w:vAlign w:val="center"/>
          </w:tcPr>
          <w:p w14:paraId="78F5DD9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tc>
        <w:tc>
          <w:tcPr>
            <w:tcW w:w="1063" w:type="dxa"/>
            <w:shd w:val="clear" w:color="auto" w:fill="auto"/>
            <w:vAlign w:val="center"/>
          </w:tcPr>
          <w:p w14:paraId="0BA3345A">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微课</w:t>
            </w:r>
          </w:p>
        </w:tc>
        <w:tc>
          <w:tcPr>
            <w:tcW w:w="6258" w:type="dxa"/>
            <w:shd w:val="clear" w:color="auto" w:fill="auto"/>
            <w:vAlign w:val="center"/>
          </w:tcPr>
          <w:p w14:paraId="7B04720A">
            <w:pPr>
              <w:pageBreakBefore w:val="0"/>
              <w:widowControl/>
              <w:numPr>
                <w:ilvl w:val="0"/>
                <w:numId w:val="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内容要求：</w:t>
            </w:r>
          </w:p>
          <w:p w14:paraId="231FB523">
            <w:pPr>
              <w:pageBreakBefore w:val="0"/>
              <w:widowControl/>
              <w:numPr>
                <w:ilvl w:val="0"/>
                <w:numId w:val="8"/>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使用资料、图片、外景实拍、实验、表演等一种或多种教学手段，应符合教学内容要求，与讲授内容联系紧密，手段选用恰当；</w:t>
            </w:r>
          </w:p>
          <w:p w14:paraId="66D29F3A">
            <w:pPr>
              <w:pageBreakBefore w:val="0"/>
              <w:widowControl/>
              <w:numPr>
                <w:ilvl w:val="0"/>
                <w:numId w:val="8"/>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如选用影视作品或自拍素材，应注明素材来源，影视作品或自拍素材中涉及人物访谈内容时，应加注人物介绍；</w:t>
            </w:r>
          </w:p>
          <w:p w14:paraId="2956ABC3">
            <w:pPr>
              <w:pageBreakBefore w:val="0"/>
              <w:widowControl/>
              <w:numPr>
                <w:ilvl w:val="0"/>
                <w:numId w:val="8"/>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选用的资料、图片等素材画面应清楚。如有历史资料、图片素材，应进行再加工，对选用的资料、图片等素材应注明素材来源及原始信息（如字画的作品、生卒年月，影视片段的作品名称、创作年代等信息）。</w:t>
            </w:r>
          </w:p>
          <w:p w14:paraId="25BFD88A">
            <w:pPr>
              <w:pageBreakBefore w:val="0"/>
              <w:widowControl/>
              <w:numPr>
                <w:ilvl w:val="0"/>
                <w:numId w:val="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制作要求：</w:t>
            </w:r>
          </w:p>
          <w:p w14:paraId="1E597D16">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屏幕图像的构图合理，画面主体突出，人像及肢体动作以及配合讲授选用的板书、画板、教具实物、模型和实验设备等均不能超出镜头所及范围。</w:t>
            </w:r>
          </w:p>
          <w:p w14:paraId="101DF47D">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微课的背景可采用彩色喷绘、电脑虚拟或现场实景等背景，背景的颜色、图案不易过多，应保持静态，画面应简洁、明快，有利于营造学习气氛。</w:t>
            </w:r>
          </w:p>
          <w:p w14:paraId="4376FF8E">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摄像镜头应保持与主讲教师目光平视的角度，主讲教师不应较长时间仰视或俯视。</w:t>
            </w:r>
          </w:p>
          <w:p w14:paraId="16997DC0">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微课资源帧速率为25帧/秒，声音频道为2（立体声），每个时长5—10分钟，（备注：微课时长根据校方最后提供的脚本来确定时长）。</w:t>
            </w:r>
          </w:p>
          <w:p w14:paraId="389C6F14">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视频信号源：</w:t>
            </w:r>
          </w:p>
          <w:p w14:paraId="20812ED8">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稳定性：全片图像同步性能稳定，无失步现象，图像无抖动跳跃，色彩无突变，编辑点处图像稳定；</w:t>
            </w:r>
          </w:p>
          <w:p w14:paraId="7F1BAFA8">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色调：白平衡正确，无明显偏色，多机拍摄的镜头衔接处无明显色差；</w:t>
            </w:r>
          </w:p>
          <w:p w14:paraId="5E3D3316">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画幅：建议采用16:9，720p或1080p。</w:t>
            </w:r>
          </w:p>
          <w:p w14:paraId="1FF88244">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音频信号源：声音要求采用指向型专业级别话筒配备专业录音机，保障素材的高品质音质，确保素材伴音清晰、饱满，声音和画面同步，无交流声或其他杂音等缺陷；伴音清晰、饱满、圆润，无失真、噪声杂音干扰、音量忽大忽小现象，解说声与现场声无明显比例失调，解说声与背景音乐无明显比例失调。</w:t>
            </w:r>
          </w:p>
          <w:p w14:paraId="3331B30B">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字幕要使用符合国家标准的标准字，不出现繁体字、异体字（国家规定技术要求的除外）、错别字；字幕的字体、大小、色彩搭配、摆放位置、停留时间、出入屏方式力求与其他要素（画面、解说词、音乐）配适宜当，不能破坏原有画面。</w:t>
            </w:r>
          </w:p>
          <w:p w14:paraId="7BCFC65B">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视频压缩格式及技术参数：压缩采用H.264/AVC(MPEG-4Part10）编码、使用二次编码，包含字幕的MP4格式；视频码流率：动态码流的最低码率不得低于1024Kb；视频分辨率：前期采用高清16:9拍摄，像素分辨率要≥1920*1080。</w:t>
            </w:r>
          </w:p>
          <w:p w14:paraId="085EA013">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音频压缩格式及技术参数：音频压缩采用AAC(MPEG4Part3）格式；采样率48KHz；音频码流率128Kbps（恒定）。</w:t>
            </w:r>
          </w:p>
          <w:p w14:paraId="46B08FD5">
            <w:pPr>
              <w:pageBreakBefore w:val="0"/>
              <w:widowControl/>
              <w:numPr>
                <w:ilvl w:val="0"/>
                <w:numId w:val="9"/>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对拍摄的视频进行后期非线性编辑工作，加入片头及片尾，根据需要加入字幕并进行部分后期录音及混音工作，对部分画面语言内容加入字幕，适当加入特效（如：重要文字信息的信息字幕条）。</w:t>
            </w:r>
          </w:p>
          <w:p w14:paraId="359777A2">
            <w:pPr>
              <w:pageBreakBefore w:val="0"/>
              <w:widowControl/>
              <w:numPr>
                <w:ilvl w:val="0"/>
                <w:numId w:val="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AIGC数字人要求：</w:t>
            </w:r>
          </w:p>
          <w:p w14:paraId="540B86C2">
            <w:pPr>
              <w:pageBreakBefore w:val="0"/>
              <w:widowControl/>
              <w:numPr>
                <w:ilvl w:val="0"/>
                <w:numId w:val="1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外观定制：</w:t>
            </w:r>
          </w:p>
          <w:p w14:paraId="1EDCFDAD">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逼真度：数字人的外观应高度逼真，包括细致的面部特征、光影效果等，以达到与真实人类相近的水平；</w:t>
            </w:r>
          </w:p>
          <w:p w14:paraId="448EEEA4">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分辨率：数字人形象的分辨率≥1080P，能在PC端、移动端清晰显示。</w:t>
            </w:r>
          </w:p>
          <w:p w14:paraId="52DD9B02">
            <w:pPr>
              <w:pageBreakBefore w:val="0"/>
              <w:widowControl/>
              <w:numPr>
                <w:ilvl w:val="0"/>
                <w:numId w:val="1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动作、口型匹配：</w:t>
            </w:r>
          </w:p>
          <w:p w14:paraId="68C0FCE9">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动作：数字人的动作应流畅自然、真实准确，无明显的延迟或卡顿，能够模拟真人动作；</w:t>
            </w:r>
          </w:p>
          <w:p w14:paraId="4300B314">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口型：数字人口型应与所发出的声音在时间上基本同步，形状和开合程度应大致符合所发音的常见口型特征。</w:t>
            </w:r>
          </w:p>
          <w:p w14:paraId="0B0DD4DA">
            <w:pPr>
              <w:pageBreakBefore w:val="0"/>
              <w:widowControl/>
              <w:numPr>
                <w:ilvl w:val="0"/>
                <w:numId w:val="1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声音合成：</w:t>
            </w:r>
          </w:p>
          <w:p w14:paraId="5E9545FC">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相似度：合成出的声音与原始声音在音色、音调和语速等方面有较高的相似性；</w:t>
            </w:r>
          </w:p>
          <w:p w14:paraId="662C1FAE">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流畅性：合成的声音连贯、平稳，没有明显的卡顿、重复或跳跃。</w:t>
            </w:r>
          </w:p>
        </w:tc>
        <w:tc>
          <w:tcPr>
            <w:tcW w:w="657" w:type="dxa"/>
            <w:shd w:val="clear" w:color="auto" w:fill="auto"/>
            <w:vAlign w:val="center"/>
          </w:tcPr>
          <w:p w14:paraId="0109869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60</w:t>
            </w:r>
          </w:p>
        </w:tc>
        <w:tc>
          <w:tcPr>
            <w:tcW w:w="704" w:type="dxa"/>
            <w:shd w:val="clear" w:color="auto" w:fill="auto"/>
            <w:vAlign w:val="center"/>
          </w:tcPr>
          <w:p w14:paraId="280BC99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14:paraId="1570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shd w:val="clear" w:color="auto" w:fill="auto"/>
            <w:vAlign w:val="center"/>
          </w:tcPr>
          <w:p w14:paraId="7CEC0A5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restart"/>
            <w:shd w:val="clear" w:color="auto" w:fill="auto"/>
            <w:vAlign w:val="center"/>
          </w:tcPr>
          <w:p w14:paraId="36E47CB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p>
          <w:p w14:paraId="59047675">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动画</w:t>
            </w:r>
          </w:p>
        </w:tc>
        <w:tc>
          <w:tcPr>
            <w:tcW w:w="1063" w:type="dxa"/>
            <w:shd w:val="clear" w:color="auto" w:fill="auto"/>
            <w:vAlign w:val="center"/>
          </w:tcPr>
          <w:p w14:paraId="69EF1FA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课程教学动画</w:t>
            </w:r>
          </w:p>
        </w:tc>
        <w:tc>
          <w:tcPr>
            <w:tcW w:w="6258" w:type="dxa"/>
            <w:shd w:val="clear" w:color="auto" w:fill="auto"/>
            <w:vAlign w:val="center"/>
          </w:tcPr>
          <w:p w14:paraId="36A4368E">
            <w:pPr>
              <w:pageBreakBefore w:val="0"/>
              <w:widowControl/>
              <w:numPr>
                <w:ilvl w:val="0"/>
                <w:numId w:val="11"/>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每个动画约60秒左右；</w:t>
            </w:r>
          </w:p>
          <w:p w14:paraId="1FA98477">
            <w:pPr>
              <w:pageBreakBefore w:val="0"/>
              <w:widowControl/>
              <w:numPr>
                <w:ilvl w:val="0"/>
                <w:numId w:val="11"/>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能根据课程建设需要进行必要的二维动画的设计。动画视频要求达到制作高清，画面排版精致，图像清晰，色彩饱和，播放流畅，声音清楚，制作精细，吸引力强，激发学习兴趣；</w:t>
            </w:r>
          </w:p>
          <w:p w14:paraId="79CDBD63">
            <w:pPr>
              <w:pageBreakBefore w:val="0"/>
              <w:widowControl/>
              <w:numPr>
                <w:ilvl w:val="0"/>
                <w:numId w:val="11"/>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文件格式：*.H5、*.mp4，有交互的动画，使用*.H5 格式，没有交互的动画，使用 mp4 格式</w:t>
            </w:r>
            <w:r>
              <w:rPr>
                <w:rFonts w:hint="eastAsia" w:ascii="宋体" w:hAnsi="宋体" w:eastAsia="宋体" w:cs="宋体"/>
                <w:color w:val="auto"/>
                <w:kern w:val="0"/>
                <w:sz w:val="21"/>
                <w:szCs w:val="21"/>
                <w:highlight w:val="none"/>
                <w:lang w:eastAsia="zh-CN"/>
              </w:rPr>
              <w:t>。</w:t>
            </w:r>
          </w:p>
        </w:tc>
        <w:tc>
          <w:tcPr>
            <w:tcW w:w="657" w:type="dxa"/>
            <w:shd w:val="clear" w:color="auto" w:fill="auto"/>
            <w:vAlign w:val="center"/>
          </w:tcPr>
          <w:p w14:paraId="5BBD652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704" w:type="dxa"/>
            <w:shd w:val="clear" w:color="auto" w:fill="auto"/>
            <w:vAlign w:val="center"/>
          </w:tcPr>
          <w:p w14:paraId="3FA0ADE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r>
      <w:tr w14:paraId="6F74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vMerge w:val="continue"/>
            <w:shd w:val="clear" w:color="auto" w:fill="auto"/>
            <w:vAlign w:val="center"/>
          </w:tcPr>
          <w:p w14:paraId="482C981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continue"/>
            <w:shd w:val="clear" w:color="auto" w:fill="auto"/>
            <w:vAlign w:val="center"/>
          </w:tcPr>
          <w:p w14:paraId="2A43902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1063" w:type="dxa"/>
            <w:shd w:val="clear" w:color="auto" w:fill="auto"/>
            <w:vAlign w:val="center"/>
          </w:tcPr>
          <w:p w14:paraId="4DD84A3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sz w:val="21"/>
                <w:szCs w:val="21"/>
                <w:highlight w:val="none"/>
                <w:u w:val="none"/>
                <w:lang w:val="en-US" w:eastAsia="zh-CN"/>
              </w:rPr>
              <w:t>AI元宇宙非遗课堂</w:t>
            </w:r>
          </w:p>
        </w:tc>
        <w:tc>
          <w:tcPr>
            <w:tcW w:w="6258" w:type="dxa"/>
            <w:shd w:val="clear" w:color="auto" w:fill="auto"/>
            <w:vAlign w:val="center"/>
          </w:tcPr>
          <w:p w14:paraId="1E11FC4E">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color="000000"/>
                <w:lang w:val="en-US" w:eastAsia="zh-CN" w:bidi="ar"/>
              </w:rPr>
              <w:t>微课互动动画游戏技术服务包括PBR流程模型制作、可人机交互操作软件应用、课件二维动画制作、基于3Dmax、substance painter、zbrush等通用软件的内容资产制作、软件UI界面设计、交互游戏内容逻辑策划等功能并将各功能整合于微课中，达到使学生观察现象、学会方法、自主操作的效果，其主要目的是验证理论、巩固知识、培养兴趣、提高分析和解决问题的能力。</w:t>
            </w:r>
          </w:p>
        </w:tc>
        <w:tc>
          <w:tcPr>
            <w:tcW w:w="657" w:type="dxa"/>
            <w:shd w:val="clear" w:color="auto" w:fill="auto"/>
            <w:vAlign w:val="center"/>
          </w:tcPr>
          <w:p w14:paraId="6287FDE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color="000000"/>
                <w:lang w:val="en-US" w:eastAsia="zh-CN" w:bidi="ar"/>
              </w:rPr>
              <w:t>1</w:t>
            </w:r>
          </w:p>
        </w:tc>
        <w:tc>
          <w:tcPr>
            <w:tcW w:w="704" w:type="dxa"/>
            <w:shd w:val="clear" w:color="auto" w:fill="auto"/>
            <w:vAlign w:val="center"/>
          </w:tcPr>
          <w:p w14:paraId="49303B0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color="000000"/>
                <w:lang w:val="en-US" w:eastAsia="zh-CN" w:bidi="ar"/>
              </w:rPr>
              <w:t>个</w:t>
            </w:r>
          </w:p>
        </w:tc>
      </w:tr>
      <w:tr w14:paraId="2BE9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shd w:val="clear" w:color="auto" w:fill="auto"/>
            <w:vAlign w:val="center"/>
          </w:tcPr>
          <w:p w14:paraId="32582CA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continue"/>
            <w:shd w:val="clear" w:color="auto" w:fill="auto"/>
            <w:vAlign w:val="center"/>
          </w:tcPr>
          <w:p w14:paraId="06D9EB1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1063" w:type="dxa"/>
            <w:shd w:val="clear" w:color="auto" w:fill="auto"/>
            <w:vAlign w:val="center"/>
          </w:tcPr>
          <w:p w14:paraId="327B4E5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color="000000"/>
                <w:lang w:val="en-US" w:eastAsia="zh-CN" w:bidi="ar"/>
              </w:rPr>
              <w:t>虚拟仿真教学引导视频</w:t>
            </w:r>
          </w:p>
        </w:tc>
        <w:tc>
          <w:tcPr>
            <w:tcW w:w="6258" w:type="dxa"/>
            <w:shd w:val="clear" w:color="auto" w:fill="auto"/>
            <w:vAlign w:val="center"/>
          </w:tcPr>
          <w:p w14:paraId="47FB7BE6">
            <w:pPr>
              <w:pageBreakBefore w:val="0"/>
              <w:widowControl/>
              <w:numPr>
                <w:ilvl w:val="0"/>
                <w:numId w:val="12"/>
              </w:numPr>
              <w:kinsoku/>
              <w:wordWrap/>
              <w:overflowPunct/>
              <w:topLinePunct w:val="0"/>
              <w:autoSpaceDE/>
              <w:autoSpaceDN/>
              <w:bidi w:val="0"/>
              <w:snapToGrid/>
              <w:spacing w:line="360" w:lineRule="auto"/>
              <w:jc w:val="left"/>
              <w:rPr>
                <w:rFonts w:hint="eastAsia" w:ascii="宋体" w:hAnsi="宋体" w:eastAsia="宋体" w:cs="宋体"/>
                <w:b w:val="0"/>
                <w:bCs w:val="0"/>
                <w:i w:val="0"/>
                <w:iCs w:val="0"/>
                <w:color w:val="auto"/>
                <w:kern w:val="0"/>
                <w:sz w:val="21"/>
                <w:szCs w:val="21"/>
                <w:highlight w:val="none"/>
                <w:u w:val="none" w:color="000000"/>
                <w:lang w:val="en-US" w:eastAsia="zh-CN" w:bidi="ar"/>
              </w:rPr>
            </w:pPr>
            <w:r>
              <w:rPr>
                <w:rFonts w:hint="eastAsia" w:ascii="宋体" w:hAnsi="宋体" w:eastAsia="宋体" w:cs="宋体"/>
                <w:b w:val="0"/>
                <w:bCs w:val="0"/>
                <w:i w:val="0"/>
                <w:iCs w:val="0"/>
                <w:color w:val="auto"/>
                <w:kern w:val="0"/>
                <w:sz w:val="21"/>
                <w:szCs w:val="21"/>
                <w:highlight w:val="none"/>
                <w:u w:val="none" w:color="000000"/>
                <w:lang w:val="en-US" w:eastAsia="zh-CN" w:bidi="ar"/>
              </w:rPr>
              <w:t>虚拟仿真教学引导视频具备交互性，以便学生能够在观看视频的过程中进行互动操作，加深对物件的理解；</w:t>
            </w:r>
          </w:p>
          <w:p w14:paraId="1D4905D9">
            <w:pPr>
              <w:pageBreakBefore w:val="0"/>
              <w:widowControl/>
              <w:numPr>
                <w:ilvl w:val="0"/>
                <w:numId w:val="12"/>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color="000000"/>
                <w:lang w:val="en-US" w:eastAsia="zh-CN" w:bidi="ar"/>
              </w:rPr>
              <w:t>需要具备良好的场景渲染能力，以呈现逼真的虚拟实验环境，提高学生的学习体验；需要具备3D效果，以便学生能够更直观地理解物件的操作流程。</w:t>
            </w:r>
          </w:p>
        </w:tc>
        <w:tc>
          <w:tcPr>
            <w:tcW w:w="657" w:type="dxa"/>
            <w:shd w:val="clear" w:color="auto" w:fill="auto"/>
            <w:vAlign w:val="center"/>
          </w:tcPr>
          <w:p w14:paraId="62CFE48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color="000000"/>
                <w:lang w:val="en-US" w:eastAsia="zh-CN" w:bidi="ar"/>
              </w:rPr>
              <w:t>4</w:t>
            </w:r>
          </w:p>
        </w:tc>
        <w:tc>
          <w:tcPr>
            <w:tcW w:w="704" w:type="dxa"/>
            <w:shd w:val="clear" w:color="auto" w:fill="auto"/>
            <w:vAlign w:val="center"/>
          </w:tcPr>
          <w:p w14:paraId="51C20BB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color="000000"/>
                <w:lang w:val="en-US" w:eastAsia="zh-CN" w:bidi="ar"/>
              </w:rPr>
              <w:t>个</w:t>
            </w:r>
          </w:p>
        </w:tc>
      </w:tr>
      <w:tr w14:paraId="3F2C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shd w:val="clear" w:color="auto" w:fill="auto"/>
            <w:vAlign w:val="center"/>
          </w:tcPr>
          <w:p w14:paraId="0FFEBB9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812" w:type="dxa"/>
            <w:vMerge w:val="restart"/>
            <w:shd w:val="clear" w:color="auto" w:fill="auto"/>
            <w:vAlign w:val="center"/>
          </w:tcPr>
          <w:p w14:paraId="6E9D268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p>
          <w:p w14:paraId="6C73E51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w:t>
            </w:r>
          </w:p>
          <w:p w14:paraId="62768FD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w:t>
            </w:r>
          </w:p>
          <w:p w14:paraId="3292736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w:t>
            </w:r>
          </w:p>
        </w:tc>
        <w:tc>
          <w:tcPr>
            <w:tcW w:w="1063" w:type="dxa"/>
            <w:shd w:val="clear" w:color="auto" w:fill="auto"/>
            <w:vAlign w:val="center"/>
          </w:tcPr>
          <w:p w14:paraId="3025853A">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PPT</w:t>
            </w:r>
          </w:p>
        </w:tc>
        <w:tc>
          <w:tcPr>
            <w:tcW w:w="6258" w:type="dxa"/>
            <w:shd w:val="clear" w:color="auto" w:fill="auto"/>
            <w:vAlign w:val="center"/>
          </w:tcPr>
          <w:p w14:paraId="09C369E9">
            <w:pPr>
              <w:pageBreakBefore w:val="0"/>
              <w:widowControl/>
              <w:numPr>
                <w:ilvl w:val="0"/>
                <w:numId w:val="13"/>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每个10-15屏，PPT逐页美化，用通用子库，图像、图形应清晰，图形要符合国家相关绘制标准；</w:t>
            </w:r>
          </w:p>
          <w:p w14:paraId="7D8AC5C6">
            <w:pPr>
              <w:pageBreakBefore w:val="0"/>
              <w:widowControl/>
              <w:numPr>
                <w:ilvl w:val="0"/>
                <w:numId w:val="13"/>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文中所用计量符号应符合国家相关标准。</w:t>
            </w:r>
          </w:p>
        </w:tc>
        <w:tc>
          <w:tcPr>
            <w:tcW w:w="657" w:type="dxa"/>
            <w:vMerge w:val="restart"/>
            <w:shd w:val="clear" w:color="auto" w:fill="auto"/>
            <w:vAlign w:val="center"/>
          </w:tcPr>
          <w:p w14:paraId="375D090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216</w:t>
            </w:r>
          </w:p>
        </w:tc>
        <w:tc>
          <w:tcPr>
            <w:tcW w:w="704" w:type="dxa"/>
            <w:vMerge w:val="restart"/>
            <w:shd w:val="clear" w:color="auto" w:fill="auto"/>
            <w:vAlign w:val="center"/>
          </w:tcPr>
          <w:p w14:paraId="4192097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kern w:val="0"/>
                <w:sz w:val="21"/>
                <w:szCs w:val="21"/>
                <w:highlight w:val="none"/>
                <w:u w:val="none" w:color="000000"/>
                <w:lang w:val="en-US" w:eastAsia="zh-CN" w:bidi="ar"/>
              </w:rPr>
            </w:pPr>
          </w:p>
          <w:p w14:paraId="442ADCA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个</w:t>
            </w:r>
          </w:p>
          <w:p w14:paraId="042C3167">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r>
      <w:tr w14:paraId="15B7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vAlign w:val="center"/>
          </w:tcPr>
          <w:p w14:paraId="1599236F">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812" w:type="dxa"/>
            <w:vMerge w:val="continue"/>
            <w:vAlign w:val="center"/>
          </w:tcPr>
          <w:p w14:paraId="76C83B82">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1063" w:type="dxa"/>
            <w:shd w:val="clear" w:color="auto" w:fill="auto"/>
            <w:vAlign w:val="center"/>
          </w:tcPr>
          <w:p w14:paraId="2DAF65A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文档</w:t>
            </w:r>
          </w:p>
        </w:tc>
        <w:tc>
          <w:tcPr>
            <w:tcW w:w="6258" w:type="dxa"/>
            <w:shd w:val="clear" w:color="auto" w:fill="auto"/>
            <w:vAlign w:val="center"/>
          </w:tcPr>
          <w:p w14:paraId="57864F88">
            <w:pPr>
              <w:pageBreakBefore w:val="0"/>
              <w:widowControl/>
              <w:numPr>
                <w:ilvl w:val="0"/>
                <w:numId w:val="14"/>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对课程教师提供的微课脚本文档进行二次美化，作为独立组课资源</w:t>
            </w:r>
            <w:r>
              <w:rPr>
                <w:rFonts w:hint="eastAsia" w:ascii="宋体" w:hAnsi="宋体" w:eastAsia="宋体" w:cs="宋体"/>
                <w:color w:val="auto"/>
                <w:kern w:val="0"/>
                <w:sz w:val="21"/>
                <w:szCs w:val="21"/>
                <w:highlight w:val="none"/>
                <w:lang w:eastAsia="zh-CN"/>
              </w:rPr>
              <w:t>；</w:t>
            </w:r>
          </w:p>
          <w:p w14:paraId="6014106D">
            <w:pPr>
              <w:pageBreakBefore w:val="0"/>
              <w:widowControl/>
              <w:numPr>
                <w:ilvl w:val="0"/>
                <w:numId w:val="14"/>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加学校LOGO水印，铺淡蓝色底，排版，一级标题用区别正文的加黑字体，行间距1.5倍，转 PDF文档，方便后期作为数字化教材素材使用。</w:t>
            </w:r>
          </w:p>
        </w:tc>
        <w:tc>
          <w:tcPr>
            <w:tcW w:w="657" w:type="dxa"/>
            <w:vMerge w:val="continue"/>
            <w:shd w:val="clear" w:color="auto" w:fill="auto"/>
            <w:vAlign w:val="center"/>
          </w:tcPr>
          <w:p w14:paraId="50CF6DF9">
            <w:pPr>
              <w:pageBreakBefore w:val="0"/>
              <w:widowControl/>
              <w:kinsoku/>
              <w:wordWrap/>
              <w:overflowPunct/>
              <w:topLinePunct w:val="0"/>
              <w:autoSpaceDE/>
              <w:autoSpaceDN/>
              <w:bidi w:val="0"/>
              <w:snapToGrid/>
              <w:spacing w:line="360" w:lineRule="auto"/>
              <w:jc w:val="right"/>
              <w:rPr>
                <w:rFonts w:hint="eastAsia" w:ascii="宋体" w:hAnsi="宋体" w:eastAsia="宋体" w:cs="宋体"/>
                <w:color w:val="auto"/>
                <w:kern w:val="0"/>
                <w:sz w:val="21"/>
                <w:szCs w:val="21"/>
                <w:highlight w:val="none"/>
                <w:lang w:eastAsia="zh-CN"/>
              </w:rPr>
            </w:pPr>
          </w:p>
        </w:tc>
        <w:tc>
          <w:tcPr>
            <w:tcW w:w="704" w:type="dxa"/>
            <w:vMerge w:val="continue"/>
            <w:shd w:val="clear" w:color="auto" w:fill="auto"/>
            <w:vAlign w:val="center"/>
          </w:tcPr>
          <w:p w14:paraId="07317816">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p>
        </w:tc>
      </w:tr>
      <w:tr w14:paraId="7B71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vAlign w:val="center"/>
          </w:tcPr>
          <w:p w14:paraId="59E93F5D">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812" w:type="dxa"/>
            <w:vMerge w:val="continue"/>
            <w:vAlign w:val="center"/>
          </w:tcPr>
          <w:p w14:paraId="7FB9654F">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1063" w:type="dxa"/>
            <w:shd w:val="clear" w:color="auto" w:fill="auto"/>
            <w:vAlign w:val="center"/>
          </w:tcPr>
          <w:p w14:paraId="274B752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图片</w:t>
            </w:r>
          </w:p>
        </w:tc>
        <w:tc>
          <w:tcPr>
            <w:tcW w:w="6258" w:type="dxa"/>
            <w:shd w:val="clear" w:color="auto" w:fill="auto"/>
            <w:vAlign w:val="center"/>
          </w:tcPr>
          <w:p w14:paraId="1F982696">
            <w:pPr>
              <w:pageBreakBefore w:val="0"/>
              <w:widowControl/>
              <w:numPr>
                <w:ilvl w:val="0"/>
                <w:numId w:val="15"/>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提供PPT、教学视频、文档中内嵌的各种图片：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彩色图像颜色数不低于真彩（24位色）；</w:t>
            </w:r>
          </w:p>
          <w:p w14:paraId="35C8D838">
            <w:pPr>
              <w:pageBreakBefore w:val="0"/>
              <w:widowControl/>
              <w:numPr>
                <w:ilvl w:val="0"/>
                <w:numId w:val="15"/>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灰度图像的灰度级不低于256级，图形可以为单色;</w:t>
            </w:r>
          </w:p>
          <w:p w14:paraId="269CFEA8">
            <w:pPr>
              <w:pageBreakBefore w:val="0"/>
              <w:widowControl/>
              <w:numPr>
                <w:ilvl w:val="0"/>
                <w:numId w:val="15"/>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屏幕分辨率不低于1024×768，扫描图像的扫描分辨率不低于72 dpi，彩色扫描图像的扫描分辨率不低于150dpi。</w:t>
            </w:r>
          </w:p>
        </w:tc>
        <w:tc>
          <w:tcPr>
            <w:tcW w:w="657" w:type="dxa"/>
            <w:vMerge w:val="continue"/>
            <w:shd w:val="clear" w:color="auto" w:fill="auto"/>
            <w:vAlign w:val="center"/>
          </w:tcPr>
          <w:p w14:paraId="76D857F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tc>
        <w:tc>
          <w:tcPr>
            <w:tcW w:w="704" w:type="dxa"/>
            <w:vMerge w:val="continue"/>
            <w:shd w:val="clear" w:color="auto" w:fill="auto"/>
            <w:vAlign w:val="center"/>
          </w:tcPr>
          <w:p w14:paraId="3C9D709C">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p>
        </w:tc>
      </w:tr>
      <w:tr w14:paraId="7D75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vMerge w:val="continue"/>
            <w:vAlign w:val="center"/>
          </w:tcPr>
          <w:p w14:paraId="6EE918CC">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812" w:type="dxa"/>
            <w:vMerge w:val="continue"/>
            <w:vAlign w:val="center"/>
          </w:tcPr>
          <w:p w14:paraId="7C8F232D">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1063" w:type="dxa"/>
            <w:shd w:val="clear" w:color="auto" w:fill="auto"/>
            <w:vAlign w:val="center"/>
          </w:tcPr>
          <w:p w14:paraId="3E34CB9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题库</w:t>
            </w:r>
          </w:p>
        </w:tc>
        <w:tc>
          <w:tcPr>
            <w:tcW w:w="6258" w:type="dxa"/>
            <w:shd w:val="clear" w:color="auto" w:fill="auto"/>
            <w:vAlign w:val="center"/>
          </w:tcPr>
          <w:p w14:paraId="5403621F">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对课程的课程负责人教师对题库进行三审三校服务（原则上每门课程题库200-230道之间）。</w:t>
            </w:r>
          </w:p>
        </w:tc>
        <w:tc>
          <w:tcPr>
            <w:tcW w:w="657" w:type="dxa"/>
            <w:shd w:val="clear" w:color="auto" w:fill="auto"/>
            <w:vAlign w:val="center"/>
          </w:tcPr>
          <w:p w14:paraId="221642A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199</w:t>
            </w:r>
          </w:p>
        </w:tc>
        <w:tc>
          <w:tcPr>
            <w:tcW w:w="704" w:type="dxa"/>
            <w:shd w:val="clear" w:color="auto" w:fill="auto"/>
            <w:vAlign w:val="center"/>
          </w:tcPr>
          <w:p w14:paraId="5116996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14:paraId="3CBF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shd w:val="clear" w:color="auto" w:fill="auto"/>
            <w:vAlign w:val="center"/>
          </w:tcPr>
          <w:p w14:paraId="5D2F7DFE">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812" w:type="dxa"/>
            <w:shd w:val="clear" w:color="auto" w:fill="auto"/>
            <w:vAlign w:val="center"/>
          </w:tcPr>
          <w:p w14:paraId="5275FBB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知识图谱</w:t>
            </w:r>
          </w:p>
        </w:tc>
        <w:tc>
          <w:tcPr>
            <w:tcW w:w="1063" w:type="dxa"/>
            <w:shd w:val="clear" w:color="auto" w:fill="auto"/>
            <w:vAlign w:val="center"/>
          </w:tcPr>
          <w:p w14:paraId="0F67CF2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知识</w:t>
            </w:r>
          </w:p>
          <w:p w14:paraId="6F4E418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图谱</w:t>
            </w:r>
          </w:p>
        </w:tc>
        <w:tc>
          <w:tcPr>
            <w:tcW w:w="6258" w:type="dxa"/>
            <w:shd w:val="clear" w:color="auto" w:fill="auto"/>
            <w:vAlign w:val="center"/>
          </w:tcPr>
          <w:p w14:paraId="107665A3">
            <w:pPr>
              <w:pageBreakBefore w:val="0"/>
              <w:widowControl/>
              <w:numPr>
                <w:ilvl w:val="0"/>
                <w:numId w:val="0"/>
              </w:numPr>
              <w:kinsoku/>
              <w:wordWrap/>
              <w:overflowPunct/>
              <w:topLinePunct w:val="0"/>
              <w:autoSpaceDE/>
              <w:autoSpaceDN/>
              <w:bidi w:val="0"/>
              <w:snapToGrid/>
              <w:spacing w:line="360" w:lineRule="auto"/>
              <w:jc w:val="left"/>
              <w:rPr>
                <w:rFonts w:hint="eastAsia"/>
                <w:color w:val="auto"/>
                <w:sz w:val="18"/>
                <w:szCs w:val="16"/>
                <w:highlight w:val="none"/>
                <w:lang w:val="en-US"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按课程结构完善知识图谱展示，整个资源库进行“库-课-章-节-点”五级架构设计，能直接链接到相关知识点的关联素材进行学习。</w:t>
            </w:r>
          </w:p>
        </w:tc>
        <w:tc>
          <w:tcPr>
            <w:tcW w:w="657" w:type="dxa"/>
            <w:shd w:val="clear" w:color="auto" w:fill="auto"/>
            <w:vAlign w:val="center"/>
          </w:tcPr>
          <w:p w14:paraId="785D501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704" w:type="dxa"/>
            <w:shd w:val="clear" w:color="auto" w:fill="auto"/>
            <w:vAlign w:val="center"/>
          </w:tcPr>
          <w:p w14:paraId="48D9124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门</w:t>
            </w:r>
          </w:p>
        </w:tc>
      </w:tr>
      <w:tr w14:paraId="55E7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shd w:val="clear" w:color="auto" w:fill="auto"/>
            <w:vAlign w:val="center"/>
          </w:tcPr>
          <w:p w14:paraId="43C7CB1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812" w:type="dxa"/>
            <w:shd w:val="clear" w:color="auto" w:fill="auto"/>
            <w:vAlign w:val="center"/>
          </w:tcPr>
          <w:p w14:paraId="4D223ED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数字教师分身</w:t>
            </w:r>
          </w:p>
        </w:tc>
        <w:tc>
          <w:tcPr>
            <w:tcW w:w="1063" w:type="dxa"/>
            <w:shd w:val="clear" w:color="auto" w:fill="auto"/>
            <w:vAlign w:val="center"/>
          </w:tcPr>
          <w:p w14:paraId="1E18733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技术参数</w:t>
            </w:r>
          </w:p>
        </w:tc>
        <w:tc>
          <w:tcPr>
            <w:tcW w:w="6258" w:type="dxa"/>
            <w:shd w:val="clear" w:color="auto" w:fill="auto"/>
            <w:vAlign w:val="center"/>
          </w:tcPr>
          <w:p w14:paraId="7FD932EC">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1.需支持自定义上传图片/视频作为镜头背景或素材；</w:t>
            </w:r>
          </w:p>
          <w:p w14:paraId="37D104EC">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2.</w:t>
            </w:r>
            <w:r>
              <w:rPr>
                <w:rFonts w:hint="eastAsia" w:ascii="宋体" w:hAnsi="宋体" w:eastAsia="宋体" w:cs="宋体"/>
                <w:b/>
                <w:bCs/>
                <w:color w:val="auto"/>
                <w:kern w:val="0"/>
                <w:sz w:val="21"/>
                <w:szCs w:val="21"/>
                <w:highlight w:val="none"/>
                <w:shd w:val="clear" w:color="auto" w:fill="auto"/>
                <w:lang w:val="en-US" w:eastAsia="zh-CN" w:bidi="ar-SA"/>
              </w:rPr>
              <w:t>▲投标文件中需对下列项提供第三方检测机构出具的检测报告及永久使用不限时长承诺函（承诺函格式自拟）</w:t>
            </w:r>
            <w:r>
              <w:rPr>
                <w:rFonts w:hint="eastAsia" w:ascii="宋体" w:hAnsi="宋体" w:eastAsia="宋体" w:cs="宋体"/>
                <w:color w:val="auto"/>
                <w:kern w:val="0"/>
                <w:sz w:val="21"/>
                <w:szCs w:val="21"/>
                <w:highlight w:val="none"/>
                <w:shd w:val="clear" w:color="auto" w:fill="auto"/>
                <w:lang w:val="en-US" w:eastAsia="zh-CN" w:bidi="ar-SA"/>
              </w:rPr>
              <w:t>；</w:t>
            </w:r>
          </w:p>
          <w:p w14:paraId="62B5B4BC">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（1）需为BS架构，响应速度快，安全性强，不限软件使用时长，视频合成时长；</w:t>
            </w:r>
          </w:p>
          <w:p w14:paraId="533B2692">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（2）需支持人物形象定制，同时提供默认人物形象，默认人物形象类型至少包含3D、超写实、真人、及卡通形象风格，人物形象使用不限时长；</w:t>
            </w:r>
          </w:p>
          <w:p w14:paraId="655E2ACA">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（3）3D超写实模板形象不少于60个，真人模板形象不少于10个，卡通模板形象不少于20个；</w:t>
            </w:r>
          </w:p>
          <w:p w14:paraId="10E3AA69">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3.</w:t>
            </w:r>
            <w:r>
              <w:rPr>
                <w:rFonts w:hint="eastAsia" w:ascii="宋体" w:hAnsi="宋体" w:eastAsia="宋体" w:cs="宋体"/>
                <w:b/>
                <w:bCs/>
                <w:color w:val="auto"/>
                <w:kern w:val="0"/>
                <w:sz w:val="21"/>
                <w:szCs w:val="21"/>
                <w:highlight w:val="none"/>
                <w:shd w:val="clear" w:color="auto" w:fill="auto"/>
                <w:lang w:val="en-US" w:eastAsia="zh-CN" w:bidi="ar-SA"/>
              </w:rPr>
              <w:t>▲投标文件中需对下列项提供第三方检测机构出具的检测报告及软件功能截图及不限时长承诺函（承诺函格式自拟）；</w:t>
            </w:r>
          </w:p>
          <w:p w14:paraId="58B2588F">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需支持真人音色克隆，音色使用时间不限时长，同时提供默认音色不少于60种，支持多国语言包括但不限于中英日韩，支持多音字智能识别、语速调节、音量大小调节等。</w:t>
            </w:r>
          </w:p>
          <w:p w14:paraId="5F7A327A">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4.</w:t>
            </w:r>
            <w:r>
              <w:rPr>
                <w:rFonts w:hint="eastAsia" w:ascii="宋体" w:hAnsi="宋体" w:eastAsia="宋体" w:cs="宋体"/>
                <w:b/>
                <w:bCs/>
                <w:color w:val="auto"/>
                <w:kern w:val="0"/>
                <w:sz w:val="21"/>
                <w:szCs w:val="21"/>
                <w:highlight w:val="none"/>
                <w:shd w:val="clear" w:color="auto" w:fill="auto"/>
                <w:lang w:val="en-US" w:eastAsia="zh-CN" w:bidi="ar-SA"/>
              </w:rPr>
              <w:t>▲投标文件中需对下列项提供第三方检测机构出具的检测报告及软件功能截图并加盖投标人公章。</w:t>
            </w:r>
          </w:p>
          <w:p w14:paraId="538EA6E5">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（1）需支持无限添加解说词，可以一键导入PDF文件生成PPT，页面作为画面使用，备注内容作为脚本分段；</w:t>
            </w:r>
          </w:p>
          <w:p w14:paraId="51C97E76">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（2）需具有广播级一键抠像功能，除支持蓝绿幕外，还可对白色、黑色、红色等自定义颜色抠像，并在界面有不少于4个参数可以自定义调整；</w:t>
            </w:r>
          </w:p>
          <w:p w14:paraId="05711ADB">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（3）需支持对背景、素材、人物形象的缩放、位置调节等；</w:t>
            </w:r>
          </w:p>
          <w:p w14:paraId="0DF94ACD">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（4）需支持AI写稿，根据用户描述内容一键生成稿件；</w:t>
            </w:r>
          </w:p>
          <w:p w14:paraId="3DE31A9C">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（5）需支持工程自动保存，保障项目安全；</w:t>
            </w:r>
          </w:p>
          <w:p w14:paraId="3709F922">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（6）需支持文本或生成的音频驱动人物形象；</w:t>
            </w:r>
          </w:p>
          <w:p w14:paraId="7EF16A43">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（7）需支持一键添加背景音乐，并可调整音量大小；</w:t>
            </w:r>
          </w:p>
          <w:p w14:paraId="54D0FB93">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（8）需支持对PPT素材进行自由层级调整，可放置数字人前或者数字人后，可调整大小及铺满方式；</w:t>
            </w:r>
          </w:p>
          <w:p w14:paraId="7C2D40F1">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（9）需支持多套文字模板，可以自定义文字模板的样式、大小及对齐方式等；</w:t>
            </w:r>
          </w:p>
          <w:p w14:paraId="1ABB9261">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（10）需支持工程文件保存，也支持保存为模板方便在界面中直接调用；</w:t>
            </w:r>
          </w:p>
          <w:p w14:paraId="6EB18AF3">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（11）需支持视频和交互两种模式发布，交互模式下播放PPT过程中可打断问答，问答结束继续播放PPT；</w:t>
            </w:r>
          </w:p>
          <w:p w14:paraId="6D50B6BC">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（12）需支持老师对问答内容进行在线知识库训练，依托的大模型至少支持豆包、360等；</w:t>
            </w:r>
          </w:p>
          <w:p w14:paraId="1491C57B">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（13）需支持大模型进行在线人设训练，人设提示词库不少于20个模板；</w:t>
            </w:r>
          </w:p>
          <w:p w14:paraId="1284634C">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（14）需支持大模型可以联网搜索，知识库支持doc、docx、txt、pdf等文本上传；</w:t>
            </w:r>
          </w:p>
          <w:p w14:paraId="6753E118">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bidi="ar-SA"/>
              </w:rPr>
              <w:t>（15）需支持大模型回答内容返回进行图片、视频、网址的展示；</w:t>
            </w:r>
          </w:p>
          <w:p w14:paraId="32EAC85F">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（16）需支持问答时可点击快捷指令进行快捷问答。</w:t>
            </w:r>
          </w:p>
        </w:tc>
        <w:tc>
          <w:tcPr>
            <w:tcW w:w="657" w:type="dxa"/>
            <w:shd w:val="clear" w:color="auto" w:fill="auto"/>
            <w:vAlign w:val="center"/>
          </w:tcPr>
          <w:p w14:paraId="7009DA5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704" w:type="dxa"/>
            <w:shd w:val="clear" w:color="auto" w:fill="auto"/>
            <w:vAlign w:val="center"/>
          </w:tcPr>
          <w:p w14:paraId="5F513C5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套</w:t>
            </w:r>
          </w:p>
        </w:tc>
      </w:tr>
      <w:tr w14:paraId="5FA3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88" w:type="dxa"/>
            <w:shd w:val="clear" w:color="auto" w:fill="auto"/>
            <w:vAlign w:val="center"/>
          </w:tcPr>
          <w:p w14:paraId="74C5B787">
            <w:pPr>
              <w:pageBreakBefore w:val="0"/>
              <w:widowControl/>
              <w:kinsoku/>
              <w:wordWrap/>
              <w:overflowPunct/>
              <w:topLinePunct w:val="0"/>
              <w:autoSpaceDE/>
              <w:autoSpaceDN/>
              <w:bidi w:val="0"/>
              <w:snapToGri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812" w:type="dxa"/>
            <w:shd w:val="clear" w:color="auto" w:fill="auto"/>
            <w:vAlign w:val="center"/>
          </w:tcPr>
          <w:p w14:paraId="5189BE6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2"/>
                <w:sz w:val="21"/>
                <w:szCs w:val="21"/>
                <w:highlight w:val="none"/>
                <w:lang w:val="en-US" w:eastAsia="zh-Hans" w:bidi="ar"/>
              </w:rPr>
              <w:t>虚拟仿真场馆</w:t>
            </w:r>
          </w:p>
        </w:tc>
        <w:tc>
          <w:tcPr>
            <w:tcW w:w="1063" w:type="dxa"/>
            <w:shd w:val="clear" w:color="auto" w:fill="auto"/>
            <w:vAlign w:val="center"/>
          </w:tcPr>
          <w:p w14:paraId="1A8AD211">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技术参数</w:t>
            </w:r>
          </w:p>
        </w:tc>
        <w:tc>
          <w:tcPr>
            <w:tcW w:w="6258" w:type="dxa"/>
            <w:shd w:val="clear" w:color="auto" w:fill="auto"/>
            <w:vAlign w:val="center"/>
          </w:tcPr>
          <w:p w14:paraId="50D1B0A0">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1.</w:t>
            </w:r>
            <w:r>
              <w:rPr>
                <w:rFonts w:hint="eastAsia" w:ascii="宋体" w:hAnsi="宋体" w:eastAsia="宋体" w:cs="宋体"/>
                <w:color w:val="auto"/>
                <w:kern w:val="0"/>
                <w:sz w:val="21"/>
                <w:szCs w:val="21"/>
                <w:highlight w:val="none"/>
                <w:shd w:val="clear" w:color="auto" w:fill="auto"/>
                <w:lang w:val="en-US" w:eastAsia="zh-CN"/>
              </w:rPr>
              <w:t>基于引擎技术Web3D 或 unity3D技术等通用软件进行开发。完整场馆数字化线上模式包括展馆建模、展品建模、高清材质制作、UI互动界面、第一＼第三视角漫游、展区指引、展品全方位自由查看、视频互动等功能并将各功能进行整合，同时展馆展示结合音频、实拍视频、三维动画、图片、文字等多类元素对展馆内容进行综合沉浸展示。</w:t>
            </w:r>
          </w:p>
          <w:p w14:paraId="132FD86E">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2.</w:t>
            </w:r>
            <w:r>
              <w:rPr>
                <w:rFonts w:hint="eastAsia" w:ascii="宋体" w:hAnsi="宋体" w:eastAsia="宋体" w:cs="宋体"/>
                <w:color w:val="auto"/>
                <w:kern w:val="0"/>
                <w:sz w:val="21"/>
                <w:szCs w:val="21"/>
                <w:highlight w:val="none"/>
                <w:shd w:val="clear" w:color="auto" w:fill="auto"/>
                <w:lang w:val="en-US" w:eastAsia="zh-CN"/>
              </w:rPr>
              <w:t>虚拟仿真场馆模型材质数字化建模（Modeling＆Texturing）</w:t>
            </w:r>
          </w:p>
          <w:p w14:paraId="6FEC84BE">
            <w:pPr>
              <w:pageBreakBefore w:val="0"/>
              <w:widowControl/>
              <w:numPr>
                <w:ilvl w:val="0"/>
                <w:numId w:val="1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虚拟线上场馆模型应用是基于UnrealEngine、3Dmax等通用软件进行开发，整体模型制作流程采用高质量PBR流程进行制作；</w:t>
            </w:r>
          </w:p>
          <w:p w14:paraId="1448646E">
            <w:pPr>
              <w:pageBreakBefore w:val="0"/>
              <w:widowControl/>
              <w:numPr>
                <w:ilvl w:val="0"/>
                <w:numId w:val="1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三维模型场景制作：能够支持1920×1080以上分辨率的三维视景，1:1实物大小显示，可对场景模型进行实时顶点优化和动态加载LOD设置调整，根据视觉效果调整优化比例，减少数据量，提高运行效率，帧速率25帧以上；多个场景，各场景中实物逼真，动作流畅。具有较高的现场还原度。</w:t>
            </w:r>
          </w:p>
          <w:p w14:paraId="07297B7F">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3.</w:t>
            </w:r>
            <w:r>
              <w:rPr>
                <w:rFonts w:hint="eastAsia" w:ascii="宋体" w:hAnsi="宋体" w:eastAsia="宋体" w:cs="宋体"/>
                <w:b/>
                <w:bCs/>
                <w:color w:val="auto"/>
                <w:kern w:val="0"/>
                <w:sz w:val="21"/>
                <w:szCs w:val="21"/>
                <w:highlight w:val="none"/>
                <w:shd w:val="clear" w:color="auto" w:fill="auto"/>
                <w:lang w:val="en-US" w:eastAsia="zh-CN"/>
              </w:rPr>
              <w:t>▲虚拟仿真场馆互动功能（Interaction）</w:t>
            </w:r>
          </w:p>
          <w:p w14:paraId="08123669">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（1）虚拟线上博物馆馆项目可以进行线上浏览。采用全景互动、三维模拟、全景漫游、三维交互、三维动画等多种形式深度展示360°全景内容，方便鼠标键盘、手机滑屏等方式对展品的模型进行旋转、缩放操作；</w:t>
            </w:r>
            <w:r>
              <w:rPr>
                <w:rFonts w:hint="eastAsia" w:ascii="宋体" w:hAnsi="宋体" w:eastAsia="宋体" w:cs="宋体"/>
                <w:b/>
                <w:bCs/>
                <w:color w:val="auto"/>
                <w:sz w:val="21"/>
                <w:szCs w:val="21"/>
                <w:highlight w:val="none"/>
                <w:shd w:val="clear" w:color="auto" w:fill="auto"/>
                <w:lang w:eastAsia="zh-CN"/>
              </w:rPr>
              <w:t>（提供功能截图并加盖投标人公章）</w:t>
            </w:r>
          </w:p>
          <w:p w14:paraId="4E815A1B">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（2）虚拟仿真类教学资源应支持普通PC机、管理及共享平台线上WEB端使用，同时至少支持VR交互式桌面一体机或MR一体机使用；</w:t>
            </w:r>
            <w:r>
              <w:rPr>
                <w:rFonts w:hint="eastAsia" w:ascii="宋体" w:hAnsi="宋体" w:eastAsia="宋体" w:cs="宋体"/>
                <w:b/>
                <w:bCs/>
                <w:color w:val="auto"/>
                <w:sz w:val="21"/>
                <w:szCs w:val="21"/>
                <w:highlight w:val="none"/>
                <w:shd w:val="clear" w:color="auto" w:fill="auto"/>
                <w:lang w:eastAsia="zh-CN"/>
              </w:rPr>
              <w:t>（提供功能截图并加盖投标人公章）</w:t>
            </w:r>
          </w:p>
          <w:p w14:paraId="4FA0AF92">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（3）虚拟线上展馆可配置相应点位、可配备相应展项、展览详细注释及多种形式的展项解读（包括视频、二维三维动画、文字、语音等）；</w:t>
            </w:r>
            <w:r>
              <w:rPr>
                <w:rFonts w:hint="eastAsia" w:ascii="宋体" w:hAnsi="宋体" w:eastAsia="宋体" w:cs="宋体"/>
                <w:b/>
                <w:bCs/>
                <w:color w:val="auto"/>
                <w:sz w:val="21"/>
                <w:szCs w:val="21"/>
                <w:highlight w:val="none"/>
                <w:shd w:val="clear" w:color="auto" w:fill="auto"/>
                <w:lang w:eastAsia="zh-CN"/>
              </w:rPr>
              <w:t>（提供功能截图并加盖投标人公章）</w:t>
            </w:r>
          </w:p>
          <w:p w14:paraId="0B11A94A">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（4）虚拟线上博物馆配备完整展馆的内部导览指示，方便操作、使用。</w:t>
            </w:r>
            <w:r>
              <w:rPr>
                <w:rFonts w:hint="eastAsia" w:ascii="宋体" w:hAnsi="宋体" w:eastAsia="宋体" w:cs="宋体"/>
                <w:b/>
                <w:bCs/>
                <w:color w:val="auto"/>
                <w:sz w:val="21"/>
                <w:szCs w:val="21"/>
                <w:highlight w:val="none"/>
                <w:shd w:val="clear" w:color="auto" w:fill="auto"/>
                <w:lang w:eastAsia="zh-CN"/>
              </w:rPr>
              <w:t>（提供功能截图并加盖投标人公章）</w:t>
            </w:r>
          </w:p>
          <w:p w14:paraId="332E47E0">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bidi="ar-SA"/>
              </w:rPr>
              <w:t>4.</w:t>
            </w:r>
            <w:r>
              <w:rPr>
                <w:rFonts w:hint="eastAsia" w:ascii="宋体" w:hAnsi="宋体" w:eastAsia="宋体" w:cs="宋体"/>
                <w:b w:val="0"/>
                <w:bCs w:val="0"/>
                <w:color w:val="auto"/>
                <w:kern w:val="0"/>
                <w:sz w:val="21"/>
                <w:szCs w:val="21"/>
                <w:highlight w:val="none"/>
                <w:shd w:val="clear" w:color="auto" w:fill="auto"/>
                <w:lang w:val="en-US" w:eastAsia="zh-CN"/>
              </w:rPr>
              <w:t>虚拟仿真场馆音视频要求（video）</w:t>
            </w:r>
          </w:p>
          <w:p w14:paraId="4BF91C8B">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（1）视频要求（video）</w:t>
            </w:r>
          </w:p>
          <w:p w14:paraId="3DFC2CFD">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1）</w:t>
            </w:r>
            <w:r>
              <w:rPr>
                <w:rFonts w:hint="eastAsia" w:ascii="宋体" w:hAnsi="宋体" w:eastAsia="宋体" w:cs="宋体"/>
                <w:color w:val="auto"/>
                <w:kern w:val="0"/>
                <w:sz w:val="21"/>
                <w:szCs w:val="21"/>
                <w:highlight w:val="none"/>
                <w:shd w:val="clear" w:color="auto" w:fill="auto"/>
                <w:lang w:val="en-US" w:eastAsia="zh-CN"/>
              </w:rPr>
              <w:t>在场景对象上可嵌入外部视频文件，视频文件格式支持AVI、MP4格式。要实现视频流的预读取功能，以保证视频播放流畅；</w:t>
            </w:r>
          </w:p>
          <w:p w14:paraId="7D0A2A4C">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2）</w:t>
            </w:r>
            <w:r>
              <w:rPr>
                <w:rFonts w:hint="eastAsia" w:ascii="宋体" w:hAnsi="宋体" w:eastAsia="宋体" w:cs="宋体"/>
                <w:color w:val="auto"/>
                <w:kern w:val="0"/>
                <w:sz w:val="21"/>
                <w:szCs w:val="21"/>
                <w:highlight w:val="none"/>
                <w:shd w:val="clear" w:color="auto" w:fill="auto"/>
                <w:lang w:val="en-US" w:eastAsia="zh-CN"/>
              </w:rPr>
              <w:t>视频信号稳定、不存在掉帧现象，图像无抖动跳跃、色彩无突变、画面清 晰；</w:t>
            </w:r>
          </w:p>
          <w:p w14:paraId="5A8948CD">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3）</w:t>
            </w:r>
            <w:r>
              <w:rPr>
                <w:rFonts w:hint="eastAsia" w:ascii="宋体" w:hAnsi="宋体" w:eastAsia="宋体" w:cs="宋体"/>
                <w:color w:val="auto"/>
                <w:kern w:val="0"/>
                <w:sz w:val="21"/>
                <w:szCs w:val="21"/>
                <w:highlight w:val="none"/>
                <w:shd w:val="clear" w:color="auto" w:fill="auto"/>
                <w:lang w:val="en-US" w:eastAsia="zh-CN"/>
              </w:rPr>
              <w:t>信噪比不低于55dB，无明显杂波；</w:t>
            </w:r>
          </w:p>
          <w:p w14:paraId="27CD5274">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4）</w:t>
            </w:r>
            <w:r>
              <w:rPr>
                <w:rFonts w:hint="eastAsia" w:ascii="宋体" w:hAnsi="宋体" w:eastAsia="宋体" w:cs="宋体"/>
                <w:color w:val="auto"/>
                <w:kern w:val="0"/>
                <w:sz w:val="21"/>
                <w:szCs w:val="21"/>
                <w:highlight w:val="none"/>
                <w:shd w:val="clear" w:color="auto" w:fill="auto"/>
                <w:lang w:val="en-US" w:eastAsia="zh-CN"/>
              </w:rPr>
              <w:t>视频电平：视频全讯号幅度为1Vp-p，最大不超过1.1Vp-p。其中，消隐电平为OV时，白电平幅度0.7Vp-p，同步信号0.3Vp-p，色同步信号幅度0.3Vp-p（以消隐线上下对称），全片一致。</w:t>
            </w:r>
          </w:p>
          <w:p w14:paraId="41F48944">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（2）音频要求（audio）</w:t>
            </w:r>
          </w:p>
          <w:p w14:paraId="5225FAA0">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1）</w:t>
            </w:r>
            <w:r>
              <w:rPr>
                <w:rFonts w:hint="eastAsia" w:ascii="宋体" w:hAnsi="宋体" w:eastAsia="宋体" w:cs="宋体"/>
                <w:color w:val="auto"/>
                <w:kern w:val="0"/>
                <w:sz w:val="21"/>
                <w:szCs w:val="21"/>
                <w:highlight w:val="none"/>
                <w:shd w:val="clear" w:color="auto" w:fill="auto"/>
                <w:lang w:val="en-US" w:eastAsia="zh-CN"/>
              </w:rPr>
              <w:t>声音：场景音效、声音解说要求制作逼真，采用专业的普通话进行配音；</w:t>
            </w:r>
          </w:p>
          <w:p w14:paraId="62F52F52">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2）</w:t>
            </w:r>
            <w:r>
              <w:rPr>
                <w:rFonts w:hint="eastAsia" w:ascii="宋体" w:hAnsi="宋体" w:eastAsia="宋体" w:cs="宋体"/>
                <w:color w:val="auto"/>
                <w:kern w:val="0"/>
                <w:sz w:val="21"/>
                <w:szCs w:val="21"/>
                <w:highlight w:val="none"/>
                <w:shd w:val="clear" w:color="auto" w:fill="auto"/>
                <w:lang w:val="en-US" w:eastAsia="zh-CN"/>
              </w:rPr>
              <w:t>音频压缩采用AAC（MPEG4Part3）格式。采样率48KHz。音频码流率128Kbps（恒定）。双声道，须做混音处理；</w:t>
            </w:r>
          </w:p>
          <w:p w14:paraId="342F9647">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3）</w:t>
            </w:r>
            <w:r>
              <w:rPr>
                <w:rFonts w:hint="eastAsia" w:ascii="宋体" w:hAnsi="宋体" w:eastAsia="宋体" w:cs="宋体"/>
                <w:color w:val="auto"/>
                <w:kern w:val="0"/>
                <w:sz w:val="21"/>
                <w:szCs w:val="21"/>
                <w:highlight w:val="none"/>
                <w:shd w:val="clear" w:color="auto" w:fill="auto"/>
                <w:lang w:val="en-US" w:eastAsia="zh-CN"/>
              </w:rPr>
              <w:t>电平指标：－2db一－8db声音应无明显失真、放音过冲、过弱。音频信噪比不低于48b。声音和画面要求同步，无交流声或其他杂音等缺陷。伴音清晰、饱满、圆润，无失真、噪声杂音干扰、音量忽大忽小现象。解说声与现场声无明显比例失调，解说声与背景音乐无明显比例失调；</w:t>
            </w:r>
          </w:p>
          <w:p w14:paraId="1503FFBC">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（4）</w:t>
            </w:r>
            <w:r>
              <w:rPr>
                <w:rFonts w:hint="eastAsia" w:ascii="宋体" w:hAnsi="宋体" w:eastAsia="宋体" w:cs="宋体"/>
                <w:color w:val="auto"/>
                <w:kern w:val="0"/>
                <w:sz w:val="21"/>
                <w:szCs w:val="21"/>
                <w:highlight w:val="none"/>
                <w:shd w:val="clear" w:color="auto" w:fill="auto"/>
                <w:lang w:val="en-US" w:eastAsia="zh-CN"/>
              </w:rPr>
              <w:t>格式：常用格式为＊.mp3和＊.wav。</w:t>
            </w:r>
          </w:p>
          <w:p w14:paraId="4E7D7140">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bidi="ar-SA"/>
              </w:rPr>
              <w:t>5.</w:t>
            </w:r>
            <w:r>
              <w:rPr>
                <w:rFonts w:hint="eastAsia" w:ascii="宋体" w:hAnsi="宋体" w:eastAsia="宋体" w:cs="宋体"/>
                <w:b/>
                <w:bCs/>
                <w:color w:val="auto"/>
                <w:kern w:val="0"/>
                <w:sz w:val="21"/>
                <w:szCs w:val="21"/>
                <w:highlight w:val="none"/>
                <w:shd w:val="clear" w:color="auto" w:fill="auto"/>
                <w:lang w:val="en-US" w:eastAsia="zh-CN"/>
              </w:rPr>
              <w:t>▲虚拟仿真展馆技术参数</w:t>
            </w:r>
          </w:p>
          <w:p w14:paraId="13DAD288">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bidi="ar-SA"/>
              </w:rPr>
              <w:t>（1）</w:t>
            </w:r>
            <w:r>
              <w:rPr>
                <w:rFonts w:hint="eastAsia" w:ascii="宋体" w:hAnsi="宋体" w:eastAsia="宋体" w:cs="宋体"/>
                <w:color w:val="auto"/>
                <w:kern w:val="0"/>
                <w:sz w:val="21"/>
                <w:szCs w:val="21"/>
                <w:highlight w:val="none"/>
                <w:shd w:val="clear" w:color="auto" w:fill="auto"/>
                <w:lang w:val="en-US" w:eastAsia="zh-CN"/>
              </w:rPr>
              <w:t>虚拟仿真展馆各模块需求标准和技术要求</w:t>
            </w:r>
          </w:p>
          <w:tbl>
            <w:tblPr>
              <w:tblStyle w:val="39"/>
              <w:tblW w:w="5530" w:type="dxa"/>
              <w:jc w:val="center"/>
              <w:tblLayout w:type="fixed"/>
              <w:tblCellMar>
                <w:top w:w="0" w:type="dxa"/>
                <w:left w:w="108" w:type="dxa"/>
                <w:bottom w:w="0" w:type="dxa"/>
                <w:right w:w="108" w:type="dxa"/>
              </w:tblCellMar>
            </w:tblPr>
            <w:tblGrid>
              <w:gridCol w:w="558"/>
              <w:gridCol w:w="872"/>
              <w:gridCol w:w="3129"/>
              <w:gridCol w:w="471"/>
              <w:gridCol w:w="500"/>
            </w:tblGrid>
            <w:tr w14:paraId="29C65148">
              <w:tblPrEx>
                <w:tblCellMar>
                  <w:top w:w="0" w:type="dxa"/>
                  <w:left w:w="108" w:type="dxa"/>
                  <w:bottom w:w="0" w:type="dxa"/>
                  <w:right w:w="108" w:type="dxa"/>
                </w:tblCellMar>
              </w:tblPrEx>
              <w:trPr>
                <w:trHeight w:val="264" w:hRule="atLeast"/>
                <w:jc w:val="center"/>
              </w:trPr>
              <w:tc>
                <w:tcPr>
                  <w:tcW w:w="558" w:type="dxa"/>
                  <w:tcBorders>
                    <w:top w:val="single" w:color="auto" w:sz="4" w:space="0"/>
                    <w:left w:val="single" w:color="auto" w:sz="4" w:space="0"/>
                    <w:bottom w:val="single" w:color="auto" w:sz="4" w:space="0"/>
                    <w:right w:val="single" w:color="auto" w:sz="4" w:space="0"/>
                  </w:tcBorders>
                  <w:noWrap/>
                  <w:vAlign w:val="center"/>
                </w:tcPr>
                <w:p w14:paraId="3B2DFF9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b/>
                      <w:bCs/>
                      <w:color w:val="auto"/>
                      <w:kern w:val="2"/>
                      <w:sz w:val="21"/>
                      <w:szCs w:val="21"/>
                      <w:highlight w:val="none"/>
                      <w:shd w:val="clear" w:color="auto" w:fill="auto"/>
                      <w:lang w:val="en-US" w:bidi="ar-SA"/>
                    </w:rPr>
                  </w:pPr>
                  <w:r>
                    <w:rPr>
                      <w:rFonts w:hint="eastAsia" w:ascii="宋体" w:hAnsi="宋体" w:eastAsia="宋体" w:cs="宋体"/>
                      <w:b/>
                      <w:bCs/>
                      <w:color w:val="auto"/>
                      <w:kern w:val="2"/>
                      <w:sz w:val="21"/>
                      <w:szCs w:val="21"/>
                      <w:highlight w:val="none"/>
                      <w:shd w:val="clear" w:color="auto" w:fill="auto"/>
                      <w:lang w:val="en-US" w:bidi="ar-SA"/>
                    </w:rPr>
                    <w:t>模块</w:t>
                  </w:r>
                </w:p>
              </w:tc>
              <w:tc>
                <w:tcPr>
                  <w:tcW w:w="872" w:type="dxa"/>
                  <w:tcBorders>
                    <w:top w:val="single" w:color="auto" w:sz="4" w:space="0"/>
                    <w:left w:val="nil"/>
                    <w:bottom w:val="single" w:color="auto" w:sz="4" w:space="0"/>
                    <w:right w:val="single" w:color="auto" w:sz="4" w:space="0"/>
                  </w:tcBorders>
                  <w:noWrap/>
                  <w:vAlign w:val="center"/>
                </w:tcPr>
                <w:p w14:paraId="67CA77F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b/>
                      <w:bCs/>
                      <w:color w:val="auto"/>
                      <w:kern w:val="2"/>
                      <w:sz w:val="21"/>
                      <w:szCs w:val="21"/>
                      <w:highlight w:val="none"/>
                      <w:shd w:val="clear" w:color="auto" w:fill="auto"/>
                      <w:lang w:val="en-US" w:bidi="ar-SA"/>
                    </w:rPr>
                  </w:pPr>
                  <w:r>
                    <w:rPr>
                      <w:rFonts w:hint="eastAsia" w:ascii="宋体" w:hAnsi="宋体" w:eastAsia="宋体" w:cs="宋体"/>
                      <w:b/>
                      <w:bCs/>
                      <w:color w:val="auto"/>
                      <w:kern w:val="2"/>
                      <w:sz w:val="21"/>
                      <w:szCs w:val="21"/>
                      <w:highlight w:val="none"/>
                      <w:shd w:val="clear" w:color="auto" w:fill="auto"/>
                      <w:lang w:val="en-US" w:bidi="ar-SA"/>
                    </w:rPr>
                    <w:t>内容名称</w:t>
                  </w:r>
                </w:p>
              </w:tc>
              <w:tc>
                <w:tcPr>
                  <w:tcW w:w="3129" w:type="dxa"/>
                  <w:tcBorders>
                    <w:top w:val="single" w:color="auto" w:sz="4" w:space="0"/>
                    <w:left w:val="nil"/>
                    <w:bottom w:val="single" w:color="auto" w:sz="4" w:space="0"/>
                    <w:right w:val="single" w:color="auto" w:sz="4" w:space="0"/>
                  </w:tcBorders>
                  <w:noWrap/>
                  <w:vAlign w:val="center"/>
                </w:tcPr>
                <w:p w14:paraId="09DE5D07">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b/>
                      <w:bCs/>
                      <w:color w:val="auto"/>
                      <w:kern w:val="2"/>
                      <w:sz w:val="21"/>
                      <w:szCs w:val="21"/>
                      <w:highlight w:val="none"/>
                      <w:shd w:val="clear" w:color="auto" w:fill="auto"/>
                      <w:lang w:val="en-US" w:bidi="ar-SA"/>
                    </w:rPr>
                  </w:pPr>
                  <w:r>
                    <w:rPr>
                      <w:rFonts w:hint="eastAsia" w:ascii="宋体" w:hAnsi="宋体" w:eastAsia="宋体" w:cs="宋体"/>
                      <w:b/>
                      <w:bCs/>
                      <w:color w:val="auto"/>
                      <w:kern w:val="2"/>
                      <w:sz w:val="21"/>
                      <w:szCs w:val="21"/>
                      <w:highlight w:val="none"/>
                      <w:shd w:val="clear" w:color="auto" w:fill="auto"/>
                      <w:lang w:val="en-US" w:bidi="ar-SA"/>
                    </w:rPr>
                    <w:t>需求标准和技术要求</w:t>
                  </w:r>
                </w:p>
              </w:tc>
              <w:tc>
                <w:tcPr>
                  <w:tcW w:w="471" w:type="dxa"/>
                  <w:tcBorders>
                    <w:top w:val="single" w:color="auto" w:sz="4" w:space="0"/>
                    <w:left w:val="nil"/>
                    <w:bottom w:val="single" w:color="auto" w:sz="4" w:space="0"/>
                    <w:right w:val="single" w:color="auto" w:sz="4" w:space="0"/>
                  </w:tcBorders>
                  <w:noWrap/>
                  <w:vAlign w:val="center"/>
                </w:tcPr>
                <w:p w14:paraId="232A7DE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b/>
                      <w:bCs/>
                      <w:color w:val="auto"/>
                      <w:kern w:val="2"/>
                      <w:sz w:val="21"/>
                      <w:szCs w:val="21"/>
                      <w:highlight w:val="none"/>
                      <w:shd w:val="clear" w:color="auto" w:fill="auto"/>
                      <w:lang w:val="en-US" w:bidi="ar-SA"/>
                    </w:rPr>
                  </w:pPr>
                  <w:r>
                    <w:rPr>
                      <w:rFonts w:hint="eastAsia" w:ascii="宋体" w:hAnsi="宋体" w:eastAsia="宋体" w:cs="宋体"/>
                      <w:b/>
                      <w:bCs/>
                      <w:color w:val="auto"/>
                      <w:kern w:val="2"/>
                      <w:sz w:val="21"/>
                      <w:szCs w:val="21"/>
                      <w:highlight w:val="none"/>
                      <w:shd w:val="clear" w:color="auto" w:fill="auto"/>
                      <w:lang w:val="en-US" w:bidi="ar-SA"/>
                    </w:rPr>
                    <w:t>单位</w:t>
                  </w:r>
                </w:p>
              </w:tc>
              <w:tc>
                <w:tcPr>
                  <w:tcW w:w="500" w:type="dxa"/>
                  <w:tcBorders>
                    <w:top w:val="single" w:color="auto" w:sz="4" w:space="0"/>
                    <w:left w:val="nil"/>
                    <w:bottom w:val="single" w:color="auto" w:sz="4" w:space="0"/>
                    <w:right w:val="single" w:color="auto" w:sz="4" w:space="0"/>
                  </w:tcBorders>
                  <w:noWrap/>
                  <w:vAlign w:val="center"/>
                </w:tcPr>
                <w:p w14:paraId="7F11BCC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b/>
                      <w:bCs/>
                      <w:color w:val="auto"/>
                      <w:kern w:val="2"/>
                      <w:sz w:val="21"/>
                      <w:szCs w:val="21"/>
                      <w:highlight w:val="none"/>
                      <w:shd w:val="clear" w:color="auto" w:fill="auto"/>
                      <w:lang w:val="en-US" w:bidi="ar-SA"/>
                    </w:rPr>
                  </w:pPr>
                  <w:r>
                    <w:rPr>
                      <w:rFonts w:hint="eastAsia" w:ascii="宋体" w:hAnsi="宋体" w:eastAsia="宋体" w:cs="宋体"/>
                      <w:b/>
                      <w:bCs/>
                      <w:color w:val="auto"/>
                      <w:kern w:val="2"/>
                      <w:sz w:val="21"/>
                      <w:szCs w:val="21"/>
                      <w:highlight w:val="none"/>
                      <w:shd w:val="clear" w:color="auto" w:fill="auto"/>
                      <w:lang w:val="en-US" w:bidi="ar-SA"/>
                    </w:rPr>
                    <w:t>数量</w:t>
                  </w:r>
                </w:p>
              </w:tc>
            </w:tr>
            <w:tr w14:paraId="33C25460">
              <w:tblPrEx>
                <w:tblCellMar>
                  <w:top w:w="0" w:type="dxa"/>
                  <w:left w:w="108" w:type="dxa"/>
                  <w:bottom w:w="0" w:type="dxa"/>
                  <w:right w:w="108" w:type="dxa"/>
                </w:tblCellMar>
              </w:tblPrEx>
              <w:trPr>
                <w:trHeight w:val="264" w:hRule="atLeast"/>
                <w:jc w:val="center"/>
              </w:trPr>
              <w:tc>
                <w:tcPr>
                  <w:tcW w:w="558" w:type="dxa"/>
                  <w:vMerge w:val="restart"/>
                  <w:tcBorders>
                    <w:top w:val="nil"/>
                    <w:left w:val="single" w:color="auto" w:sz="4" w:space="0"/>
                    <w:bottom w:val="single" w:color="auto" w:sz="4" w:space="0"/>
                    <w:right w:val="single" w:color="auto" w:sz="4" w:space="0"/>
                  </w:tcBorders>
                  <w:noWrap/>
                  <w:vAlign w:val="center"/>
                </w:tcPr>
                <w:p w14:paraId="5364C3F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设计</w:t>
                  </w:r>
                </w:p>
              </w:tc>
              <w:tc>
                <w:tcPr>
                  <w:tcW w:w="872" w:type="dxa"/>
                  <w:tcBorders>
                    <w:top w:val="nil"/>
                    <w:left w:val="nil"/>
                    <w:bottom w:val="single" w:color="auto" w:sz="4" w:space="0"/>
                    <w:right w:val="single" w:color="auto" w:sz="4" w:space="0"/>
                  </w:tcBorders>
                  <w:noWrap w:val="0"/>
                  <w:vAlign w:val="center"/>
                </w:tcPr>
                <w:p w14:paraId="7BB305F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系统需求分析</w:t>
                  </w:r>
                </w:p>
              </w:tc>
              <w:tc>
                <w:tcPr>
                  <w:tcW w:w="3129" w:type="dxa"/>
                  <w:tcBorders>
                    <w:top w:val="nil"/>
                    <w:left w:val="nil"/>
                    <w:bottom w:val="single" w:color="auto" w:sz="4" w:space="0"/>
                    <w:right w:val="single" w:color="auto" w:sz="4" w:space="0"/>
                  </w:tcBorders>
                  <w:noWrap/>
                  <w:vAlign w:val="center"/>
                </w:tcPr>
                <w:p w14:paraId="542859C6">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资料整理、系统结构分析、系统策划</w:t>
                  </w:r>
                </w:p>
              </w:tc>
              <w:tc>
                <w:tcPr>
                  <w:tcW w:w="471" w:type="dxa"/>
                  <w:tcBorders>
                    <w:top w:val="nil"/>
                    <w:left w:val="nil"/>
                    <w:bottom w:val="single" w:color="auto" w:sz="4" w:space="0"/>
                    <w:right w:val="single" w:color="auto" w:sz="4" w:space="0"/>
                  </w:tcBorders>
                  <w:noWrap/>
                  <w:vAlign w:val="center"/>
                </w:tcPr>
                <w:p w14:paraId="5495510F">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6DC881F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37FD1B8E">
              <w:tblPrEx>
                <w:tblCellMar>
                  <w:top w:w="0" w:type="dxa"/>
                  <w:left w:w="108" w:type="dxa"/>
                  <w:bottom w:w="0" w:type="dxa"/>
                  <w:right w:w="108" w:type="dxa"/>
                </w:tblCellMar>
              </w:tblPrEx>
              <w:trPr>
                <w:trHeight w:val="1058" w:hRule="atLeast"/>
                <w:jc w:val="center"/>
              </w:trPr>
              <w:tc>
                <w:tcPr>
                  <w:tcW w:w="558" w:type="dxa"/>
                  <w:vMerge w:val="continue"/>
                  <w:tcBorders>
                    <w:top w:val="nil"/>
                    <w:left w:val="single" w:color="auto" w:sz="4" w:space="0"/>
                    <w:bottom w:val="single" w:color="auto" w:sz="4" w:space="0"/>
                    <w:right w:val="single" w:color="auto" w:sz="4" w:space="0"/>
                  </w:tcBorders>
                  <w:noWrap w:val="0"/>
                  <w:vAlign w:val="center"/>
                </w:tcPr>
                <w:p w14:paraId="0BB1F44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3300132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核心空间设计</w:t>
                  </w:r>
                </w:p>
              </w:tc>
              <w:tc>
                <w:tcPr>
                  <w:tcW w:w="3129" w:type="dxa"/>
                  <w:tcBorders>
                    <w:top w:val="nil"/>
                    <w:left w:val="nil"/>
                    <w:bottom w:val="single" w:color="auto" w:sz="4" w:space="0"/>
                    <w:right w:val="single" w:color="auto" w:sz="4" w:space="0"/>
                  </w:tcBorders>
                  <w:noWrap w:val="0"/>
                  <w:vAlign w:val="center"/>
                </w:tcPr>
                <w:p w14:paraId="4D44591D">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设计空间自行合理划分。设计</w:t>
                  </w:r>
                  <w:r>
                    <w:rPr>
                      <w:rFonts w:hint="eastAsia" w:ascii="宋体" w:hAnsi="宋体" w:eastAsia="宋体" w:cs="宋体"/>
                      <w:color w:val="auto"/>
                      <w:kern w:val="2"/>
                      <w:sz w:val="21"/>
                      <w:szCs w:val="21"/>
                      <w:highlight w:val="none"/>
                      <w:shd w:val="clear" w:color="auto" w:fill="auto"/>
                      <w:lang w:val="en-US" w:eastAsia="zh-Hans" w:bidi="ar-SA"/>
                    </w:rPr>
                    <w:t>校园建筑</w:t>
                  </w:r>
                  <w:r>
                    <w:rPr>
                      <w:rFonts w:hint="eastAsia" w:ascii="宋体" w:hAnsi="宋体" w:eastAsia="宋体" w:cs="宋体"/>
                      <w:color w:val="auto"/>
                      <w:kern w:val="2"/>
                      <w:sz w:val="21"/>
                      <w:szCs w:val="21"/>
                      <w:highlight w:val="none"/>
                      <w:shd w:val="clear" w:color="auto" w:fill="auto"/>
                      <w:lang w:val="en-US" w:bidi="ar-SA"/>
                    </w:rPr>
                    <w:t>建设及布局、展示区域的360度场景制作、场景全景图分类、渲图、调色、润色、修图、烘培合成、连接等。</w:t>
                  </w:r>
                </w:p>
              </w:tc>
              <w:tc>
                <w:tcPr>
                  <w:tcW w:w="471" w:type="dxa"/>
                  <w:tcBorders>
                    <w:top w:val="nil"/>
                    <w:left w:val="nil"/>
                    <w:bottom w:val="single" w:color="auto" w:sz="4" w:space="0"/>
                    <w:right w:val="single" w:color="auto" w:sz="4" w:space="0"/>
                  </w:tcBorders>
                  <w:noWrap/>
                  <w:vAlign w:val="center"/>
                </w:tcPr>
                <w:p w14:paraId="7405E90F">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72B40AA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1B030D34">
              <w:tblPrEx>
                <w:tblCellMar>
                  <w:top w:w="0" w:type="dxa"/>
                  <w:left w:w="108" w:type="dxa"/>
                  <w:bottom w:w="0" w:type="dxa"/>
                  <w:right w:w="108" w:type="dxa"/>
                </w:tblCellMar>
              </w:tblPrEx>
              <w:trPr>
                <w:trHeight w:val="793" w:hRule="atLeast"/>
                <w:jc w:val="center"/>
              </w:trPr>
              <w:tc>
                <w:tcPr>
                  <w:tcW w:w="558" w:type="dxa"/>
                  <w:vMerge w:val="restart"/>
                  <w:tcBorders>
                    <w:top w:val="nil"/>
                    <w:left w:val="single" w:color="auto" w:sz="4" w:space="0"/>
                    <w:bottom w:val="single" w:color="auto" w:sz="4" w:space="0"/>
                    <w:right w:val="single" w:color="auto" w:sz="4" w:space="0"/>
                  </w:tcBorders>
                  <w:noWrap w:val="0"/>
                  <w:vAlign w:val="center"/>
                </w:tcPr>
                <w:p w14:paraId="75D15DD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美术</w:t>
                  </w:r>
                </w:p>
              </w:tc>
              <w:tc>
                <w:tcPr>
                  <w:tcW w:w="872" w:type="dxa"/>
                  <w:tcBorders>
                    <w:top w:val="nil"/>
                    <w:left w:val="nil"/>
                    <w:bottom w:val="single" w:color="auto" w:sz="4" w:space="0"/>
                    <w:right w:val="single" w:color="auto" w:sz="4" w:space="0"/>
                  </w:tcBorders>
                  <w:noWrap w:val="0"/>
                  <w:vAlign w:val="center"/>
                </w:tcPr>
                <w:p w14:paraId="4C22B23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核心空间</w:t>
                  </w:r>
                </w:p>
                <w:p w14:paraId="4009579C">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三维建模</w:t>
                  </w:r>
                </w:p>
              </w:tc>
              <w:tc>
                <w:tcPr>
                  <w:tcW w:w="3129" w:type="dxa"/>
                  <w:tcBorders>
                    <w:top w:val="nil"/>
                    <w:left w:val="nil"/>
                    <w:bottom w:val="single" w:color="auto" w:sz="4" w:space="0"/>
                    <w:right w:val="single" w:color="auto" w:sz="4" w:space="0"/>
                  </w:tcBorders>
                  <w:noWrap w:val="0"/>
                  <w:vAlign w:val="center"/>
                </w:tcPr>
                <w:p w14:paraId="25B8F5AB">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采用成熟稳定制作系统制作，可支持实时替换，实时修改，实时更新数据；基于的三维实时图文渲染引擎开发，</w:t>
                  </w:r>
                </w:p>
              </w:tc>
              <w:tc>
                <w:tcPr>
                  <w:tcW w:w="471" w:type="dxa"/>
                  <w:tcBorders>
                    <w:top w:val="nil"/>
                    <w:left w:val="nil"/>
                    <w:bottom w:val="single" w:color="auto" w:sz="4" w:space="0"/>
                    <w:right w:val="single" w:color="auto" w:sz="4" w:space="0"/>
                  </w:tcBorders>
                  <w:noWrap/>
                  <w:vAlign w:val="center"/>
                </w:tcPr>
                <w:p w14:paraId="3C52F90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7311BB6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49A1E79F">
              <w:tblPrEx>
                <w:tblCellMar>
                  <w:top w:w="0" w:type="dxa"/>
                  <w:left w:w="108" w:type="dxa"/>
                  <w:bottom w:w="0" w:type="dxa"/>
                  <w:right w:w="108" w:type="dxa"/>
                </w:tblCellMar>
              </w:tblPrEx>
              <w:trPr>
                <w:trHeight w:val="529" w:hRule="atLeast"/>
                <w:jc w:val="center"/>
              </w:trPr>
              <w:tc>
                <w:tcPr>
                  <w:tcW w:w="558" w:type="dxa"/>
                  <w:vMerge w:val="continue"/>
                  <w:tcBorders>
                    <w:top w:val="nil"/>
                    <w:left w:val="single" w:color="auto" w:sz="4" w:space="0"/>
                    <w:bottom w:val="single" w:color="auto" w:sz="4" w:space="0"/>
                    <w:right w:val="single" w:color="auto" w:sz="4" w:space="0"/>
                  </w:tcBorders>
                  <w:noWrap w:val="0"/>
                  <w:vAlign w:val="center"/>
                </w:tcPr>
                <w:p w14:paraId="4CEAB90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03AFDE9B">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三维模型贴图制作</w:t>
                  </w:r>
                </w:p>
              </w:tc>
              <w:tc>
                <w:tcPr>
                  <w:tcW w:w="3129" w:type="dxa"/>
                  <w:tcBorders>
                    <w:top w:val="nil"/>
                    <w:left w:val="nil"/>
                    <w:bottom w:val="single" w:color="auto" w:sz="4" w:space="0"/>
                    <w:right w:val="single" w:color="auto" w:sz="4" w:space="0"/>
                  </w:tcBorders>
                  <w:noWrap w:val="0"/>
                  <w:vAlign w:val="center"/>
                </w:tcPr>
                <w:p w14:paraId="070B64A5">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提供4K超高分辨率的渲染能力场景和三维模型均提供3ds等格式。</w:t>
                  </w:r>
                </w:p>
              </w:tc>
              <w:tc>
                <w:tcPr>
                  <w:tcW w:w="471" w:type="dxa"/>
                  <w:tcBorders>
                    <w:top w:val="nil"/>
                    <w:left w:val="nil"/>
                    <w:bottom w:val="single" w:color="auto" w:sz="4" w:space="0"/>
                    <w:right w:val="single" w:color="auto" w:sz="4" w:space="0"/>
                  </w:tcBorders>
                  <w:noWrap/>
                  <w:vAlign w:val="center"/>
                </w:tcPr>
                <w:p w14:paraId="1D73715B">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30A6069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5427FD41">
              <w:tblPrEx>
                <w:tblCellMar>
                  <w:top w:w="0" w:type="dxa"/>
                  <w:left w:w="108" w:type="dxa"/>
                  <w:bottom w:w="0" w:type="dxa"/>
                  <w:right w:w="108" w:type="dxa"/>
                </w:tblCellMar>
              </w:tblPrEx>
              <w:trPr>
                <w:trHeight w:val="264" w:hRule="atLeast"/>
                <w:jc w:val="center"/>
              </w:trPr>
              <w:tc>
                <w:tcPr>
                  <w:tcW w:w="558" w:type="dxa"/>
                  <w:vMerge w:val="continue"/>
                  <w:tcBorders>
                    <w:top w:val="nil"/>
                    <w:left w:val="single" w:color="auto" w:sz="4" w:space="0"/>
                    <w:bottom w:val="single" w:color="auto" w:sz="4" w:space="0"/>
                    <w:right w:val="single" w:color="auto" w:sz="4" w:space="0"/>
                  </w:tcBorders>
                  <w:noWrap w:val="0"/>
                  <w:vAlign w:val="center"/>
                </w:tcPr>
                <w:p w14:paraId="0E01195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3CBE48D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三维模型材质</w:t>
                  </w:r>
                </w:p>
              </w:tc>
              <w:tc>
                <w:tcPr>
                  <w:tcW w:w="3129" w:type="dxa"/>
                  <w:tcBorders>
                    <w:top w:val="nil"/>
                    <w:left w:val="nil"/>
                    <w:bottom w:val="single" w:color="auto" w:sz="4" w:space="0"/>
                    <w:right w:val="single" w:color="auto" w:sz="4" w:space="0"/>
                  </w:tcBorders>
                  <w:noWrap w:val="0"/>
                  <w:vAlign w:val="center"/>
                </w:tcPr>
                <w:p w14:paraId="3E9C0466">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纹理格式为jpg、png等</w:t>
                  </w:r>
                </w:p>
              </w:tc>
              <w:tc>
                <w:tcPr>
                  <w:tcW w:w="471" w:type="dxa"/>
                  <w:tcBorders>
                    <w:top w:val="nil"/>
                    <w:left w:val="nil"/>
                    <w:bottom w:val="single" w:color="auto" w:sz="4" w:space="0"/>
                    <w:right w:val="single" w:color="auto" w:sz="4" w:space="0"/>
                  </w:tcBorders>
                  <w:noWrap/>
                  <w:vAlign w:val="center"/>
                </w:tcPr>
                <w:p w14:paraId="43C6BE4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0279460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643734C4">
              <w:tblPrEx>
                <w:tblCellMar>
                  <w:top w:w="0" w:type="dxa"/>
                  <w:left w:w="108" w:type="dxa"/>
                  <w:bottom w:w="0" w:type="dxa"/>
                  <w:right w:w="108" w:type="dxa"/>
                </w:tblCellMar>
              </w:tblPrEx>
              <w:trPr>
                <w:trHeight w:val="529" w:hRule="atLeast"/>
                <w:jc w:val="center"/>
              </w:trPr>
              <w:tc>
                <w:tcPr>
                  <w:tcW w:w="558" w:type="dxa"/>
                  <w:vMerge w:val="continue"/>
                  <w:tcBorders>
                    <w:top w:val="nil"/>
                    <w:left w:val="single" w:color="auto" w:sz="4" w:space="0"/>
                    <w:bottom w:val="single" w:color="auto" w:sz="4" w:space="0"/>
                    <w:right w:val="single" w:color="auto" w:sz="4" w:space="0"/>
                  </w:tcBorders>
                  <w:noWrap w:val="0"/>
                  <w:vAlign w:val="center"/>
                </w:tcPr>
                <w:p w14:paraId="14BE0D5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7EC829E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三维场景读取</w:t>
                  </w:r>
                </w:p>
              </w:tc>
              <w:tc>
                <w:tcPr>
                  <w:tcW w:w="3129" w:type="dxa"/>
                  <w:tcBorders>
                    <w:top w:val="nil"/>
                    <w:left w:val="nil"/>
                    <w:bottom w:val="single" w:color="auto" w:sz="4" w:space="0"/>
                    <w:right w:val="single" w:color="auto" w:sz="4" w:space="0"/>
                  </w:tcBorders>
                  <w:noWrap w:val="0"/>
                  <w:vAlign w:val="center"/>
                </w:tcPr>
                <w:p w14:paraId="75211877">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eastAsia="zh-Hans" w:bidi="ar-SA"/>
                    </w:rPr>
                    <w:t>支持</w:t>
                  </w:r>
                  <w:r>
                    <w:rPr>
                      <w:rFonts w:hint="eastAsia" w:ascii="宋体" w:hAnsi="宋体" w:eastAsia="宋体" w:cs="宋体"/>
                      <w:color w:val="auto"/>
                      <w:kern w:val="2"/>
                      <w:sz w:val="21"/>
                      <w:szCs w:val="21"/>
                      <w:highlight w:val="none"/>
                      <w:shd w:val="clear" w:color="auto" w:fill="auto"/>
                      <w:lang w:val="en-US" w:bidi="ar-SA"/>
                    </w:rPr>
                    <w:t>把三维模型加载到web内，进行实时的渲染</w:t>
                  </w:r>
                </w:p>
              </w:tc>
              <w:tc>
                <w:tcPr>
                  <w:tcW w:w="471" w:type="dxa"/>
                  <w:tcBorders>
                    <w:top w:val="nil"/>
                    <w:left w:val="nil"/>
                    <w:bottom w:val="single" w:color="auto" w:sz="4" w:space="0"/>
                    <w:right w:val="single" w:color="auto" w:sz="4" w:space="0"/>
                  </w:tcBorders>
                  <w:noWrap/>
                  <w:vAlign w:val="center"/>
                </w:tcPr>
                <w:p w14:paraId="16DC61B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7C72F85B">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5A2D44BC">
              <w:tblPrEx>
                <w:tblCellMar>
                  <w:top w:w="0" w:type="dxa"/>
                  <w:left w:w="108" w:type="dxa"/>
                  <w:bottom w:w="0" w:type="dxa"/>
                  <w:right w:w="108" w:type="dxa"/>
                </w:tblCellMar>
              </w:tblPrEx>
              <w:trPr>
                <w:trHeight w:val="264" w:hRule="atLeast"/>
                <w:jc w:val="center"/>
              </w:trPr>
              <w:tc>
                <w:tcPr>
                  <w:tcW w:w="558" w:type="dxa"/>
                  <w:vMerge w:val="continue"/>
                  <w:tcBorders>
                    <w:top w:val="nil"/>
                    <w:left w:val="single" w:color="auto" w:sz="4" w:space="0"/>
                    <w:bottom w:val="single" w:color="auto" w:sz="4" w:space="0"/>
                    <w:right w:val="single" w:color="auto" w:sz="4" w:space="0"/>
                  </w:tcBorders>
                  <w:noWrap w:val="0"/>
                  <w:vAlign w:val="center"/>
                </w:tcPr>
                <w:p w14:paraId="68A52C5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2CF6339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三维场景漫游</w:t>
                  </w:r>
                </w:p>
              </w:tc>
              <w:tc>
                <w:tcPr>
                  <w:tcW w:w="3129" w:type="dxa"/>
                  <w:tcBorders>
                    <w:top w:val="nil"/>
                    <w:left w:val="nil"/>
                    <w:bottom w:val="single" w:color="auto" w:sz="4" w:space="0"/>
                    <w:right w:val="single" w:color="auto" w:sz="4" w:space="0"/>
                  </w:tcBorders>
                  <w:noWrap w:val="0"/>
                  <w:vAlign w:val="center"/>
                </w:tcPr>
                <w:p w14:paraId="579D6E53">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用户可以在空间自由漫游</w:t>
                  </w:r>
                </w:p>
              </w:tc>
              <w:tc>
                <w:tcPr>
                  <w:tcW w:w="471" w:type="dxa"/>
                  <w:tcBorders>
                    <w:top w:val="nil"/>
                    <w:left w:val="nil"/>
                    <w:bottom w:val="single" w:color="auto" w:sz="4" w:space="0"/>
                    <w:right w:val="single" w:color="auto" w:sz="4" w:space="0"/>
                  </w:tcBorders>
                  <w:noWrap/>
                  <w:vAlign w:val="center"/>
                </w:tcPr>
                <w:p w14:paraId="5014BC2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59555CB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7F8ED27C">
              <w:tblPrEx>
                <w:tblCellMar>
                  <w:top w:w="0" w:type="dxa"/>
                  <w:left w:w="108" w:type="dxa"/>
                  <w:bottom w:w="0" w:type="dxa"/>
                  <w:right w:w="108" w:type="dxa"/>
                </w:tblCellMar>
              </w:tblPrEx>
              <w:trPr>
                <w:trHeight w:val="793" w:hRule="atLeast"/>
                <w:jc w:val="center"/>
              </w:trPr>
              <w:tc>
                <w:tcPr>
                  <w:tcW w:w="558" w:type="dxa"/>
                  <w:vMerge w:val="restart"/>
                  <w:tcBorders>
                    <w:top w:val="nil"/>
                    <w:left w:val="single" w:color="auto" w:sz="4" w:space="0"/>
                    <w:right w:val="single" w:color="auto" w:sz="4" w:space="0"/>
                  </w:tcBorders>
                  <w:noWrap w:val="0"/>
                  <w:vAlign w:val="center"/>
                </w:tcPr>
                <w:p w14:paraId="69E8A07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开发</w:t>
                  </w:r>
                </w:p>
              </w:tc>
              <w:tc>
                <w:tcPr>
                  <w:tcW w:w="872" w:type="dxa"/>
                  <w:tcBorders>
                    <w:top w:val="nil"/>
                    <w:left w:val="nil"/>
                    <w:bottom w:val="single" w:color="auto" w:sz="4" w:space="0"/>
                    <w:right w:val="single" w:color="auto" w:sz="4" w:space="0"/>
                  </w:tcBorders>
                  <w:noWrap w:val="0"/>
                  <w:vAlign w:val="center"/>
                </w:tcPr>
                <w:p w14:paraId="4276F1BC">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系统UI设计</w:t>
                  </w:r>
                </w:p>
              </w:tc>
              <w:tc>
                <w:tcPr>
                  <w:tcW w:w="3129" w:type="dxa"/>
                  <w:tcBorders>
                    <w:top w:val="nil"/>
                    <w:left w:val="nil"/>
                    <w:bottom w:val="single" w:color="auto" w:sz="4" w:space="0"/>
                    <w:right w:val="single" w:color="auto" w:sz="4" w:space="0"/>
                  </w:tcBorders>
                  <w:noWrap w:val="0"/>
                  <w:vAlign w:val="center"/>
                </w:tcPr>
                <w:p w14:paraId="55D5B697">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原型设计+高保真发布、个性化界面设计、热点设计、热点内容排版设计、首页主题设计制作等。</w:t>
                  </w:r>
                </w:p>
              </w:tc>
              <w:tc>
                <w:tcPr>
                  <w:tcW w:w="471" w:type="dxa"/>
                  <w:tcBorders>
                    <w:top w:val="nil"/>
                    <w:left w:val="nil"/>
                    <w:bottom w:val="single" w:color="auto" w:sz="4" w:space="0"/>
                    <w:right w:val="single" w:color="auto" w:sz="4" w:space="0"/>
                  </w:tcBorders>
                  <w:noWrap/>
                  <w:vAlign w:val="center"/>
                </w:tcPr>
                <w:p w14:paraId="75A252A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1A14E84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72A395C7">
              <w:tblPrEx>
                <w:tblCellMar>
                  <w:top w:w="0" w:type="dxa"/>
                  <w:left w:w="108" w:type="dxa"/>
                  <w:bottom w:w="0" w:type="dxa"/>
                  <w:right w:w="108" w:type="dxa"/>
                </w:tblCellMar>
              </w:tblPrEx>
              <w:trPr>
                <w:trHeight w:val="264" w:hRule="atLeast"/>
                <w:jc w:val="center"/>
              </w:trPr>
              <w:tc>
                <w:tcPr>
                  <w:tcW w:w="558" w:type="dxa"/>
                  <w:vMerge w:val="continue"/>
                  <w:tcBorders>
                    <w:left w:val="single" w:color="auto" w:sz="4" w:space="0"/>
                    <w:right w:val="single" w:color="auto" w:sz="4" w:space="0"/>
                  </w:tcBorders>
                  <w:noWrap w:val="0"/>
                  <w:vAlign w:val="center"/>
                </w:tcPr>
                <w:p w14:paraId="7D07734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258AE79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前端互动开发</w:t>
                  </w:r>
                </w:p>
              </w:tc>
              <w:tc>
                <w:tcPr>
                  <w:tcW w:w="3129" w:type="dxa"/>
                  <w:tcBorders>
                    <w:top w:val="nil"/>
                    <w:left w:val="nil"/>
                    <w:bottom w:val="single" w:color="auto" w:sz="4" w:space="0"/>
                    <w:right w:val="single" w:color="auto" w:sz="4" w:space="0"/>
                  </w:tcBorders>
                  <w:noWrap/>
                  <w:vAlign w:val="center"/>
                </w:tcPr>
                <w:p w14:paraId="7D52EEE2">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基于webGL的网页3D效果开发</w:t>
                  </w:r>
                </w:p>
              </w:tc>
              <w:tc>
                <w:tcPr>
                  <w:tcW w:w="471" w:type="dxa"/>
                  <w:tcBorders>
                    <w:top w:val="nil"/>
                    <w:left w:val="nil"/>
                    <w:bottom w:val="single" w:color="auto" w:sz="4" w:space="0"/>
                    <w:right w:val="single" w:color="auto" w:sz="4" w:space="0"/>
                  </w:tcBorders>
                  <w:noWrap/>
                  <w:vAlign w:val="center"/>
                </w:tcPr>
                <w:p w14:paraId="04F65BB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519A4DC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13DF69A9">
              <w:tblPrEx>
                <w:tblCellMar>
                  <w:top w:w="0" w:type="dxa"/>
                  <w:left w:w="108" w:type="dxa"/>
                  <w:bottom w:w="0" w:type="dxa"/>
                  <w:right w:w="108" w:type="dxa"/>
                </w:tblCellMar>
              </w:tblPrEx>
              <w:trPr>
                <w:trHeight w:val="264" w:hRule="atLeast"/>
                <w:jc w:val="center"/>
              </w:trPr>
              <w:tc>
                <w:tcPr>
                  <w:tcW w:w="558" w:type="dxa"/>
                  <w:vMerge w:val="continue"/>
                  <w:tcBorders>
                    <w:left w:val="single" w:color="auto" w:sz="4" w:space="0"/>
                    <w:right w:val="single" w:color="auto" w:sz="4" w:space="0"/>
                  </w:tcBorders>
                  <w:noWrap w:val="0"/>
                  <w:vAlign w:val="center"/>
                </w:tcPr>
                <w:p w14:paraId="423F49F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7E27B61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用户注册功能</w:t>
                  </w:r>
                </w:p>
              </w:tc>
              <w:tc>
                <w:tcPr>
                  <w:tcW w:w="3129" w:type="dxa"/>
                  <w:tcBorders>
                    <w:top w:val="nil"/>
                    <w:left w:val="nil"/>
                    <w:bottom w:val="single" w:color="auto" w:sz="4" w:space="0"/>
                    <w:right w:val="single" w:color="auto" w:sz="4" w:space="0"/>
                  </w:tcBorders>
                  <w:noWrap/>
                  <w:vAlign w:val="center"/>
                </w:tcPr>
                <w:p w14:paraId="23E0861A">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可以通过手机注册账号</w:t>
                  </w:r>
                </w:p>
              </w:tc>
              <w:tc>
                <w:tcPr>
                  <w:tcW w:w="471" w:type="dxa"/>
                  <w:tcBorders>
                    <w:top w:val="nil"/>
                    <w:left w:val="nil"/>
                    <w:bottom w:val="single" w:color="auto" w:sz="4" w:space="0"/>
                    <w:right w:val="single" w:color="auto" w:sz="4" w:space="0"/>
                  </w:tcBorders>
                  <w:noWrap/>
                  <w:vAlign w:val="center"/>
                </w:tcPr>
                <w:p w14:paraId="0431780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55F6CA7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55209F97">
              <w:tblPrEx>
                <w:tblCellMar>
                  <w:top w:w="0" w:type="dxa"/>
                  <w:left w:w="108" w:type="dxa"/>
                  <w:bottom w:w="0" w:type="dxa"/>
                  <w:right w:w="108" w:type="dxa"/>
                </w:tblCellMar>
              </w:tblPrEx>
              <w:trPr>
                <w:trHeight w:val="264" w:hRule="atLeast"/>
                <w:jc w:val="center"/>
              </w:trPr>
              <w:tc>
                <w:tcPr>
                  <w:tcW w:w="558" w:type="dxa"/>
                  <w:vMerge w:val="continue"/>
                  <w:tcBorders>
                    <w:left w:val="single" w:color="auto" w:sz="4" w:space="0"/>
                    <w:right w:val="single" w:color="auto" w:sz="4" w:space="0"/>
                  </w:tcBorders>
                  <w:noWrap w:val="0"/>
                  <w:vAlign w:val="center"/>
                </w:tcPr>
                <w:p w14:paraId="051DEA5B">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7AD0251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用户登录功能</w:t>
                  </w:r>
                </w:p>
              </w:tc>
              <w:tc>
                <w:tcPr>
                  <w:tcW w:w="3129" w:type="dxa"/>
                  <w:tcBorders>
                    <w:top w:val="nil"/>
                    <w:left w:val="nil"/>
                    <w:bottom w:val="single" w:color="auto" w:sz="4" w:space="0"/>
                    <w:right w:val="single" w:color="auto" w:sz="4" w:space="0"/>
                  </w:tcBorders>
                  <w:noWrap/>
                  <w:vAlign w:val="center"/>
                </w:tcPr>
                <w:p w14:paraId="44A2EF1F">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登陆后可以进行交流</w:t>
                  </w:r>
                </w:p>
              </w:tc>
              <w:tc>
                <w:tcPr>
                  <w:tcW w:w="471" w:type="dxa"/>
                  <w:tcBorders>
                    <w:top w:val="nil"/>
                    <w:left w:val="nil"/>
                    <w:bottom w:val="single" w:color="auto" w:sz="4" w:space="0"/>
                    <w:right w:val="single" w:color="auto" w:sz="4" w:space="0"/>
                  </w:tcBorders>
                  <w:noWrap/>
                  <w:vAlign w:val="center"/>
                </w:tcPr>
                <w:p w14:paraId="3307367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3D5458C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7669F436">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60F25DE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0C35971D">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三维网页引擎打包整合</w:t>
                  </w:r>
                </w:p>
              </w:tc>
              <w:tc>
                <w:tcPr>
                  <w:tcW w:w="3129" w:type="dxa"/>
                  <w:tcBorders>
                    <w:top w:val="nil"/>
                    <w:left w:val="nil"/>
                    <w:bottom w:val="single" w:color="auto" w:sz="4" w:space="0"/>
                    <w:right w:val="single" w:color="auto" w:sz="4" w:space="0"/>
                  </w:tcBorders>
                  <w:noWrap w:val="0"/>
                  <w:vAlign w:val="center"/>
                </w:tcPr>
                <w:p w14:paraId="5D54A950">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网页3D引擎开发整合</w:t>
                  </w:r>
                </w:p>
              </w:tc>
              <w:tc>
                <w:tcPr>
                  <w:tcW w:w="471" w:type="dxa"/>
                  <w:tcBorders>
                    <w:top w:val="nil"/>
                    <w:left w:val="nil"/>
                    <w:bottom w:val="single" w:color="auto" w:sz="4" w:space="0"/>
                    <w:right w:val="single" w:color="auto" w:sz="4" w:space="0"/>
                  </w:tcBorders>
                  <w:noWrap/>
                  <w:vAlign w:val="center"/>
                </w:tcPr>
                <w:p w14:paraId="65C6F89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2161C57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2DF7ABA2">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4E9DB6E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6B3DB9B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客户场景内容管理</w:t>
                  </w:r>
                </w:p>
              </w:tc>
              <w:tc>
                <w:tcPr>
                  <w:tcW w:w="3129" w:type="dxa"/>
                  <w:tcBorders>
                    <w:top w:val="nil"/>
                    <w:left w:val="nil"/>
                    <w:bottom w:val="single" w:color="auto" w:sz="4" w:space="0"/>
                    <w:right w:val="single" w:color="auto" w:sz="4" w:space="0"/>
                  </w:tcBorders>
                  <w:noWrap w:val="0"/>
                  <w:vAlign w:val="center"/>
                </w:tcPr>
                <w:p w14:paraId="7F46372F">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并自定义 更改虚拟空间中的海报、音乐、视频、LOGO以及链接。</w:t>
                  </w:r>
                </w:p>
              </w:tc>
              <w:tc>
                <w:tcPr>
                  <w:tcW w:w="471" w:type="dxa"/>
                  <w:tcBorders>
                    <w:top w:val="nil"/>
                    <w:left w:val="nil"/>
                    <w:bottom w:val="single" w:color="auto" w:sz="4" w:space="0"/>
                    <w:right w:val="single" w:color="auto" w:sz="4" w:space="0"/>
                  </w:tcBorders>
                  <w:noWrap/>
                  <w:vAlign w:val="center"/>
                </w:tcPr>
                <w:p w14:paraId="3410E4E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7FFB8A0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7F042884">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3BA00CEF">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068CD71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数据统计</w:t>
                  </w:r>
                </w:p>
              </w:tc>
              <w:tc>
                <w:tcPr>
                  <w:tcW w:w="3129" w:type="dxa"/>
                  <w:tcBorders>
                    <w:top w:val="nil"/>
                    <w:left w:val="nil"/>
                    <w:bottom w:val="single" w:color="auto" w:sz="4" w:space="0"/>
                    <w:right w:val="single" w:color="auto" w:sz="4" w:space="0"/>
                  </w:tcBorders>
                  <w:noWrap w:val="0"/>
                  <w:vAlign w:val="center"/>
                </w:tcPr>
                <w:p w14:paraId="149855C1">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统计每场</w:t>
                  </w:r>
                  <w:r>
                    <w:rPr>
                      <w:rFonts w:hint="eastAsia" w:ascii="宋体" w:hAnsi="宋体" w:eastAsia="宋体" w:cs="宋体"/>
                      <w:color w:val="auto"/>
                      <w:kern w:val="2"/>
                      <w:sz w:val="21"/>
                      <w:szCs w:val="21"/>
                      <w:highlight w:val="none"/>
                      <w:shd w:val="clear" w:color="auto" w:fill="auto"/>
                      <w:lang w:val="en-US" w:eastAsia="zh-Hans" w:bidi="ar-SA"/>
                    </w:rPr>
                    <w:t>课程</w:t>
                  </w:r>
                  <w:r>
                    <w:rPr>
                      <w:rFonts w:hint="eastAsia" w:ascii="宋体" w:hAnsi="宋体" w:eastAsia="宋体" w:cs="宋体"/>
                      <w:color w:val="auto"/>
                      <w:kern w:val="2"/>
                      <w:sz w:val="21"/>
                      <w:szCs w:val="21"/>
                      <w:highlight w:val="none"/>
                      <w:shd w:val="clear" w:color="auto" w:fill="auto"/>
                      <w:lang w:val="en-US" w:bidi="ar-SA"/>
                    </w:rPr>
                    <w:t>的核心数据，在线人数、总浏览量等</w:t>
                  </w:r>
                </w:p>
              </w:tc>
              <w:tc>
                <w:tcPr>
                  <w:tcW w:w="471" w:type="dxa"/>
                  <w:tcBorders>
                    <w:top w:val="nil"/>
                    <w:left w:val="nil"/>
                    <w:bottom w:val="single" w:color="auto" w:sz="4" w:space="0"/>
                    <w:right w:val="single" w:color="auto" w:sz="4" w:space="0"/>
                  </w:tcBorders>
                  <w:noWrap/>
                  <w:vAlign w:val="center"/>
                </w:tcPr>
                <w:p w14:paraId="7F505B2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26D9E5B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11105C6D">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7C3DD75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7013A45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bidi="ar-SA"/>
                    </w:rPr>
                    <w:t>自定义</w:t>
                  </w:r>
                  <w:r>
                    <w:rPr>
                      <w:rFonts w:hint="eastAsia" w:ascii="宋体" w:hAnsi="宋体" w:eastAsia="宋体" w:cs="宋体"/>
                      <w:color w:val="auto"/>
                      <w:kern w:val="2"/>
                      <w:sz w:val="21"/>
                      <w:szCs w:val="21"/>
                      <w:highlight w:val="none"/>
                      <w:shd w:val="clear" w:color="auto" w:fill="auto"/>
                      <w:lang w:val="en-US" w:eastAsia="zh-Hans" w:bidi="ar-SA"/>
                    </w:rPr>
                    <w:t>角色</w:t>
                  </w:r>
                </w:p>
              </w:tc>
              <w:tc>
                <w:tcPr>
                  <w:tcW w:w="3129" w:type="dxa"/>
                  <w:tcBorders>
                    <w:top w:val="nil"/>
                    <w:left w:val="nil"/>
                    <w:bottom w:val="single" w:color="auto" w:sz="4" w:space="0"/>
                    <w:right w:val="single" w:color="auto" w:sz="4" w:space="0"/>
                  </w:tcBorders>
                  <w:noWrap w:val="0"/>
                  <w:vAlign w:val="center"/>
                </w:tcPr>
                <w:p w14:paraId="79CC0BF9">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支持用户</w:t>
                  </w:r>
                  <w:r>
                    <w:rPr>
                      <w:rFonts w:hint="eastAsia" w:ascii="宋体" w:hAnsi="宋体" w:eastAsia="宋体" w:cs="宋体"/>
                      <w:color w:val="auto"/>
                      <w:kern w:val="2"/>
                      <w:sz w:val="21"/>
                      <w:szCs w:val="21"/>
                      <w:highlight w:val="none"/>
                      <w:shd w:val="clear" w:color="auto" w:fill="auto"/>
                      <w:lang w:val="en-US" w:eastAsia="zh-Hans" w:bidi="ar-SA"/>
                    </w:rPr>
                    <w:t>角色、</w:t>
                  </w:r>
                  <w:r>
                    <w:rPr>
                      <w:rFonts w:hint="eastAsia" w:ascii="宋体" w:hAnsi="宋体" w:eastAsia="宋体" w:cs="宋体"/>
                      <w:color w:val="auto"/>
                      <w:kern w:val="2"/>
                      <w:sz w:val="21"/>
                      <w:szCs w:val="21"/>
                      <w:highlight w:val="none"/>
                      <w:shd w:val="clear" w:color="auto" w:fill="auto"/>
                      <w:lang w:val="en-US" w:bidi="ar-SA"/>
                    </w:rPr>
                    <w:t>服装自由选择。</w:t>
                  </w:r>
                </w:p>
              </w:tc>
              <w:tc>
                <w:tcPr>
                  <w:tcW w:w="471" w:type="dxa"/>
                  <w:tcBorders>
                    <w:top w:val="nil"/>
                    <w:left w:val="nil"/>
                    <w:bottom w:val="single" w:color="auto" w:sz="4" w:space="0"/>
                    <w:right w:val="single" w:color="auto" w:sz="4" w:space="0"/>
                  </w:tcBorders>
                  <w:noWrap/>
                  <w:vAlign w:val="center"/>
                </w:tcPr>
                <w:p w14:paraId="50B594B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套</w:t>
                  </w:r>
                </w:p>
              </w:tc>
              <w:tc>
                <w:tcPr>
                  <w:tcW w:w="500" w:type="dxa"/>
                  <w:tcBorders>
                    <w:top w:val="nil"/>
                    <w:left w:val="nil"/>
                    <w:bottom w:val="single" w:color="auto" w:sz="4" w:space="0"/>
                    <w:right w:val="single" w:color="auto" w:sz="4" w:space="0"/>
                  </w:tcBorders>
                  <w:noWrap/>
                  <w:vAlign w:val="center"/>
                </w:tcPr>
                <w:p w14:paraId="76BEB14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bidi="ar-SA"/>
                    </w:rPr>
                  </w:pPr>
                  <w:r>
                    <w:rPr>
                      <w:rFonts w:hint="eastAsia" w:ascii="宋体" w:hAnsi="宋体" w:eastAsia="宋体" w:cs="宋体"/>
                      <w:color w:val="auto"/>
                      <w:kern w:val="2"/>
                      <w:sz w:val="21"/>
                      <w:szCs w:val="21"/>
                      <w:highlight w:val="none"/>
                      <w:shd w:val="clear" w:color="auto" w:fill="auto"/>
                      <w:lang w:bidi="ar-SA"/>
                    </w:rPr>
                    <w:t>1</w:t>
                  </w:r>
                </w:p>
              </w:tc>
            </w:tr>
            <w:tr w14:paraId="0186AD1D">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4B1002F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0930732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共享屏幕</w:t>
                  </w:r>
                </w:p>
              </w:tc>
              <w:tc>
                <w:tcPr>
                  <w:tcW w:w="3129" w:type="dxa"/>
                  <w:tcBorders>
                    <w:top w:val="nil"/>
                    <w:left w:val="nil"/>
                    <w:bottom w:val="single" w:color="auto" w:sz="4" w:space="0"/>
                    <w:right w:val="single" w:color="auto" w:sz="4" w:space="0"/>
                  </w:tcBorders>
                  <w:noWrap w:val="0"/>
                  <w:vAlign w:val="center"/>
                </w:tcPr>
                <w:p w14:paraId="1FC15890">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需</w:t>
                  </w:r>
                  <w:r>
                    <w:rPr>
                      <w:rFonts w:hint="eastAsia" w:ascii="宋体" w:hAnsi="宋体" w:eastAsia="宋体" w:cs="宋体"/>
                      <w:color w:val="auto"/>
                      <w:kern w:val="2"/>
                      <w:sz w:val="21"/>
                      <w:szCs w:val="21"/>
                      <w:highlight w:val="none"/>
                      <w:shd w:val="clear" w:color="auto" w:fill="auto"/>
                      <w:lang w:val="en-US" w:eastAsia="zh-Hans" w:bidi="ar-SA"/>
                    </w:rPr>
                    <w:t>设计提供</w:t>
                  </w:r>
                  <w:r>
                    <w:rPr>
                      <w:rFonts w:hint="eastAsia" w:ascii="宋体" w:hAnsi="宋体" w:eastAsia="宋体" w:cs="宋体"/>
                      <w:color w:val="auto"/>
                      <w:kern w:val="2"/>
                      <w:sz w:val="21"/>
                      <w:szCs w:val="21"/>
                      <w:highlight w:val="none"/>
                      <w:shd w:val="clear" w:color="auto" w:fill="auto"/>
                      <w:lang w:val="en-US" w:bidi="ar-SA"/>
                    </w:rPr>
                    <w:t>共享</w:t>
                  </w:r>
                  <w:r>
                    <w:rPr>
                      <w:rFonts w:hint="eastAsia" w:ascii="宋体" w:hAnsi="宋体" w:eastAsia="宋体" w:cs="宋体"/>
                      <w:color w:val="auto"/>
                      <w:kern w:val="2"/>
                      <w:sz w:val="21"/>
                      <w:szCs w:val="21"/>
                      <w:highlight w:val="none"/>
                      <w:shd w:val="clear" w:color="auto" w:fill="auto"/>
                      <w:lang w:val="en-US" w:eastAsia="zh-Hans" w:bidi="ar-SA"/>
                    </w:rPr>
                    <w:t>教学</w:t>
                  </w:r>
                  <w:r>
                    <w:rPr>
                      <w:rFonts w:hint="eastAsia" w:ascii="宋体" w:hAnsi="宋体" w:eastAsia="宋体" w:cs="宋体"/>
                      <w:color w:val="auto"/>
                      <w:kern w:val="2"/>
                      <w:sz w:val="21"/>
                      <w:szCs w:val="21"/>
                      <w:highlight w:val="none"/>
                      <w:shd w:val="clear" w:color="auto" w:fill="auto"/>
                      <w:lang w:val="en-US" w:bidi="ar-SA"/>
                    </w:rPr>
                    <w:t>屏幕</w:t>
                  </w:r>
                </w:p>
              </w:tc>
              <w:tc>
                <w:tcPr>
                  <w:tcW w:w="471" w:type="dxa"/>
                  <w:tcBorders>
                    <w:top w:val="nil"/>
                    <w:left w:val="nil"/>
                    <w:bottom w:val="single" w:color="auto" w:sz="4" w:space="0"/>
                    <w:right w:val="single" w:color="auto" w:sz="4" w:space="0"/>
                  </w:tcBorders>
                  <w:noWrap/>
                  <w:vAlign w:val="center"/>
                </w:tcPr>
                <w:p w14:paraId="7A5CB85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444A62AD">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5338628C">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3A13ECC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5D47F4B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语音交流</w:t>
                  </w:r>
                </w:p>
              </w:tc>
              <w:tc>
                <w:tcPr>
                  <w:tcW w:w="3129" w:type="dxa"/>
                  <w:tcBorders>
                    <w:top w:val="nil"/>
                    <w:left w:val="nil"/>
                    <w:bottom w:val="single" w:color="auto" w:sz="4" w:space="0"/>
                    <w:right w:val="single" w:color="auto" w:sz="4" w:space="0"/>
                  </w:tcBorders>
                  <w:noWrap w:val="0"/>
                  <w:vAlign w:val="center"/>
                </w:tcPr>
                <w:p w14:paraId="23918A7C">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eastAsia="zh-Hans" w:bidi="ar-SA"/>
                    </w:rPr>
                    <w:t>老师可</w:t>
                  </w:r>
                  <w:r>
                    <w:rPr>
                      <w:rFonts w:hint="eastAsia" w:ascii="宋体" w:hAnsi="宋体" w:eastAsia="宋体" w:cs="宋体"/>
                      <w:color w:val="auto"/>
                      <w:kern w:val="2"/>
                      <w:sz w:val="21"/>
                      <w:szCs w:val="21"/>
                      <w:highlight w:val="none"/>
                      <w:shd w:val="clear" w:color="auto" w:fill="auto"/>
                      <w:lang w:val="en-US" w:bidi="ar-SA"/>
                    </w:rPr>
                    <w:t>设置相关</w:t>
                  </w:r>
                  <w:r>
                    <w:rPr>
                      <w:rFonts w:hint="eastAsia" w:ascii="宋体" w:hAnsi="宋体" w:eastAsia="宋体" w:cs="宋体"/>
                      <w:color w:val="auto"/>
                      <w:kern w:val="2"/>
                      <w:sz w:val="21"/>
                      <w:szCs w:val="21"/>
                      <w:highlight w:val="none"/>
                      <w:shd w:val="clear" w:color="auto" w:fill="auto"/>
                      <w:lang w:val="en-US" w:eastAsia="zh-Hans" w:bidi="ar-SA"/>
                    </w:rPr>
                    <w:t>学生</w:t>
                  </w:r>
                  <w:r>
                    <w:rPr>
                      <w:rFonts w:hint="eastAsia" w:ascii="宋体" w:hAnsi="宋体" w:eastAsia="宋体" w:cs="宋体"/>
                      <w:color w:val="auto"/>
                      <w:kern w:val="2"/>
                      <w:sz w:val="21"/>
                      <w:szCs w:val="21"/>
                      <w:highlight w:val="none"/>
                      <w:shd w:val="clear" w:color="auto" w:fill="auto"/>
                      <w:lang w:val="en-US" w:bidi="ar-SA"/>
                    </w:rPr>
                    <w:t>和其他人员的开关麦、可以实现场景内所有的音频通话</w:t>
                  </w:r>
                </w:p>
              </w:tc>
              <w:tc>
                <w:tcPr>
                  <w:tcW w:w="471" w:type="dxa"/>
                  <w:tcBorders>
                    <w:top w:val="nil"/>
                    <w:left w:val="nil"/>
                    <w:bottom w:val="single" w:color="auto" w:sz="4" w:space="0"/>
                    <w:right w:val="single" w:color="auto" w:sz="4" w:space="0"/>
                  </w:tcBorders>
                  <w:noWrap/>
                  <w:vAlign w:val="center"/>
                </w:tcPr>
                <w:p w14:paraId="559F486D">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668C8457">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181A5B79">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42392AF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5269CF0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弹幕系统</w:t>
                  </w:r>
                </w:p>
              </w:tc>
              <w:tc>
                <w:tcPr>
                  <w:tcW w:w="3129" w:type="dxa"/>
                  <w:tcBorders>
                    <w:top w:val="nil"/>
                    <w:left w:val="nil"/>
                    <w:bottom w:val="single" w:color="auto" w:sz="4" w:space="0"/>
                    <w:right w:val="single" w:color="auto" w:sz="4" w:space="0"/>
                  </w:tcBorders>
                  <w:noWrap w:val="0"/>
                  <w:vAlign w:val="center"/>
                </w:tcPr>
                <w:p w14:paraId="22934EA5">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需要支持参</w:t>
                  </w:r>
                  <w:r>
                    <w:rPr>
                      <w:rFonts w:hint="eastAsia" w:ascii="宋体" w:hAnsi="宋体" w:eastAsia="宋体" w:cs="宋体"/>
                      <w:color w:val="auto"/>
                      <w:kern w:val="2"/>
                      <w:sz w:val="21"/>
                      <w:szCs w:val="21"/>
                      <w:highlight w:val="none"/>
                      <w:shd w:val="clear" w:color="auto" w:fill="auto"/>
                      <w:lang w:val="en-US" w:eastAsia="zh-Hans" w:bidi="ar-SA"/>
                    </w:rPr>
                    <w:t>与</w:t>
                  </w:r>
                  <w:r>
                    <w:rPr>
                      <w:rFonts w:hint="eastAsia" w:ascii="宋体" w:hAnsi="宋体" w:eastAsia="宋体" w:cs="宋体"/>
                      <w:color w:val="auto"/>
                      <w:kern w:val="2"/>
                      <w:sz w:val="21"/>
                      <w:szCs w:val="21"/>
                      <w:highlight w:val="none"/>
                      <w:shd w:val="clear" w:color="auto" w:fill="auto"/>
                      <w:lang w:val="en-US" w:bidi="ar-SA"/>
                    </w:rPr>
                    <w:t>人员可以发送实时弹幕</w:t>
                  </w:r>
                </w:p>
              </w:tc>
              <w:tc>
                <w:tcPr>
                  <w:tcW w:w="471" w:type="dxa"/>
                  <w:tcBorders>
                    <w:top w:val="nil"/>
                    <w:left w:val="nil"/>
                    <w:bottom w:val="single" w:color="auto" w:sz="4" w:space="0"/>
                    <w:right w:val="single" w:color="auto" w:sz="4" w:space="0"/>
                  </w:tcBorders>
                  <w:noWrap/>
                  <w:vAlign w:val="center"/>
                </w:tcPr>
                <w:p w14:paraId="3D16FC0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4371EF2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792A6C0A">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0D1EA60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56807B3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礼物系统</w:t>
                  </w:r>
                </w:p>
              </w:tc>
              <w:tc>
                <w:tcPr>
                  <w:tcW w:w="3129" w:type="dxa"/>
                  <w:tcBorders>
                    <w:top w:val="nil"/>
                    <w:left w:val="nil"/>
                    <w:bottom w:val="single" w:color="auto" w:sz="4" w:space="0"/>
                    <w:right w:val="single" w:color="auto" w:sz="4" w:space="0"/>
                  </w:tcBorders>
                  <w:noWrap w:val="0"/>
                  <w:vAlign w:val="center"/>
                </w:tcPr>
                <w:p w14:paraId="021C633F">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需要支持礼物颁发流程</w:t>
                  </w:r>
                </w:p>
              </w:tc>
              <w:tc>
                <w:tcPr>
                  <w:tcW w:w="471" w:type="dxa"/>
                  <w:tcBorders>
                    <w:top w:val="nil"/>
                    <w:left w:val="nil"/>
                    <w:bottom w:val="single" w:color="auto" w:sz="4" w:space="0"/>
                    <w:right w:val="single" w:color="auto" w:sz="4" w:space="0"/>
                  </w:tcBorders>
                  <w:noWrap/>
                  <w:vAlign w:val="center"/>
                </w:tcPr>
                <w:p w14:paraId="4F5E8FA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416FE5CD">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03171FC0">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3DDE4F6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4EA243B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抽奖功能</w:t>
                  </w:r>
                </w:p>
              </w:tc>
              <w:tc>
                <w:tcPr>
                  <w:tcW w:w="3129" w:type="dxa"/>
                  <w:tcBorders>
                    <w:top w:val="nil"/>
                    <w:left w:val="nil"/>
                    <w:bottom w:val="single" w:color="auto" w:sz="4" w:space="0"/>
                    <w:right w:val="single" w:color="auto" w:sz="4" w:space="0"/>
                  </w:tcBorders>
                  <w:noWrap w:val="0"/>
                  <w:vAlign w:val="center"/>
                </w:tcPr>
                <w:p w14:paraId="412C41B9">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需要支持抽奖流程</w:t>
                  </w:r>
                </w:p>
              </w:tc>
              <w:tc>
                <w:tcPr>
                  <w:tcW w:w="471" w:type="dxa"/>
                  <w:tcBorders>
                    <w:top w:val="nil"/>
                    <w:left w:val="nil"/>
                    <w:bottom w:val="single" w:color="auto" w:sz="4" w:space="0"/>
                    <w:right w:val="single" w:color="auto" w:sz="4" w:space="0"/>
                  </w:tcBorders>
                  <w:noWrap/>
                  <w:vAlign w:val="center"/>
                </w:tcPr>
                <w:p w14:paraId="28F4B9C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7732847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4189C50D">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29EF28B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332A762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在线投票</w:t>
                  </w:r>
                </w:p>
              </w:tc>
              <w:tc>
                <w:tcPr>
                  <w:tcW w:w="3129" w:type="dxa"/>
                  <w:tcBorders>
                    <w:top w:val="nil"/>
                    <w:left w:val="nil"/>
                    <w:bottom w:val="single" w:color="auto" w:sz="4" w:space="0"/>
                    <w:right w:val="single" w:color="auto" w:sz="4" w:space="0"/>
                  </w:tcBorders>
                  <w:noWrap w:val="0"/>
                  <w:vAlign w:val="center"/>
                </w:tcPr>
                <w:p w14:paraId="66290248">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需要支持参加人员实时在线投票</w:t>
                  </w:r>
                </w:p>
              </w:tc>
              <w:tc>
                <w:tcPr>
                  <w:tcW w:w="471" w:type="dxa"/>
                  <w:tcBorders>
                    <w:top w:val="nil"/>
                    <w:left w:val="nil"/>
                    <w:bottom w:val="single" w:color="auto" w:sz="4" w:space="0"/>
                    <w:right w:val="single" w:color="auto" w:sz="4" w:space="0"/>
                  </w:tcBorders>
                  <w:noWrap/>
                  <w:vAlign w:val="center"/>
                </w:tcPr>
                <w:p w14:paraId="4EB32E10">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64C428C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6A9E5E8E">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016F934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2BF27A5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网页端分享</w:t>
                  </w:r>
                </w:p>
              </w:tc>
              <w:tc>
                <w:tcPr>
                  <w:tcW w:w="3129" w:type="dxa"/>
                  <w:tcBorders>
                    <w:top w:val="nil"/>
                    <w:left w:val="nil"/>
                    <w:bottom w:val="single" w:color="auto" w:sz="4" w:space="0"/>
                    <w:right w:val="single" w:color="auto" w:sz="4" w:space="0"/>
                  </w:tcBorders>
                  <w:noWrap w:val="0"/>
                  <w:vAlign w:val="center"/>
                </w:tcPr>
                <w:p w14:paraId="4A4346FE">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需要支持网页端分享给他人</w:t>
                  </w:r>
                </w:p>
              </w:tc>
              <w:tc>
                <w:tcPr>
                  <w:tcW w:w="471" w:type="dxa"/>
                  <w:tcBorders>
                    <w:top w:val="nil"/>
                    <w:left w:val="nil"/>
                    <w:bottom w:val="single" w:color="auto" w:sz="4" w:space="0"/>
                    <w:right w:val="single" w:color="auto" w:sz="4" w:space="0"/>
                  </w:tcBorders>
                  <w:noWrap/>
                  <w:vAlign w:val="center"/>
                </w:tcPr>
                <w:p w14:paraId="0852FE5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4D335ED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1C806FAE">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321FD028">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19D0093C">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第一、第三人称视角</w:t>
                  </w:r>
                </w:p>
              </w:tc>
              <w:tc>
                <w:tcPr>
                  <w:tcW w:w="3129" w:type="dxa"/>
                  <w:tcBorders>
                    <w:top w:val="nil"/>
                    <w:left w:val="nil"/>
                    <w:bottom w:val="single" w:color="auto" w:sz="4" w:space="0"/>
                    <w:right w:val="single" w:color="auto" w:sz="4" w:space="0"/>
                  </w:tcBorders>
                  <w:noWrap w:val="0"/>
                  <w:vAlign w:val="center"/>
                </w:tcPr>
                <w:p w14:paraId="52F0F948">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支持第一和第三人称视角。</w:t>
                  </w:r>
                </w:p>
              </w:tc>
              <w:tc>
                <w:tcPr>
                  <w:tcW w:w="471" w:type="dxa"/>
                  <w:tcBorders>
                    <w:top w:val="nil"/>
                    <w:left w:val="nil"/>
                    <w:bottom w:val="single" w:color="auto" w:sz="4" w:space="0"/>
                    <w:right w:val="single" w:color="auto" w:sz="4" w:space="0"/>
                  </w:tcBorders>
                  <w:noWrap/>
                  <w:vAlign w:val="center"/>
                </w:tcPr>
                <w:p w14:paraId="1F7B0C4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套</w:t>
                  </w:r>
                </w:p>
              </w:tc>
              <w:tc>
                <w:tcPr>
                  <w:tcW w:w="500" w:type="dxa"/>
                  <w:tcBorders>
                    <w:top w:val="nil"/>
                    <w:left w:val="nil"/>
                    <w:bottom w:val="single" w:color="auto" w:sz="4" w:space="0"/>
                    <w:right w:val="single" w:color="auto" w:sz="4" w:space="0"/>
                  </w:tcBorders>
                  <w:noWrap/>
                  <w:vAlign w:val="center"/>
                </w:tcPr>
                <w:p w14:paraId="2B45F8B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1497A54B">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434E979D">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47A1E8A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24小时开放</w:t>
                  </w:r>
                </w:p>
              </w:tc>
              <w:tc>
                <w:tcPr>
                  <w:tcW w:w="3129" w:type="dxa"/>
                  <w:tcBorders>
                    <w:top w:val="nil"/>
                    <w:left w:val="nil"/>
                    <w:bottom w:val="single" w:color="auto" w:sz="4" w:space="0"/>
                    <w:right w:val="single" w:color="auto" w:sz="4" w:space="0"/>
                  </w:tcBorders>
                  <w:noWrap w:val="0"/>
                  <w:vAlign w:val="center"/>
                </w:tcPr>
                <w:p w14:paraId="17F89C9C">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WEB端支持7*24小时开放,没有时间和空间限 制。可以随时随地</w:t>
                  </w:r>
                  <w:r>
                    <w:rPr>
                      <w:rFonts w:hint="eastAsia" w:ascii="宋体" w:hAnsi="宋体" w:eastAsia="宋体" w:cs="宋体"/>
                      <w:color w:val="auto"/>
                      <w:kern w:val="2"/>
                      <w:sz w:val="21"/>
                      <w:szCs w:val="21"/>
                      <w:highlight w:val="none"/>
                      <w:shd w:val="clear" w:color="auto" w:fill="auto"/>
                      <w:lang w:val="en-US" w:eastAsia="zh-Hans" w:bidi="ar-SA"/>
                    </w:rPr>
                    <w:t>上课</w:t>
                  </w:r>
                  <w:r>
                    <w:rPr>
                      <w:rFonts w:hint="eastAsia" w:ascii="宋体" w:hAnsi="宋体" w:eastAsia="宋体" w:cs="宋体"/>
                      <w:color w:val="auto"/>
                      <w:kern w:val="2"/>
                      <w:sz w:val="21"/>
                      <w:szCs w:val="21"/>
                      <w:highlight w:val="none"/>
                      <w:shd w:val="clear" w:color="auto" w:fill="auto"/>
                      <w:lang w:val="en-US" w:bidi="ar-SA"/>
                    </w:rPr>
                    <w:t>，不受 云端算力资源制约。</w:t>
                  </w:r>
                </w:p>
              </w:tc>
              <w:tc>
                <w:tcPr>
                  <w:tcW w:w="471" w:type="dxa"/>
                  <w:tcBorders>
                    <w:top w:val="nil"/>
                    <w:left w:val="nil"/>
                    <w:bottom w:val="single" w:color="auto" w:sz="4" w:space="0"/>
                    <w:right w:val="single" w:color="auto" w:sz="4" w:space="0"/>
                  </w:tcBorders>
                  <w:noWrap/>
                  <w:vAlign w:val="center"/>
                </w:tcPr>
                <w:p w14:paraId="7FC2053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3E5E543C">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47977A6B">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08A9B77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653DA8E4">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渲染效果</w:t>
                  </w:r>
                </w:p>
              </w:tc>
              <w:tc>
                <w:tcPr>
                  <w:tcW w:w="3129" w:type="dxa"/>
                  <w:tcBorders>
                    <w:top w:val="nil"/>
                    <w:left w:val="nil"/>
                    <w:bottom w:val="single" w:color="auto" w:sz="4" w:space="0"/>
                    <w:right w:val="single" w:color="auto" w:sz="4" w:space="0"/>
                  </w:tcBorders>
                  <w:noWrap w:val="0"/>
                  <w:vAlign w:val="center"/>
                </w:tcPr>
                <w:p w14:paraId="30A8BAE6">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场景空间中支持反射效果及自定义编辑反射物体数量以保证渲染帧率60fps以上</w:t>
                  </w:r>
                </w:p>
              </w:tc>
              <w:tc>
                <w:tcPr>
                  <w:tcW w:w="471" w:type="dxa"/>
                  <w:tcBorders>
                    <w:top w:val="nil"/>
                    <w:left w:val="nil"/>
                    <w:bottom w:val="single" w:color="auto" w:sz="4" w:space="0"/>
                    <w:right w:val="single" w:color="auto" w:sz="4" w:space="0"/>
                  </w:tcBorders>
                  <w:noWrap/>
                  <w:vAlign w:val="center"/>
                </w:tcPr>
                <w:p w14:paraId="4BC47C07">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套</w:t>
                  </w:r>
                </w:p>
              </w:tc>
              <w:tc>
                <w:tcPr>
                  <w:tcW w:w="500" w:type="dxa"/>
                  <w:tcBorders>
                    <w:top w:val="nil"/>
                    <w:left w:val="nil"/>
                    <w:bottom w:val="single" w:color="auto" w:sz="4" w:space="0"/>
                    <w:right w:val="single" w:color="auto" w:sz="4" w:space="0"/>
                  </w:tcBorders>
                  <w:noWrap/>
                  <w:vAlign w:val="center"/>
                </w:tcPr>
                <w:p w14:paraId="7C0BE8C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263C1DFE">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7DB42B5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764B33D1">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在线虚拟现实互动研发</w:t>
                  </w:r>
                </w:p>
              </w:tc>
              <w:tc>
                <w:tcPr>
                  <w:tcW w:w="3129" w:type="dxa"/>
                  <w:tcBorders>
                    <w:top w:val="nil"/>
                    <w:left w:val="nil"/>
                    <w:bottom w:val="single" w:color="auto" w:sz="4" w:space="0"/>
                    <w:right w:val="single" w:color="auto" w:sz="4" w:space="0"/>
                  </w:tcBorders>
                  <w:noWrap w:val="0"/>
                  <w:vAlign w:val="center"/>
                </w:tcPr>
                <w:p w14:paraId="07546ECB">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基于Three.js功能开发</w:t>
                  </w:r>
                </w:p>
              </w:tc>
              <w:tc>
                <w:tcPr>
                  <w:tcW w:w="471" w:type="dxa"/>
                  <w:tcBorders>
                    <w:top w:val="nil"/>
                    <w:left w:val="nil"/>
                    <w:bottom w:val="single" w:color="auto" w:sz="4" w:space="0"/>
                    <w:right w:val="single" w:color="auto" w:sz="4" w:space="0"/>
                  </w:tcBorders>
                  <w:noWrap/>
                  <w:vAlign w:val="center"/>
                </w:tcPr>
                <w:p w14:paraId="7023C0E6">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套</w:t>
                  </w:r>
                </w:p>
              </w:tc>
              <w:tc>
                <w:tcPr>
                  <w:tcW w:w="500" w:type="dxa"/>
                  <w:tcBorders>
                    <w:top w:val="nil"/>
                    <w:left w:val="nil"/>
                    <w:bottom w:val="single" w:color="auto" w:sz="4" w:space="0"/>
                    <w:right w:val="single" w:color="auto" w:sz="4" w:space="0"/>
                  </w:tcBorders>
                  <w:noWrap/>
                  <w:vAlign w:val="center"/>
                </w:tcPr>
                <w:p w14:paraId="32DE417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4FAC4869">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right w:val="single" w:color="auto" w:sz="4" w:space="0"/>
                  </w:tcBorders>
                  <w:noWrap w:val="0"/>
                  <w:vAlign w:val="center"/>
                </w:tcPr>
                <w:p w14:paraId="3EDEC2DB">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7C8D95E9">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模块化创作</w:t>
                  </w:r>
                </w:p>
              </w:tc>
              <w:tc>
                <w:tcPr>
                  <w:tcW w:w="3129" w:type="dxa"/>
                  <w:tcBorders>
                    <w:top w:val="nil"/>
                    <w:left w:val="nil"/>
                    <w:bottom w:val="single" w:color="auto" w:sz="4" w:space="0"/>
                    <w:right w:val="single" w:color="auto" w:sz="4" w:space="0"/>
                  </w:tcBorders>
                  <w:noWrap w:val="0"/>
                  <w:vAlign w:val="center"/>
                </w:tcPr>
                <w:p w14:paraId="5C0EE619">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支持学生使用系统提供的模块进行场景自定义编辑改造装修的交互创作</w:t>
                  </w:r>
                </w:p>
              </w:tc>
              <w:tc>
                <w:tcPr>
                  <w:tcW w:w="471" w:type="dxa"/>
                  <w:tcBorders>
                    <w:top w:val="nil"/>
                    <w:left w:val="nil"/>
                    <w:bottom w:val="single" w:color="auto" w:sz="4" w:space="0"/>
                    <w:right w:val="single" w:color="auto" w:sz="4" w:space="0"/>
                  </w:tcBorders>
                  <w:noWrap/>
                  <w:vAlign w:val="center"/>
                </w:tcPr>
                <w:p w14:paraId="1630613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套</w:t>
                  </w:r>
                </w:p>
              </w:tc>
              <w:tc>
                <w:tcPr>
                  <w:tcW w:w="500" w:type="dxa"/>
                  <w:tcBorders>
                    <w:top w:val="nil"/>
                    <w:left w:val="nil"/>
                    <w:bottom w:val="single" w:color="auto" w:sz="4" w:space="0"/>
                    <w:right w:val="single" w:color="auto" w:sz="4" w:space="0"/>
                  </w:tcBorders>
                  <w:noWrap/>
                  <w:vAlign w:val="center"/>
                </w:tcPr>
                <w:p w14:paraId="68C11E93">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5A0CAD75">
              <w:tblPrEx>
                <w:tblCellMar>
                  <w:top w:w="0" w:type="dxa"/>
                  <w:left w:w="108" w:type="dxa"/>
                  <w:bottom w:w="0" w:type="dxa"/>
                  <w:right w:w="108" w:type="dxa"/>
                </w:tblCellMar>
              </w:tblPrEx>
              <w:trPr>
                <w:trHeight w:val="529" w:hRule="atLeast"/>
                <w:jc w:val="center"/>
              </w:trPr>
              <w:tc>
                <w:tcPr>
                  <w:tcW w:w="558" w:type="dxa"/>
                  <w:vMerge w:val="continue"/>
                  <w:tcBorders>
                    <w:left w:val="single" w:color="auto" w:sz="4" w:space="0"/>
                    <w:bottom w:val="single" w:color="auto" w:sz="4" w:space="0"/>
                    <w:right w:val="single" w:color="auto" w:sz="4" w:space="0"/>
                  </w:tcBorders>
                  <w:noWrap w:val="0"/>
                  <w:vAlign w:val="center"/>
                </w:tcPr>
                <w:p w14:paraId="003A9E6A">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p>
              </w:tc>
              <w:tc>
                <w:tcPr>
                  <w:tcW w:w="872" w:type="dxa"/>
                  <w:tcBorders>
                    <w:top w:val="nil"/>
                    <w:left w:val="nil"/>
                    <w:bottom w:val="single" w:color="auto" w:sz="4" w:space="0"/>
                    <w:right w:val="single" w:color="auto" w:sz="4" w:space="0"/>
                  </w:tcBorders>
                  <w:noWrap w:val="0"/>
                  <w:vAlign w:val="center"/>
                </w:tcPr>
                <w:p w14:paraId="2A3327A5">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UE5云端渲染高画质</w:t>
                  </w:r>
                </w:p>
              </w:tc>
              <w:tc>
                <w:tcPr>
                  <w:tcW w:w="3129" w:type="dxa"/>
                  <w:tcBorders>
                    <w:top w:val="nil"/>
                    <w:left w:val="nil"/>
                    <w:bottom w:val="single" w:color="auto" w:sz="4" w:space="0"/>
                    <w:right w:val="single" w:color="auto" w:sz="4" w:space="0"/>
                  </w:tcBorders>
                  <w:noWrap w:val="0"/>
                  <w:vAlign w:val="center"/>
                </w:tcPr>
                <w:p w14:paraId="3C8ACA48">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eastAsia="zh-Hans" w:bidi="ar-SA"/>
                    </w:rPr>
                    <w:t>系统支持</w:t>
                  </w:r>
                  <w:r>
                    <w:rPr>
                      <w:rFonts w:hint="eastAsia" w:ascii="宋体" w:hAnsi="宋体" w:eastAsia="宋体" w:cs="宋体"/>
                      <w:color w:val="auto"/>
                      <w:kern w:val="2"/>
                      <w:sz w:val="21"/>
                      <w:szCs w:val="21"/>
                      <w:highlight w:val="none"/>
                      <w:shd w:val="clear" w:color="auto" w:fill="auto"/>
                      <w:lang w:val="en-US" w:bidi="ar-SA"/>
                    </w:rPr>
                    <w:t>采用UE5云端渲染高画质进行授课等操作</w:t>
                  </w:r>
                </w:p>
              </w:tc>
              <w:tc>
                <w:tcPr>
                  <w:tcW w:w="471" w:type="dxa"/>
                  <w:tcBorders>
                    <w:top w:val="nil"/>
                    <w:left w:val="nil"/>
                    <w:bottom w:val="single" w:color="auto" w:sz="4" w:space="0"/>
                    <w:right w:val="single" w:color="auto" w:sz="4" w:space="0"/>
                  </w:tcBorders>
                  <w:noWrap/>
                  <w:vAlign w:val="center"/>
                </w:tcPr>
                <w:p w14:paraId="08C0728F">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eastAsia="zh-Hans" w:bidi="ar-SA"/>
                    </w:rPr>
                  </w:pPr>
                  <w:r>
                    <w:rPr>
                      <w:rFonts w:hint="eastAsia" w:ascii="宋体" w:hAnsi="宋体" w:eastAsia="宋体" w:cs="宋体"/>
                      <w:color w:val="auto"/>
                      <w:kern w:val="2"/>
                      <w:sz w:val="21"/>
                      <w:szCs w:val="21"/>
                      <w:highlight w:val="none"/>
                      <w:shd w:val="clear" w:color="auto" w:fill="auto"/>
                      <w:lang w:val="en-US" w:eastAsia="zh-Hans" w:bidi="ar-SA"/>
                    </w:rPr>
                    <w:t>套</w:t>
                  </w:r>
                </w:p>
              </w:tc>
              <w:tc>
                <w:tcPr>
                  <w:tcW w:w="500" w:type="dxa"/>
                  <w:tcBorders>
                    <w:top w:val="nil"/>
                    <w:left w:val="nil"/>
                    <w:bottom w:val="single" w:color="auto" w:sz="4" w:space="0"/>
                    <w:right w:val="single" w:color="auto" w:sz="4" w:space="0"/>
                  </w:tcBorders>
                  <w:noWrap/>
                  <w:vAlign w:val="center"/>
                </w:tcPr>
                <w:p w14:paraId="6AC8F932">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r w14:paraId="7E50785F">
              <w:tblPrEx>
                <w:tblCellMar>
                  <w:top w:w="0" w:type="dxa"/>
                  <w:left w:w="108" w:type="dxa"/>
                  <w:bottom w:w="0" w:type="dxa"/>
                  <w:right w:w="108" w:type="dxa"/>
                </w:tblCellMar>
              </w:tblPrEx>
              <w:trPr>
                <w:trHeight w:val="529" w:hRule="atLeast"/>
                <w:jc w:val="center"/>
              </w:trPr>
              <w:tc>
                <w:tcPr>
                  <w:tcW w:w="558" w:type="dxa"/>
                  <w:tcBorders>
                    <w:top w:val="nil"/>
                    <w:left w:val="single" w:color="auto" w:sz="4" w:space="0"/>
                    <w:bottom w:val="single" w:color="auto" w:sz="4" w:space="0"/>
                    <w:right w:val="single" w:color="auto" w:sz="4" w:space="0"/>
                  </w:tcBorders>
                  <w:noWrap/>
                  <w:vAlign w:val="center"/>
                </w:tcPr>
                <w:p w14:paraId="76E4E6DB">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云服务器</w:t>
                  </w:r>
                </w:p>
              </w:tc>
              <w:tc>
                <w:tcPr>
                  <w:tcW w:w="872" w:type="dxa"/>
                  <w:tcBorders>
                    <w:top w:val="nil"/>
                    <w:left w:val="nil"/>
                    <w:bottom w:val="single" w:color="auto" w:sz="4" w:space="0"/>
                    <w:right w:val="single" w:color="auto" w:sz="4" w:space="0"/>
                  </w:tcBorders>
                  <w:noWrap/>
                  <w:vAlign w:val="center"/>
                </w:tcPr>
                <w:p w14:paraId="37BEB68E">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云服务器租用</w:t>
                  </w:r>
                </w:p>
              </w:tc>
              <w:tc>
                <w:tcPr>
                  <w:tcW w:w="3129" w:type="dxa"/>
                  <w:tcBorders>
                    <w:top w:val="nil"/>
                    <w:left w:val="nil"/>
                    <w:bottom w:val="single" w:color="auto" w:sz="4" w:space="0"/>
                    <w:right w:val="single" w:color="auto" w:sz="4" w:space="0"/>
                  </w:tcBorders>
                  <w:noWrap w:val="0"/>
                  <w:vAlign w:val="center"/>
                </w:tcPr>
                <w:p w14:paraId="74F74760">
                  <w:pPr>
                    <w:pageBreakBefore w:val="0"/>
                    <w:kinsoku/>
                    <w:wordWrap/>
                    <w:overflowPunct/>
                    <w:topLinePunct w:val="0"/>
                    <w:autoSpaceDE/>
                    <w:autoSpaceDN/>
                    <w:bidi w:val="0"/>
                    <w:snapToGrid/>
                    <w:spacing w:line="360" w:lineRule="auto"/>
                    <w:ind w:left="0" w:leftChars="0"/>
                    <w:jc w:val="left"/>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4核心8G，100G ssd，带宽15M，支持随时扩展</w:t>
                  </w:r>
                </w:p>
              </w:tc>
              <w:tc>
                <w:tcPr>
                  <w:tcW w:w="471" w:type="dxa"/>
                  <w:tcBorders>
                    <w:top w:val="nil"/>
                    <w:left w:val="nil"/>
                    <w:bottom w:val="single" w:color="auto" w:sz="4" w:space="0"/>
                    <w:right w:val="single" w:color="auto" w:sz="4" w:space="0"/>
                  </w:tcBorders>
                  <w:noWrap/>
                  <w:vAlign w:val="center"/>
                </w:tcPr>
                <w:p w14:paraId="436C837F">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年</w:t>
                  </w:r>
                </w:p>
              </w:tc>
              <w:tc>
                <w:tcPr>
                  <w:tcW w:w="500" w:type="dxa"/>
                  <w:tcBorders>
                    <w:top w:val="nil"/>
                    <w:left w:val="nil"/>
                    <w:bottom w:val="single" w:color="auto" w:sz="4" w:space="0"/>
                    <w:right w:val="single" w:color="auto" w:sz="4" w:space="0"/>
                  </w:tcBorders>
                  <w:noWrap/>
                  <w:vAlign w:val="center"/>
                </w:tcPr>
                <w:p w14:paraId="0F903C3D">
                  <w:pPr>
                    <w:pageBreakBefore w:val="0"/>
                    <w:kinsoku/>
                    <w:wordWrap/>
                    <w:overflowPunct/>
                    <w:topLinePunct w:val="0"/>
                    <w:autoSpaceDE/>
                    <w:autoSpaceDN/>
                    <w:bidi w:val="0"/>
                    <w:snapToGrid/>
                    <w:spacing w:line="360" w:lineRule="auto"/>
                    <w:ind w:left="0" w:leftChars="0"/>
                    <w:jc w:val="center"/>
                    <w:rPr>
                      <w:rFonts w:hint="eastAsia" w:ascii="宋体" w:hAnsi="宋体" w:eastAsia="宋体" w:cs="宋体"/>
                      <w:color w:val="auto"/>
                      <w:kern w:val="2"/>
                      <w:sz w:val="21"/>
                      <w:szCs w:val="21"/>
                      <w:highlight w:val="none"/>
                      <w:shd w:val="clear" w:color="auto" w:fill="auto"/>
                      <w:lang w:val="en-US" w:bidi="ar-SA"/>
                    </w:rPr>
                  </w:pPr>
                  <w:r>
                    <w:rPr>
                      <w:rFonts w:hint="eastAsia" w:ascii="宋体" w:hAnsi="宋体" w:eastAsia="宋体" w:cs="宋体"/>
                      <w:color w:val="auto"/>
                      <w:kern w:val="2"/>
                      <w:sz w:val="21"/>
                      <w:szCs w:val="21"/>
                      <w:highlight w:val="none"/>
                      <w:shd w:val="clear" w:color="auto" w:fill="auto"/>
                      <w:lang w:val="en-US" w:bidi="ar-SA"/>
                    </w:rPr>
                    <w:t>1</w:t>
                  </w:r>
                </w:p>
              </w:tc>
            </w:tr>
          </w:tbl>
          <w:p w14:paraId="530F2092">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注：</w:t>
            </w:r>
            <w:r>
              <w:rPr>
                <w:rFonts w:hint="eastAsia" w:ascii="宋体" w:hAnsi="宋体" w:eastAsia="宋体" w:cs="宋体"/>
                <w:b/>
                <w:bCs/>
                <w:color w:val="auto"/>
                <w:sz w:val="21"/>
                <w:szCs w:val="21"/>
                <w:highlight w:val="none"/>
                <w:shd w:val="clear" w:color="auto" w:fill="auto"/>
                <w:lang w:eastAsia="zh-CN"/>
              </w:rPr>
              <w:t>提供</w:t>
            </w:r>
            <w:r>
              <w:rPr>
                <w:rFonts w:hint="eastAsia" w:ascii="宋体" w:hAnsi="宋体" w:eastAsia="宋体" w:cs="宋体"/>
                <w:b/>
                <w:bCs/>
                <w:color w:val="auto"/>
                <w:sz w:val="21"/>
                <w:szCs w:val="21"/>
                <w:highlight w:val="none"/>
                <w:shd w:val="clear" w:color="auto" w:fill="auto"/>
                <w:lang w:val="en-US" w:eastAsia="zh-CN"/>
              </w:rPr>
              <w:t>承诺函</w:t>
            </w:r>
            <w:r>
              <w:rPr>
                <w:rFonts w:hint="eastAsia" w:ascii="宋体" w:hAnsi="宋体" w:eastAsia="宋体" w:cs="宋体"/>
                <w:b/>
                <w:bCs/>
                <w:color w:val="auto"/>
                <w:sz w:val="21"/>
                <w:szCs w:val="21"/>
                <w:highlight w:val="none"/>
                <w:shd w:val="clear" w:color="auto" w:fill="auto"/>
                <w:lang w:eastAsia="zh-CN"/>
              </w:rPr>
              <w:t>并加盖投标人公章</w:t>
            </w:r>
          </w:p>
        </w:tc>
        <w:tc>
          <w:tcPr>
            <w:tcW w:w="657" w:type="dxa"/>
            <w:shd w:val="clear" w:color="auto" w:fill="auto"/>
            <w:vAlign w:val="center"/>
          </w:tcPr>
          <w:p w14:paraId="0D83E30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04" w:type="dxa"/>
            <w:shd w:val="clear" w:color="auto" w:fill="auto"/>
            <w:vAlign w:val="center"/>
          </w:tcPr>
          <w:p w14:paraId="659A2CB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14:paraId="776C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restart"/>
            <w:shd w:val="clear" w:color="auto" w:fill="auto"/>
            <w:vAlign w:val="center"/>
          </w:tcPr>
          <w:p w14:paraId="2B257AD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3A11604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1528A9D2">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773A6CD6">
            <w:pPr>
              <w:pageBreakBefore w:val="0"/>
              <w:widowControl/>
              <w:kinsoku/>
              <w:wordWrap/>
              <w:overflowPunct/>
              <w:topLinePunct w:val="0"/>
              <w:autoSpaceDE/>
              <w:autoSpaceDN/>
              <w:bidi w:val="0"/>
              <w:snapToGrid/>
              <w:spacing w:line="360" w:lineRule="auto"/>
              <w:ind w:firstLine="211" w:firstLineChars="100"/>
              <w:jc w:val="both"/>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5</w:t>
            </w:r>
          </w:p>
        </w:tc>
        <w:tc>
          <w:tcPr>
            <w:tcW w:w="812" w:type="dxa"/>
            <w:vMerge w:val="restart"/>
            <w:shd w:val="clear" w:color="auto" w:fill="auto"/>
            <w:vAlign w:val="center"/>
          </w:tcPr>
          <w:p w14:paraId="3B6BEB4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64D69DC5">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56E8FB2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3C14C5B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配套数字教材</w:t>
            </w:r>
          </w:p>
        </w:tc>
        <w:tc>
          <w:tcPr>
            <w:tcW w:w="1063" w:type="dxa"/>
            <w:shd w:val="clear" w:color="auto" w:fill="auto"/>
            <w:vAlign w:val="center"/>
          </w:tcPr>
          <w:p w14:paraId="45709BE1">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eastAsia="zh-CN"/>
              </w:rPr>
            </w:pPr>
          </w:p>
          <w:p w14:paraId="26B7DBBE">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eastAsia="zh-CN"/>
              </w:rPr>
            </w:pPr>
          </w:p>
          <w:p w14:paraId="50662B4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eastAsia="zh-CN"/>
              </w:rPr>
            </w:pPr>
          </w:p>
          <w:p w14:paraId="4F46C6B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数字教材在线编辑器</w:t>
            </w:r>
          </w:p>
        </w:tc>
        <w:tc>
          <w:tcPr>
            <w:tcW w:w="6258" w:type="dxa"/>
            <w:shd w:val="clear" w:color="auto" w:fill="auto"/>
            <w:vAlign w:val="center"/>
          </w:tcPr>
          <w:p w14:paraId="567EB236">
            <w:pPr>
              <w:pageBreakBefore w:val="0"/>
              <w:numPr>
                <w:ilvl w:val="-1"/>
                <w:numId w:val="0"/>
              </w:numPr>
              <w:kinsoku/>
              <w:wordWrap/>
              <w:overflowPunct/>
              <w:topLinePunct w:val="0"/>
              <w:autoSpaceDE/>
              <w:autoSpaceDN/>
              <w:bidi w:val="0"/>
              <w:snapToGrid/>
              <w:spacing w:line="360" w:lineRule="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eastAsia="zh-CN"/>
              </w:rPr>
              <w:t>（一）数字教材创作编辑工具功能要求如下：</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1．具备一次打包跨平台跨终端自适应.</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具有适用于Android系统、iOS系统、Windows桌面系统、macOS系统以及国产桌面操作系统（麒麟，统信UOS）客户端应用（APP），需要有五种专用应用客户端，手机、平板电脑的屏幕自适应，横屏竖屏自适应；桌面电脑系统的屏幕自适应；手机、平板电脑、桌面电脑高清屏幕自适应。</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b/>
                <w:bCs/>
                <w:color w:val="auto"/>
                <w:sz w:val="21"/>
                <w:szCs w:val="21"/>
                <w:highlight w:val="none"/>
                <w:shd w:val="clear"/>
                <w:lang w:eastAsia="zh-CN"/>
              </w:rPr>
              <w:t>▲2．具备图片、表格自动题注编号功能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1</w:t>
            </w:r>
            <w:r>
              <w:rPr>
                <w:rFonts w:hint="eastAsia" w:ascii="宋体" w:hAnsi="宋体" w:eastAsia="宋体" w:cs="宋体"/>
                <w:color w:val="auto"/>
                <w:sz w:val="21"/>
                <w:szCs w:val="21"/>
                <w:highlight w:val="none"/>
                <w:shd w:val="clear"/>
                <w:lang w:eastAsia="zh-CN"/>
              </w:rPr>
              <w:t>）对插入的图片、表格进行自动题注编号；可以选择编号的标签；可以选择编号规则：包含章序号、包含章节双重序号。</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2</w:t>
            </w:r>
            <w:r>
              <w:rPr>
                <w:rFonts w:hint="eastAsia" w:ascii="宋体" w:hAnsi="宋体" w:eastAsia="宋体" w:cs="宋体"/>
                <w:color w:val="auto"/>
                <w:sz w:val="21"/>
                <w:szCs w:val="21"/>
                <w:highlight w:val="none"/>
                <w:shd w:val="clear"/>
                <w:lang w:eastAsia="zh-CN"/>
              </w:rPr>
              <w:t>）具备查看及处理用户反馈功能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用户阅读学习教材的时候，如果发现教材中的内容存在错误、偏差、不准确等，可以在学习端发起反馈；主编可以在编辑器查看反馈内容以及进行处理。</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b/>
                <w:bCs/>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val="en-US" w:eastAsia="zh-CN"/>
              </w:rPr>
              <w:t>3</w:t>
            </w:r>
            <w:r>
              <w:rPr>
                <w:rFonts w:hint="eastAsia" w:ascii="宋体" w:hAnsi="宋体" w:eastAsia="宋体" w:cs="宋体"/>
                <w:color w:val="auto"/>
                <w:sz w:val="21"/>
                <w:szCs w:val="21"/>
                <w:highlight w:val="none"/>
                <w:shd w:val="clear"/>
                <w:lang w:eastAsia="zh-CN"/>
              </w:rPr>
              <w:t>.AI智能校对功能、内容安全自动审核功能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对创作者编写的文字内容进行智能校对，包括错别字、专有名词、语法、标点符号等，并且可以给出修改建议，为未来出版做好充分的准备。</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val="en-US" w:eastAsia="zh-CN"/>
              </w:rPr>
              <w:t>4</w:t>
            </w:r>
            <w:r>
              <w:rPr>
                <w:rFonts w:hint="eastAsia" w:ascii="宋体" w:hAnsi="宋体" w:eastAsia="宋体" w:cs="宋体"/>
                <w:color w:val="auto"/>
                <w:sz w:val="21"/>
                <w:szCs w:val="21"/>
                <w:highlight w:val="none"/>
                <w:shd w:val="clear"/>
                <w:lang w:eastAsia="zh-CN"/>
              </w:rPr>
              <w:t>.▲要求采用大数据人工智能技术对教材中的内容包括文字、图像、视频、音频进行自动安全审核，确保内容符合相关法律法规；如果自动审核存在风险，需人工介入确认。</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val="en-US" w:eastAsia="zh-CN"/>
              </w:rPr>
              <w:t>5</w:t>
            </w:r>
            <w:r>
              <w:rPr>
                <w:rFonts w:hint="eastAsia" w:ascii="宋体" w:hAnsi="宋体" w:eastAsia="宋体" w:cs="宋体"/>
                <w:color w:val="auto"/>
                <w:sz w:val="21"/>
                <w:szCs w:val="21"/>
                <w:highlight w:val="none"/>
                <w:shd w:val="clear"/>
                <w:lang w:eastAsia="zh-CN"/>
              </w:rPr>
              <w:t>.具备word导入功能：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具备word导入功能，先在word里编写教材内容，然后一键导入，包括导入公式、图标和图片等。</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6</w:t>
            </w:r>
            <w:r>
              <w:rPr>
                <w:rFonts w:hint="eastAsia" w:ascii="宋体" w:hAnsi="宋体" w:eastAsia="宋体" w:cs="宋体"/>
                <w:color w:val="auto"/>
                <w:sz w:val="21"/>
                <w:szCs w:val="21"/>
                <w:highlight w:val="none"/>
                <w:shd w:val="clear"/>
                <w:lang w:eastAsia="zh-CN"/>
              </w:rPr>
              <w:t>.支持AI智能生图功能、支持AI图片增强功能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平台支持创意描述，支持描述润色，根据描述内容进行智能生图，AI自动生成插图和配图，生成图片支持选择1024*768和1080*1920等图片尺寸，图片风格包含。通用写实、卡通手绘、3D等风格。支持 jpeg、jpg、png 格式文件，AI自动将模糊的示例图片处理为清晰图片，增强图片会以版式图形式插入到教材内容中。</w:t>
            </w:r>
            <w:r>
              <w:rPr>
                <w:rFonts w:hint="eastAsia" w:ascii="宋体" w:hAnsi="宋体" w:eastAsia="宋体" w:cs="宋体"/>
                <w:b/>
                <w:bCs/>
                <w:color w:val="auto"/>
                <w:sz w:val="21"/>
                <w:szCs w:val="21"/>
                <w:highlight w:val="none"/>
                <w:shd w:val="clear"/>
              </w:rPr>
              <w:t>（提供功能截图并加盖投标人公章）</w:t>
            </w:r>
          </w:p>
        </w:tc>
        <w:tc>
          <w:tcPr>
            <w:tcW w:w="657" w:type="dxa"/>
            <w:vMerge w:val="restart"/>
            <w:shd w:val="clear" w:color="auto" w:fill="auto"/>
            <w:vAlign w:val="center"/>
          </w:tcPr>
          <w:p w14:paraId="00A3AFE2">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46926BA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38543D3A">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1CB50975">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06E19391">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479CA50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0E5DB63D">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7B914AE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2A0D021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137AA2B1">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426A9FF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64DBAD6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p>
          <w:p w14:paraId="1D5A891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704" w:type="dxa"/>
            <w:vMerge w:val="restart"/>
            <w:shd w:val="clear" w:color="auto" w:fill="auto"/>
            <w:vAlign w:val="center"/>
          </w:tcPr>
          <w:p w14:paraId="39EB8C76">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0E912B1F">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61EE5AF3">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13F3265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392E9F9B">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2AC45B98">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507F337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28D5D29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690BE5C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6B243AA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4FE9968A">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7796087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p w14:paraId="692968D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w:t>
            </w:r>
          </w:p>
        </w:tc>
      </w:tr>
      <w:tr w14:paraId="1475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vAlign w:val="center"/>
          </w:tcPr>
          <w:p w14:paraId="2121DBB5">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812" w:type="dxa"/>
            <w:vMerge w:val="continue"/>
            <w:vAlign w:val="center"/>
          </w:tcPr>
          <w:p w14:paraId="1F5368E9">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1063" w:type="dxa"/>
            <w:shd w:val="clear" w:color="auto" w:fill="auto"/>
            <w:vAlign w:val="center"/>
          </w:tcPr>
          <w:p w14:paraId="210F341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数字教材学习与应用系统</w:t>
            </w:r>
          </w:p>
        </w:tc>
        <w:tc>
          <w:tcPr>
            <w:tcW w:w="6258" w:type="dxa"/>
            <w:shd w:val="clear" w:color="auto" w:fill="auto"/>
            <w:vAlign w:val="center"/>
          </w:tcPr>
          <w:p w14:paraId="6F2D46AF">
            <w:pPr>
              <w:pStyle w:val="2"/>
              <w:pageBreakBefore w:val="0"/>
              <w:numPr>
                <w:ilvl w:val="0"/>
                <w:numId w:val="17"/>
              </w:numPr>
              <w:kinsoku/>
              <w:wordWrap/>
              <w:overflowPunct/>
              <w:topLinePunct w:val="0"/>
              <w:autoSpaceDE/>
              <w:autoSpaceDN/>
              <w:bidi w:val="0"/>
              <w:snapToGrid/>
              <w:spacing w:line="360"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数字教材学习与应用系统具体功能要求如下：</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1．具备跨平台、跨终端功能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有适用于Android系统、iOS系统、Windows桌面系统、macOS系统以及国产桌面操作系统（麒麟，统信UOS）客户端应用（APP），需要有五种专用应用客户端，手机、平板电脑的屏幕自适应，横屏竖屏自适应；桌面电脑系统的屏幕自适应；手机、平板电脑、桌面电脑高清屏幕自适应。</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）基本学习功能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数字教材的混合媒体一体化编排设计的阅读和浏览，支持文字、图片、画廊、语音、视频、音频、3D在一个场景里沉浸式学习；支持流式排版的上下滑动、翻页；支持字号大小调整；支持按照关键字查找教材内容；支持按照章节目录索引、按照页码定位。</w:t>
            </w:r>
          </w:p>
          <w:p w14:paraId="34054A64">
            <w:pPr>
              <w:pStyle w:val="2"/>
              <w:pageBreakBefore w:val="0"/>
              <w:numPr>
                <w:ilvl w:val="0"/>
                <w:numId w:val="0"/>
              </w:numPr>
              <w:kinsoku/>
              <w:wordWrap/>
              <w:overflowPunct/>
              <w:topLinePunct w:val="0"/>
              <w:autoSpaceDE/>
              <w:autoSpaceDN/>
              <w:bidi w:val="0"/>
              <w:snapToGrid/>
              <w:spacing w:line="360" w:lineRule="auto"/>
              <w:ind w:leftChars="0"/>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）素材库功能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具备素材库功能，将教材中的所有图片、音频、视频、动画、3D、交互组件等都汇聚在素材库中，允许读者在教材页面的系统化学习和素材库的快捷碎片化学习中切换，所有图片、音频、视频、动画、3D交互组件等都可以直接点击学习或扩展到云端教材配套素材库中学习。</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）书签功能、全文检索功能、学习跳转功能、具备页码快速定位功能。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支持数字教材APP随时记录学习进度，标注书签，并可通过书签快速定位学习位置。支持全文所有章节的文字搜索和定位。支持学习过程中可以依据知识点索引，快速转引到某个位置，学习后可以返回原位置。支持与纸质教材对应的页码快速定位功能，可以快速翻到指定页码。</w:t>
            </w:r>
            <w:r>
              <w:rPr>
                <w:rFonts w:hint="eastAsia" w:ascii="宋体" w:hAnsi="宋体" w:eastAsia="宋体" w:cs="宋体"/>
                <w:b/>
                <w:bCs/>
                <w:color w:val="auto"/>
                <w:sz w:val="21"/>
                <w:szCs w:val="21"/>
                <w:highlight w:val="none"/>
                <w:lang w:eastAsia="zh-CN"/>
              </w:rPr>
              <w:br w:type="textWrapping"/>
            </w:r>
            <w:r>
              <w:rPr>
                <w:rFonts w:hint="eastAsia" w:ascii="宋体" w:hAnsi="宋体" w:eastAsia="宋体" w:cs="宋体"/>
                <w:b/>
                <w:bCs/>
                <w:color w:val="auto"/>
                <w:sz w:val="21"/>
                <w:szCs w:val="21"/>
                <w:highlight w:val="none"/>
                <w:shd w:val="clear"/>
                <w:lang w:eastAsia="zh-CN"/>
              </w:rPr>
              <w:t>▲</w:t>
            </w:r>
            <w:r>
              <w:rPr>
                <w:rFonts w:hint="eastAsia" w:ascii="宋体" w:hAnsi="宋体" w:eastAsia="宋体" w:cs="宋体"/>
                <w:b/>
                <w:bCs/>
                <w:color w:val="auto"/>
                <w:sz w:val="21"/>
                <w:szCs w:val="21"/>
                <w:highlight w:val="none"/>
                <w:shd w:val="clear"/>
                <w:lang w:val="en-US" w:eastAsia="zh-CN"/>
              </w:rPr>
              <w:t>2</w:t>
            </w:r>
            <w:r>
              <w:rPr>
                <w:rFonts w:hint="eastAsia" w:ascii="宋体" w:hAnsi="宋体" w:eastAsia="宋体" w:cs="宋体"/>
                <w:b/>
                <w:bCs/>
                <w:color w:val="auto"/>
                <w:sz w:val="21"/>
                <w:szCs w:val="21"/>
                <w:highlight w:val="none"/>
                <w:shd w:val="clear"/>
                <w:lang w:eastAsia="zh-CN"/>
              </w:rPr>
              <w:t>．与智能教学工具App数据互通</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1</w:t>
            </w:r>
            <w:r>
              <w:rPr>
                <w:rFonts w:hint="eastAsia" w:ascii="宋体" w:hAnsi="宋体" w:eastAsia="宋体" w:cs="宋体"/>
                <w:color w:val="auto"/>
                <w:sz w:val="21"/>
                <w:szCs w:val="21"/>
                <w:highlight w:val="none"/>
                <w:shd w:val="clear"/>
                <w:lang w:eastAsia="zh-CN"/>
              </w:rPr>
              <w:t>）数字教材学习App和智能教学工具App的底层数据互通，在智能教学工具课堂互动教学App的班课中选择了一本数字教材，就会显示在班课的资源模块，学生点击可跳转到移动交互教材（数字教材）学习App进行教材学习；支持课堂互动教学App的成员模块教师可以查阅学生的教材学习数据，数据内容同样包括学习进度（每一章节学习的总学习进度/总学习时长数据及每一章节的学习时长和百分比进度）、标注（学生在本教材上所有的标注和笔记）、视频（视频学习总时长和已经观看视频的百分比进度）和练习（教材中交互练习的结果）。</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2</w:t>
            </w:r>
            <w:r>
              <w:rPr>
                <w:rFonts w:hint="eastAsia" w:ascii="宋体" w:hAnsi="宋体" w:eastAsia="宋体" w:cs="宋体"/>
                <w:color w:val="auto"/>
                <w:sz w:val="21"/>
                <w:szCs w:val="21"/>
                <w:highlight w:val="none"/>
                <w:shd w:val="clear"/>
                <w:lang w:eastAsia="zh-CN"/>
              </w:rPr>
              <w:t>）学习任务功能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教师可以在数字教材App中布置教材学习任务，并支持按章节选择教材内容进行学习任务发布；可以通过二维码、手机号邀请学生参与学习任务；也可以从历史任务中同步学生参与学习任务；可以手动关闭二维码加入任务的渠道，避免二维码被散播导致任务中加入进来不相干的学生；可以查看每个学生的学习进度以及学习数据。</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b/>
                <w:bCs/>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val="en-US" w:eastAsia="zh-CN"/>
              </w:rPr>
              <w:t>3</w:t>
            </w:r>
            <w:r>
              <w:rPr>
                <w:rFonts w:hint="eastAsia" w:ascii="宋体" w:hAnsi="宋体" w:eastAsia="宋体" w:cs="宋体"/>
                <w:color w:val="auto"/>
                <w:sz w:val="21"/>
                <w:szCs w:val="21"/>
                <w:highlight w:val="none"/>
                <w:shd w:val="clear"/>
                <w:lang w:eastAsia="zh-CN"/>
              </w:rPr>
              <w:t>．版权保护功能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平台具有为版权保护多重加密功能，包括：</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第一层加密：云端-内容-移动终端的数字匹配加密，只有合法的用户才能获取内容。</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第二层加密：移动终端的操作系统存储层加密，即使越狱，内容无法分解拷贝。</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复本数控制：移动终端的硬件匹配，合法读者按“终端复本数许可”多终端使用，非法复本可自动识别自动删除。</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b/>
                <w:bCs/>
                <w:color w:val="auto"/>
                <w:sz w:val="21"/>
                <w:szCs w:val="21"/>
                <w:highlight w:val="none"/>
                <w:shd w:val="clear"/>
                <w:lang w:eastAsia="zh-CN"/>
              </w:rPr>
              <w:t>▲</w:t>
            </w:r>
            <w:r>
              <w:rPr>
                <w:rFonts w:hint="eastAsia" w:ascii="宋体" w:hAnsi="宋体" w:eastAsia="宋体" w:cs="宋体"/>
                <w:b/>
                <w:bCs/>
                <w:color w:val="auto"/>
                <w:sz w:val="21"/>
                <w:szCs w:val="21"/>
                <w:highlight w:val="none"/>
                <w:shd w:val="clear"/>
                <w:lang w:val="en-US" w:eastAsia="zh-CN"/>
              </w:rPr>
              <w:t>4</w:t>
            </w:r>
            <w:r>
              <w:rPr>
                <w:rFonts w:hint="eastAsia" w:ascii="宋体" w:hAnsi="宋体" w:eastAsia="宋体" w:cs="宋体"/>
                <w:b/>
                <w:bCs/>
                <w:color w:val="auto"/>
                <w:sz w:val="21"/>
                <w:szCs w:val="21"/>
                <w:highlight w:val="none"/>
                <w:shd w:val="clear"/>
                <w:lang w:eastAsia="zh-CN"/>
              </w:rPr>
              <w:t>.具备人工智能学习导师功能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1</w:t>
            </w:r>
            <w:r>
              <w:rPr>
                <w:rFonts w:hint="eastAsia" w:ascii="宋体" w:hAnsi="宋体" w:eastAsia="宋体" w:cs="宋体"/>
                <w:color w:val="auto"/>
                <w:sz w:val="21"/>
                <w:szCs w:val="21"/>
                <w:highlight w:val="none"/>
                <w:shd w:val="clear"/>
                <w:lang w:eastAsia="zh-CN"/>
              </w:rPr>
              <w:t>）数字教材App支持学生打开数字教材与AI对话式学习模式和探究模式和角色扮演式学习模式三种，支持智能语音播报，要求在AI数字教材中针对三种生成式学习模式进行问答学习时，回答内容要求包括多模态资源和文字内容、支持播放对话问题，便于理解对话含义。AI对话式学习：</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学生可以与AI数字教材开展自然语言对话，随意问答，精准回答，不允许产生“幻觉”，不允许在教材知识范围以外进行回答。确保知识的准确性和全面性，对学生提出的问题给出更精准的回答，同时为学生精准推荐相关的教材内资源（图片、视频等）来加强学生的理解，按照章节提供前往学习的跳转链接。同时提供学习可以继续提问的相关问题，引导学生持续提问学习。</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角色扮演式学习模式：</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学生可以将AI设置为学习导师角色，在角色引导下开展个性化自适应学习，可以设置AI导师模式，学生选择某个章节后，AI可以自动引导学生完成学习，并给出个性化学习总结。</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2</w:t>
            </w:r>
            <w:r>
              <w:rPr>
                <w:rFonts w:hint="eastAsia" w:ascii="宋体" w:hAnsi="宋体" w:eastAsia="宋体" w:cs="宋体"/>
                <w:color w:val="auto"/>
                <w:sz w:val="21"/>
                <w:szCs w:val="21"/>
                <w:highlight w:val="none"/>
                <w:shd w:val="clear"/>
                <w:lang w:eastAsia="zh-CN"/>
              </w:rPr>
              <w:t>）同时具备数字教材AI学习行为跟踪和报告：</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要求对学生个性化生成式学习的时间、问题、数量、路径、学习量和学习知识覆盖度（按章、节统计）开展大数据跟踪，并提供学习报告，方便老师开展个性化干预指导和高阶学习引导。</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b/>
                <w:bCs/>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3</w:t>
            </w:r>
            <w:r>
              <w:rPr>
                <w:rFonts w:hint="eastAsia" w:ascii="宋体" w:hAnsi="宋体" w:eastAsia="宋体" w:cs="宋体"/>
                <w:color w:val="auto"/>
                <w:sz w:val="21"/>
                <w:szCs w:val="21"/>
                <w:highlight w:val="none"/>
                <w:shd w:val="clear"/>
                <w:lang w:eastAsia="zh-CN"/>
              </w:rPr>
              <w:t>）视频浮窗播放功能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数字教材APP支持学生在阅读教材的同时，可以浮窗观看教学视频，同时阅读文字内容</w:t>
            </w:r>
            <w:r>
              <w:rPr>
                <w:rFonts w:hint="eastAsia" w:ascii="宋体" w:hAnsi="宋体" w:eastAsia="宋体" w:cs="宋体"/>
                <w:b w:val="0"/>
                <w:bCs w:val="0"/>
                <w:color w:val="auto"/>
                <w:sz w:val="21"/>
                <w:szCs w:val="21"/>
                <w:highlight w:val="none"/>
                <w:shd w:val="clear"/>
                <w:lang w:eastAsia="zh-CN"/>
              </w:rPr>
              <w:t>。</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b/>
                <w:bCs/>
                <w:color w:val="auto"/>
                <w:sz w:val="21"/>
                <w:szCs w:val="21"/>
                <w:highlight w:val="none"/>
                <w:shd w:val="clear"/>
                <w:lang w:eastAsia="zh-CN"/>
              </w:rPr>
              <w:br w:type="textWrapping"/>
            </w:r>
            <w:r>
              <w:rPr>
                <w:rFonts w:hint="eastAsia" w:ascii="宋体" w:hAnsi="宋体" w:eastAsia="宋体" w:cs="宋体"/>
                <w:b/>
                <w:bCs/>
                <w:color w:val="auto"/>
                <w:sz w:val="21"/>
                <w:szCs w:val="21"/>
                <w:highlight w:val="none"/>
                <w:shd w:val="clear"/>
                <w:lang w:eastAsia="zh-CN"/>
              </w:rPr>
              <w:t>▲</w:t>
            </w:r>
            <w:r>
              <w:rPr>
                <w:rFonts w:hint="eastAsia" w:ascii="宋体" w:hAnsi="宋体" w:eastAsia="宋体" w:cs="宋体"/>
                <w:b/>
                <w:bCs/>
                <w:color w:val="auto"/>
                <w:sz w:val="21"/>
                <w:szCs w:val="21"/>
                <w:highlight w:val="none"/>
                <w:shd w:val="clear"/>
                <w:lang w:val="en-US" w:eastAsia="zh-CN"/>
              </w:rPr>
              <w:t>5</w:t>
            </w:r>
            <w:r>
              <w:rPr>
                <w:rFonts w:hint="eastAsia" w:ascii="宋体" w:hAnsi="宋体" w:eastAsia="宋体" w:cs="宋体"/>
                <w:b/>
                <w:bCs/>
                <w:color w:val="auto"/>
                <w:sz w:val="21"/>
                <w:szCs w:val="21"/>
                <w:highlight w:val="none"/>
                <w:shd w:val="clear"/>
                <w:lang w:eastAsia="zh-CN"/>
              </w:rPr>
              <w:t>.具备丰富的二次交互优化组件库</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提供丰富的交互测试和交互练习模版组件，要求每个交互组件能够在平板、手机和电脑上完全适配运行，制作过程中可以通过提取组件编号代码直接利用，交互组件库中成熟交互组件数量不少于150个，并具备交互组件库持续更新能力。交互组件库覆盖文本类测试（选择判断题、思考简答题、填空题、连线题）、图文类测试（看图辨文、看图辨图、看文辨图）、听音答题、基本交互学习（气泡、地理地图定位、画廊、朗读、3D）、点击位辅助交互学习（结构注解、顺序注解、知识点学习、图片学习）、音视频辅助交互学习（音频、录音、朗读联系）及大量专业方向交互学习与游戏组件。</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b/>
                <w:bCs/>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val="en-US" w:eastAsia="zh-CN"/>
              </w:rPr>
              <w:t>6</w:t>
            </w:r>
            <w:r>
              <w:rPr>
                <w:rFonts w:hint="eastAsia" w:ascii="宋体" w:hAnsi="宋体" w:eastAsia="宋体" w:cs="宋体"/>
                <w:color w:val="auto"/>
                <w:sz w:val="21"/>
                <w:szCs w:val="21"/>
                <w:highlight w:val="none"/>
                <w:shd w:val="clear"/>
                <w:lang w:eastAsia="zh-CN"/>
              </w:rPr>
              <w:t>．具备丰富的二次设计优化模板库</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提供丰富的版式设计模版，可以根据数字教材的专业、种类、风格选择模板库中的模版，并支持选择多种模板从中抽取组件样式进行新模板组合功能，只需更新教材中的文字和多媒体资源即可，版式设计模板库数量不少于150套，并具备版式设计模板库持续更新能力。</w:t>
            </w:r>
          </w:p>
        </w:tc>
        <w:tc>
          <w:tcPr>
            <w:tcW w:w="657" w:type="dxa"/>
            <w:vMerge w:val="continue"/>
            <w:vAlign w:val="center"/>
          </w:tcPr>
          <w:p w14:paraId="0A008C7E">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704" w:type="dxa"/>
            <w:vMerge w:val="continue"/>
            <w:vAlign w:val="center"/>
          </w:tcPr>
          <w:p w14:paraId="354E65D5">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r>
      <w:tr w14:paraId="194E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vMerge w:val="continue"/>
            <w:vAlign w:val="center"/>
          </w:tcPr>
          <w:p w14:paraId="11971EC5">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812" w:type="dxa"/>
            <w:vMerge w:val="continue"/>
            <w:vAlign w:val="center"/>
          </w:tcPr>
          <w:p w14:paraId="0B4CDDD4">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1063" w:type="dxa"/>
            <w:shd w:val="clear" w:color="auto" w:fill="auto"/>
            <w:vAlign w:val="center"/>
          </w:tcPr>
          <w:p w14:paraId="4A17F9B2">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智能云教学工具</w:t>
            </w:r>
          </w:p>
        </w:tc>
        <w:tc>
          <w:tcPr>
            <w:tcW w:w="6258" w:type="dxa"/>
            <w:shd w:val="clear" w:color="auto" w:fill="auto"/>
            <w:vAlign w:val="center"/>
          </w:tcPr>
          <w:p w14:paraId="10E804A4">
            <w:pPr>
              <w:pageBreakBefore w:val="0"/>
              <w:widowControl/>
              <w:numPr>
                <w:ilvl w:val="-1"/>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color w:val="auto"/>
                <w:sz w:val="21"/>
                <w:szCs w:val="21"/>
                <w:highlight w:val="none"/>
                <w:lang w:eastAsia="zh-CN"/>
              </w:rPr>
              <w:t>一、功能要求如下：</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1. 具备智能助学和智能助教、智能画像功能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要求具有采用人工智能技术的智能助学和智能助教功能。智能助学功能可以通过学生学习行为观察，帮助学生个性化成长；智能助教为老师提供个性化教学的支持，提醒老师需要关注的学生。</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具有智能画像，分为基本素养、学习态度、学习习惯、综合能力、知识掌握5个维度，每个维度都有不同的形式表示一种用户的行为特征。</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2.具备智能批改功能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具有英语作文作业的智能批改工具，减轻老师批改作业劳动强度，智能批改的维度则包括作文的整体结构、内容关联度、逻辑延展、语法、词汇、拼写等，可以自动生成分数和报告，并可以推送给学生。</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shd w:val="clear"/>
                <w:lang w:eastAsia="zh-CN"/>
              </w:rPr>
              <w:t>▲3.具备智能语音功能</w:t>
            </w:r>
            <w:r>
              <w:rPr>
                <w:rFonts w:hint="eastAsia" w:ascii="宋体" w:hAnsi="宋体" w:eastAsia="宋体" w:cs="宋体"/>
                <w:color w:val="auto"/>
                <w:sz w:val="21"/>
                <w:szCs w:val="21"/>
                <w:highlight w:val="none"/>
                <w:shd w:val="clear"/>
                <w:lang w:eastAsia="zh-CN"/>
              </w:rPr>
              <w:br w:type="textWrapping"/>
            </w:r>
            <w:r>
              <w:rPr>
                <w:rFonts w:hint="eastAsia" w:ascii="宋体" w:hAnsi="宋体" w:eastAsia="宋体" w:cs="宋体"/>
                <w:color w:val="auto"/>
                <w:sz w:val="21"/>
                <w:szCs w:val="21"/>
                <w:highlight w:val="none"/>
                <w:shd w:val="clear"/>
                <w:lang w:eastAsia="zh-CN"/>
              </w:rPr>
              <w:t>老师可以通过语音给快速给学生加分，适用于课堂上选择学生回答问题后，老师快速使用语音给学生加减分的场景。</w:t>
            </w:r>
            <w:r>
              <w:rPr>
                <w:rFonts w:hint="eastAsia" w:ascii="宋体" w:hAnsi="宋体" w:eastAsia="宋体" w:cs="宋体"/>
                <w:b/>
                <w:bCs/>
                <w:color w:val="auto"/>
                <w:sz w:val="21"/>
                <w:szCs w:val="21"/>
                <w:highlight w:val="none"/>
                <w:shd w:val="clear"/>
                <w:lang w:eastAsia="zh-CN"/>
              </w:rPr>
              <w:t>（提供功能截图并加盖投标人公章）</w:t>
            </w:r>
            <w:r>
              <w:rPr>
                <w:rFonts w:hint="eastAsia" w:ascii="宋体" w:hAnsi="宋体" w:eastAsia="宋体" w:cs="宋体"/>
                <w:b/>
                <w:bCs/>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4.具备设置数字教材功能</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在创建班课时，能够设置本班课选用的“数字教材”，平台必须提供丰富的数字教材（200种以上）可供教师选择，教师选定的数字教材需要在班课的“资源”模块置顶显示出来，并且学生点击该教材可以跳转数字教材APP进行教材学习；</w:t>
            </w:r>
          </w:p>
        </w:tc>
        <w:tc>
          <w:tcPr>
            <w:tcW w:w="657" w:type="dxa"/>
            <w:vMerge w:val="continue"/>
            <w:vAlign w:val="center"/>
          </w:tcPr>
          <w:p w14:paraId="2CFD001E">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704" w:type="dxa"/>
            <w:vMerge w:val="continue"/>
            <w:vAlign w:val="center"/>
          </w:tcPr>
          <w:p w14:paraId="4A1A2ACE">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r>
      <w:tr w14:paraId="0C25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 w:type="dxa"/>
            <w:vMerge w:val="continue"/>
            <w:vAlign w:val="center"/>
          </w:tcPr>
          <w:p w14:paraId="61FDB963">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812" w:type="dxa"/>
            <w:vMerge w:val="continue"/>
            <w:vAlign w:val="center"/>
          </w:tcPr>
          <w:p w14:paraId="44956EB9">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1063" w:type="dxa"/>
            <w:shd w:val="clear" w:color="auto" w:fill="auto"/>
            <w:vAlign w:val="center"/>
          </w:tcPr>
          <w:p w14:paraId="10557F99">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出版</w:t>
            </w:r>
          </w:p>
          <w:p w14:paraId="0B1B2DF7">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tc>
        <w:tc>
          <w:tcPr>
            <w:tcW w:w="6258" w:type="dxa"/>
            <w:shd w:val="clear" w:color="auto" w:fill="auto"/>
            <w:vAlign w:val="center"/>
          </w:tcPr>
          <w:p w14:paraId="3F715870">
            <w:pPr>
              <w:pageBreakBefore w:val="0"/>
              <w:widowControl/>
              <w:numPr>
                <w:ilvl w:val="-1"/>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sz w:val="21"/>
                <w:szCs w:val="21"/>
                <w:highlight w:val="none"/>
                <w:shd w:val="clear"/>
                <w:lang w:eastAsia="zh-CN"/>
              </w:rPr>
              <w:t>▲提供不低于30家的出版选择。并根据数字教材内容素材审核、文字审校、版权审查等三审三校和出版服务测试数字数字教材内容中的所有产品功能，保证数字教材正常的使用和阅读。支持老师正式出版校本数字教材，并通过正规出版社数字出版。正式出版的数字教材，教材推广前需经过教材所有权人的同意，教材通过数字教材公共服务平台可以在其他学校进行推广应用。</w:t>
            </w:r>
            <w:r>
              <w:rPr>
                <w:rFonts w:hint="eastAsia" w:ascii="宋体" w:hAnsi="宋体" w:eastAsia="宋体" w:cs="宋体"/>
                <w:b/>
                <w:bCs/>
                <w:color w:val="auto"/>
                <w:sz w:val="21"/>
                <w:szCs w:val="21"/>
                <w:highlight w:val="none"/>
                <w:shd w:val="clear"/>
              </w:rPr>
              <w:t>（提供功能截图并加盖投标人公章）</w:t>
            </w:r>
          </w:p>
        </w:tc>
        <w:tc>
          <w:tcPr>
            <w:tcW w:w="657" w:type="dxa"/>
            <w:vMerge w:val="continue"/>
            <w:vAlign w:val="center"/>
          </w:tcPr>
          <w:p w14:paraId="4C00F005">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c>
          <w:tcPr>
            <w:tcW w:w="704" w:type="dxa"/>
            <w:vMerge w:val="continue"/>
            <w:vAlign w:val="center"/>
          </w:tcPr>
          <w:p w14:paraId="0C9CE8EC">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p>
        </w:tc>
      </w:tr>
      <w:tr w14:paraId="58A2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182" w:type="dxa"/>
            <w:gridSpan w:val="6"/>
            <w:shd w:val="clear" w:color="auto" w:fill="auto"/>
            <w:vAlign w:val="center"/>
          </w:tcPr>
          <w:p w14:paraId="45ABDB3E">
            <w:pPr>
              <w:pStyle w:val="5"/>
              <w:pageBreakBefore w:val="0"/>
              <w:numPr>
                <w:ilvl w:val="1"/>
                <w:numId w:val="0"/>
              </w:numPr>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bookmarkStart w:id="63" w:name="_Toc27475"/>
            <w:r>
              <w:rPr>
                <w:rFonts w:hint="eastAsia" w:ascii="宋体" w:hAnsi="宋体" w:eastAsia="宋体" w:cs="宋体"/>
                <w:b/>
                <w:bCs/>
                <w:color w:val="auto"/>
                <w:kern w:val="0"/>
                <w:sz w:val="21"/>
                <w:szCs w:val="21"/>
                <w:highlight w:val="none"/>
                <w:u w:val="none"/>
                <w:lang w:val="en-US" w:eastAsia="zh-CN" w:bidi="ar-SA"/>
              </w:rPr>
              <w:t>二、资源库运行与推广服务</w:t>
            </w:r>
            <w:bookmarkEnd w:id="63"/>
          </w:p>
        </w:tc>
      </w:tr>
      <w:tr w14:paraId="53EE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shd w:val="clear" w:color="auto" w:fill="auto"/>
            <w:vAlign w:val="center"/>
          </w:tcPr>
          <w:p w14:paraId="23CCA2D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2" w:type="dxa"/>
            <w:shd w:val="clear" w:color="auto" w:fill="auto"/>
            <w:vAlign w:val="center"/>
          </w:tcPr>
          <w:p w14:paraId="5BC7A6D5">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9"/>
                <w:sz w:val="21"/>
                <w:szCs w:val="21"/>
                <w:highlight w:val="none"/>
              </w:rPr>
              <w:t>课程运行平</w:t>
            </w:r>
            <w:r>
              <w:rPr>
                <w:rFonts w:hint="eastAsia" w:ascii="宋体" w:hAnsi="宋体" w:eastAsia="宋体" w:cs="宋体"/>
                <w:color w:val="auto"/>
                <w:spacing w:val="-5"/>
                <w:sz w:val="21"/>
                <w:szCs w:val="21"/>
                <w:highlight w:val="none"/>
              </w:rPr>
              <w:t>台技术要求</w:t>
            </w:r>
          </w:p>
        </w:tc>
        <w:tc>
          <w:tcPr>
            <w:tcW w:w="1063" w:type="dxa"/>
            <w:shd w:val="clear" w:color="auto" w:fill="auto"/>
            <w:vAlign w:val="center"/>
          </w:tcPr>
          <w:p w14:paraId="136A6610">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p>
        </w:tc>
        <w:tc>
          <w:tcPr>
            <w:tcW w:w="6258" w:type="dxa"/>
            <w:shd w:val="clear" w:color="auto" w:fill="auto"/>
            <w:vAlign w:val="center"/>
          </w:tcPr>
          <w:p w14:paraId="3C76BE38">
            <w:pPr>
              <w:pageBreakBefore w:val="0"/>
              <w:widowControl/>
              <w:numPr>
                <w:ilvl w:val="0"/>
                <w:numId w:val="18"/>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资源库管理空间</w:t>
            </w:r>
          </w:p>
          <w:p w14:paraId="296430E2">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设定资源库的建设目标，学校可自主按照核心专业及多个服务专业的组织形式开展资源库建设</w:t>
            </w:r>
            <w:r>
              <w:rPr>
                <w:rFonts w:hint="eastAsia" w:ascii="宋体" w:hAnsi="宋体" w:eastAsia="宋体" w:cs="宋体"/>
                <w:b w:val="0"/>
                <w:bCs w:val="0"/>
                <w:color w:val="auto"/>
                <w:kern w:val="0"/>
                <w:sz w:val="21"/>
                <w:szCs w:val="21"/>
                <w:highlight w:val="none"/>
                <w:lang w:eastAsia="zh-CN"/>
              </w:rPr>
              <w:t>；</w:t>
            </w:r>
          </w:p>
          <w:p w14:paraId="1164F131">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支持本资源库负责人设置专业基础信息，包括资源库名称、负责人、资源库LOGO以及门户网站模板（选择门户建设方式，包括自行独立定制或选择示范模板）等</w:t>
            </w:r>
            <w:r>
              <w:rPr>
                <w:rFonts w:hint="eastAsia" w:ascii="宋体" w:hAnsi="宋体" w:eastAsia="宋体" w:cs="宋体"/>
                <w:b w:val="0"/>
                <w:bCs w:val="0"/>
                <w:color w:val="auto"/>
                <w:kern w:val="0"/>
                <w:sz w:val="21"/>
                <w:szCs w:val="21"/>
                <w:highlight w:val="none"/>
                <w:lang w:eastAsia="zh-CN"/>
              </w:rPr>
              <w:t>；</w:t>
            </w:r>
          </w:p>
          <w:p w14:paraId="6C1BC2B3">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支持本资源库项目负责人对平台成员进行管理，设置专业负责人、课程负责人和课程审核人，支持设置人员权限，并有权限管理本资源库所有成员的账号</w:t>
            </w:r>
            <w:r>
              <w:rPr>
                <w:rFonts w:hint="eastAsia" w:ascii="宋体" w:hAnsi="宋体" w:eastAsia="宋体" w:cs="宋体"/>
                <w:b w:val="0"/>
                <w:bCs w:val="0"/>
                <w:color w:val="auto"/>
                <w:kern w:val="0"/>
                <w:sz w:val="21"/>
                <w:szCs w:val="21"/>
                <w:highlight w:val="none"/>
                <w:lang w:eastAsia="zh-CN"/>
              </w:rPr>
              <w:t>；</w:t>
            </w:r>
          </w:p>
          <w:p w14:paraId="6193A477">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支持设置资源库的人才培养方案和专业建设标准，发挥资源库内协同育人的建设目标</w:t>
            </w:r>
            <w:r>
              <w:rPr>
                <w:rFonts w:hint="eastAsia" w:ascii="宋体" w:hAnsi="宋体" w:eastAsia="宋体" w:cs="宋体"/>
                <w:b w:val="0"/>
                <w:bCs w:val="0"/>
                <w:color w:val="auto"/>
                <w:kern w:val="0"/>
                <w:sz w:val="21"/>
                <w:szCs w:val="21"/>
                <w:highlight w:val="none"/>
                <w:lang w:eastAsia="zh-CN"/>
              </w:rPr>
              <w:t>；</w:t>
            </w:r>
          </w:p>
          <w:p w14:paraId="535E5692">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支持规划和建设课程体系，支持从课程类型、课程层次、课程对应岗位及相关职业证书等多个维度进行课程分类；支持通过项目知识技能图谱的方式，构建课程与课程之间的联系，体现“结构化课程”的建设理念</w:t>
            </w:r>
            <w:r>
              <w:rPr>
                <w:rFonts w:hint="eastAsia" w:ascii="宋体" w:hAnsi="宋体" w:eastAsia="宋体" w:cs="宋体"/>
                <w:b w:val="0"/>
                <w:bCs w:val="0"/>
                <w:color w:val="auto"/>
                <w:kern w:val="0"/>
                <w:sz w:val="21"/>
                <w:szCs w:val="21"/>
                <w:highlight w:val="none"/>
                <w:lang w:eastAsia="zh-CN"/>
              </w:rPr>
              <w:t>；</w:t>
            </w:r>
          </w:p>
          <w:p w14:paraId="452A7E37">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按类型将课程划分为学历课程和培训课程，在实现资源共建共享的基础上丰富资源库课程内容。学历课程支持按公共基础课、专业基础课、专业核心课、专业拓展课构建资源库的课程层次；培训课程支持按实验实训课、教师培训、职业培训、竞赛培训构建资源库的课程类型</w:t>
            </w:r>
            <w:r>
              <w:rPr>
                <w:rFonts w:hint="eastAsia" w:ascii="宋体" w:hAnsi="宋体" w:eastAsia="宋体" w:cs="宋体"/>
                <w:b w:val="0"/>
                <w:bCs w:val="0"/>
                <w:color w:val="auto"/>
                <w:kern w:val="0"/>
                <w:sz w:val="21"/>
                <w:szCs w:val="21"/>
                <w:highlight w:val="none"/>
                <w:lang w:eastAsia="zh-CN"/>
              </w:rPr>
              <w:t>；</w:t>
            </w:r>
          </w:p>
          <w:p w14:paraId="33EECE22">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支持资源库所建课程对应多专业，并与各专业职业面向就业岗位相关联，实现课程与国家职业标准体系对接，提高学生所学技能与岗位需求的匹配度</w:t>
            </w:r>
            <w:r>
              <w:rPr>
                <w:rFonts w:hint="eastAsia" w:ascii="宋体" w:hAnsi="宋体" w:eastAsia="宋体" w:cs="宋体"/>
                <w:b w:val="0"/>
                <w:bCs w:val="0"/>
                <w:color w:val="auto"/>
                <w:kern w:val="0"/>
                <w:sz w:val="21"/>
                <w:szCs w:val="21"/>
                <w:highlight w:val="none"/>
                <w:lang w:eastAsia="zh-CN"/>
              </w:rPr>
              <w:t>；</w:t>
            </w:r>
          </w:p>
          <w:p w14:paraId="43010B22">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支持资源库课程团队建设，并分别指定每门课程的课程建设人员和审核人员，保证课程内容质量，实现审核流程可记录、可追溯</w:t>
            </w:r>
            <w:r>
              <w:rPr>
                <w:rFonts w:hint="eastAsia" w:ascii="宋体" w:hAnsi="宋体" w:eastAsia="宋体" w:cs="宋体"/>
                <w:b w:val="0"/>
                <w:bCs w:val="0"/>
                <w:color w:val="auto"/>
                <w:kern w:val="0"/>
                <w:sz w:val="21"/>
                <w:szCs w:val="21"/>
                <w:highlight w:val="none"/>
                <w:lang w:eastAsia="zh-CN"/>
              </w:rPr>
              <w:t>；</w:t>
            </w:r>
          </w:p>
          <w:p w14:paraId="2600D4C6">
            <w:pPr>
              <w:pageBreakBefore w:val="0"/>
              <w:widowControl/>
              <w:numPr>
                <w:ilvl w:val="0"/>
                <w:numId w:val="19"/>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支持展示资源库下所有的知识技能图谱、素材、题目和课程体系，汇聚成资源库资源空间，便于管理员整体把握资源库内容结构和建设进度、成果</w:t>
            </w:r>
            <w:r>
              <w:rPr>
                <w:rFonts w:hint="eastAsia" w:ascii="宋体" w:hAnsi="宋体" w:eastAsia="宋体" w:cs="宋体"/>
                <w:b w:val="0"/>
                <w:bCs w:val="0"/>
                <w:color w:val="auto"/>
                <w:kern w:val="0"/>
                <w:sz w:val="21"/>
                <w:szCs w:val="21"/>
                <w:highlight w:val="none"/>
                <w:lang w:eastAsia="zh-CN"/>
              </w:rPr>
              <w:t>。</w:t>
            </w:r>
          </w:p>
          <w:p w14:paraId="7BD747DD">
            <w:pPr>
              <w:pageBreakBefore w:val="0"/>
              <w:widowControl/>
              <w:numPr>
                <w:ilvl w:val="0"/>
                <w:numId w:val="18"/>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课程建设系统</w:t>
            </w:r>
          </w:p>
          <w:p w14:paraId="54F99842">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rPr>
              <w:t>平台通过知识技能图谱的形式构建课程，支持课程负责人新建知识技能点，并在章节结构下自主上传课程资源与内容</w:t>
            </w:r>
            <w:r>
              <w:rPr>
                <w:rFonts w:hint="eastAsia" w:ascii="宋体" w:hAnsi="宋体" w:eastAsia="宋体" w:cs="宋体"/>
                <w:b w:val="0"/>
                <w:bCs w:val="0"/>
                <w:color w:val="auto"/>
                <w:kern w:val="0"/>
                <w:sz w:val="21"/>
                <w:szCs w:val="21"/>
                <w:highlight w:val="none"/>
                <w:lang w:eastAsia="zh-CN"/>
              </w:rPr>
              <w:t>；</w:t>
            </w:r>
          </w:p>
          <w:p w14:paraId="07CFCDC7">
            <w:pPr>
              <w:pageBreakBefore w:val="0"/>
              <w:widowControl/>
              <w:numPr>
                <w:ilvl w:val="0"/>
                <w:numId w:val="0"/>
              </w:numPr>
              <w:shd w:val="clear"/>
              <w:kinsoku/>
              <w:wordWrap/>
              <w:overflowPunct/>
              <w:topLinePunct w:val="0"/>
              <w:autoSpaceDE/>
              <w:autoSpaceDN/>
              <w:bidi w:val="0"/>
              <w:snapToGrid/>
              <w:spacing w:line="360" w:lineRule="auto"/>
              <w:jc w:val="left"/>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lang w:val="en-US" w:eastAsia="zh-CN" w:bidi="ar-SA"/>
              </w:rPr>
              <w:t>（2）资源导入功能</w:t>
            </w:r>
          </w:p>
          <w:p w14:paraId="07BD2C2E">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①如课程负责人已经参与了其他相关国家级/省级/校级资源库的建设，在原有资源库负责人赋权的前提下，该课程负责人可从原有资源库中导入其个人所建的资源、试题和课程，避免资源重复建设</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bCs/>
                <w:color w:val="auto"/>
                <w:sz w:val="21"/>
                <w:szCs w:val="21"/>
                <w:highlight w:val="none"/>
                <w:lang w:eastAsia="zh-CN"/>
              </w:rPr>
              <w:t>（提供</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lang w:eastAsia="zh-CN"/>
              </w:rPr>
              <w:t>并加盖投标人公章）</w:t>
            </w:r>
          </w:p>
          <w:p w14:paraId="3286D741">
            <w:pPr>
              <w:pageBreakBefore w:val="0"/>
              <w:widowControl/>
              <w:numPr>
                <w:ilvl w:val="0"/>
                <w:numId w:val="0"/>
              </w:numPr>
              <w:shd w:val="clea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②课程负责人可将其在与本资源库平台关联的SPOC平台或MOOC平台中原创的课程资源，导入本资源库中，完成课程设计</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bCs/>
                <w:color w:val="auto"/>
                <w:sz w:val="21"/>
                <w:szCs w:val="21"/>
                <w:highlight w:val="none"/>
                <w:lang w:eastAsia="zh-CN"/>
              </w:rPr>
              <w:t>（提供</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lang w:eastAsia="zh-CN"/>
              </w:rPr>
              <w:t>并加盖投标人公章）</w:t>
            </w:r>
          </w:p>
          <w:p w14:paraId="0F93BC9C">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b w:val="0"/>
                <w:bCs w:val="0"/>
                <w:color w:val="auto"/>
                <w:kern w:val="0"/>
                <w:sz w:val="21"/>
                <w:szCs w:val="21"/>
                <w:highlight w:val="none"/>
              </w:rPr>
              <w:t>支持同一门课程开设多个使用周期，并支持对不同周期的课程进行内容优化提升，实现课程资源建设的全过程留存；同时，支持不同课程周期内的资源复制，实现资源共建共享</w:t>
            </w:r>
            <w:r>
              <w:rPr>
                <w:rFonts w:hint="eastAsia" w:ascii="宋体" w:hAnsi="宋体" w:eastAsia="宋体" w:cs="宋体"/>
                <w:b w:val="0"/>
                <w:bCs w:val="0"/>
                <w:color w:val="auto"/>
                <w:kern w:val="0"/>
                <w:sz w:val="21"/>
                <w:szCs w:val="21"/>
                <w:highlight w:val="none"/>
                <w:lang w:eastAsia="zh-CN"/>
              </w:rPr>
              <w:t>；</w:t>
            </w:r>
          </w:p>
          <w:p w14:paraId="2DB67160">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（4）</w:t>
            </w:r>
            <w:r>
              <w:rPr>
                <w:rFonts w:hint="eastAsia" w:ascii="宋体" w:hAnsi="宋体" w:eastAsia="宋体" w:cs="宋体"/>
                <w:b w:val="0"/>
                <w:bCs w:val="0"/>
                <w:color w:val="auto"/>
                <w:kern w:val="0"/>
                <w:sz w:val="21"/>
                <w:szCs w:val="21"/>
                <w:highlight w:val="none"/>
              </w:rPr>
              <w:t>支持将题库、素材与知识技能图谱对接</w:t>
            </w:r>
            <w:r>
              <w:rPr>
                <w:rFonts w:hint="eastAsia" w:ascii="宋体" w:hAnsi="宋体" w:eastAsia="宋体" w:cs="宋体"/>
                <w:b w:val="0"/>
                <w:bCs w:val="0"/>
                <w:color w:val="auto"/>
                <w:kern w:val="0"/>
                <w:sz w:val="21"/>
                <w:szCs w:val="21"/>
                <w:highlight w:val="none"/>
                <w:lang w:eastAsia="zh-CN"/>
              </w:rPr>
              <w:t>；</w:t>
            </w:r>
          </w:p>
          <w:p w14:paraId="5E641905">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（5）</w:t>
            </w:r>
            <w:r>
              <w:rPr>
                <w:rFonts w:hint="eastAsia" w:ascii="宋体" w:hAnsi="宋体" w:eastAsia="宋体" w:cs="宋体"/>
                <w:b w:val="0"/>
                <w:bCs w:val="0"/>
                <w:color w:val="auto"/>
                <w:kern w:val="0"/>
                <w:sz w:val="21"/>
                <w:szCs w:val="21"/>
                <w:highlight w:val="none"/>
              </w:rPr>
              <w:t>支持课程负责人创建课程团队，进行教学内容建设与管理</w:t>
            </w:r>
            <w:r>
              <w:rPr>
                <w:rFonts w:hint="eastAsia" w:ascii="宋体" w:hAnsi="宋体" w:eastAsia="宋体" w:cs="宋体"/>
                <w:b w:val="0"/>
                <w:bCs w:val="0"/>
                <w:color w:val="auto"/>
                <w:kern w:val="0"/>
                <w:sz w:val="21"/>
                <w:szCs w:val="21"/>
                <w:highlight w:val="none"/>
                <w:lang w:eastAsia="zh-CN"/>
              </w:rPr>
              <w:t>；</w:t>
            </w:r>
          </w:p>
          <w:p w14:paraId="21801D94">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rPr>
              <w:t>支持教师对不同开课周期设置不同的作业与考试，且支持对不同考试设置不同出卷规则，实现同一课程针对不同对象的差异化教学</w:t>
            </w:r>
            <w:r>
              <w:rPr>
                <w:rFonts w:hint="eastAsia" w:ascii="宋体" w:hAnsi="宋体" w:eastAsia="宋体" w:cs="宋体"/>
                <w:b w:val="0"/>
                <w:bCs w:val="0"/>
                <w:color w:val="auto"/>
                <w:kern w:val="0"/>
                <w:sz w:val="21"/>
                <w:szCs w:val="21"/>
                <w:highlight w:val="none"/>
                <w:lang w:eastAsia="zh-CN"/>
              </w:rPr>
              <w:t>；</w:t>
            </w:r>
          </w:p>
          <w:p w14:paraId="1BA4A781">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（7）</w:t>
            </w:r>
            <w:r>
              <w:rPr>
                <w:rFonts w:hint="eastAsia" w:ascii="宋体" w:hAnsi="宋体" w:eastAsia="宋体" w:cs="宋体"/>
                <w:b w:val="0"/>
                <w:bCs w:val="0"/>
                <w:color w:val="auto"/>
                <w:kern w:val="0"/>
                <w:sz w:val="21"/>
                <w:szCs w:val="21"/>
                <w:highlight w:val="none"/>
              </w:rPr>
              <w:t>支持课程负责人创建课程公告，设置课程基本信息、考核标准、参考教材，上传课程封面、课程简介视频等，支持教师根据课程教学需求自定义设置讨论区，完善课程介绍</w:t>
            </w:r>
            <w:r>
              <w:rPr>
                <w:rFonts w:hint="eastAsia" w:ascii="宋体" w:hAnsi="宋体" w:eastAsia="宋体" w:cs="宋体"/>
                <w:b w:val="0"/>
                <w:bCs w:val="0"/>
                <w:color w:val="auto"/>
                <w:kern w:val="0"/>
                <w:sz w:val="21"/>
                <w:szCs w:val="21"/>
                <w:highlight w:val="none"/>
                <w:lang w:eastAsia="zh-CN"/>
              </w:rPr>
              <w:t>；</w:t>
            </w:r>
          </w:p>
          <w:p w14:paraId="0E3EC8C8">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（8）</w:t>
            </w:r>
            <w:r>
              <w:rPr>
                <w:rFonts w:hint="eastAsia" w:ascii="宋体" w:hAnsi="宋体" w:eastAsia="宋体" w:cs="宋体"/>
                <w:b w:val="0"/>
                <w:bCs w:val="0"/>
                <w:color w:val="auto"/>
                <w:kern w:val="0"/>
                <w:sz w:val="21"/>
                <w:szCs w:val="21"/>
                <w:highlight w:val="none"/>
              </w:rPr>
              <w:t>支持教师在开课周期内设置考试开始时间、结束时间、考试时长、答案公布时间等</w:t>
            </w:r>
            <w:r>
              <w:rPr>
                <w:rFonts w:hint="eastAsia" w:ascii="宋体" w:hAnsi="宋体" w:eastAsia="宋体" w:cs="宋体"/>
                <w:b w:val="0"/>
                <w:bCs w:val="0"/>
                <w:color w:val="auto"/>
                <w:kern w:val="0"/>
                <w:sz w:val="21"/>
                <w:szCs w:val="21"/>
                <w:highlight w:val="none"/>
                <w:lang w:eastAsia="zh-CN"/>
              </w:rPr>
              <w:t>；</w:t>
            </w:r>
          </w:p>
          <w:p w14:paraId="61D83C2C">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（9）</w:t>
            </w:r>
            <w:r>
              <w:rPr>
                <w:rFonts w:hint="eastAsia" w:ascii="宋体" w:hAnsi="宋体" w:eastAsia="宋体" w:cs="宋体"/>
                <w:b w:val="0"/>
                <w:bCs w:val="0"/>
                <w:color w:val="auto"/>
                <w:kern w:val="0"/>
                <w:sz w:val="21"/>
                <w:szCs w:val="21"/>
                <w:highlight w:val="none"/>
              </w:rPr>
              <w:t>支持教师在开课周期内设置不同的作业类型，并可个性化设计作业结束时间，支持作业添加到课程内容指定的位置</w:t>
            </w:r>
            <w:r>
              <w:rPr>
                <w:rFonts w:hint="eastAsia" w:ascii="宋体" w:hAnsi="宋体" w:eastAsia="宋体" w:cs="宋体"/>
                <w:b w:val="0"/>
                <w:bCs w:val="0"/>
                <w:color w:val="auto"/>
                <w:kern w:val="0"/>
                <w:sz w:val="21"/>
                <w:szCs w:val="21"/>
                <w:highlight w:val="none"/>
                <w:lang w:eastAsia="zh-CN"/>
              </w:rPr>
              <w:t>；</w:t>
            </w:r>
          </w:p>
          <w:p w14:paraId="6D4C6EAF">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rPr>
              <w:t>支持课程负责人统计学生学习情况，包括作业统计，考试统计，随堂测验统计，视频资源统计，其他资源统计，讨论统计</w:t>
            </w:r>
            <w:r>
              <w:rPr>
                <w:rFonts w:hint="eastAsia" w:ascii="宋体" w:hAnsi="宋体" w:eastAsia="宋体" w:cs="宋体"/>
                <w:b w:val="0"/>
                <w:bCs w:val="0"/>
                <w:color w:val="auto"/>
                <w:kern w:val="0"/>
                <w:sz w:val="21"/>
                <w:szCs w:val="21"/>
                <w:highlight w:val="none"/>
                <w:lang w:eastAsia="zh-CN"/>
              </w:rPr>
              <w:t>；</w:t>
            </w:r>
          </w:p>
          <w:p w14:paraId="70FFE70F">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（11）</w:t>
            </w:r>
            <w:r>
              <w:rPr>
                <w:rFonts w:hint="eastAsia" w:ascii="宋体" w:hAnsi="宋体" w:eastAsia="宋体" w:cs="宋体"/>
                <w:b w:val="0"/>
                <w:bCs w:val="0"/>
                <w:color w:val="auto"/>
                <w:kern w:val="0"/>
                <w:sz w:val="21"/>
                <w:szCs w:val="21"/>
                <w:highlight w:val="none"/>
              </w:rPr>
              <w:t>支持一键开启SPOC教学：在资源库的建课中心，可以开启本课程的SPOC教学。 即用同步或者新开的开课方式，把当前开课的课程设计、题库等内容同步到SPOC空间里。</w:t>
            </w:r>
          </w:p>
          <w:p w14:paraId="26A35942">
            <w:pPr>
              <w:pageBreakBefore w:val="0"/>
              <w:widowControl/>
              <w:numPr>
                <w:ilvl w:val="0"/>
                <w:numId w:val="18"/>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课程审核系统</w:t>
            </w:r>
          </w:p>
          <w:p w14:paraId="07A38883">
            <w:pPr>
              <w:pageBreakBefore w:val="0"/>
              <w:widowControl/>
              <w:numPr>
                <w:ilvl w:val="0"/>
                <w:numId w:val="2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支持课程建设完成后进行课程预览，并提交课程审核人进行内容审核</w:t>
            </w:r>
            <w:r>
              <w:rPr>
                <w:rFonts w:hint="eastAsia" w:ascii="宋体" w:hAnsi="宋体" w:eastAsia="宋体" w:cs="宋体"/>
                <w:b w:val="0"/>
                <w:bCs w:val="0"/>
                <w:color w:val="auto"/>
                <w:kern w:val="0"/>
                <w:sz w:val="21"/>
                <w:szCs w:val="21"/>
                <w:highlight w:val="none"/>
                <w:lang w:eastAsia="zh-CN"/>
              </w:rPr>
              <w:t>；</w:t>
            </w:r>
          </w:p>
          <w:p w14:paraId="1155ED99">
            <w:pPr>
              <w:pageBreakBefore w:val="0"/>
              <w:widowControl/>
              <w:numPr>
                <w:ilvl w:val="0"/>
                <w:numId w:val="2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课程审核人对素材、题目等资源进行审核，支持批量审核与下架；素材审核包括素材名称、上传者、上传时间、媒体类型、应用类型、所属平台来源等属性；题库审核包括题干、题型、难易程度、上传者、上传时间等属性</w:t>
            </w:r>
            <w:r>
              <w:rPr>
                <w:rFonts w:hint="eastAsia" w:ascii="宋体" w:hAnsi="宋体" w:eastAsia="宋体" w:cs="宋体"/>
                <w:b w:val="0"/>
                <w:bCs w:val="0"/>
                <w:color w:val="auto"/>
                <w:kern w:val="0"/>
                <w:sz w:val="21"/>
                <w:szCs w:val="21"/>
                <w:highlight w:val="none"/>
                <w:lang w:eastAsia="zh-CN"/>
              </w:rPr>
              <w:t>；</w:t>
            </w:r>
          </w:p>
          <w:p w14:paraId="6DB59CCC">
            <w:pPr>
              <w:pageBreakBefore w:val="0"/>
              <w:widowControl/>
              <w:numPr>
                <w:ilvl w:val="0"/>
                <w:numId w:val="2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支持课程审核人对课程属性进行审核，包括课程名称、类型、所属专业、创建时间、课程层次，课程开课周期等属性</w:t>
            </w:r>
            <w:r>
              <w:rPr>
                <w:rFonts w:hint="eastAsia" w:ascii="宋体" w:hAnsi="宋体" w:eastAsia="宋体" w:cs="宋体"/>
                <w:b w:val="0"/>
                <w:bCs w:val="0"/>
                <w:color w:val="auto"/>
                <w:kern w:val="0"/>
                <w:sz w:val="21"/>
                <w:szCs w:val="21"/>
                <w:highlight w:val="none"/>
                <w:lang w:eastAsia="zh-CN"/>
              </w:rPr>
              <w:t>；</w:t>
            </w:r>
          </w:p>
          <w:p w14:paraId="0C458C9E">
            <w:pPr>
              <w:pageBreakBefore w:val="0"/>
              <w:widowControl/>
              <w:numPr>
                <w:ilvl w:val="0"/>
                <w:numId w:val="20"/>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支持课程审核人对课程建设内容进行审核，填写审核意见，体现资源库的“一体化设计”要求，提高资源库建设质量。</w:t>
            </w:r>
          </w:p>
          <w:p w14:paraId="2C63F652">
            <w:pPr>
              <w:pageBreakBefore w:val="0"/>
              <w:widowControl/>
              <w:numPr>
                <w:ilvl w:val="0"/>
                <w:numId w:val="18"/>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资源建设系统</w:t>
            </w:r>
          </w:p>
          <w:p w14:paraId="1E8A764B">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支持按课程构建资源库的知识技能树和知识技能图谱</w:t>
            </w:r>
            <w:r>
              <w:rPr>
                <w:rFonts w:hint="eastAsia" w:ascii="宋体" w:hAnsi="宋体" w:eastAsia="宋体" w:cs="宋体"/>
                <w:b w:val="0"/>
                <w:bCs w:val="0"/>
                <w:color w:val="auto"/>
                <w:kern w:val="0"/>
                <w:sz w:val="21"/>
                <w:szCs w:val="21"/>
                <w:highlight w:val="none"/>
                <w:lang w:eastAsia="zh-CN"/>
              </w:rPr>
              <w:t>；</w:t>
            </w:r>
          </w:p>
          <w:p w14:paraId="3D1F8311">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支持资源库项目团队成员加入项目对应智慧教研室，实现线上虚拟教研</w:t>
            </w:r>
            <w:r>
              <w:rPr>
                <w:rFonts w:hint="eastAsia" w:ascii="宋体" w:hAnsi="宋体" w:eastAsia="宋体" w:cs="宋体"/>
                <w:b w:val="0"/>
                <w:bCs w:val="0"/>
                <w:color w:val="auto"/>
                <w:kern w:val="0"/>
                <w:sz w:val="21"/>
                <w:szCs w:val="21"/>
                <w:highlight w:val="none"/>
                <w:lang w:eastAsia="zh-CN"/>
              </w:rPr>
              <w:t>；</w:t>
            </w:r>
          </w:p>
          <w:p w14:paraId="42262778">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支持汇聚资源库的素材、题库及课程建设内容，并支持智能搜索和推荐；</w:t>
            </w:r>
          </w:p>
          <w:p w14:paraId="1D173003">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支持素材进行标签管理，支持将素材设置媒体类型、适用对象、素材语言、素材来源等，增强资源检索的便捷性</w:t>
            </w:r>
            <w:r>
              <w:rPr>
                <w:rFonts w:hint="eastAsia" w:ascii="宋体" w:hAnsi="宋体" w:eastAsia="宋体" w:cs="宋体"/>
                <w:b w:val="0"/>
                <w:bCs w:val="0"/>
                <w:color w:val="auto"/>
                <w:kern w:val="0"/>
                <w:sz w:val="21"/>
                <w:szCs w:val="21"/>
                <w:highlight w:val="none"/>
                <w:lang w:eastAsia="zh-CN"/>
              </w:rPr>
              <w:t>；</w:t>
            </w:r>
          </w:p>
          <w:p w14:paraId="0006C3BF">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支持用户收藏资源库内的课程、素材等内容，提高资源使用效率</w:t>
            </w:r>
            <w:r>
              <w:rPr>
                <w:rFonts w:hint="eastAsia" w:ascii="宋体" w:hAnsi="宋体" w:eastAsia="宋体" w:cs="宋体"/>
                <w:b w:val="0"/>
                <w:bCs w:val="0"/>
                <w:color w:val="auto"/>
                <w:kern w:val="0"/>
                <w:sz w:val="21"/>
                <w:szCs w:val="21"/>
                <w:highlight w:val="none"/>
                <w:lang w:eastAsia="zh-CN"/>
              </w:rPr>
              <w:t>；</w:t>
            </w:r>
          </w:p>
          <w:p w14:paraId="52823954">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文档格式：支持doc、docx、xls、xlsx、wpt、dps、pdf、rtf、txt、ppt、pptx等主流格式，上传后自动转码，无需另行安装插件可直接在线阅读</w:t>
            </w:r>
            <w:r>
              <w:rPr>
                <w:rFonts w:hint="eastAsia" w:ascii="宋体" w:hAnsi="宋体" w:eastAsia="宋体" w:cs="宋体"/>
                <w:b w:val="0"/>
                <w:bCs w:val="0"/>
                <w:color w:val="auto"/>
                <w:kern w:val="0"/>
                <w:sz w:val="21"/>
                <w:szCs w:val="21"/>
                <w:highlight w:val="none"/>
                <w:lang w:eastAsia="zh-CN"/>
              </w:rPr>
              <w:t>；</w:t>
            </w:r>
          </w:p>
          <w:p w14:paraId="7D6C669D">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图片支持jpg、jpeg、png、tif、tiff、bmp、gif等格式</w:t>
            </w:r>
            <w:r>
              <w:rPr>
                <w:rFonts w:hint="eastAsia" w:ascii="宋体" w:hAnsi="宋体" w:eastAsia="宋体" w:cs="宋体"/>
                <w:b w:val="0"/>
                <w:bCs w:val="0"/>
                <w:color w:val="auto"/>
                <w:kern w:val="0"/>
                <w:sz w:val="21"/>
                <w:szCs w:val="21"/>
                <w:highlight w:val="none"/>
                <w:lang w:eastAsia="zh-CN"/>
              </w:rPr>
              <w:t>；</w:t>
            </w:r>
          </w:p>
          <w:p w14:paraId="194698D1">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压缩包支持上传7z、rar、tar、zip等格式</w:t>
            </w:r>
            <w:r>
              <w:rPr>
                <w:rFonts w:hint="eastAsia" w:ascii="宋体" w:hAnsi="宋体" w:eastAsia="宋体" w:cs="宋体"/>
                <w:b w:val="0"/>
                <w:bCs w:val="0"/>
                <w:color w:val="auto"/>
                <w:kern w:val="0"/>
                <w:sz w:val="21"/>
                <w:szCs w:val="21"/>
                <w:highlight w:val="none"/>
                <w:lang w:eastAsia="zh-CN"/>
              </w:rPr>
              <w:t>；</w:t>
            </w:r>
          </w:p>
          <w:p w14:paraId="12C0E1E2">
            <w:pPr>
              <w:pageBreakBefore w:val="0"/>
              <w:widowControl/>
              <w:numPr>
                <w:ilvl w:val="0"/>
                <w:numId w:val="21"/>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支持包括各种文档、音频、视频、动画、图片的在线预览和播放。</w:t>
            </w:r>
          </w:p>
          <w:p w14:paraId="6A0B322E">
            <w:pPr>
              <w:pageBreakBefore w:val="0"/>
              <w:widowControl/>
              <w:numPr>
                <w:ilvl w:val="0"/>
                <w:numId w:val="18"/>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学习中心</w:t>
            </w:r>
          </w:p>
          <w:p w14:paraId="11B315B5">
            <w:pPr>
              <w:pageBreakBefore w:val="0"/>
              <w:widowControl/>
              <w:numPr>
                <w:ilvl w:val="0"/>
                <w:numId w:val="22"/>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我的课程:已经添加的课程展示，可以对在修课程和已修课程进行管理、学习</w:t>
            </w:r>
            <w:r>
              <w:rPr>
                <w:rFonts w:hint="eastAsia" w:ascii="宋体" w:hAnsi="宋体" w:eastAsia="宋体" w:cs="宋体"/>
                <w:b w:val="0"/>
                <w:bCs w:val="0"/>
                <w:color w:val="auto"/>
                <w:kern w:val="0"/>
                <w:sz w:val="21"/>
                <w:szCs w:val="21"/>
                <w:highlight w:val="none"/>
                <w:lang w:eastAsia="zh-CN"/>
              </w:rPr>
              <w:t>；</w:t>
            </w:r>
          </w:p>
          <w:p w14:paraId="5DC3B220">
            <w:pPr>
              <w:pageBreakBefore w:val="0"/>
              <w:widowControl/>
              <w:numPr>
                <w:ilvl w:val="0"/>
                <w:numId w:val="22"/>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待答作业:学生可以对自己的作业进行作答、查看</w:t>
            </w:r>
            <w:r>
              <w:rPr>
                <w:rFonts w:hint="eastAsia" w:ascii="宋体" w:hAnsi="宋体" w:eastAsia="宋体" w:cs="宋体"/>
                <w:b w:val="0"/>
                <w:bCs w:val="0"/>
                <w:color w:val="auto"/>
                <w:kern w:val="0"/>
                <w:sz w:val="21"/>
                <w:szCs w:val="21"/>
                <w:highlight w:val="none"/>
                <w:lang w:eastAsia="zh-CN"/>
              </w:rPr>
              <w:t>；</w:t>
            </w:r>
          </w:p>
          <w:p w14:paraId="5AEA91AA">
            <w:pPr>
              <w:pageBreakBefore w:val="0"/>
              <w:widowControl/>
              <w:numPr>
                <w:ilvl w:val="0"/>
                <w:numId w:val="22"/>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待答考试:学生可以对自己的考试进行作答、查看</w:t>
            </w:r>
            <w:r>
              <w:rPr>
                <w:rFonts w:hint="eastAsia" w:ascii="宋体" w:hAnsi="宋体" w:eastAsia="宋体" w:cs="宋体"/>
                <w:b w:val="0"/>
                <w:bCs w:val="0"/>
                <w:color w:val="auto"/>
                <w:kern w:val="0"/>
                <w:sz w:val="21"/>
                <w:szCs w:val="21"/>
                <w:highlight w:val="none"/>
                <w:lang w:eastAsia="zh-CN"/>
              </w:rPr>
              <w:t>；</w:t>
            </w:r>
          </w:p>
          <w:p w14:paraId="0D635A72">
            <w:pPr>
              <w:pageBreakBefore w:val="0"/>
              <w:widowControl/>
              <w:numPr>
                <w:ilvl w:val="0"/>
                <w:numId w:val="22"/>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消息通知:查询消息通知详情、标记为全部已读</w:t>
            </w:r>
            <w:r>
              <w:rPr>
                <w:rFonts w:hint="eastAsia" w:ascii="宋体" w:hAnsi="宋体" w:eastAsia="宋体" w:cs="宋体"/>
                <w:b w:val="0"/>
                <w:bCs w:val="0"/>
                <w:color w:val="auto"/>
                <w:kern w:val="0"/>
                <w:sz w:val="21"/>
                <w:szCs w:val="21"/>
                <w:highlight w:val="none"/>
                <w:lang w:eastAsia="zh-CN"/>
              </w:rPr>
              <w:t>；</w:t>
            </w:r>
          </w:p>
          <w:p w14:paraId="08097ED2">
            <w:pPr>
              <w:pageBreakBefore w:val="0"/>
              <w:widowControl/>
              <w:numPr>
                <w:ilvl w:val="0"/>
                <w:numId w:val="22"/>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我的收藏:对收藏的课程和素材资源进行查看、删除的管理</w:t>
            </w:r>
          </w:p>
          <w:p w14:paraId="64A183DA">
            <w:pPr>
              <w:pageBreakBefore w:val="0"/>
              <w:widowControl/>
              <w:numPr>
                <w:ilvl w:val="0"/>
                <w:numId w:val="18"/>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数据分析中心</w:t>
            </w:r>
          </w:p>
          <w:p w14:paraId="2D7E7494">
            <w:pPr>
              <w:pageBreakBefore w:val="0"/>
              <w:widowControl/>
              <w:numPr>
                <w:ilvl w:val="0"/>
                <w:numId w:val="23"/>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资源库数据分析</w:t>
            </w:r>
          </w:p>
          <w:p w14:paraId="3B3047B4">
            <w:pPr>
              <w:pageBreakBefore w:val="0"/>
              <w:widowControl/>
              <w:numPr>
                <w:ilvl w:val="0"/>
                <w:numId w:val="24"/>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支持统计分析资源库的总用户数、素材数、题库数、知识图谱总节点数、课程总数、资源库课程总期数、标准化课程总数等；</w:t>
            </w:r>
          </w:p>
          <w:p w14:paraId="3386FC02">
            <w:pPr>
              <w:pageBreakBefore w:val="0"/>
              <w:widowControl/>
              <w:numPr>
                <w:ilvl w:val="0"/>
                <w:numId w:val="24"/>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支持按素材来源、适应对象、媒体类型、应用类型、被课程引用的资源占比、被课程引用的资源类型占比，以及按课程分布、按建设单位统计等维度，统计分析资源库的资源建设数据；</w:t>
            </w:r>
          </w:p>
          <w:p w14:paraId="386CA876">
            <w:pPr>
              <w:pageBreakBefore w:val="0"/>
              <w:widowControl/>
              <w:numPr>
                <w:ilvl w:val="0"/>
                <w:numId w:val="24"/>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支持按题型、难易度、主客观分类、课程分布等维度，统计分析题库建设数据。</w:t>
            </w:r>
          </w:p>
          <w:p w14:paraId="1781B5A6">
            <w:pPr>
              <w:pageBreakBefore w:val="0"/>
              <w:widowControl/>
              <w:numPr>
                <w:ilvl w:val="0"/>
                <w:numId w:val="23"/>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课程数据分析</w:t>
            </w:r>
          </w:p>
          <w:p w14:paraId="4A12EFAD">
            <w:pPr>
              <w:pageBreakBefore w:val="0"/>
              <w:widowControl/>
              <w:numPr>
                <w:ilvl w:val="0"/>
                <w:numId w:val="25"/>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支持统计分析资源库标准化课程数、SPOC课程总数、MOOC上线期数、学历课程数、证书课程数和培训课程数，以及各参建单位课程建设数量情况；</w:t>
            </w:r>
          </w:p>
          <w:p w14:paraId="3126F356">
            <w:pPr>
              <w:pageBreakBefore w:val="0"/>
              <w:widowControl/>
              <w:numPr>
                <w:ilvl w:val="0"/>
                <w:numId w:val="25"/>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支持统计分析资源库中每门课程的建设数据；包括授课视频、课程公告、非视频资源、测验和作业、互动交流情况、考试等数据，以及课程衍生的SPOC、MOOC数据情况。</w:t>
            </w:r>
          </w:p>
          <w:p w14:paraId="6BF3F627">
            <w:pPr>
              <w:pageBreakBefore w:val="0"/>
              <w:widowControl/>
              <w:numPr>
                <w:ilvl w:val="0"/>
                <w:numId w:val="23"/>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日志统计：统计分析展示当前资源库的日志分布、日志类型分布、学生类型日志分布、用户行为日志按时间段分布、按项目成员统计、按用户所在单位等数据</w:t>
            </w:r>
            <w:r>
              <w:rPr>
                <w:rFonts w:hint="eastAsia" w:ascii="宋体" w:hAnsi="宋体" w:eastAsia="宋体" w:cs="宋体"/>
                <w:b w:val="0"/>
                <w:bCs w:val="0"/>
                <w:color w:val="auto"/>
                <w:kern w:val="0"/>
                <w:sz w:val="21"/>
                <w:szCs w:val="21"/>
                <w:highlight w:val="none"/>
                <w:lang w:eastAsia="zh-CN"/>
              </w:rPr>
              <w:t>；</w:t>
            </w:r>
          </w:p>
          <w:p w14:paraId="2651B550">
            <w:pPr>
              <w:pageBreakBefore w:val="0"/>
              <w:widowControl/>
              <w:numPr>
                <w:ilvl w:val="0"/>
                <w:numId w:val="23"/>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参建单位统计：统计分析展示当前资源库的参建单位用户数量、参建单位课程建设情况、参建单位上传资源情况(点击柱形图可查看学校详情)、日志类型分布、参建单位日志日期分布等数据</w:t>
            </w:r>
            <w:r>
              <w:rPr>
                <w:rFonts w:hint="eastAsia" w:ascii="宋体" w:hAnsi="宋体" w:eastAsia="宋体" w:cs="宋体"/>
                <w:b w:val="0"/>
                <w:bCs w:val="0"/>
                <w:color w:val="auto"/>
                <w:kern w:val="0"/>
                <w:sz w:val="21"/>
                <w:szCs w:val="21"/>
                <w:highlight w:val="none"/>
                <w:lang w:eastAsia="zh-CN"/>
              </w:rPr>
              <w:t>；</w:t>
            </w:r>
          </w:p>
          <w:p w14:paraId="59017116">
            <w:pPr>
              <w:pageBreakBefore w:val="0"/>
              <w:widowControl/>
              <w:numPr>
                <w:ilvl w:val="0"/>
                <w:numId w:val="23"/>
              </w:numPr>
              <w:kinsoku/>
              <w:wordWrap/>
              <w:overflowPunct/>
              <w:topLinePunct w:val="0"/>
              <w:autoSpaceDE/>
              <w:autoSpaceDN/>
              <w:bidi w:val="0"/>
              <w:snapToGrid/>
              <w:spacing w:line="360" w:lineRule="auto"/>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监测数据分析：支持根据教育部资源库申报文件，及后续资源库监测平台所列的数据监测指标要求，提供本资源库相关监测数据</w:t>
            </w:r>
            <w:r>
              <w:rPr>
                <w:rFonts w:hint="eastAsia" w:ascii="宋体" w:hAnsi="宋体" w:eastAsia="宋体" w:cs="宋体"/>
                <w:b w:val="0"/>
                <w:bCs w:val="0"/>
                <w:color w:val="auto"/>
                <w:kern w:val="0"/>
                <w:sz w:val="21"/>
                <w:szCs w:val="21"/>
                <w:highlight w:val="none"/>
                <w:lang w:eastAsia="zh-CN"/>
              </w:rPr>
              <w:t>。</w:t>
            </w:r>
          </w:p>
          <w:p w14:paraId="34B0A01B">
            <w:pPr>
              <w:pageBreakBefore w:val="0"/>
              <w:widowControl/>
              <w:numPr>
                <w:ilvl w:val="0"/>
                <w:numId w:val="0"/>
              </w:numPr>
              <w:shd w:val="clear"/>
              <w:kinsoku/>
              <w:wordWrap/>
              <w:overflowPunct/>
              <w:topLinePunct w:val="0"/>
              <w:autoSpaceDE/>
              <w:autoSpaceDN/>
              <w:bidi w:val="0"/>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7、课程设计工具</w:t>
            </w:r>
          </w:p>
          <w:p w14:paraId="4D1BDD1F">
            <w:pPr>
              <w:pageBreakBefore w:val="0"/>
              <w:widowControl/>
              <w:numPr>
                <w:ilvl w:val="0"/>
                <w:numId w:val="0"/>
              </w:numPr>
              <w:shd w:val="clear"/>
              <w:kinsoku/>
              <w:wordWrap/>
              <w:overflowPunct/>
              <w:topLinePunct w:val="0"/>
              <w:autoSpaceDE/>
              <w:autoSpaceDN/>
              <w:bidi w:val="0"/>
              <w:snapToGrid/>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▲支持教师从国家职业教育专业教学资源库、国家职业教育专业群教学资源库中引入教育部认定的与本课程相关专业的课程资源供老师使用，实现优质教学资源的共建共享</w:t>
            </w:r>
            <w:r>
              <w:rPr>
                <w:rFonts w:hint="eastAsia" w:ascii="宋体" w:hAnsi="宋体" w:eastAsia="宋体" w:cs="宋体"/>
                <w:b/>
                <w:bCs/>
                <w:color w:val="auto"/>
                <w:kern w:val="0"/>
                <w:sz w:val="21"/>
                <w:szCs w:val="21"/>
                <w:highlight w:val="none"/>
                <w:lang w:val="en-US" w:eastAsia="zh-CN"/>
              </w:rPr>
              <w:t>（提供软件截图及加盖投标人公章）；</w:t>
            </w:r>
          </w:p>
          <w:p w14:paraId="0662219F">
            <w:pPr>
              <w:pageBreakBefore w:val="0"/>
              <w:widowControl/>
              <w:numPr>
                <w:ilvl w:val="0"/>
                <w:numId w:val="0"/>
              </w:numPr>
              <w:shd w:val="clear"/>
              <w:kinsoku/>
              <w:wordWrap/>
              <w:overflowPunct/>
              <w:topLinePunct w:val="0"/>
              <w:autoSpaceDE/>
              <w:autoSpaceDN/>
              <w:bidi w:val="0"/>
              <w:snapToGrid/>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▲支持课件比例分析功能：SPOC导入占比、引入资源库课件占比、引入MOOC课件占比、原创课件占比等</w:t>
            </w:r>
            <w:r>
              <w:rPr>
                <w:rFonts w:hint="eastAsia" w:ascii="宋体" w:hAnsi="宋体" w:eastAsia="宋体" w:cs="宋体"/>
                <w:b/>
                <w:bCs/>
                <w:color w:val="auto"/>
                <w:kern w:val="0"/>
                <w:sz w:val="21"/>
                <w:szCs w:val="21"/>
                <w:highlight w:val="none"/>
                <w:lang w:val="en-US" w:eastAsia="zh-CN"/>
              </w:rPr>
              <w:t>（提供软件截图及加盖投标人公章） ；</w:t>
            </w:r>
          </w:p>
          <w:p w14:paraId="115C72F8">
            <w:pPr>
              <w:pageBreakBefore w:val="0"/>
              <w:widowControl/>
              <w:numPr>
                <w:ilvl w:val="0"/>
                <w:numId w:val="0"/>
              </w:numPr>
              <w:shd w:val="clear"/>
              <w:kinsoku/>
              <w:wordWrap/>
              <w:overflowPunct/>
              <w:topLinePunct w:val="0"/>
              <w:autoSpaceDE/>
              <w:autoSpaceDN/>
              <w:bidi w:val="0"/>
              <w:snapToGrid/>
              <w:spacing w:line="360" w:lineRule="auto"/>
              <w:jc w:val="both"/>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▲支持从Excel、Word、国家职业教育专业教学资源库、国家职业教育专业群教学资源库中调取导入教育部认定的与本专业相关的题目供老师教学设计使用</w:t>
            </w:r>
          </w:p>
          <w:p w14:paraId="4AFCCC04">
            <w:pPr>
              <w:pageBreakBefore w:val="0"/>
              <w:widowControl/>
              <w:numPr>
                <w:ilvl w:val="0"/>
                <w:numId w:val="0"/>
              </w:numPr>
              <w:shd w:val="clear"/>
              <w:kinsoku/>
              <w:wordWrap/>
              <w:overflowPunct/>
              <w:topLinePunct w:val="0"/>
              <w:autoSpaceDE/>
              <w:autoSpaceDN/>
              <w:bidi w:val="0"/>
              <w:snapToGrid/>
              <w:spacing w:line="360" w:lineRule="auto"/>
              <w:jc w:val="both"/>
              <w:rPr>
                <w:rFonts w:hint="eastAsia" w:ascii="宋体" w:hAnsi="宋体" w:eastAsia="宋体" w:cs="宋体"/>
                <w:b w:val="0"/>
                <w:bCs w:val="0"/>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（提供软件截图及加盖投标人公章）</w:t>
            </w:r>
            <w:r>
              <w:rPr>
                <w:rFonts w:hint="eastAsia" w:ascii="宋体" w:hAnsi="宋体" w:eastAsia="宋体" w:cs="宋体"/>
                <w:color w:val="auto"/>
                <w:kern w:val="0"/>
                <w:sz w:val="21"/>
                <w:szCs w:val="21"/>
                <w:highlight w:val="none"/>
                <w:lang w:val="en-US" w:eastAsia="zh-CN"/>
              </w:rPr>
              <w:t>。</w:t>
            </w:r>
          </w:p>
        </w:tc>
        <w:tc>
          <w:tcPr>
            <w:tcW w:w="657" w:type="dxa"/>
            <w:shd w:val="clear" w:color="auto" w:fill="auto"/>
            <w:vAlign w:val="center"/>
          </w:tcPr>
          <w:p w14:paraId="098ECCF8">
            <w:pPr>
              <w:pageBreakBefore w:val="0"/>
              <w:widowControl/>
              <w:kinsoku/>
              <w:wordWrap/>
              <w:overflowPunct/>
              <w:topLinePunct w:val="0"/>
              <w:autoSpaceDE/>
              <w:autoSpaceDN/>
              <w:bidi w:val="0"/>
              <w:snapToGrid/>
              <w:spacing w:line="360" w:lineRule="auto"/>
              <w:jc w:val="righ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704" w:type="dxa"/>
            <w:shd w:val="clear" w:color="auto" w:fill="auto"/>
            <w:vAlign w:val="center"/>
          </w:tcPr>
          <w:p w14:paraId="5EB71587">
            <w:pPr>
              <w:pageBreakBefore w:val="0"/>
              <w:widowControl/>
              <w:kinsoku/>
              <w:wordWrap/>
              <w:overflowPunct/>
              <w:topLinePunct w:val="0"/>
              <w:autoSpaceDE/>
              <w:autoSpaceDN/>
              <w:bidi w:val="0"/>
              <w:snapToGrid/>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w:t>
            </w:r>
          </w:p>
        </w:tc>
      </w:tr>
      <w:tr w14:paraId="0BB4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88" w:type="dxa"/>
            <w:shd w:val="clear" w:color="auto" w:fill="auto"/>
            <w:vAlign w:val="center"/>
          </w:tcPr>
          <w:p w14:paraId="047DAC1C">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812" w:type="dxa"/>
            <w:shd w:val="clear" w:color="auto" w:fill="auto"/>
            <w:vAlign w:val="center"/>
          </w:tcPr>
          <w:p w14:paraId="2AB7DA8A">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资源库运营推广应用-实质性要求</w:t>
            </w:r>
          </w:p>
        </w:tc>
        <w:tc>
          <w:tcPr>
            <w:tcW w:w="1063" w:type="dxa"/>
            <w:shd w:val="clear" w:color="auto" w:fill="auto"/>
            <w:vAlign w:val="center"/>
          </w:tcPr>
          <w:p w14:paraId="72CFA194">
            <w:pPr>
              <w:pageBreakBefore w:val="0"/>
              <w:widowControl/>
              <w:kinsoku/>
              <w:wordWrap/>
              <w:overflowPunct/>
              <w:topLinePunct w:val="0"/>
              <w:autoSpaceDE/>
              <w:autoSpaceDN/>
              <w:bidi w:val="0"/>
              <w:snapToGri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资源库运营推广应用-实质性要求</w:t>
            </w:r>
          </w:p>
        </w:tc>
        <w:tc>
          <w:tcPr>
            <w:tcW w:w="6258" w:type="dxa"/>
            <w:shd w:val="clear" w:color="auto" w:fill="auto"/>
            <w:vAlign w:val="center"/>
          </w:tcPr>
          <w:p w14:paraId="2443144D">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课程建设基本要求：供应商需提供与国家职业教育智慧教育平台课程数据对接；</w:t>
            </w:r>
          </w:p>
          <w:p w14:paraId="40540CBE">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课程上线平台要求：资源库课程建设完成后需要提供在教育部认定的资源库平台上线服务，如国家智慧教育平台或智慧职教国家资源库等平台。运行要求资源库能同步引用到校内教学平台并且数据打通，校内教学使用数据需要统计到资源库平台中，为保证运营数据统一，能有效地对上传的课程资源进行管理运行维护及推广</w:t>
            </w:r>
            <w:r>
              <w:rPr>
                <w:rFonts w:hint="eastAsia" w:ascii="宋体" w:hAnsi="宋体" w:eastAsia="宋体" w:cs="宋体"/>
                <w:color w:val="auto"/>
                <w:kern w:val="0"/>
                <w:sz w:val="21"/>
                <w:szCs w:val="21"/>
                <w:highlight w:val="none"/>
                <w:lang w:eastAsia="zh-CN"/>
              </w:rPr>
              <w:t>。</w:t>
            </w:r>
          </w:p>
          <w:p w14:paraId="3DF611B9">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要求供应商需提供以下数据支撑材料</w:t>
            </w:r>
            <w:r>
              <w:rPr>
                <w:rFonts w:hint="eastAsia" w:ascii="宋体" w:hAnsi="宋体" w:eastAsia="宋体" w:cs="宋体"/>
                <w:color w:val="auto"/>
                <w:kern w:val="0"/>
                <w:sz w:val="21"/>
                <w:szCs w:val="21"/>
                <w:highlight w:val="none"/>
              </w:rPr>
              <w:t>：</w:t>
            </w:r>
          </w:p>
          <w:p w14:paraId="6FBE9A92">
            <w:pPr>
              <w:pageBreakBefore w:val="0"/>
              <w:widowControl/>
              <w:numPr>
                <w:ilvl w:val="-1"/>
                <w:numId w:val="0"/>
              </w:numPr>
              <w:shd w:val="clear" w:fill="FFFFFF" w:themeFill="background1"/>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▲（1）资源库所运行门户的课程接口；</w:t>
            </w:r>
          </w:p>
          <w:p w14:paraId="70FDE3D7">
            <w:pPr>
              <w:pageBreakBefore w:val="0"/>
              <w:widowControl/>
              <w:numPr>
                <w:ilvl w:val="-1"/>
                <w:numId w:val="0"/>
              </w:numPr>
              <w:shd w:val="clear" w:fill="FFFFFF" w:themeFill="background1"/>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▲（2）门户接口说明文档。</w:t>
            </w:r>
          </w:p>
          <w:p w14:paraId="25301C51">
            <w:pPr>
              <w:pageBreakBefore w:val="0"/>
              <w:widowControl/>
              <w:numPr>
                <w:ilvl w:val="0"/>
                <w:numId w:val="0"/>
              </w:numPr>
              <w:shd w:val="clear" w:fill="FFFFFF" w:themeFill="background1"/>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▲（3）操作指南，实现数据对接；</w:t>
            </w:r>
          </w:p>
          <w:p w14:paraId="012D2BDD">
            <w:pPr>
              <w:pageBreakBefore w:val="0"/>
              <w:widowControl/>
              <w:numPr>
                <w:ilvl w:val="0"/>
                <w:numId w:val="0"/>
              </w:numPr>
              <w:shd w:val="clear" w:fill="FFFFFF" w:themeFill="background1"/>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课程服务：</w:t>
            </w:r>
          </w:p>
          <w:p w14:paraId="37584E39">
            <w:pPr>
              <w:pageBreakBefore w:val="0"/>
              <w:widowControl/>
              <w:numPr>
                <w:ilvl w:val="0"/>
                <w:numId w:val="2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本项目课程交付形态不仅仅是视频文件，须是一门完整的线上课程，老师可以直接用于教学，以完整上线教育部认可的面向全国公开开放的运营平台为交付标准</w:t>
            </w:r>
            <w:r>
              <w:rPr>
                <w:rFonts w:hint="eastAsia" w:ascii="宋体" w:hAnsi="宋体" w:eastAsia="宋体" w:cs="宋体"/>
                <w:color w:val="auto"/>
                <w:kern w:val="0"/>
                <w:sz w:val="21"/>
                <w:szCs w:val="21"/>
                <w:highlight w:val="none"/>
                <w:lang w:eastAsia="zh-CN"/>
              </w:rPr>
              <w:t>；</w:t>
            </w:r>
          </w:p>
          <w:p w14:paraId="26D49447">
            <w:pPr>
              <w:pageBreakBefore w:val="0"/>
              <w:widowControl/>
              <w:numPr>
                <w:ilvl w:val="0"/>
                <w:numId w:val="26"/>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障各项教学活动完整、有效，按计划实施，师生互动充分，能有效促进师生之间、学生之间进行资源共享、互动交流和自主式与协作式学习，保证线上线下应用结合效果较好，能切实提高教学质量，在同类课程中具有一定的影响力，能够在推动大规模在线开放课程普及和发展中发挥示范引领作用。线上开课后日常运行服务不少于一年且完成2个开课轮次</w:t>
            </w:r>
            <w:r>
              <w:rPr>
                <w:rFonts w:hint="eastAsia" w:ascii="宋体" w:hAnsi="宋体" w:eastAsia="宋体" w:cs="宋体"/>
                <w:color w:val="auto"/>
                <w:kern w:val="0"/>
                <w:sz w:val="21"/>
                <w:szCs w:val="21"/>
                <w:highlight w:val="none"/>
                <w:lang w:eastAsia="zh-CN"/>
              </w:rPr>
              <w:t>。</w:t>
            </w:r>
          </w:p>
          <w:p w14:paraId="5C439B6A">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bidi="ar-SA"/>
              </w:rPr>
              <w:t>4.</w:t>
            </w:r>
            <w:r>
              <w:rPr>
                <w:rFonts w:hint="eastAsia" w:ascii="宋体" w:hAnsi="宋体" w:eastAsia="宋体" w:cs="宋体"/>
                <w:b/>
                <w:bCs/>
                <w:color w:val="auto"/>
                <w:kern w:val="0"/>
                <w:sz w:val="21"/>
                <w:szCs w:val="21"/>
                <w:highlight w:val="none"/>
              </w:rPr>
              <w:t>资源库运营推广要求</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为满足【职业教育专业教学资源库建设指南2023】中的应用服务有成效，需将资源库做全国推广。</w:t>
            </w:r>
          </w:p>
          <w:p w14:paraId="49B5C129">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推广全国具有相同专业的学校、相关企业（除主持、参建院校外单位）不少于50个，共计不少于</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000人；</w:t>
            </w:r>
          </w:p>
          <w:p w14:paraId="5E540278">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公告数量不少于100条；</w:t>
            </w:r>
          </w:p>
          <w:p w14:paraId="345CED61">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推广的学生互动活跃百分比需要达到推广人数70%以上；</w:t>
            </w:r>
          </w:p>
          <w:p w14:paraId="1592F5D3">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推广的学生完成课件学习比例不低于80%；</w:t>
            </w:r>
          </w:p>
          <w:p w14:paraId="1FC093E0">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参与作业考试人数不低于5000人；</w:t>
            </w:r>
          </w:p>
          <w:p w14:paraId="6CD4647E">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课程通过率不低于60%；</w:t>
            </w:r>
          </w:p>
          <w:p w14:paraId="144D733E">
            <w:pPr>
              <w:pageBreakBefore w:val="0"/>
              <w:widowControl/>
              <w:numPr>
                <w:ilvl w:val="0"/>
                <w:numId w:val="27"/>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总日志量不少于200000条；</w:t>
            </w:r>
          </w:p>
          <w:p w14:paraId="50A63634">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提供资源库日常咨询和答疑等服务。协助学校资源更新，资源上传，精品课程申报等资源库验收对应的各项指标完善工作</w:t>
            </w:r>
            <w:r>
              <w:rPr>
                <w:rFonts w:hint="eastAsia" w:ascii="宋体" w:hAnsi="宋体" w:eastAsia="宋体" w:cs="宋体"/>
                <w:color w:val="auto"/>
                <w:kern w:val="0"/>
                <w:sz w:val="21"/>
                <w:szCs w:val="21"/>
                <w:highlight w:val="none"/>
                <w:lang w:eastAsia="zh-CN"/>
              </w:rPr>
              <w:t>；</w:t>
            </w:r>
          </w:p>
          <w:p w14:paraId="4E2923C0">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版权：本项目所有产出数字化资源包含教学视频、音频、PPT、文档、图片、PDF及其内嵌的图片的版权均归属</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，版权无争议</w:t>
            </w:r>
            <w:r>
              <w:rPr>
                <w:rFonts w:hint="eastAsia" w:ascii="宋体" w:hAnsi="宋体" w:eastAsia="宋体" w:cs="宋体"/>
                <w:color w:val="auto"/>
                <w:kern w:val="0"/>
                <w:sz w:val="21"/>
                <w:szCs w:val="21"/>
                <w:highlight w:val="none"/>
                <w:lang w:eastAsia="zh-CN"/>
              </w:rPr>
              <w:t>；</w:t>
            </w:r>
          </w:p>
          <w:p w14:paraId="2B3443C4">
            <w:pPr>
              <w:pageBreakBefore w:val="0"/>
              <w:widowControl/>
              <w:numPr>
                <w:ilvl w:val="0"/>
                <w:numId w:val="0"/>
              </w:numPr>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数字化资源命名标准：为符合【职业教育专业教学资源库建设指南2023】其中的第三项必选内容中的第三项课程教学资源：建立课程素材的技术规范，统一命名规则，标注含有专业名称、课程名称、知识（技能）名称、是否原创等属性字段。承诺投标人中标后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商定、建立课程素材的技术规范-数字化资源命名标准，并由</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审定后盖章并贯彻执行、交付。</w:t>
            </w:r>
          </w:p>
        </w:tc>
        <w:tc>
          <w:tcPr>
            <w:tcW w:w="657" w:type="dxa"/>
            <w:shd w:val="clear" w:color="auto" w:fill="auto"/>
            <w:vAlign w:val="center"/>
          </w:tcPr>
          <w:p w14:paraId="2E42E38C">
            <w:pPr>
              <w:pageBreakBefore w:val="0"/>
              <w:widowControl/>
              <w:kinsoku/>
              <w:wordWrap/>
              <w:overflowPunct/>
              <w:topLinePunct w:val="0"/>
              <w:autoSpaceDE/>
              <w:autoSpaceDN/>
              <w:bidi w:val="0"/>
              <w:snapToGrid/>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04" w:type="dxa"/>
            <w:shd w:val="clear" w:color="auto" w:fill="auto"/>
            <w:vAlign w:val="center"/>
          </w:tcPr>
          <w:p w14:paraId="7C24C5ED">
            <w:pPr>
              <w:pageBreakBefore w:val="0"/>
              <w:widowControl/>
              <w:kinsoku/>
              <w:wordWrap/>
              <w:overflowPunct/>
              <w:topLinePunct w:val="0"/>
              <w:autoSpaceDE/>
              <w:autoSpaceDN/>
              <w:bidi w:val="0"/>
              <w:snapToGri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r>
    </w:tbl>
    <w:p w14:paraId="6CB9CA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jc w:val="left"/>
        <w:textAlignment w:val="auto"/>
        <w:outlineLvl w:val="1"/>
        <w:rPr>
          <w:rFonts w:hint="eastAsia" w:ascii="宋体" w:hAnsi="宋体" w:eastAsia="宋体" w:cs="宋体"/>
          <w:b/>
          <w:color w:val="auto"/>
          <w:sz w:val="24"/>
          <w:szCs w:val="18"/>
          <w:highlight w:val="none"/>
          <w:lang w:val="en-US" w:eastAsia="zh-CN"/>
        </w:rPr>
      </w:pPr>
      <w:bookmarkStart w:id="64" w:name="_Toc17925"/>
      <w:r>
        <w:rPr>
          <w:rFonts w:hint="eastAsia" w:ascii="宋体" w:hAnsi="宋体" w:eastAsia="宋体" w:cs="宋体"/>
          <w:b/>
          <w:color w:val="auto"/>
          <w:sz w:val="24"/>
          <w:szCs w:val="18"/>
          <w:highlight w:val="none"/>
          <w:lang w:val="en-US" w:eastAsia="zh-CN"/>
        </w:rPr>
        <w:t>四、报价要求</w:t>
      </w:r>
      <w:bookmarkEnd w:id="64"/>
    </w:p>
    <w:p w14:paraId="491A5FF8">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sz w:val="24"/>
          <w:szCs w:val="24"/>
          <w:highlight w:val="none"/>
          <w:lang w:val="en-US" w:eastAsia="zh-CN"/>
        </w:rPr>
      </w:pPr>
      <w:bookmarkStart w:id="65" w:name="_Toc18794"/>
      <w:bookmarkStart w:id="66" w:name="_Toc8283"/>
      <w:r>
        <w:rPr>
          <w:rFonts w:hint="eastAsia" w:ascii="宋体" w:hAnsi="宋体" w:eastAsia="宋体" w:cs="宋体"/>
          <w:color w:val="auto"/>
          <w:sz w:val="24"/>
          <w:szCs w:val="24"/>
          <w:highlight w:val="none"/>
          <w:lang w:val="en-US" w:eastAsia="zh-CN"/>
        </w:rPr>
        <w:t>（1）投标人所报价格包含提供以上服务服务所需全部费用，投标人报价包含服务（货物）、利润、税金、政策性文件规定及合同包含的所有风险、责任、义务等，即为完成招标文件要求的服务（货物）内容所包含的一切应有费用。</w:t>
      </w:r>
    </w:p>
    <w:p w14:paraId="703B5F7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服务过程中所出现的任何遗漏，必须由中标人免费提供，采购人将不再支付任何费用，投标人须自行考虑投标风险。除非特别要求，该项目只允许有唯一方案、唯一报价，多方案、多报价的投标文件将不被接受。</w:t>
      </w:r>
      <w:bookmarkEnd w:id="65"/>
      <w:bookmarkEnd w:id="66"/>
    </w:p>
    <w:p w14:paraId="49D2AFB3">
      <w:pPr>
        <w:spacing w:line="360" w:lineRule="auto"/>
        <w:ind w:firstLine="437"/>
        <w:outlineLvl w:val="1"/>
        <w:rPr>
          <w:rFonts w:hint="eastAsia" w:ascii="宋体" w:hAnsi="宋体" w:eastAsia="宋体"/>
          <w:b/>
          <w:color w:val="auto"/>
          <w:sz w:val="24"/>
          <w:szCs w:val="18"/>
          <w:highlight w:val="none"/>
        </w:rPr>
      </w:pPr>
      <w:bookmarkStart w:id="67" w:name="_Toc15451"/>
      <w:r>
        <w:rPr>
          <w:rFonts w:hint="eastAsia" w:ascii="宋体" w:hAnsi="宋体" w:eastAsia="宋体"/>
          <w:b/>
          <w:color w:val="auto"/>
          <w:sz w:val="24"/>
          <w:szCs w:val="18"/>
          <w:highlight w:val="none"/>
          <w:lang w:val="en-US" w:eastAsia="zh-CN"/>
        </w:rPr>
        <w:t>五</w:t>
      </w:r>
      <w:r>
        <w:rPr>
          <w:rFonts w:hint="eastAsia" w:ascii="宋体" w:hAnsi="宋体" w:eastAsia="宋体"/>
          <w:b/>
          <w:color w:val="auto"/>
          <w:sz w:val="24"/>
          <w:szCs w:val="18"/>
          <w:highlight w:val="none"/>
        </w:rPr>
        <w:t>、</w:t>
      </w:r>
      <w:r>
        <w:rPr>
          <w:rFonts w:hint="eastAsia" w:ascii="宋体" w:hAnsi="宋体" w:eastAsia="宋体"/>
          <w:b/>
          <w:color w:val="auto"/>
          <w:sz w:val="24"/>
          <w:szCs w:val="18"/>
          <w:highlight w:val="none"/>
          <w:lang w:val="en-US" w:eastAsia="zh-CN"/>
        </w:rPr>
        <w:t>服务</w:t>
      </w:r>
      <w:r>
        <w:rPr>
          <w:rFonts w:hint="eastAsia" w:ascii="宋体" w:hAnsi="宋体" w:eastAsia="宋体"/>
          <w:b/>
          <w:color w:val="auto"/>
          <w:sz w:val="24"/>
          <w:szCs w:val="18"/>
          <w:highlight w:val="none"/>
        </w:rPr>
        <w:t>要求</w:t>
      </w:r>
      <w:bookmarkEnd w:id="67"/>
    </w:p>
    <w:p w14:paraId="5A7E39F8">
      <w:pPr>
        <w:spacing w:line="360" w:lineRule="auto"/>
        <w:ind w:firstLine="480" w:firstLineChars="200"/>
        <w:outlineLvl w:val="2"/>
        <w:rPr>
          <w:rFonts w:hint="default" w:ascii="宋体" w:hAnsi="宋体" w:eastAsia="宋体"/>
          <w:bCs/>
          <w:color w:val="auto"/>
          <w:sz w:val="24"/>
          <w:szCs w:val="18"/>
          <w:highlight w:val="none"/>
          <w:lang w:val="en-US" w:eastAsia="zh-CN"/>
        </w:rPr>
      </w:pPr>
      <w:r>
        <w:rPr>
          <w:rFonts w:hint="eastAsia" w:ascii="宋体" w:hAnsi="宋体" w:eastAsia="宋体"/>
          <w:bCs/>
          <w:color w:val="auto"/>
          <w:sz w:val="24"/>
          <w:szCs w:val="18"/>
          <w:highlight w:val="none"/>
          <w:lang w:val="en-US" w:eastAsia="zh-CN"/>
        </w:rPr>
        <w:t>1.</w:t>
      </w:r>
      <w:r>
        <w:rPr>
          <w:rFonts w:hint="eastAsia" w:ascii="宋体" w:hAnsi="宋体" w:eastAsia="宋体"/>
          <w:bCs/>
          <w:color w:val="auto"/>
          <w:sz w:val="24"/>
          <w:szCs w:val="18"/>
          <w:highlight w:val="none"/>
        </w:rPr>
        <w:t>提供资源库建设咨询与培训服务</w:t>
      </w:r>
    </w:p>
    <w:p w14:paraId="06CF15F7">
      <w:pPr>
        <w:spacing w:line="360" w:lineRule="auto"/>
        <w:ind w:firstLine="480" w:firstLineChars="200"/>
        <w:outlineLvl w:val="2"/>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eastAsia="zh-CN"/>
        </w:rPr>
        <w:t>（</w:t>
      </w:r>
      <w:r>
        <w:rPr>
          <w:rFonts w:hint="eastAsia" w:ascii="宋体" w:hAnsi="宋体" w:eastAsia="宋体"/>
          <w:bCs/>
          <w:color w:val="auto"/>
          <w:sz w:val="24"/>
          <w:szCs w:val="18"/>
          <w:highlight w:val="none"/>
          <w:lang w:val="en-US" w:eastAsia="zh-CN"/>
        </w:rPr>
        <w:t>1</w:t>
      </w:r>
      <w:r>
        <w:rPr>
          <w:rFonts w:hint="eastAsia" w:ascii="宋体" w:hAnsi="宋体" w:eastAsia="宋体"/>
          <w:bCs/>
          <w:color w:val="auto"/>
          <w:sz w:val="24"/>
          <w:szCs w:val="18"/>
          <w:highlight w:val="none"/>
          <w:lang w:eastAsia="zh-CN"/>
        </w:rPr>
        <w:t>）</w:t>
      </w:r>
      <w:r>
        <w:rPr>
          <w:rFonts w:hint="eastAsia" w:ascii="宋体" w:hAnsi="宋体" w:eastAsia="宋体"/>
          <w:bCs/>
          <w:color w:val="auto"/>
          <w:sz w:val="24"/>
          <w:szCs w:val="18"/>
          <w:highlight w:val="none"/>
        </w:rPr>
        <w:t>内容包括：基于国家最新政策的专业资源库及在线开放课程建设方案；资源库的总体要求和顶层设计；课程大纲确定及知识点或技能点确定；结合专业特色和资源库建设要求确定拟建资源和 媒体类型；微课程的教学设计、脚本撰写和拍摄准备；资源入库、平台应用及推广培训，数字教材建设及平台应用培训。</w:t>
      </w:r>
    </w:p>
    <w:p w14:paraId="40900C54">
      <w:pPr>
        <w:spacing w:line="360" w:lineRule="auto"/>
        <w:ind w:firstLine="480" w:firstLineChars="200"/>
        <w:outlineLvl w:val="2"/>
        <w:rPr>
          <w:rFonts w:hint="eastAsia" w:ascii="宋体" w:hAnsi="宋体" w:eastAsia="宋体"/>
          <w:bCs/>
          <w:color w:val="auto"/>
          <w:sz w:val="24"/>
          <w:szCs w:val="18"/>
          <w:highlight w:val="none"/>
          <w:lang w:eastAsia="zh-CN"/>
        </w:rPr>
      </w:pPr>
      <w:r>
        <w:rPr>
          <w:rFonts w:hint="eastAsia" w:ascii="宋体" w:hAnsi="宋体" w:eastAsia="宋体"/>
          <w:bCs/>
          <w:color w:val="auto"/>
          <w:sz w:val="24"/>
          <w:szCs w:val="18"/>
          <w:highlight w:val="none"/>
          <w:lang w:eastAsia="zh-CN"/>
        </w:rPr>
        <w:t>（</w:t>
      </w:r>
      <w:r>
        <w:rPr>
          <w:rFonts w:hint="eastAsia" w:ascii="宋体" w:hAnsi="宋体" w:eastAsia="宋体"/>
          <w:bCs/>
          <w:color w:val="auto"/>
          <w:sz w:val="24"/>
          <w:szCs w:val="18"/>
          <w:highlight w:val="none"/>
          <w:lang w:val="en-US" w:eastAsia="zh-CN"/>
        </w:rPr>
        <w:t>2</w:t>
      </w:r>
      <w:r>
        <w:rPr>
          <w:rFonts w:hint="eastAsia" w:ascii="宋体" w:hAnsi="宋体" w:eastAsia="宋体"/>
          <w:bCs/>
          <w:color w:val="auto"/>
          <w:sz w:val="24"/>
          <w:szCs w:val="18"/>
          <w:highlight w:val="none"/>
          <w:lang w:eastAsia="zh-CN"/>
        </w:rPr>
        <w:t>）本项目所有完成建设的课程都要同步部署到上述资源库平台，供应商需对 学校课程及课程团队进行均不少于两次的集中培训和qq群、微信群中技术人员在工作日的在线指导，帮助课程团队完成课程资源的上线、搭课和教学部署工作。</w:t>
      </w:r>
    </w:p>
    <w:p w14:paraId="6DB062AD">
      <w:pPr>
        <w:spacing w:line="360" w:lineRule="auto"/>
        <w:ind w:firstLine="480" w:firstLineChars="200"/>
        <w:outlineLvl w:val="2"/>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2.</w:t>
      </w:r>
      <w:r>
        <w:rPr>
          <w:rFonts w:hint="eastAsia" w:ascii="宋体" w:hAnsi="宋体" w:eastAsia="宋体"/>
          <w:bCs/>
          <w:color w:val="auto"/>
          <w:sz w:val="24"/>
          <w:szCs w:val="18"/>
          <w:highlight w:val="none"/>
        </w:rPr>
        <w:t>技术支持和售后服务</w:t>
      </w:r>
    </w:p>
    <w:p w14:paraId="5B63FE54">
      <w:pPr>
        <w:spacing w:line="360" w:lineRule="auto"/>
        <w:ind w:firstLine="480" w:firstLineChars="200"/>
        <w:outlineLvl w:val="2"/>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1</w:t>
      </w:r>
      <w:r>
        <w:rPr>
          <w:rFonts w:hint="eastAsia" w:ascii="宋体" w:hAnsi="宋体" w:eastAsia="宋体"/>
          <w:bCs/>
          <w:color w:val="auto"/>
          <w:sz w:val="24"/>
          <w:szCs w:val="18"/>
          <w:highlight w:val="none"/>
        </w:rPr>
        <w:t>）中标人应提供从验收合格之日起，至少三年的免费全保。在保修期内，课程内容如有故障、更新，中标人接到用户保修电话后，须在两小时内排除故障及给出更新方案。</w:t>
      </w:r>
    </w:p>
    <w:p w14:paraId="2C4F8267">
      <w:pPr>
        <w:spacing w:line="360" w:lineRule="auto"/>
        <w:ind w:firstLine="480" w:firstLineChars="200"/>
        <w:outlineLvl w:val="2"/>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rPr>
        <w:t>（</w:t>
      </w:r>
      <w:r>
        <w:rPr>
          <w:rFonts w:hint="eastAsia" w:ascii="宋体" w:hAnsi="宋体" w:eastAsia="宋体"/>
          <w:bCs/>
          <w:color w:val="auto"/>
          <w:sz w:val="24"/>
          <w:szCs w:val="18"/>
          <w:highlight w:val="none"/>
          <w:lang w:val="en-US" w:eastAsia="zh-CN"/>
        </w:rPr>
        <w:t>2</w:t>
      </w:r>
      <w:r>
        <w:rPr>
          <w:rFonts w:hint="eastAsia" w:ascii="宋体" w:hAnsi="宋体" w:eastAsia="宋体"/>
          <w:bCs/>
          <w:color w:val="auto"/>
          <w:sz w:val="24"/>
          <w:szCs w:val="18"/>
          <w:highlight w:val="none"/>
        </w:rPr>
        <w:t>）课程上线平台后，供应商需针对参与资源库建设的教师提供平台使用培训，确保熟练使用平台的功能。</w:t>
      </w:r>
    </w:p>
    <w:p w14:paraId="318CC54D">
      <w:pPr>
        <w:spacing w:line="360" w:lineRule="auto"/>
        <w:ind w:firstLine="480" w:firstLineChars="200"/>
        <w:outlineLvl w:val="2"/>
        <w:rPr>
          <w:rFonts w:hint="eastAsia" w:ascii="宋体" w:hAnsi="宋体" w:eastAsia="宋体"/>
          <w:bCs/>
          <w:color w:val="auto"/>
          <w:sz w:val="24"/>
          <w:szCs w:val="18"/>
          <w:highlight w:val="none"/>
          <w:lang w:val="en-US" w:eastAsia="zh-CN"/>
        </w:rPr>
      </w:pPr>
      <w:r>
        <w:rPr>
          <w:rFonts w:hint="eastAsia" w:ascii="宋体" w:hAnsi="宋体" w:eastAsia="宋体"/>
          <w:bCs/>
          <w:color w:val="auto"/>
          <w:sz w:val="24"/>
          <w:szCs w:val="18"/>
          <w:highlight w:val="none"/>
          <w:lang w:val="en-US" w:eastAsia="zh-CN"/>
        </w:rPr>
        <w:t>3.</w:t>
      </w:r>
      <w:r>
        <w:rPr>
          <w:rFonts w:hint="eastAsia" w:ascii="宋体" w:hAnsi="宋体" w:eastAsia="宋体"/>
          <w:bCs/>
          <w:color w:val="auto"/>
          <w:sz w:val="24"/>
          <w:szCs w:val="18"/>
          <w:highlight w:val="none"/>
        </w:rPr>
        <w:t>其他要求</w:t>
      </w:r>
    </w:p>
    <w:p w14:paraId="3AFCF92F">
      <w:pPr>
        <w:spacing w:line="360" w:lineRule="auto"/>
        <w:ind w:firstLine="480" w:firstLineChars="200"/>
        <w:outlineLvl w:val="2"/>
        <w:rPr>
          <w:rFonts w:hint="eastAsia" w:ascii="宋体" w:hAnsi="宋体" w:eastAsia="宋体"/>
          <w:bCs/>
          <w:color w:val="auto"/>
          <w:sz w:val="24"/>
          <w:szCs w:val="18"/>
          <w:highlight w:val="none"/>
        </w:rPr>
      </w:pPr>
      <w:r>
        <w:rPr>
          <w:rFonts w:hint="eastAsia" w:ascii="宋体" w:hAnsi="宋体" w:eastAsia="宋体"/>
          <w:bCs/>
          <w:color w:val="auto"/>
          <w:sz w:val="24"/>
          <w:szCs w:val="18"/>
          <w:highlight w:val="none"/>
          <w:lang w:val="en-US" w:eastAsia="zh-CN"/>
        </w:rPr>
        <w:t>项目实施</w:t>
      </w:r>
      <w:r>
        <w:rPr>
          <w:rFonts w:hint="eastAsia" w:ascii="宋体" w:hAnsi="宋体" w:eastAsia="宋体"/>
          <w:bCs/>
          <w:color w:val="auto"/>
          <w:sz w:val="24"/>
          <w:szCs w:val="18"/>
          <w:highlight w:val="none"/>
        </w:rPr>
        <w:t>前，</w:t>
      </w:r>
      <w:r>
        <w:rPr>
          <w:rFonts w:hint="eastAsia" w:ascii="宋体" w:hAnsi="宋体" w:eastAsia="宋体"/>
          <w:bCs/>
          <w:color w:val="auto"/>
          <w:sz w:val="24"/>
          <w:szCs w:val="18"/>
          <w:highlight w:val="none"/>
          <w:lang w:val="en-US" w:eastAsia="zh-CN"/>
        </w:rPr>
        <w:t>中标人</w:t>
      </w:r>
      <w:r>
        <w:rPr>
          <w:rFonts w:hint="eastAsia" w:ascii="宋体" w:hAnsi="宋体" w:eastAsia="宋体"/>
          <w:bCs/>
          <w:color w:val="auto"/>
          <w:sz w:val="24"/>
          <w:szCs w:val="18"/>
          <w:highlight w:val="none"/>
        </w:rPr>
        <w:t>需对</w:t>
      </w:r>
      <w:r>
        <w:rPr>
          <w:rFonts w:hint="eastAsia" w:ascii="宋体" w:hAnsi="宋体" w:eastAsia="宋体"/>
          <w:bCs/>
          <w:color w:val="auto"/>
          <w:sz w:val="24"/>
          <w:szCs w:val="18"/>
          <w:highlight w:val="none"/>
          <w:lang w:val="en-US" w:eastAsia="zh-CN"/>
        </w:rPr>
        <w:t>相关</w:t>
      </w:r>
      <w:r>
        <w:rPr>
          <w:rFonts w:hint="eastAsia" w:ascii="宋体" w:hAnsi="宋体" w:eastAsia="宋体"/>
          <w:bCs/>
          <w:color w:val="auto"/>
          <w:sz w:val="24"/>
          <w:szCs w:val="18"/>
          <w:highlight w:val="none"/>
        </w:rPr>
        <w:t>参数功能项来我校进行演示，与</w:t>
      </w:r>
      <w:r>
        <w:rPr>
          <w:rFonts w:hint="eastAsia" w:ascii="宋体" w:hAnsi="宋体" w:eastAsia="宋体"/>
          <w:bCs/>
          <w:color w:val="auto"/>
          <w:sz w:val="24"/>
          <w:szCs w:val="18"/>
          <w:highlight w:val="none"/>
          <w:lang w:val="en-US" w:eastAsia="zh-CN"/>
        </w:rPr>
        <w:t>投标</w:t>
      </w:r>
      <w:r>
        <w:rPr>
          <w:rFonts w:hint="eastAsia" w:ascii="宋体" w:hAnsi="宋体" w:eastAsia="宋体"/>
          <w:bCs/>
          <w:color w:val="auto"/>
          <w:sz w:val="24"/>
          <w:szCs w:val="18"/>
          <w:highlight w:val="none"/>
        </w:rPr>
        <w:t>文件证明材料不符且不能满足采购</w:t>
      </w:r>
      <w:r>
        <w:rPr>
          <w:rFonts w:hint="eastAsia" w:ascii="宋体" w:hAnsi="宋体" w:eastAsia="宋体"/>
          <w:bCs/>
          <w:color w:val="auto"/>
          <w:sz w:val="24"/>
          <w:szCs w:val="18"/>
          <w:highlight w:val="none"/>
          <w:lang w:val="en-US" w:eastAsia="zh-CN"/>
        </w:rPr>
        <w:t>需求</w:t>
      </w:r>
      <w:r>
        <w:rPr>
          <w:rFonts w:hint="eastAsia" w:ascii="宋体" w:hAnsi="宋体" w:eastAsia="宋体"/>
          <w:bCs/>
          <w:color w:val="auto"/>
          <w:sz w:val="24"/>
          <w:highlight w:val="none"/>
        </w:rPr>
        <w:t>，弄虚作假谋取中标资格的，采购人有权上报相关部门，按相关法律处理。</w:t>
      </w:r>
    </w:p>
    <w:p w14:paraId="064801BE">
      <w:pPr>
        <w:spacing w:line="360" w:lineRule="auto"/>
        <w:ind w:firstLine="437"/>
        <w:outlineLvl w:val="1"/>
        <w:rPr>
          <w:rFonts w:ascii="宋体" w:hAnsi="宋体" w:eastAsia="宋体"/>
          <w:b/>
          <w:color w:val="auto"/>
          <w:sz w:val="24"/>
          <w:szCs w:val="18"/>
          <w:highlight w:val="none"/>
        </w:rPr>
      </w:pPr>
      <w:bookmarkStart w:id="68" w:name="_Toc4808"/>
      <w:r>
        <w:rPr>
          <w:rFonts w:hint="eastAsia" w:ascii="宋体" w:hAnsi="宋体" w:eastAsia="宋体"/>
          <w:b/>
          <w:color w:val="auto"/>
          <w:sz w:val="24"/>
          <w:szCs w:val="18"/>
          <w:highlight w:val="none"/>
          <w:lang w:val="en-US" w:eastAsia="zh-CN"/>
        </w:rPr>
        <w:t>六</w:t>
      </w:r>
      <w:r>
        <w:rPr>
          <w:rFonts w:hint="eastAsia" w:ascii="宋体" w:hAnsi="宋体" w:eastAsia="宋体"/>
          <w:b/>
          <w:color w:val="auto"/>
          <w:sz w:val="24"/>
          <w:szCs w:val="18"/>
          <w:highlight w:val="none"/>
        </w:rPr>
        <w:t>、其他要求</w:t>
      </w:r>
      <w:bookmarkEnd w:id="68"/>
      <w:r>
        <w:rPr>
          <w:rFonts w:hint="eastAsia" w:ascii="宋体" w:hAnsi="宋体" w:eastAsia="宋体"/>
          <w:b/>
          <w:color w:val="auto"/>
          <w:sz w:val="24"/>
          <w:szCs w:val="18"/>
          <w:highlight w:val="none"/>
        </w:rPr>
        <w:t xml:space="preserve"> </w:t>
      </w:r>
    </w:p>
    <w:p w14:paraId="26F4AEC8">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1、中标人应对采购人提供的业务资料、技术资料应严格保密、不得扩散，否则应承担相应责任且采购人有权追究</w:t>
      </w:r>
      <w:r>
        <w:rPr>
          <w:rFonts w:hint="eastAsia" w:ascii="宋体" w:hAnsi="宋体" w:eastAsia="宋体" w:cs="宋体"/>
          <w:color w:val="auto"/>
          <w:sz w:val="24"/>
          <w:szCs w:val="24"/>
          <w:highlight w:val="none"/>
          <w:lang w:val="en-US" w:eastAsia="zh-CN"/>
        </w:rPr>
        <w:t>投标人</w:t>
      </w:r>
      <w:r>
        <w:rPr>
          <w:rFonts w:hint="eastAsia" w:ascii="宋体" w:hAnsi="宋体" w:eastAsia="宋体"/>
          <w:bCs/>
          <w:color w:val="auto"/>
          <w:sz w:val="24"/>
          <w:szCs w:val="18"/>
          <w:highlight w:val="none"/>
        </w:rPr>
        <w:t xml:space="preserve">违约责任。 </w:t>
      </w:r>
    </w:p>
    <w:p w14:paraId="18B579A5">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2、中标人如迟延履行合同、不完全履行合同</w:t>
      </w:r>
      <w:r>
        <w:rPr>
          <w:rFonts w:hint="eastAsia" w:ascii="宋体" w:hAnsi="宋体" w:eastAsia="宋体"/>
          <w:bCs/>
          <w:color w:val="auto"/>
          <w:sz w:val="24"/>
          <w:szCs w:val="18"/>
          <w:highlight w:val="none"/>
          <w:lang w:val="en-US" w:eastAsia="zh-CN"/>
        </w:rPr>
        <w:t>的</w:t>
      </w:r>
      <w:r>
        <w:rPr>
          <w:rFonts w:hint="eastAsia" w:ascii="宋体" w:hAnsi="宋体" w:eastAsia="宋体"/>
          <w:bCs/>
          <w:color w:val="auto"/>
          <w:sz w:val="24"/>
          <w:szCs w:val="18"/>
          <w:highlight w:val="none"/>
        </w:rPr>
        <w:t>，采购人有权追究中标人责任，并就中标人违约给采购人造成的损失向中标人索赔。</w:t>
      </w:r>
    </w:p>
    <w:p w14:paraId="627BBCA9">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 xml:space="preserve">3、所有成果的知识产权归采购人所有。 </w:t>
      </w:r>
    </w:p>
    <w:p w14:paraId="718FBC26">
      <w:pPr>
        <w:spacing w:line="360" w:lineRule="auto"/>
        <w:ind w:firstLine="480" w:firstLineChars="200"/>
        <w:outlineLvl w:val="2"/>
        <w:rPr>
          <w:rFonts w:ascii="宋体" w:hAnsi="宋体" w:eastAsia="宋体"/>
          <w:bCs/>
          <w:color w:val="auto"/>
          <w:sz w:val="24"/>
          <w:szCs w:val="18"/>
          <w:highlight w:val="none"/>
        </w:rPr>
      </w:pPr>
      <w:r>
        <w:rPr>
          <w:rFonts w:hint="eastAsia" w:ascii="宋体" w:hAnsi="宋体" w:eastAsia="宋体"/>
          <w:bCs/>
          <w:color w:val="auto"/>
          <w:sz w:val="24"/>
          <w:szCs w:val="18"/>
          <w:highlight w:val="none"/>
        </w:rPr>
        <w:t>4、对于中标人无法按时按承诺完成的工作，采购人有权请第三方解决，所需所有费用由中标人支付。</w:t>
      </w:r>
    </w:p>
    <w:p w14:paraId="6AA6212C">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62B2AD50">
      <w:pPr>
        <w:spacing w:line="360" w:lineRule="auto"/>
        <w:jc w:val="center"/>
        <w:outlineLvl w:val="0"/>
        <w:rPr>
          <w:rFonts w:hint="eastAsia" w:asciiTheme="minorEastAsia" w:hAnsiTheme="minorEastAsia" w:eastAsiaTheme="minorEastAsia"/>
          <w:b/>
          <w:color w:val="auto"/>
          <w:sz w:val="28"/>
          <w:highlight w:val="none"/>
        </w:rPr>
      </w:pPr>
      <w:bookmarkStart w:id="69" w:name="_Toc15656"/>
      <w:r>
        <w:rPr>
          <w:rFonts w:hint="eastAsia" w:asciiTheme="minorEastAsia" w:hAnsiTheme="minorEastAsia" w:eastAsiaTheme="minorEastAsia"/>
          <w:b/>
          <w:color w:val="auto"/>
          <w:sz w:val="28"/>
          <w:highlight w:val="none"/>
        </w:rPr>
        <w:t>第四章  评标方法和标准（综合评分法）</w:t>
      </w:r>
      <w:bookmarkEnd w:id="69"/>
    </w:p>
    <w:p w14:paraId="397811B7">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1"/>
        <w:rPr>
          <w:rFonts w:hint="eastAsia" w:asciiTheme="minorEastAsia" w:hAnsiTheme="minorEastAsia" w:eastAsiaTheme="minorEastAsia"/>
          <w:b/>
          <w:color w:val="auto"/>
          <w:sz w:val="24"/>
          <w:highlight w:val="none"/>
        </w:rPr>
      </w:pPr>
      <w:bookmarkStart w:id="70" w:name="_Toc26434"/>
      <w:bookmarkStart w:id="71" w:name="_Toc11823"/>
      <w:bookmarkStart w:id="72" w:name="_Toc4705"/>
      <w:r>
        <w:rPr>
          <w:rFonts w:hint="eastAsia" w:asciiTheme="minorEastAsia" w:hAnsiTheme="minorEastAsia" w:eastAsiaTheme="minorEastAsia"/>
          <w:b/>
          <w:color w:val="auto"/>
          <w:sz w:val="24"/>
          <w:highlight w:val="none"/>
        </w:rPr>
        <w:t>一、总则</w:t>
      </w:r>
      <w:bookmarkEnd w:id="70"/>
      <w:bookmarkEnd w:id="71"/>
      <w:bookmarkEnd w:id="72"/>
    </w:p>
    <w:p w14:paraId="1AA6DEB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666B3E9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1"/>
        <w:rPr>
          <w:rFonts w:hint="eastAsia" w:asciiTheme="minorEastAsia" w:hAnsiTheme="minorEastAsia" w:eastAsiaTheme="minorEastAsia"/>
          <w:b/>
          <w:color w:val="auto"/>
          <w:sz w:val="24"/>
          <w:highlight w:val="none"/>
        </w:rPr>
      </w:pPr>
      <w:bookmarkStart w:id="73" w:name="_Toc5809"/>
      <w:bookmarkStart w:id="74" w:name="_Toc32410"/>
      <w:bookmarkStart w:id="75" w:name="_Toc31871"/>
      <w:r>
        <w:rPr>
          <w:rFonts w:hint="eastAsia" w:asciiTheme="minorEastAsia" w:hAnsiTheme="minorEastAsia" w:eastAsiaTheme="minorEastAsia"/>
          <w:b/>
          <w:color w:val="auto"/>
          <w:sz w:val="24"/>
          <w:highlight w:val="none"/>
        </w:rPr>
        <w:t>二、评标方法</w:t>
      </w:r>
      <w:bookmarkEnd w:id="73"/>
      <w:bookmarkEnd w:id="74"/>
      <w:bookmarkEnd w:id="75"/>
    </w:p>
    <w:p w14:paraId="3AC141D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39"/>
        <w:tblW w:w="55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703"/>
        <w:gridCol w:w="5040"/>
        <w:gridCol w:w="2346"/>
      </w:tblGrid>
      <w:tr w14:paraId="0E10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4"/>
            <w:tcBorders>
              <w:bottom w:val="single" w:color="auto" w:sz="4" w:space="0"/>
            </w:tcBorders>
            <w:vAlign w:val="center"/>
          </w:tcPr>
          <w:p w14:paraId="1F03BE54">
            <w:pPr>
              <w:keepNext w:val="0"/>
              <w:keepLines w:val="0"/>
              <w:pageBreakBefore w:val="0"/>
              <w:widowControl w:val="0"/>
              <w:kinsoku/>
              <w:wordWrap/>
              <w:overflowPunct/>
              <w:topLinePunct w:val="0"/>
              <w:autoSpaceDE/>
              <w:autoSpaceDN/>
              <w:bidi w:val="0"/>
              <w:adjustRightInd w:val="0"/>
              <w:snapToGrid w:val="0"/>
              <w:spacing w:line="480" w:lineRule="exact"/>
              <w:ind w:right="-11"/>
              <w:jc w:val="center"/>
              <w:textAlignment w:val="auto"/>
              <w:rPr>
                <w:rFonts w:hint="eastAsia"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07B3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Borders>
              <w:bottom w:val="single" w:color="auto" w:sz="4" w:space="0"/>
            </w:tcBorders>
            <w:vAlign w:val="center"/>
          </w:tcPr>
          <w:p w14:paraId="10B0E33E">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873" w:type="pct"/>
            <w:tcBorders>
              <w:bottom w:val="single" w:color="auto" w:sz="4" w:space="0"/>
            </w:tcBorders>
            <w:vAlign w:val="center"/>
          </w:tcPr>
          <w:p w14:paraId="7761FBB7">
            <w:pPr>
              <w:pStyle w:val="61"/>
              <w:keepNext w:val="0"/>
              <w:keepLines w:val="0"/>
              <w:pageBreakBefore w:val="0"/>
              <w:pBdr>
                <w:bottom w:val="none" w:color="auto" w:sz="0" w:space="0"/>
              </w:pBdr>
              <w:tabs>
                <w:tab w:val="clear" w:pos="4153"/>
                <w:tab w:val="clear" w:pos="8306"/>
              </w:tabs>
              <w:kinsoku/>
              <w:overflowPunct/>
              <w:topLinePunct w:val="0"/>
              <w:autoSpaceDE/>
              <w:autoSpaceDN/>
              <w:bidi w:val="0"/>
              <w:snapToGrid w:val="0"/>
              <w:spacing w:line="520" w:lineRule="exact"/>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2583" w:type="pct"/>
            <w:tcBorders>
              <w:bottom w:val="single" w:color="auto" w:sz="4" w:space="0"/>
            </w:tcBorders>
            <w:vAlign w:val="center"/>
          </w:tcPr>
          <w:p w14:paraId="756C1713">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审查内容</w:t>
            </w:r>
          </w:p>
        </w:tc>
        <w:tc>
          <w:tcPr>
            <w:tcW w:w="1200" w:type="pct"/>
            <w:tcBorders>
              <w:bottom w:val="single" w:color="auto" w:sz="4" w:space="0"/>
            </w:tcBorders>
            <w:vAlign w:val="center"/>
          </w:tcPr>
          <w:p w14:paraId="1D9C52BF">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0D9B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42" w:type="pct"/>
            <w:tcBorders>
              <w:bottom w:val="single" w:color="auto" w:sz="4" w:space="0"/>
            </w:tcBorders>
            <w:vAlign w:val="center"/>
          </w:tcPr>
          <w:p w14:paraId="745011A2">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873" w:type="pct"/>
            <w:tcBorders>
              <w:bottom w:val="single" w:color="auto" w:sz="4" w:space="0"/>
            </w:tcBorders>
            <w:vAlign w:val="center"/>
          </w:tcPr>
          <w:p w14:paraId="1529DFBC">
            <w:pPr>
              <w:keepNext w:val="0"/>
              <w:keepLines w:val="0"/>
              <w:pageBreakBefore w:val="0"/>
              <w:widowControl w:val="0"/>
              <w:kinsoku/>
              <w:wordWrap/>
              <w:overflowPunct/>
              <w:topLinePunct w:val="0"/>
              <w:autoSpaceDE/>
              <w:autoSpaceDN/>
              <w:bidi w:val="0"/>
              <w:adjustRightInd/>
              <w:snapToGrid/>
              <w:spacing w:line="520" w:lineRule="exact"/>
              <w:ind w:right="-11"/>
              <w:jc w:val="center"/>
              <w:textAlignment w:val="auto"/>
              <w:rPr>
                <w:rFonts w:hint="eastAsia"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83" w:type="pct"/>
            <w:tcBorders>
              <w:bottom w:val="single" w:color="auto" w:sz="4" w:space="0"/>
            </w:tcBorders>
            <w:vAlign w:val="center"/>
          </w:tcPr>
          <w:p w14:paraId="7EBA17FF">
            <w:pPr>
              <w:keepNext w:val="0"/>
              <w:keepLines w:val="0"/>
              <w:pageBreakBefore w:val="0"/>
              <w:widowControl w:val="0"/>
              <w:kinsoku/>
              <w:wordWrap/>
              <w:overflowPunct/>
              <w:topLinePunct w:val="0"/>
              <w:autoSpaceDE/>
              <w:autoSpaceDN/>
              <w:bidi w:val="0"/>
              <w:adjustRightInd/>
              <w:snapToGrid/>
              <w:spacing w:line="520" w:lineRule="exact"/>
              <w:ind w:right="-1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115C2C1A">
            <w:pPr>
              <w:keepNext w:val="0"/>
              <w:keepLines w:val="0"/>
              <w:pageBreakBefore w:val="0"/>
              <w:widowControl w:val="0"/>
              <w:kinsoku/>
              <w:wordWrap/>
              <w:overflowPunct/>
              <w:topLinePunct w:val="0"/>
              <w:autoSpaceDE/>
              <w:autoSpaceDN/>
              <w:bidi w:val="0"/>
              <w:adjustRightInd/>
              <w:snapToGrid/>
              <w:spacing w:line="520" w:lineRule="exact"/>
              <w:ind w:right="-1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0B5AA525">
            <w:pPr>
              <w:keepNext w:val="0"/>
              <w:keepLines w:val="0"/>
              <w:pageBreakBefore w:val="0"/>
              <w:widowControl w:val="0"/>
              <w:kinsoku/>
              <w:wordWrap/>
              <w:overflowPunct/>
              <w:topLinePunct w:val="0"/>
              <w:autoSpaceDE/>
              <w:autoSpaceDN/>
              <w:bidi w:val="0"/>
              <w:adjustRightInd/>
              <w:snapToGrid/>
              <w:spacing w:line="520" w:lineRule="exact"/>
              <w:ind w:right="-1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2B4FD570">
            <w:pPr>
              <w:keepNext w:val="0"/>
              <w:keepLines w:val="0"/>
              <w:pageBreakBefore w:val="0"/>
              <w:widowControl w:val="0"/>
              <w:kinsoku/>
              <w:wordWrap/>
              <w:overflowPunct/>
              <w:topLinePunct w:val="0"/>
              <w:autoSpaceDE/>
              <w:autoSpaceDN/>
              <w:bidi w:val="0"/>
              <w:adjustRightInd/>
              <w:snapToGrid/>
              <w:spacing w:line="520" w:lineRule="exact"/>
              <w:ind w:right="-1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4822FDA8">
            <w:pPr>
              <w:keepNext w:val="0"/>
              <w:keepLines w:val="0"/>
              <w:pageBreakBefore w:val="0"/>
              <w:widowControl w:val="0"/>
              <w:kinsoku/>
              <w:wordWrap/>
              <w:overflowPunct/>
              <w:topLinePunct w:val="0"/>
              <w:autoSpaceDE/>
              <w:autoSpaceDN/>
              <w:bidi w:val="0"/>
              <w:adjustRightInd/>
              <w:snapToGrid/>
              <w:spacing w:line="520" w:lineRule="exact"/>
              <w:ind w:right="-11"/>
              <w:jc w:val="left"/>
              <w:textAlignment w:val="auto"/>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200" w:type="pct"/>
            <w:vAlign w:val="center"/>
          </w:tcPr>
          <w:p w14:paraId="57993ADF">
            <w:pPr>
              <w:keepNext w:val="0"/>
              <w:keepLines w:val="0"/>
              <w:pageBreakBefore w:val="0"/>
              <w:kinsoku/>
              <w:overflowPunct/>
              <w:topLinePunct w:val="0"/>
              <w:autoSpaceDE/>
              <w:autoSpaceDN/>
              <w:bidi w:val="0"/>
              <w:spacing w:line="520" w:lineRule="exact"/>
              <w:jc w:val="left"/>
              <w:rPr>
                <w:rFonts w:hint="eastAsia"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提供材料扫描件或电子证照，应完整的体现出材料或电子证照全部内容。（若联合体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，联合体各方均须提供）</w:t>
            </w:r>
          </w:p>
        </w:tc>
      </w:tr>
      <w:tr w14:paraId="6A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342" w:type="pct"/>
            <w:tcBorders>
              <w:bottom w:val="single" w:color="auto" w:sz="4" w:space="0"/>
            </w:tcBorders>
            <w:vAlign w:val="center"/>
          </w:tcPr>
          <w:p w14:paraId="36219626">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873" w:type="pct"/>
            <w:tcBorders>
              <w:bottom w:val="single" w:color="auto" w:sz="4" w:space="0"/>
            </w:tcBorders>
            <w:vAlign w:val="center"/>
          </w:tcPr>
          <w:p w14:paraId="5CDE51F3">
            <w:pPr>
              <w:keepNext w:val="0"/>
              <w:keepLines w:val="0"/>
              <w:pageBreakBefore w:val="0"/>
              <w:kinsoku/>
              <w:overflowPunct/>
              <w:topLinePunct w:val="0"/>
              <w:autoSpaceDE/>
              <w:autoSpaceDN/>
              <w:bidi w:val="0"/>
              <w:spacing w:line="520" w:lineRule="exact"/>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2583" w:type="pct"/>
            <w:tcBorders>
              <w:bottom w:val="single" w:color="auto" w:sz="4" w:space="0"/>
            </w:tcBorders>
            <w:vAlign w:val="center"/>
          </w:tcPr>
          <w:p w14:paraId="1D5EB64A">
            <w:pPr>
              <w:keepNext w:val="0"/>
              <w:keepLines w:val="0"/>
              <w:pageBreakBefore w:val="0"/>
              <w:kinsoku/>
              <w:overflowPunct/>
              <w:topLinePunct w:val="0"/>
              <w:autoSpaceDE/>
              <w:autoSpaceDN/>
              <w:bidi w:val="0"/>
              <w:spacing w:line="520" w:lineRule="exact"/>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200" w:type="pct"/>
            <w:vAlign w:val="center"/>
          </w:tcPr>
          <w:p w14:paraId="548FE9C3">
            <w:pPr>
              <w:keepNext w:val="0"/>
              <w:keepLines w:val="0"/>
              <w:pageBreakBefore w:val="0"/>
              <w:kinsoku/>
              <w:overflowPunct/>
              <w:topLinePunct w:val="0"/>
              <w:autoSpaceDE/>
              <w:autoSpaceDN/>
              <w:bidi w:val="0"/>
              <w:spacing w:line="520" w:lineRule="exact"/>
              <w:jc w:val="left"/>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详见第六章投标文件格式。</w:t>
            </w:r>
            <w:r>
              <w:rPr>
                <w:rFonts w:hint="eastAsia" w:ascii="宋体" w:hAnsi="宋体" w:eastAsia="宋体" w:cs="宋体"/>
                <w:color w:val="auto"/>
                <w:sz w:val="24"/>
                <w:szCs w:val="24"/>
                <w:highlight w:val="none"/>
              </w:rPr>
              <w:t>（若联合体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，联合体各方均须提供）</w:t>
            </w:r>
          </w:p>
        </w:tc>
      </w:tr>
      <w:tr w14:paraId="2075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342" w:type="pct"/>
            <w:tcBorders>
              <w:bottom w:val="single" w:color="auto" w:sz="4" w:space="0"/>
            </w:tcBorders>
            <w:vAlign w:val="center"/>
          </w:tcPr>
          <w:p w14:paraId="1B0F1430">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873" w:type="pct"/>
            <w:tcBorders>
              <w:bottom w:val="single" w:color="auto" w:sz="4" w:space="0"/>
            </w:tcBorders>
            <w:vAlign w:val="center"/>
          </w:tcPr>
          <w:p w14:paraId="6FB9F18A">
            <w:pPr>
              <w:keepNext w:val="0"/>
              <w:keepLines w:val="0"/>
              <w:pageBreakBefore w:val="0"/>
              <w:kinsoku/>
              <w:overflowPunct/>
              <w:topLinePunct w:val="0"/>
              <w:autoSpaceDE/>
              <w:autoSpaceDN/>
              <w:bidi w:val="0"/>
              <w:spacing w:line="520" w:lineRule="exact"/>
              <w:ind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83" w:type="pct"/>
            <w:tcBorders>
              <w:bottom w:val="single" w:color="auto" w:sz="4" w:space="0"/>
            </w:tcBorders>
            <w:vAlign w:val="center"/>
          </w:tcPr>
          <w:p w14:paraId="2BD8AE4F">
            <w:pPr>
              <w:keepNext w:val="0"/>
              <w:keepLines w:val="0"/>
              <w:pageBreakBefore w:val="0"/>
              <w:kinsoku/>
              <w:overflowPunct/>
              <w:topLinePunct w:val="0"/>
              <w:autoSpaceDE/>
              <w:autoSpaceDN/>
              <w:bidi w:val="0"/>
              <w:spacing w:line="520" w:lineRule="exact"/>
              <w:ind w:right="-10"/>
              <w:jc w:val="left"/>
              <w:rPr>
                <w:rFonts w:hint="eastAsia"/>
                <w:color w:val="auto"/>
                <w:highlight w:val="none"/>
              </w:rPr>
            </w:pPr>
            <w:r>
              <w:rPr>
                <w:rFonts w:hint="eastAsia" w:ascii="宋体" w:hAnsi="宋体" w:eastAsia="宋体" w:cs="宋体"/>
                <w:color w:val="auto"/>
                <w:sz w:val="24"/>
                <w:szCs w:val="24"/>
                <w:highlight w:val="none"/>
                <w:lang w:val="zh-CN"/>
              </w:rPr>
              <w:t>投标人不得存在</w:t>
            </w:r>
            <w:r>
              <w:rPr>
                <w:rFonts w:hint="eastAsia" w:ascii="宋体" w:hAnsi="宋体" w:eastAsia="宋体" w:cs="宋体"/>
                <w:color w:val="auto"/>
                <w:sz w:val="24"/>
                <w:szCs w:val="24"/>
                <w:highlight w:val="none"/>
              </w:rPr>
              <w:t>投标邀请第4条信誉要求和</w:t>
            </w:r>
            <w:r>
              <w:rPr>
                <w:rFonts w:hint="eastAsia" w:ascii="宋体" w:hAnsi="宋体" w:eastAsia="宋体" w:cs="宋体"/>
                <w:color w:val="auto"/>
                <w:sz w:val="24"/>
                <w:szCs w:val="24"/>
                <w:highlight w:val="none"/>
                <w:lang w:val="zh-CN"/>
              </w:rPr>
              <w:t>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200" w:type="pct"/>
            <w:tcBorders>
              <w:bottom w:val="single" w:color="auto" w:sz="4" w:space="0"/>
            </w:tcBorders>
            <w:vAlign w:val="center"/>
          </w:tcPr>
          <w:p w14:paraId="224398D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color w:val="auto"/>
                <w:highlight w:val="none"/>
              </w:rPr>
            </w:pPr>
            <w:r>
              <w:rPr>
                <w:rFonts w:hint="eastAsia" w:ascii="宋体" w:hAnsi="宋体" w:eastAsia="宋体" w:cs="宋体"/>
                <w:color w:val="auto"/>
                <w:sz w:val="24"/>
                <w:szCs w:val="24"/>
                <w:highlight w:val="none"/>
              </w:rPr>
              <w:t>无须投标人提供，由采购人或采购代理机构查询。</w:t>
            </w:r>
          </w:p>
        </w:tc>
      </w:tr>
      <w:tr w14:paraId="630F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6BFFD4EA">
            <w:pPr>
              <w:adjustRightInd w:val="0"/>
              <w:snapToGrid w:val="0"/>
              <w:spacing w:line="360" w:lineRule="auto"/>
              <w:ind w:right="-1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lang w:val="en-US" w:eastAsia="zh-CN"/>
              </w:rPr>
              <w:t>4</w:t>
            </w:r>
          </w:p>
        </w:tc>
        <w:tc>
          <w:tcPr>
            <w:tcW w:w="1705" w:type="dxa"/>
            <w:vAlign w:val="center"/>
          </w:tcPr>
          <w:p w14:paraId="5FBDA2BF">
            <w:pPr>
              <w:spacing w:after="50" w:line="360" w:lineRule="auto"/>
              <w:ind w:right="-10" w:rightChars="0"/>
              <w:jc w:val="both"/>
              <w:rPr>
                <w:rFonts w:hint="eastAsia" w:ascii="宋体" w:hAnsi="宋体" w:eastAsia="宋体" w:cs="宋体"/>
                <w:color w:val="auto"/>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5040" w:type="dxa"/>
            <w:vAlign w:val="center"/>
          </w:tcPr>
          <w:p w14:paraId="0FC37F34">
            <w:pPr>
              <w:spacing w:after="50" w:line="360" w:lineRule="auto"/>
              <w:ind w:right="-10" w:rightChars="0"/>
              <w:jc w:val="both"/>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如有，见第一章《投标邀请》</w:t>
            </w:r>
          </w:p>
        </w:tc>
        <w:tc>
          <w:tcPr>
            <w:tcW w:w="2342" w:type="dxa"/>
            <w:vAlign w:val="center"/>
          </w:tcPr>
          <w:p w14:paraId="5CC2550D">
            <w:pPr>
              <w:spacing w:after="50" w:line="360" w:lineRule="auto"/>
              <w:ind w:right="-10" w:rightChars="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CC4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14:paraId="1C41846E">
            <w:pPr>
              <w:keepNext w:val="0"/>
              <w:keepLines w:val="0"/>
              <w:pageBreakBefore w:val="0"/>
              <w:kinsoku/>
              <w:overflowPunct/>
              <w:topLinePunct w:val="0"/>
              <w:autoSpaceDE/>
              <w:autoSpaceDN/>
              <w:bidi w:val="0"/>
              <w:spacing w:line="520" w:lineRule="exact"/>
              <w:ind w:right="-1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873" w:type="pct"/>
            <w:vAlign w:val="center"/>
          </w:tcPr>
          <w:p w14:paraId="16741CCC">
            <w:pPr>
              <w:keepNext w:val="0"/>
              <w:keepLines w:val="0"/>
              <w:pageBreakBefore w:val="0"/>
              <w:kinsoku/>
              <w:overflowPunct/>
              <w:topLinePunct w:val="0"/>
              <w:autoSpaceDE/>
              <w:autoSpaceDN/>
              <w:bidi w:val="0"/>
              <w:spacing w:line="520" w:lineRule="exact"/>
              <w:ind w:right="-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其他特定资格</w:t>
            </w:r>
          </w:p>
          <w:p w14:paraId="21B17820">
            <w:pPr>
              <w:keepNext w:val="0"/>
              <w:keepLines w:val="0"/>
              <w:pageBreakBefore w:val="0"/>
              <w:kinsoku/>
              <w:overflowPunct/>
              <w:topLinePunct w:val="0"/>
              <w:autoSpaceDE/>
              <w:autoSpaceDN/>
              <w:bidi w:val="0"/>
              <w:spacing w:line="520" w:lineRule="exact"/>
              <w:ind w:right="-1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c>
          <w:tcPr>
            <w:tcW w:w="2583" w:type="pct"/>
            <w:vAlign w:val="center"/>
          </w:tcPr>
          <w:p w14:paraId="25CFF50A">
            <w:pPr>
              <w:keepNext w:val="0"/>
              <w:keepLines w:val="0"/>
              <w:pageBreakBefore w:val="0"/>
              <w:kinsoku/>
              <w:overflowPunct/>
              <w:topLinePunct w:val="0"/>
              <w:autoSpaceDE/>
              <w:autoSpaceDN/>
              <w:bidi w:val="0"/>
              <w:spacing w:line="52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如有，见第一章《招标</w:t>
            </w:r>
            <w:r>
              <w:rPr>
                <w:rFonts w:ascii="宋体" w:hAnsi="宋体" w:eastAsia="宋体" w:cs="宋体"/>
                <w:color w:val="auto"/>
                <w:spacing w:val="10"/>
                <w:sz w:val="24"/>
                <w:szCs w:val="24"/>
                <w:highlight w:val="none"/>
              </w:rPr>
              <w:t>邀请</w:t>
            </w:r>
            <w:r>
              <w:rPr>
                <w:rFonts w:hint="eastAsia" w:ascii="宋体" w:hAnsi="宋体" w:eastAsia="宋体" w:cs="宋体"/>
                <w:color w:val="auto"/>
                <w:sz w:val="24"/>
                <w:szCs w:val="24"/>
                <w:highlight w:val="none"/>
              </w:rPr>
              <w:t>》</w:t>
            </w:r>
          </w:p>
        </w:tc>
        <w:tc>
          <w:tcPr>
            <w:tcW w:w="1200" w:type="pct"/>
            <w:vAlign w:val="center"/>
          </w:tcPr>
          <w:p w14:paraId="703F5A45">
            <w:pPr>
              <w:keepNext w:val="0"/>
              <w:keepLines w:val="0"/>
              <w:pageBreakBefore w:val="0"/>
              <w:widowControl w:val="0"/>
              <w:kinsoku/>
              <w:wordWrap/>
              <w:overflowPunct/>
              <w:topLinePunct w:val="0"/>
              <w:autoSpaceDE/>
              <w:autoSpaceDN/>
              <w:bidi w:val="0"/>
              <w:adjustRightInd/>
              <w:snapToGrid/>
              <w:spacing w:line="480" w:lineRule="exact"/>
              <w:ind w:right="-1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提供材料扫描件 </w:t>
            </w:r>
          </w:p>
          <w:p w14:paraId="3279D489">
            <w:pPr>
              <w:keepNext w:val="0"/>
              <w:keepLines w:val="0"/>
              <w:pageBreakBefore w:val="0"/>
              <w:widowControl w:val="0"/>
              <w:kinsoku/>
              <w:wordWrap/>
              <w:overflowPunct/>
              <w:topLinePunct w:val="0"/>
              <w:autoSpaceDE/>
              <w:autoSpaceDN/>
              <w:bidi w:val="0"/>
              <w:adjustRightInd/>
              <w:snapToGrid/>
              <w:spacing w:line="480" w:lineRule="exact"/>
              <w:ind w:right="-1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或电子证照，应完 整的体现出材料 或电子证照全部内容。</w:t>
            </w:r>
          </w:p>
        </w:tc>
      </w:tr>
    </w:tbl>
    <w:p w14:paraId="7B7BDA85">
      <w:pPr>
        <w:keepNext w:val="0"/>
        <w:keepLines w:val="0"/>
        <w:pageBreakBefore w:val="0"/>
        <w:kinsoku/>
        <w:overflowPunct/>
        <w:topLinePunct w:val="0"/>
        <w:autoSpaceDE/>
        <w:autoSpaceDN/>
        <w:bidi w:val="0"/>
        <w:spacing w:line="520" w:lineRule="exact"/>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4926C9E7">
      <w:pPr>
        <w:keepNext w:val="0"/>
        <w:keepLines w:val="0"/>
        <w:pageBreakBefore w:val="0"/>
        <w:kinsoku/>
        <w:overflowPunct/>
        <w:topLinePunct w:val="0"/>
        <w:autoSpaceDE/>
        <w:autoSpaceDN/>
        <w:bidi w:val="0"/>
        <w:spacing w:line="520" w:lineRule="exact"/>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675228C4">
      <w:pPr>
        <w:keepNext w:val="0"/>
        <w:keepLines w:val="0"/>
        <w:pageBreakBefore w:val="0"/>
        <w:kinsoku/>
        <w:overflowPunct/>
        <w:topLinePunct w:val="0"/>
        <w:autoSpaceDE/>
        <w:autoSpaceDN/>
        <w:bidi w:val="0"/>
        <w:spacing w:line="52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39"/>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785"/>
        <w:gridCol w:w="3929"/>
        <w:gridCol w:w="3165"/>
      </w:tblGrid>
      <w:tr w14:paraId="42C7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E3576F5">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5369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pct"/>
            <w:tcBorders>
              <w:bottom w:val="single" w:color="auto" w:sz="4" w:space="0"/>
            </w:tcBorders>
            <w:vAlign w:val="center"/>
          </w:tcPr>
          <w:p w14:paraId="51059CC3">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914" w:type="pct"/>
            <w:tcBorders>
              <w:bottom w:val="single" w:color="auto" w:sz="4" w:space="0"/>
            </w:tcBorders>
            <w:vAlign w:val="center"/>
          </w:tcPr>
          <w:p w14:paraId="431A7322">
            <w:pPr>
              <w:pStyle w:val="61"/>
              <w:keepNext w:val="0"/>
              <w:keepLines w:val="0"/>
              <w:pageBreakBefore w:val="0"/>
              <w:pBdr>
                <w:bottom w:val="none" w:color="auto" w:sz="0" w:space="0"/>
              </w:pBdr>
              <w:tabs>
                <w:tab w:val="clear" w:pos="4153"/>
                <w:tab w:val="clear" w:pos="8306"/>
              </w:tabs>
              <w:kinsoku/>
              <w:overflowPunct/>
              <w:topLinePunct w:val="0"/>
              <w:autoSpaceDE/>
              <w:autoSpaceDN/>
              <w:bidi w:val="0"/>
              <w:snapToGrid w:val="0"/>
              <w:spacing w:line="520" w:lineRule="exact"/>
              <w:ind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2012" w:type="pct"/>
            <w:tcBorders>
              <w:bottom w:val="single" w:color="auto" w:sz="4" w:space="0"/>
            </w:tcBorders>
            <w:vAlign w:val="center"/>
          </w:tcPr>
          <w:p w14:paraId="53B24118">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619" w:type="pct"/>
            <w:tcBorders>
              <w:bottom w:val="single" w:color="auto" w:sz="4" w:space="0"/>
            </w:tcBorders>
            <w:vAlign w:val="center"/>
          </w:tcPr>
          <w:p w14:paraId="063363BB">
            <w:pPr>
              <w:keepNext w:val="0"/>
              <w:keepLines w:val="0"/>
              <w:pageBreakBefore w:val="0"/>
              <w:kinsoku/>
              <w:overflowPunct/>
              <w:topLinePunct w:val="0"/>
              <w:autoSpaceDE/>
              <w:autoSpaceDN/>
              <w:bidi w:val="0"/>
              <w:adjustRightInd w:val="0"/>
              <w:snapToGrid w:val="0"/>
              <w:spacing w:line="520" w:lineRule="exact"/>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59CD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D245630">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914" w:type="pct"/>
            <w:vAlign w:val="center"/>
          </w:tcPr>
          <w:p w14:paraId="64A48B2F">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2012" w:type="pct"/>
            <w:vAlign w:val="center"/>
          </w:tcPr>
          <w:p w14:paraId="304E2C28">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619" w:type="pct"/>
            <w:vAlign w:val="center"/>
          </w:tcPr>
          <w:p w14:paraId="3241504E">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0EC2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157B4C0">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914" w:type="pct"/>
            <w:vAlign w:val="center"/>
          </w:tcPr>
          <w:p w14:paraId="46F71F19">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2012" w:type="pct"/>
            <w:vAlign w:val="center"/>
          </w:tcPr>
          <w:p w14:paraId="7B7C56D5">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619" w:type="pct"/>
            <w:vAlign w:val="center"/>
          </w:tcPr>
          <w:p w14:paraId="7BC27562">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1920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24E56467">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914" w:type="pct"/>
            <w:vAlign w:val="center"/>
          </w:tcPr>
          <w:p w14:paraId="648C3B8E">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012" w:type="pct"/>
            <w:vAlign w:val="center"/>
          </w:tcPr>
          <w:p w14:paraId="725961B2">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619" w:type="pct"/>
            <w:vAlign w:val="center"/>
          </w:tcPr>
          <w:p w14:paraId="17BFC249">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法定代表人参加投标的无需此件，提供身份证明即可。详见第六章投标文件格式。</w:t>
            </w:r>
          </w:p>
        </w:tc>
      </w:tr>
      <w:tr w14:paraId="20C2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13F7A5A2">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914" w:type="pct"/>
            <w:vAlign w:val="center"/>
          </w:tcPr>
          <w:p w14:paraId="42E2FF71">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2012" w:type="pct"/>
            <w:vAlign w:val="center"/>
          </w:tcPr>
          <w:p w14:paraId="79BFC945">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招标文件投标人须知正文第9条要求</w:t>
            </w:r>
          </w:p>
        </w:tc>
        <w:tc>
          <w:tcPr>
            <w:tcW w:w="1619" w:type="pct"/>
            <w:vAlign w:val="center"/>
          </w:tcPr>
          <w:p w14:paraId="45512E2B">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5EB7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55CB56F8">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914" w:type="pct"/>
            <w:vAlign w:val="center"/>
          </w:tcPr>
          <w:p w14:paraId="246FEE17">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012" w:type="pct"/>
            <w:vAlign w:val="center"/>
          </w:tcPr>
          <w:p w14:paraId="5754FDD0">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符合招标文件采购需求中对付款方式、服务地点、服务期限等实质性要求</w:t>
            </w:r>
          </w:p>
        </w:tc>
        <w:tc>
          <w:tcPr>
            <w:tcW w:w="1619" w:type="pct"/>
            <w:vAlign w:val="center"/>
          </w:tcPr>
          <w:p w14:paraId="76C42B87">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详见第六章投标文件格式。</w:t>
            </w:r>
          </w:p>
        </w:tc>
      </w:tr>
      <w:tr w14:paraId="38C3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57913F3F">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914" w:type="pct"/>
            <w:shd w:val="clear" w:color="auto" w:fill="auto"/>
            <w:vAlign w:val="center"/>
          </w:tcPr>
          <w:p w14:paraId="3D007284">
            <w:pPr>
              <w:keepNext w:val="0"/>
              <w:keepLines w:val="0"/>
              <w:pageBreakBefore w:val="0"/>
              <w:kinsoku/>
              <w:overflowPunct/>
              <w:topLinePunct w:val="0"/>
              <w:autoSpaceDE/>
              <w:autoSpaceDN/>
              <w:bidi w:val="0"/>
              <w:spacing w:line="520" w:lineRule="exact"/>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szCs w:val="28"/>
                <w:highlight w:val="none"/>
              </w:rPr>
              <w:t>技术响应情况</w:t>
            </w:r>
          </w:p>
        </w:tc>
        <w:tc>
          <w:tcPr>
            <w:tcW w:w="2012" w:type="pct"/>
            <w:shd w:val="clear" w:color="auto" w:fill="auto"/>
            <w:vAlign w:val="center"/>
          </w:tcPr>
          <w:p w14:paraId="6B2703C8">
            <w:pPr>
              <w:keepNext w:val="0"/>
              <w:keepLines w:val="0"/>
              <w:pageBreakBefore w:val="0"/>
              <w:kinsoku/>
              <w:overflowPunct/>
              <w:topLinePunct w:val="0"/>
              <w:autoSpaceDE/>
              <w:autoSpaceDN/>
              <w:bidi w:val="0"/>
              <w:spacing w:line="520" w:lineRule="exact"/>
              <w:ind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szCs w:val="28"/>
                <w:highlight w:val="none"/>
              </w:rPr>
              <w:t>符合招标文件采购需求中货物技术参数等实质性要求</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具体详见评分办法</w:t>
            </w:r>
          </w:p>
        </w:tc>
        <w:tc>
          <w:tcPr>
            <w:tcW w:w="1619" w:type="pct"/>
            <w:shd w:val="clear" w:color="auto" w:fill="auto"/>
            <w:vAlign w:val="center"/>
          </w:tcPr>
          <w:p w14:paraId="4F1154A5">
            <w:pPr>
              <w:keepNext w:val="0"/>
              <w:keepLines w:val="0"/>
              <w:pageBreakBefore w:val="0"/>
              <w:kinsoku/>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详见第六章投标文件格式。</w:t>
            </w:r>
          </w:p>
        </w:tc>
      </w:tr>
      <w:tr w14:paraId="0C2F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pct"/>
            <w:vAlign w:val="center"/>
          </w:tcPr>
          <w:p w14:paraId="14906DC4">
            <w:pPr>
              <w:keepNext w:val="0"/>
              <w:keepLines w:val="0"/>
              <w:pageBreakBefore w:val="0"/>
              <w:kinsoku/>
              <w:overflowPunct/>
              <w:topLinePunct w:val="0"/>
              <w:autoSpaceDE/>
              <w:autoSpaceDN/>
              <w:bidi w:val="0"/>
              <w:adjustRightInd w:val="0"/>
              <w:snapToGrid w:val="0"/>
              <w:spacing w:line="520" w:lineRule="exact"/>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914" w:type="pct"/>
            <w:vAlign w:val="center"/>
          </w:tcPr>
          <w:p w14:paraId="07C26185">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012" w:type="pct"/>
            <w:vAlign w:val="center"/>
          </w:tcPr>
          <w:p w14:paraId="7C4FC755">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1619" w:type="pct"/>
            <w:vAlign w:val="center"/>
          </w:tcPr>
          <w:p w14:paraId="57EB591D">
            <w:pPr>
              <w:keepNext w:val="0"/>
              <w:keepLines w:val="0"/>
              <w:pageBreakBefore w:val="0"/>
              <w:kinsoku/>
              <w:overflowPunct/>
              <w:topLinePunct w:val="0"/>
              <w:autoSpaceDE/>
              <w:autoSpaceDN/>
              <w:bidi w:val="0"/>
              <w:spacing w:line="520" w:lineRule="exact"/>
              <w:ind w:right="-10"/>
              <w:jc w:val="center"/>
              <w:rPr>
                <w:rFonts w:hint="eastAsia" w:asciiTheme="minorEastAsia" w:hAnsiTheme="minorEastAsia" w:eastAsiaTheme="minorEastAsia"/>
                <w:color w:val="auto"/>
                <w:sz w:val="24"/>
                <w:szCs w:val="28"/>
                <w:highlight w:val="none"/>
              </w:rPr>
            </w:pPr>
          </w:p>
        </w:tc>
      </w:tr>
    </w:tbl>
    <w:p w14:paraId="7BDE3851">
      <w:pPr>
        <w:keepNext w:val="0"/>
        <w:keepLines w:val="0"/>
        <w:pageBreakBefore w:val="0"/>
        <w:kinsoku/>
        <w:overflowPunct/>
        <w:topLinePunct w:val="0"/>
        <w:autoSpaceDE/>
        <w:autoSpaceDN/>
        <w:bidi w:val="0"/>
        <w:spacing w:line="52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08824BF2">
      <w:pPr>
        <w:keepNext w:val="0"/>
        <w:keepLines w:val="0"/>
        <w:pageBreakBefore w:val="0"/>
        <w:kinsoku/>
        <w:overflowPunct/>
        <w:topLinePunct w:val="0"/>
        <w:autoSpaceDE/>
        <w:autoSpaceDN/>
        <w:bidi w:val="0"/>
        <w:spacing w:line="520" w:lineRule="exact"/>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433BD95F">
      <w:pPr>
        <w:keepNext w:val="0"/>
        <w:keepLines w:val="0"/>
        <w:pageBreakBefore w:val="0"/>
        <w:kinsoku/>
        <w:overflowPunct/>
        <w:topLinePunct w:val="0"/>
        <w:autoSpaceDE/>
        <w:autoSpaceDN/>
        <w:bidi w:val="0"/>
        <w:spacing w:line="52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1174653F">
      <w:pPr>
        <w:keepNext w:val="0"/>
        <w:keepLines w:val="0"/>
        <w:pageBreakBefore w:val="0"/>
        <w:kinsoku/>
        <w:overflowPunct/>
        <w:topLinePunct w:val="0"/>
        <w:autoSpaceDE/>
        <w:autoSpaceDN/>
        <w:bidi w:val="0"/>
        <w:spacing w:line="52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55</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15</w:t>
      </w:r>
      <w:r>
        <w:rPr>
          <w:rFonts w:asciiTheme="minorEastAsia" w:hAnsiTheme="minorEastAsia" w:eastAsiaTheme="minorEastAsia"/>
          <w:color w:val="auto"/>
          <w:sz w:val="24"/>
          <w:highlight w:val="none"/>
        </w:rPr>
        <w:t>%。具体评分细则如下：</w:t>
      </w:r>
    </w:p>
    <w:tbl>
      <w:tblPr>
        <w:tblStyle w:val="39"/>
        <w:tblW w:w="5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443"/>
        <w:gridCol w:w="6141"/>
        <w:gridCol w:w="1202"/>
      </w:tblGrid>
      <w:tr w14:paraId="659B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8" w:type="pct"/>
            <w:tcBorders>
              <w:top w:val="single" w:color="auto" w:sz="4" w:space="0"/>
              <w:left w:val="single" w:color="auto" w:sz="4" w:space="0"/>
              <w:bottom w:val="single" w:color="auto" w:sz="4" w:space="0"/>
              <w:right w:val="single" w:color="auto" w:sz="4" w:space="0"/>
            </w:tcBorders>
            <w:vAlign w:val="center"/>
          </w:tcPr>
          <w:p w14:paraId="0ABF315D">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类别</w:t>
            </w:r>
          </w:p>
        </w:tc>
        <w:tc>
          <w:tcPr>
            <w:tcW w:w="726" w:type="pct"/>
            <w:tcBorders>
              <w:top w:val="single" w:color="auto" w:sz="4" w:space="0"/>
              <w:left w:val="single" w:color="auto" w:sz="4" w:space="0"/>
              <w:bottom w:val="single" w:color="auto" w:sz="4" w:space="0"/>
              <w:right w:val="single" w:color="auto" w:sz="4" w:space="0"/>
            </w:tcBorders>
            <w:vAlign w:val="center"/>
          </w:tcPr>
          <w:p w14:paraId="1EFDD885">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评分内容</w:t>
            </w:r>
          </w:p>
        </w:tc>
        <w:tc>
          <w:tcPr>
            <w:tcW w:w="3090" w:type="pct"/>
            <w:tcBorders>
              <w:top w:val="single" w:color="auto" w:sz="4" w:space="0"/>
              <w:left w:val="single" w:color="auto" w:sz="4" w:space="0"/>
              <w:bottom w:val="single" w:color="auto" w:sz="4" w:space="0"/>
              <w:right w:val="single" w:color="auto" w:sz="4" w:space="0"/>
            </w:tcBorders>
            <w:vAlign w:val="center"/>
          </w:tcPr>
          <w:p w14:paraId="7AF850B2">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评分标准</w:t>
            </w:r>
          </w:p>
        </w:tc>
        <w:tc>
          <w:tcPr>
            <w:tcW w:w="604" w:type="pct"/>
            <w:tcBorders>
              <w:top w:val="single" w:color="auto" w:sz="4" w:space="0"/>
              <w:left w:val="single" w:color="auto" w:sz="4" w:space="0"/>
              <w:bottom w:val="single" w:color="auto" w:sz="4" w:space="0"/>
              <w:right w:val="single" w:color="auto" w:sz="4" w:space="0"/>
            </w:tcBorders>
            <w:vAlign w:val="center"/>
          </w:tcPr>
          <w:p w14:paraId="12161C96">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分值范围</w:t>
            </w:r>
          </w:p>
        </w:tc>
      </w:tr>
      <w:tr w14:paraId="40B7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restart"/>
            <w:tcBorders>
              <w:left w:val="single" w:color="auto" w:sz="4" w:space="0"/>
              <w:right w:val="single" w:color="auto" w:sz="4" w:space="0"/>
            </w:tcBorders>
            <w:vAlign w:val="center"/>
          </w:tcPr>
          <w:p w14:paraId="2B296209">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资信分</w:t>
            </w:r>
          </w:p>
          <w:p w14:paraId="22B5270A">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30</w:t>
            </w:r>
            <w:r>
              <w:rPr>
                <w:rFonts w:hint="eastAsia" w:asciiTheme="minorEastAsia" w:hAnsiTheme="minorEastAsia" w:eastAsiaTheme="minorEastAsia"/>
                <w:color w:val="auto"/>
                <w:sz w:val="24"/>
                <w:szCs w:val="24"/>
                <w:highlight w:val="none"/>
              </w:rPr>
              <w:t>分）</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5B8E4C8A">
            <w:pPr>
              <w:keepNext w:val="0"/>
              <w:keepLines w:val="0"/>
              <w:pageBreakBefore w:val="0"/>
              <w:kinsoku/>
              <w:overflowPunct/>
              <w:topLinePunct w:val="0"/>
              <w:autoSpaceDE/>
              <w:autoSpaceDN/>
              <w:bidi w:val="0"/>
              <w:spacing w:line="520" w:lineRule="exact"/>
              <w:jc w:val="center"/>
              <w:rPr>
                <w:rFonts w:hint="default" w:cs="@仿宋_GB2312" w:asciiTheme="minorEastAsia" w:hAnsiTheme="minorEastAsia" w:eastAsiaTheme="minorEastAsia"/>
                <w:bCs/>
                <w:color w:val="auto"/>
                <w:kern w:val="2"/>
                <w:sz w:val="24"/>
                <w:szCs w:val="24"/>
                <w:highlight w:val="none"/>
                <w:lang w:val="en-US" w:eastAsia="zh-CN" w:bidi="ar-SA"/>
              </w:rPr>
            </w:pPr>
            <w:r>
              <w:rPr>
                <w:rFonts w:hint="eastAsia" w:asciiTheme="minorEastAsia" w:hAnsiTheme="minorEastAsia" w:eastAsiaTheme="minorEastAsia"/>
                <w:bCs/>
                <w:color w:val="auto"/>
                <w:sz w:val="24"/>
                <w:szCs w:val="24"/>
                <w:highlight w:val="none"/>
                <w:lang w:val="en-US" w:eastAsia="zh-CN"/>
              </w:rPr>
              <w:t>业绩</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2B39FDA4">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bidi="ar"/>
              </w:rPr>
              <w:t>自2022年1月1日至</w:t>
            </w:r>
            <w:r>
              <w:rPr>
                <w:rFonts w:hint="eastAsia" w:ascii="宋体" w:hAnsi="宋体" w:eastAsia="宋体" w:cs="宋体"/>
                <w:color w:val="auto"/>
                <w:kern w:val="0"/>
                <w:sz w:val="24"/>
                <w:szCs w:val="24"/>
                <w:highlight w:val="none"/>
                <w:lang w:val="en-US" w:eastAsia="zh-CN" w:bidi="ar"/>
              </w:rPr>
              <w:t>招标</w:t>
            </w:r>
            <w:r>
              <w:rPr>
                <w:rFonts w:hint="eastAsia" w:ascii="宋体" w:hAnsi="宋体" w:eastAsia="宋体" w:cs="宋体"/>
                <w:color w:val="auto"/>
                <w:kern w:val="0"/>
                <w:sz w:val="24"/>
                <w:szCs w:val="24"/>
                <w:highlight w:val="none"/>
                <w:lang w:bidi="ar"/>
              </w:rPr>
              <w:t>截止时间（以合同签署时间为准）具有</w:t>
            </w:r>
            <w:r>
              <w:rPr>
                <w:rFonts w:hint="eastAsia" w:ascii="宋体" w:hAnsi="宋体" w:eastAsia="宋体" w:cs="宋体"/>
                <w:color w:val="auto"/>
                <w:kern w:val="0"/>
                <w:sz w:val="24"/>
                <w:szCs w:val="24"/>
                <w:highlight w:val="none"/>
                <w:lang w:val="en-US" w:eastAsia="zh-CN" w:bidi="ar"/>
              </w:rPr>
              <w:t>课程制作项目且制作的</w:t>
            </w:r>
            <w:r>
              <w:rPr>
                <w:rFonts w:hint="eastAsia" w:ascii="宋体" w:hAnsi="宋体" w:eastAsia="宋体" w:cs="宋体"/>
                <w:color w:val="auto"/>
                <w:kern w:val="2"/>
                <w:sz w:val="24"/>
                <w:szCs w:val="24"/>
                <w:highlight w:val="none"/>
                <w:lang w:val="en-US" w:eastAsia="zh-CN" w:bidi="ar-SA"/>
              </w:rPr>
              <w:t>课程获精品课认证的，</w:t>
            </w:r>
            <w:r>
              <w:rPr>
                <w:rFonts w:hint="eastAsia" w:ascii="宋体" w:hAnsi="宋体" w:eastAsia="宋体" w:cs="宋体"/>
                <w:color w:val="auto"/>
                <w:kern w:val="0"/>
                <w:sz w:val="24"/>
                <w:szCs w:val="24"/>
                <w:highlight w:val="none"/>
                <w:lang w:bidi="ar"/>
              </w:rPr>
              <w:t>每提供1个</w:t>
            </w:r>
            <w:r>
              <w:rPr>
                <w:rFonts w:hint="eastAsia" w:ascii="宋体" w:hAnsi="宋体" w:eastAsia="宋体" w:cs="宋体"/>
                <w:color w:val="auto"/>
                <w:kern w:val="0"/>
                <w:sz w:val="24"/>
                <w:szCs w:val="24"/>
                <w:highlight w:val="none"/>
                <w:lang w:val="en-US" w:eastAsia="zh-CN" w:bidi="ar"/>
              </w:rPr>
              <w:t>认证证书</w:t>
            </w:r>
            <w:r>
              <w:rPr>
                <w:rFonts w:hint="eastAsia" w:ascii="宋体" w:hAnsi="宋体" w:eastAsia="宋体" w:cs="宋体"/>
                <w:color w:val="auto"/>
                <w:kern w:val="2"/>
                <w:sz w:val="24"/>
                <w:szCs w:val="28"/>
                <w:highlight w:val="none"/>
                <w:u w:val="none" w:color="auto"/>
                <w:lang w:val="en-US" w:eastAsia="zh-CN" w:bidi="ar-SA"/>
              </w:rPr>
              <w:t>得2分，本项最高得4分。</w:t>
            </w:r>
          </w:p>
          <w:p w14:paraId="7CF411FF">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注：1.投标文件中提供认证证书、业绩合同扫描件，合同须能体现签订时间、项目内容等，若合同无法体现项目内容等关键评审因素的，须另附业主盖章证明材料扫描件。</w:t>
            </w:r>
          </w:p>
          <w:p w14:paraId="2C4F058E">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2.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7A74FB5">
            <w:pPr>
              <w:keepNext w:val="0"/>
              <w:keepLines w:val="0"/>
              <w:pageBreakBefore w:val="0"/>
              <w:kinsoku/>
              <w:overflowPunct/>
              <w:topLinePunct w:val="0"/>
              <w:autoSpaceDE/>
              <w:autoSpaceDN/>
              <w:bidi w:val="0"/>
              <w:spacing w:line="520" w:lineRule="exact"/>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0-4分</w:t>
            </w:r>
          </w:p>
        </w:tc>
      </w:tr>
      <w:tr w14:paraId="0740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left w:val="single" w:color="auto" w:sz="4" w:space="0"/>
              <w:right w:val="single" w:color="auto" w:sz="4" w:space="0"/>
            </w:tcBorders>
            <w:vAlign w:val="center"/>
          </w:tcPr>
          <w:p w14:paraId="43E0F4FA">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61BDE825">
            <w:pPr>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highlight w:val="none"/>
                <w:lang w:val="en-US" w:eastAsia="zh-CN"/>
              </w:rPr>
              <w:t>企业实力</w:t>
            </w:r>
          </w:p>
        </w:tc>
        <w:tc>
          <w:tcPr>
            <w:tcW w:w="3090" w:type="pct"/>
            <w:tcBorders>
              <w:top w:val="single" w:color="auto" w:sz="4" w:space="0"/>
              <w:left w:val="single" w:color="auto" w:sz="4" w:space="0"/>
              <w:bottom w:val="single" w:color="auto" w:sz="4" w:space="0"/>
              <w:right w:val="single" w:color="auto" w:sz="4" w:space="0"/>
            </w:tcBorders>
            <w:vAlign w:val="center"/>
          </w:tcPr>
          <w:p w14:paraId="0E08EB91">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投标人具有以下计算机软件著作权证书的，每提供一个得2分，未提供或不合格的不得分，本条满分20分。</w:t>
            </w:r>
          </w:p>
          <w:p w14:paraId="7395DDF1">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1.课程策划工具系统类；</w:t>
            </w:r>
          </w:p>
          <w:p w14:paraId="02149E8C">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2.视频高标清制播一体化操作系统类；</w:t>
            </w:r>
          </w:p>
          <w:p w14:paraId="686E5B56">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3.能学、辅教、促改课程规划系统类；</w:t>
            </w:r>
          </w:p>
          <w:p w14:paraId="1174FC2E">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4.AI虚拟现实非遗课堂操作软件系统类</w:t>
            </w:r>
            <w:r>
              <w:rPr>
                <w:rFonts w:hint="default" w:ascii="宋体" w:hAnsi="宋体" w:eastAsia="宋体" w:cs="宋体"/>
                <w:color w:val="auto"/>
                <w:kern w:val="2"/>
                <w:sz w:val="24"/>
                <w:szCs w:val="28"/>
                <w:highlight w:val="none"/>
                <w:u w:val="none" w:color="auto"/>
                <w:lang w:val="en-US" w:eastAsia="zh-CN" w:bidi="ar-SA"/>
              </w:rPr>
              <w:t>；</w:t>
            </w:r>
          </w:p>
          <w:p w14:paraId="2919F7EE">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5.数字教材学习与应用系统类</w:t>
            </w:r>
            <w:r>
              <w:rPr>
                <w:rFonts w:hint="default" w:ascii="宋体" w:hAnsi="宋体" w:eastAsia="宋体" w:cs="宋体"/>
                <w:color w:val="auto"/>
                <w:kern w:val="2"/>
                <w:sz w:val="24"/>
                <w:szCs w:val="28"/>
                <w:highlight w:val="none"/>
                <w:u w:val="none" w:color="auto"/>
                <w:lang w:val="en-US" w:eastAsia="zh-CN" w:bidi="ar-SA"/>
              </w:rPr>
              <w:t>；</w:t>
            </w:r>
          </w:p>
          <w:p w14:paraId="32F2EBDE">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6.基于CS架构的数字分身软件系统类</w:t>
            </w:r>
            <w:r>
              <w:rPr>
                <w:rFonts w:hint="default" w:ascii="宋体" w:hAnsi="宋体" w:eastAsia="宋体" w:cs="宋体"/>
                <w:color w:val="auto"/>
                <w:kern w:val="2"/>
                <w:sz w:val="24"/>
                <w:szCs w:val="28"/>
                <w:highlight w:val="none"/>
                <w:u w:val="none" w:color="auto"/>
                <w:lang w:val="en-US" w:eastAsia="zh-CN" w:bidi="ar-SA"/>
              </w:rPr>
              <w:t>；</w:t>
            </w:r>
          </w:p>
          <w:p w14:paraId="6D3972FF">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7.基于引擎技术Web3D 、Unity3D开发系统类</w:t>
            </w:r>
            <w:r>
              <w:rPr>
                <w:rFonts w:hint="default" w:ascii="宋体" w:hAnsi="宋体" w:eastAsia="宋体" w:cs="宋体"/>
                <w:color w:val="auto"/>
                <w:kern w:val="2"/>
                <w:sz w:val="24"/>
                <w:szCs w:val="28"/>
                <w:highlight w:val="none"/>
                <w:u w:val="none" w:color="auto"/>
                <w:lang w:val="en-US" w:eastAsia="zh-CN" w:bidi="ar-SA"/>
              </w:rPr>
              <w:t>；</w:t>
            </w:r>
          </w:p>
          <w:p w14:paraId="03E5064F">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8.资源库绩效评估与项目建设系统类</w:t>
            </w:r>
            <w:r>
              <w:rPr>
                <w:rFonts w:hint="default" w:ascii="宋体" w:hAnsi="宋体" w:eastAsia="宋体" w:cs="宋体"/>
                <w:color w:val="auto"/>
                <w:kern w:val="2"/>
                <w:sz w:val="24"/>
                <w:szCs w:val="28"/>
                <w:highlight w:val="none"/>
                <w:u w:val="none" w:color="auto"/>
                <w:lang w:val="en-US" w:eastAsia="zh-CN" w:bidi="ar-SA"/>
              </w:rPr>
              <w:t>；</w:t>
            </w:r>
          </w:p>
          <w:p w14:paraId="5D480A3B">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9.基于IDC、Cache、CDN课程数据访问优化系统类；</w:t>
            </w:r>
          </w:p>
          <w:p w14:paraId="4DA7E76E">
            <w:pPr>
              <w:keepNext w:val="0"/>
              <w:keepLines w:val="0"/>
              <w:pageBreakBefore w:val="0"/>
              <w:widowControl/>
              <w:suppressLineNumbers w:val="0"/>
              <w:kinsoku/>
              <w:overflowPunct/>
              <w:topLinePunct w:val="0"/>
              <w:autoSpaceDE/>
              <w:autoSpaceDN/>
              <w:bidi w:val="0"/>
              <w:spacing w:line="520" w:lineRule="exact"/>
              <w:jc w:val="left"/>
              <w:rPr>
                <w:rFonts w:hint="default"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10.“三步一主线”课堂模式评价软件类</w:t>
            </w:r>
          </w:p>
          <w:p w14:paraId="71E52846">
            <w:pPr>
              <w:keepNext w:val="0"/>
              <w:keepLines w:val="0"/>
              <w:pageBreakBefore w:val="0"/>
              <w:widowControl/>
              <w:suppressLineNumbers w:val="0"/>
              <w:kinsoku/>
              <w:overflowPunct/>
              <w:topLinePunct w:val="0"/>
              <w:autoSpaceDE/>
              <w:autoSpaceDN/>
              <w:bidi w:val="0"/>
              <w:spacing w:line="520" w:lineRule="exact"/>
              <w:jc w:val="left"/>
              <w:rPr>
                <w:rFonts w:hint="eastAsia" w:ascii="宋体" w:hAnsi="宋体" w:eastAsia="宋体" w:cs="宋体"/>
                <w:color w:val="auto"/>
                <w:kern w:val="2"/>
                <w:sz w:val="24"/>
                <w:szCs w:val="28"/>
                <w:highlight w:val="none"/>
                <w:u w:val="none" w:color="auto"/>
                <w:lang w:val="en-US" w:eastAsia="zh-CN" w:bidi="ar-SA"/>
              </w:rPr>
            </w:pPr>
            <w:r>
              <w:rPr>
                <w:rFonts w:hint="eastAsia" w:ascii="宋体" w:hAnsi="宋体" w:eastAsia="宋体" w:cs="宋体"/>
                <w:color w:val="auto"/>
                <w:kern w:val="2"/>
                <w:sz w:val="24"/>
                <w:szCs w:val="28"/>
                <w:highlight w:val="none"/>
                <w:u w:val="none" w:color="auto"/>
                <w:lang w:val="en-US" w:eastAsia="zh-CN" w:bidi="ar-SA"/>
              </w:rPr>
              <w:t>注：投标文件中提供证书扫描件并加盖投标人公章，未提供不得分。</w:t>
            </w:r>
          </w:p>
        </w:tc>
        <w:tc>
          <w:tcPr>
            <w:tcW w:w="604" w:type="pct"/>
            <w:tcBorders>
              <w:top w:val="single" w:color="auto" w:sz="4" w:space="0"/>
              <w:left w:val="single" w:color="auto" w:sz="4" w:space="0"/>
              <w:bottom w:val="single" w:color="auto" w:sz="4" w:space="0"/>
              <w:right w:val="single" w:color="auto" w:sz="4" w:space="0"/>
            </w:tcBorders>
            <w:vAlign w:val="center"/>
          </w:tcPr>
          <w:p w14:paraId="4636F71D">
            <w:pPr>
              <w:spacing w:line="400" w:lineRule="exact"/>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20</w:t>
            </w:r>
            <w:r>
              <w:rPr>
                <w:rFonts w:hint="eastAsia" w:asciiTheme="minorEastAsia" w:hAnsiTheme="minorEastAsia" w:eastAsiaTheme="minorEastAsia"/>
                <w:color w:val="auto"/>
                <w:sz w:val="24"/>
                <w:szCs w:val="24"/>
                <w:highlight w:val="none"/>
              </w:rPr>
              <w:t>分</w:t>
            </w:r>
          </w:p>
        </w:tc>
      </w:tr>
      <w:tr w14:paraId="4916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left w:val="single" w:color="auto" w:sz="4" w:space="0"/>
              <w:right w:val="single" w:color="auto" w:sz="4" w:space="0"/>
            </w:tcBorders>
            <w:vAlign w:val="center"/>
          </w:tcPr>
          <w:p w14:paraId="044047CD">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vAlign w:val="center"/>
          </w:tcPr>
          <w:p w14:paraId="43909841">
            <w:pPr>
              <w:keepNext w:val="0"/>
              <w:keepLines w:val="0"/>
              <w:pageBreakBefore w:val="0"/>
              <w:kinsoku/>
              <w:overflowPunct/>
              <w:topLinePunct w:val="0"/>
              <w:autoSpaceDE/>
              <w:autoSpaceDN/>
              <w:bidi w:val="0"/>
              <w:spacing w:line="520" w:lineRule="exact"/>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服务团队</w:t>
            </w:r>
          </w:p>
        </w:tc>
        <w:tc>
          <w:tcPr>
            <w:tcW w:w="3090" w:type="pct"/>
            <w:tcBorders>
              <w:top w:val="single" w:color="auto" w:sz="4" w:space="0"/>
              <w:left w:val="single" w:color="auto" w:sz="4" w:space="0"/>
              <w:bottom w:val="single" w:color="auto" w:sz="4" w:space="0"/>
              <w:right w:val="single" w:color="auto" w:sz="4" w:space="0"/>
            </w:tcBorders>
            <w:vAlign w:val="center"/>
          </w:tcPr>
          <w:p w14:paraId="05CD5EFE">
            <w:pPr>
              <w:pStyle w:val="87"/>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 w:firstLineChars="0"/>
              <w:jc w:val="both"/>
              <w:rPr>
                <w:rFonts w:hint="eastAsia" w:asciiTheme="minorEastAsia" w:hAnsiTheme="minorEastAsia" w:eastAsiaTheme="minorEastAsia" w:cstheme="minorEastAsia"/>
                <w:color w:val="auto"/>
                <w:kern w:val="2"/>
                <w:sz w:val="24"/>
                <w:szCs w:val="24"/>
                <w:highlight w:val="none"/>
                <w:lang w:val="en-US" w:eastAsia="en-US" w:bidi="ar-SA"/>
              </w:rPr>
            </w:pPr>
            <w:r>
              <w:rPr>
                <w:rFonts w:hint="eastAsia" w:ascii="宋体" w:hAnsi="宋体" w:eastAsia="宋体" w:cs="宋体"/>
                <w:color w:val="auto"/>
                <w:kern w:val="2"/>
                <w:sz w:val="24"/>
                <w:szCs w:val="28"/>
                <w:highlight w:val="none"/>
                <w:u w:val="none" w:color="auto"/>
                <w:lang w:val="en-US" w:eastAsia="zh-CN" w:bidi="ar-SA"/>
              </w:rPr>
              <w:t>服务团队人员具有以下证书的，每提供一个证书得2分，本条满分6分：</w:t>
            </w:r>
          </w:p>
          <w:p w14:paraId="20432C32">
            <w:pPr>
              <w:pStyle w:val="87"/>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en-US" w:bidi="ar-SA"/>
              </w:rPr>
              <w:t>.</w:t>
            </w:r>
            <w:r>
              <w:rPr>
                <w:rFonts w:hint="eastAsia" w:asciiTheme="minorEastAsia" w:hAnsiTheme="minorEastAsia" w:eastAsiaTheme="minorEastAsia" w:cstheme="minorEastAsia"/>
                <w:color w:val="auto"/>
                <w:sz w:val="24"/>
                <w:szCs w:val="24"/>
                <w:highlight w:val="none"/>
              </w:rPr>
              <w:t>数码摄影证书；</w:t>
            </w:r>
          </w:p>
          <w:p w14:paraId="5CB275B3">
            <w:pPr>
              <w:pStyle w:val="87"/>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en-US" w:eastAsia="en-US" w:bidi="ar-SA"/>
              </w:rPr>
              <w:t>.</w:t>
            </w:r>
            <w:r>
              <w:rPr>
                <w:rFonts w:hint="eastAsia" w:asciiTheme="minorEastAsia" w:hAnsiTheme="minorEastAsia" w:eastAsiaTheme="minorEastAsia" w:cstheme="minorEastAsia"/>
                <w:color w:val="auto"/>
                <w:sz w:val="24"/>
                <w:szCs w:val="24"/>
                <w:highlight w:val="none"/>
              </w:rPr>
              <w:t>网络信息安全工程师证书；</w:t>
            </w:r>
          </w:p>
          <w:p w14:paraId="1751AF19">
            <w:pPr>
              <w:pStyle w:val="87"/>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2"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kern w:val="2"/>
                <w:sz w:val="24"/>
                <w:szCs w:val="24"/>
                <w:highlight w:val="none"/>
                <w:lang w:val="en-US" w:eastAsia="en-US" w:bidi="ar-SA"/>
              </w:rPr>
              <w:t>.</w:t>
            </w:r>
            <w:r>
              <w:rPr>
                <w:rFonts w:hint="eastAsia" w:asciiTheme="minorEastAsia" w:hAnsiTheme="minorEastAsia" w:eastAsiaTheme="minorEastAsia" w:cstheme="minorEastAsia"/>
                <w:color w:val="auto"/>
                <w:sz w:val="24"/>
                <w:szCs w:val="24"/>
                <w:highlight w:val="none"/>
              </w:rPr>
              <w:t>数字媒体设计师证书</w:t>
            </w:r>
            <w:r>
              <w:rPr>
                <w:rFonts w:hint="eastAsia" w:asciiTheme="minorEastAsia" w:hAnsiTheme="minorEastAsia" w:eastAsiaTheme="minorEastAsia" w:cstheme="minorEastAsia"/>
                <w:color w:val="auto"/>
                <w:sz w:val="24"/>
                <w:szCs w:val="24"/>
                <w:highlight w:val="none"/>
                <w:lang w:eastAsia="zh-CN"/>
              </w:rPr>
              <w:t>；</w:t>
            </w:r>
          </w:p>
          <w:p w14:paraId="6BECCF19">
            <w:pPr>
              <w:pStyle w:val="87"/>
              <w:numPr>
                <w:ilvl w:val="0"/>
                <w:numId w:val="0"/>
              </w:numPr>
              <w:spacing w:line="360" w:lineRule="auto"/>
              <w:rPr>
                <w:rFonts w:hint="eastAsia"/>
                <w:color w:val="auto"/>
                <w:highlight w:val="none"/>
              </w:rPr>
            </w:pPr>
            <w:r>
              <w:rPr>
                <w:rFonts w:hint="eastAsia" w:ascii="宋体" w:hAnsi="宋体" w:eastAsia="宋体" w:cs="宋体"/>
                <w:color w:val="auto"/>
                <w:kern w:val="2"/>
                <w:sz w:val="24"/>
                <w:szCs w:val="28"/>
                <w:highlight w:val="none"/>
                <w:u w:val="none" w:color="auto"/>
                <w:lang w:val="en-US" w:eastAsia="zh-CN" w:bidi="ar-SA"/>
              </w:rPr>
              <w:t>备注：①提供以上人员相关证书扫描件；②持有上述人员社保部门出具的本单位为其缴纳的投标前近三个月内任意一月的社保证明或投标人提供承诺已为其缴纳社保的承诺书（格式自拟）。</w:t>
            </w:r>
          </w:p>
        </w:tc>
        <w:tc>
          <w:tcPr>
            <w:tcW w:w="604" w:type="pct"/>
            <w:tcBorders>
              <w:top w:val="single" w:color="auto" w:sz="4" w:space="0"/>
              <w:left w:val="single" w:color="auto" w:sz="4" w:space="0"/>
              <w:bottom w:val="single" w:color="auto" w:sz="4" w:space="0"/>
              <w:right w:val="single" w:color="auto" w:sz="4" w:space="0"/>
            </w:tcBorders>
            <w:vAlign w:val="center"/>
          </w:tcPr>
          <w:p w14:paraId="7170A8A3">
            <w:pPr>
              <w:keepNext w:val="0"/>
              <w:keepLines w:val="0"/>
              <w:pageBreakBefore w:val="0"/>
              <w:kinsoku/>
              <w:overflowPunct/>
              <w:topLinePunct w:val="0"/>
              <w:autoSpaceDE/>
              <w:autoSpaceDN/>
              <w:bidi w:val="0"/>
              <w:spacing w:line="520" w:lineRule="exact"/>
              <w:jc w:val="center"/>
              <w:textAlignment w:val="auto"/>
              <w:rPr>
                <w:rFonts w:hint="eastAsia"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分</w:t>
            </w:r>
          </w:p>
        </w:tc>
      </w:tr>
      <w:tr w14:paraId="025C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restart"/>
            <w:tcBorders>
              <w:left w:val="single" w:color="auto" w:sz="4" w:space="0"/>
              <w:right w:val="single" w:color="auto" w:sz="4" w:space="0"/>
            </w:tcBorders>
            <w:vAlign w:val="center"/>
          </w:tcPr>
          <w:p w14:paraId="273F39AE">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分</w:t>
            </w:r>
          </w:p>
          <w:p w14:paraId="45A7E606">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分）</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18EADEAE">
            <w:pPr>
              <w:widowControl/>
              <w:spacing w:line="400" w:lineRule="exact"/>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1.技术参数响应</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0223627C">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所投产品完全满足或优于招标文件采购需求中“技术参数”要求的全部内容，得40分。其中：</w:t>
            </w:r>
          </w:p>
          <w:p w14:paraId="63476ABA">
            <w:pPr>
              <w:spacing w:line="400" w:lineRule="exact"/>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Theme="minorEastAsia" w:hAnsiTheme="minorEastAsia" w:eastAsiaTheme="minorEastAsia"/>
                <w:bCs/>
                <w:color w:val="auto"/>
                <w:sz w:val="24"/>
                <w:szCs w:val="20"/>
                <w:highlight w:val="none"/>
              </w:rPr>
              <w:t>标注“★”的参数为必须响应参数，不得负偏离，否则投标无效；</w:t>
            </w:r>
          </w:p>
          <w:p w14:paraId="13070F10">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（2）标注“</w:t>
            </w:r>
            <w:r>
              <w:rPr>
                <w:rFonts w:hint="eastAsia" w:asciiTheme="minorEastAsia" w:hAnsiTheme="minorEastAsia" w:eastAsiaTheme="minorEastAsia" w:cstheme="minorEastAsia"/>
                <w:b/>
                <w:bCs/>
                <w:color w:val="auto"/>
                <w:sz w:val="24"/>
                <w:szCs w:val="24"/>
                <w:highlight w:val="none"/>
              </w:rPr>
              <w:t>▲</w:t>
            </w:r>
            <w:r>
              <w:rPr>
                <w:rFonts w:hint="eastAsia" w:ascii="宋体" w:hAnsi="宋体" w:eastAsia="宋体" w:cs="宋体"/>
                <w:color w:val="auto"/>
                <w:sz w:val="24"/>
                <w:highlight w:val="none"/>
                <w:lang w:val="en-US" w:eastAsia="zh-CN"/>
              </w:rPr>
              <w:t>”的参数，每满足或优于一项指标的得2分，共20项，共计40分。</w:t>
            </w:r>
          </w:p>
          <w:p w14:paraId="1D5E1CA4">
            <w:pPr>
              <w:spacing w:line="400" w:lineRule="exact"/>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注：（1）如某项标识中包含多条技术参数或要求，则该项标识所含内容均需满足或优于招标文件要求，否则不予认可。 </w:t>
            </w:r>
          </w:p>
          <w:p w14:paraId="363BE92C">
            <w:pPr>
              <w:spacing w:line="400" w:lineRule="exact"/>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Theme="minorEastAsia" w:hAnsiTheme="minorEastAsia" w:eastAsiaTheme="minorEastAsia"/>
                <w:bCs/>
                <w:color w:val="auto"/>
                <w:sz w:val="24"/>
                <w:szCs w:val="20"/>
                <w:highlight w:val="none"/>
              </w:rPr>
              <w:t>未标符号的为一般参数，投标文件中无需列明，但在合同签订后将作为履约验收的依据，</w:t>
            </w:r>
            <w:r>
              <w:rPr>
                <w:rFonts w:hint="eastAsia" w:asciiTheme="minorEastAsia" w:hAnsiTheme="minorEastAsia" w:eastAsiaTheme="minorEastAsia"/>
                <w:b/>
                <w:bCs w:val="0"/>
                <w:color w:val="auto"/>
                <w:sz w:val="24"/>
                <w:szCs w:val="20"/>
                <w:highlight w:val="none"/>
              </w:rPr>
              <w:t>投标人在投标文件中提供相关承诺函，承诺函格式自拟，但须明确体现上述内容，否则投标无效</w:t>
            </w:r>
            <w:r>
              <w:rPr>
                <w:rFonts w:hint="eastAsia" w:asciiTheme="minorEastAsia" w:hAnsiTheme="minorEastAsia" w:eastAsiaTheme="minorEastAsia"/>
                <w:b/>
                <w:bCs w:val="0"/>
                <w:color w:val="auto"/>
                <w:sz w:val="24"/>
                <w:szCs w:val="20"/>
                <w:highlight w:val="none"/>
                <w:lang w:eastAsia="zh-CN"/>
              </w:rPr>
              <w:t>。</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3C0BD2F">
            <w:pPr>
              <w:spacing w:line="400" w:lineRule="exact"/>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Theme="minorEastAsia" w:hAnsiTheme="minorEastAsia" w:eastAsiaTheme="minorEastAsia"/>
                <w:b/>
                <w:bCs/>
                <w:color w:val="auto"/>
                <w:sz w:val="24"/>
                <w:highlight w:val="none"/>
              </w:rPr>
              <w:t>0-</w:t>
            </w:r>
            <w:r>
              <w:rPr>
                <w:rFonts w:hint="eastAsia" w:asciiTheme="minorEastAsia" w:hAnsiTheme="minorEastAsia" w:eastAsiaTheme="minorEastAsia"/>
                <w:b/>
                <w:bCs/>
                <w:color w:val="auto"/>
                <w:sz w:val="24"/>
                <w:highlight w:val="none"/>
                <w:lang w:val="en-US" w:eastAsia="zh-CN"/>
              </w:rPr>
              <w:t>40</w:t>
            </w:r>
            <w:r>
              <w:rPr>
                <w:rFonts w:hint="eastAsia" w:asciiTheme="minorEastAsia" w:hAnsiTheme="minorEastAsia" w:eastAsiaTheme="minorEastAsia"/>
                <w:b/>
                <w:bCs/>
                <w:color w:val="auto"/>
                <w:sz w:val="24"/>
                <w:highlight w:val="none"/>
              </w:rPr>
              <w:t>分</w:t>
            </w:r>
          </w:p>
        </w:tc>
      </w:tr>
      <w:tr w14:paraId="38FB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left w:val="single" w:color="auto" w:sz="4" w:space="0"/>
              <w:right w:val="single" w:color="auto" w:sz="4" w:space="0"/>
            </w:tcBorders>
            <w:vAlign w:val="center"/>
          </w:tcPr>
          <w:p w14:paraId="605F89EE">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4184A5F1">
            <w:pPr>
              <w:pStyle w:val="87"/>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2.实施方案</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0A18FC25">
            <w:pPr>
              <w:pageBreakBefore w:val="0"/>
              <w:kinsoku/>
              <w:wordWrap/>
              <w:overflowPunct/>
              <w:topLinePunct w:val="0"/>
              <w:autoSpaceDE/>
              <w:autoSpaceDN/>
              <w:bidi w:val="0"/>
              <w:adjustRightInd/>
              <w:snapToGrid/>
              <w:spacing w:beforeAutospacing="0" w:afterAutospacing="0" w:line="52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根据招标文件要求及本项目特点提供有效的</w:t>
            </w:r>
            <w:r>
              <w:rPr>
                <w:rFonts w:hint="eastAsia" w:ascii="宋体" w:hAnsi="宋体" w:eastAsia="宋体" w:cs="宋体"/>
                <w:i w:val="0"/>
                <w:iCs w:val="0"/>
                <w:color w:val="auto"/>
                <w:kern w:val="0"/>
                <w:sz w:val="24"/>
                <w:szCs w:val="24"/>
                <w:highlight w:val="none"/>
                <w:u w:val="none"/>
                <w:lang w:val="en-US" w:eastAsia="zh-CN" w:bidi="ar"/>
              </w:rPr>
              <w:t>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进行综合评审：</w:t>
            </w:r>
          </w:p>
          <w:p w14:paraId="7D1FDE1F">
            <w:pPr>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rPr>
                <w:rFonts w:hint="eastAsia" w:asciiTheme="minorEastAsia" w:hAnsiTheme="minorEastAsia" w:eastAsiaTheme="minorEastAsia" w:cstheme="minorEastAsia"/>
                <w:color w:val="auto"/>
                <w:spacing w:val="1"/>
                <w:kern w:val="2"/>
                <w:sz w:val="24"/>
                <w:szCs w:val="24"/>
                <w:highlight w:val="none"/>
                <w:lang w:val="en-US" w:eastAsia="zh-CN" w:bidi="ar-SA"/>
              </w:rPr>
            </w:pPr>
            <w:r>
              <w:rPr>
                <w:rFonts w:hint="eastAsia" w:asciiTheme="minorEastAsia" w:hAnsiTheme="minorEastAsia" w:eastAsiaTheme="minorEastAsia" w:cstheme="minorEastAsia"/>
                <w:color w:val="auto"/>
                <w:spacing w:val="1"/>
                <w:kern w:val="2"/>
                <w:sz w:val="24"/>
                <w:szCs w:val="24"/>
                <w:highlight w:val="none"/>
                <w:lang w:val="en-US" w:eastAsia="zh-CN" w:bidi="ar-SA"/>
              </w:rPr>
              <w:t>（1）项目实施安排详细全面、满足本项目实施进度要求，包括项目各个阶段的具体实施时间节点、任务内容、资源需求和风险应对措施等，能确保项目的顺利进行的得5分；</w:t>
            </w:r>
          </w:p>
          <w:p w14:paraId="7C139486">
            <w:pPr>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rPr>
                <w:rFonts w:hint="eastAsia" w:asciiTheme="minorEastAsia" w:hAnsiTheme="minorEastAsia" w:eastAsiaTheme="minorEastAsia" w:cstheme="minorEastAsia"/>
                <w:color w:val="auto"/>
                <w:spacing w:val="1"/>
                <w:kern w:val="2"/>
                <w:sz w:val="24"/>
                <w:szCs w:val="24"/>
                <w:highlight w:val="none"/>
                <w:lang w:val="en-US" w:eastAsia="zh-CN" w:bidi="ar-SA"/>
              </w:rPr>
            </w:pPr>
            <w:r>
              <w:rPr>
                <w:rFonts w:hint="eastAsia" w:asciiTheme="minorEastAsia" w:hAnsiTheme="minorEastAsia" w:eastAsiaTheme="minorEastAsia" w:cstheme="minorEastAsia"/>
                <w:color w:val="auto"/>
                <w:spacing w:val="1"/>
                <w:kern w:val="2"/>
                <w:sz w:val="24"/>
                <w:szCs w:val="24"/>
                <w:highlight w:val="none"/>
                <w:lang w:val="en-US" w:eastAsia="zh-CN" w:bidi="ar-SA"/>
              </w:rPr>
              <w:t>（2）项目实施安排内容齐全、符合本项目实施进度要求，方案中各个阶段的具体时间节点、任务内容、资源需求和风险应对措施</w:t>
            </w:r>
            <w:r>
              <w:rPr>
                <w:rFonts w:hint="eastAsia" w:ascii="宋体" w:hAnsi="宋体" w:eastAsia="宋体" w:cs="宋体"/>
                <w:color w:val="auto"/>
                <w:sz w:val="24"/>
                <w:szCs w:val="24"/>
                <w:highlight w:val="none"/>
                <w:lang w:val="en-US" w:eastAsia="zh-CN"/>
              </w:rPr>
              <w:t>方案都有一定的分析阐述，内容清晰，无明显逻辑错误</w:t>
            </w:r>
            <w:r>
              <w:rPr>
                <w:rFonts w:hint="eastAsia" w:asciiTheme="minorEastAsia" w:hAnsiTheme="minorEastAsia" w:eastAsiaTheme="minorEastAsia" w:cstheme="minorEastAsia"/>
                <w:color w:val="auto"/>
                <w:spacing w:val="1"/>
                <w:kern w:val="2"/>
                <w:sz w:val="24"/>
                <w:szCs w:val="24"/>
                <w:highlight w:val="none"/>
                <w:lang w:val="en-US" w:eastAsia="zh-CN" w:bidi="ar-SA"/>
              </w:rPr>
              <w:t>的得3分；</w:t>
            </w:r>
          </w:p>
          <w:p w14:paraId="6DEDEC8B">
            <w:pPr>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rPr>
                <w:rFonts w:hint="eastAsia" w:asciiTheme="minorEastAsia" w:hAnsiTheme="minorEastAsia" w:eastAsiaTheme="minorEastAsia" w:cstheme="minorEastAsia"/>
                <w:color w:val="auto"/>
                <w:spacing w:val="1"/>
                <w:kern w:val="2"/>
                <w:sz w:val="24"/>
                <w:szCs w:val="24"/>
                <w:highlight w:val="none"/>
                <w:lang w:val="en-US" w:eastAsia="zh-CN" w:bidi="ar-SA"/>
              </w:rPr>
            </w:pPr>
            <w:r>
              <w:rPr>
                <w:rFonts w:hint="eastAsia" w:asciiTheme="minorEastAsia" w:hAnsiTheme="minorEastAsia" w:eastAsiaTheme="minorEastAsia" w:cstheme="minorEastAsia"/>
                <w:color w:val="auto"/>
                <w:spacing w:val="1"/>
                <w:kern w:val="2"/>
                <w:sz w:val="24"/>
                <w:szCs w:val="24"/>
                <w:highlight w:val="none"/>
                <w:lang w:val="en-US" w:eastAsia="zh-CN" w:bidi="ar-SA"/>
              </w:rPr>
              <w:t>（3）项目实施安排内容简单，实施计划中缺少时间节点、任务内容、资源需求和风险应对措施，计划安排不明确的得1分；</w:t>
            </w:r>
          </w:p>
          <w:p w14:paraId="7DEF2797">
            <w:pPr>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1"/>
                <w:kern w:val="2"/>
                <w:sz w:val="24"/>
                <w:szCs w:val="24"/>
                <w:highlight w:val="none"/>
                <w:lang w:val="en-US" w:eastAsia="zh-CN" w:bidi="ar-SA"/>
              </w:rPr>
              <w:t>（4）内容不可行或未提供的不得分。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90FCF8A">
            <w:pPr>
              <w:keepNext w:val="0"/>
              <w:keepLines w:val="0"/>
              <w:pageBreakBefore w:val="0"/>
              <w:widowControl/>
              <w:suppressLineNumbers w:val="0"/>
              <w:kinsoku/>
              <w:overflowPunct/>
              <w:topLinePunct w:val="0"/>
              <w:autoSpaceDE/>
              <w:autoSpaceDN/>
              <w:bidi w:val="0"/>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0-5分</w:t>
            </w:r>
          </w:p>
        </w:tc>
      </w:tr>
      <w:tr w14:paraId="2C35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left w:val="single" w:color="auto" w:sz="4" w:space="0"/>
              <w:right w:val="single" w:color="auto" w:sz="4" w:space="0"/>
            </w:tcBorders>
            <w:vAlign w:val="center"/>
          </w:tcPr>
          <w:p w14:paraId="3A281AE8">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7D3EE6ED">
            <w:pPr>
              <w:widowControl/>
              <w:spacing w:line="520" w:lineRule="exact"/>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3.质量保证措施</w:t>
            </w:r>
            <w:r>
              <w:rPr>
                <w:rFonts w:hint="eastAsia" w:ascii="宋体" w:hAnsi="宋体" w:eastAsia="宋体" w:cs="宋体"/>
                <w:i w:val="0"/>
                <w:iCs w:val="0"/>
                <w:color w:val="auto"/>
                <w:kern w:val="0"/>
                <w:sz w:val="24"/>
                <w:szCs w:val="24"/>
                <w:highlight w:val="none"/>
                <w:u w:val="none"/>
                <w:lang w:val="zh-CN" w:eastAsia="zh-CN" w:bidi="ar"/>
              </w:rPr>
              <w:t>方案</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73F0CA14">
            <w:pPr>
              <w:keepNext w:val="0"/>
              <w:keepLines w:val="0"/>
              <w:pageBreakBefore w:val="0"/>
              <w:numPr>
                <w:ilvl w:val="0"/>
                <w:numId w:val="0"/>
              </w:numPr>
              <w:kinsoku/>
              <w:wordWrap/>
              <w:overflowPunct/>
              <w:topLinePunct w:val="0"/>
              <w:autoSpaceDE/>
              <w:autoSpaceDN/>
              <w:bidi w:val="0"/>
              <w:adjustRightInd/>
              <w:snapToGrid/>
              <w:spacing w:line="360" w:lineRule="auto"/>
              <w:ind w:left="0" w:leftChars="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根据招标文件要求及本项目特点</w:t>
            </w:r>
            <w:r>
              <w:rPr>
                <w:rFonts w:hint="eastAsia" w:ascii="宋体" w:hAnsi="宋体" w:eastAsia="宋体" w:cs="宋体"/>
                <w:color w:val="auto"/>
                <w:sz w:val="24"/>
                <w:szCs w:val="24"/>
                <w:highlight w:val="none"/>
                <w:lang w:val="en-US" w:eastAsia="zh-CN"/>
              </w:rPr>
              <w:t>针对本项目的质量保证体系措施</w:t>
            </w:r>
            <w:r>
              <w:rPr>
                <w:rFonts w:hint="eastAsia" w:ascii="宋体" w:hAnsi="宋体" w:eastAsia="宋体" w:cs="宋体"/>
                <w:color w:val="auto"/>
                <w:sz w:val="24"/>
                <w:szCs w:val="24"/>
                <w:highlight w:val="none"/>
              </w:rPr>
              <w:t>内容进行评审：</w:t>
            </w:r>
          </w:p>
          <w:p w14:paraId="4C925762">
            <w:pPr>
              <w:keepNext w:val="0"/>
              <w:keepLines w:val="0"/>
              <w:pageBreakBefore w:val="0"/>
              <w:widowControl/>
              <w:numPr>
                <w:ilvl w:val="0"/>
                <w:numId w:val="0"/>
              </w:numPr>
              <w:suppressLineNumbers w:val="0"/>
              <w:kinsoku/>
              <w:overflowPunct/>
              <w:topLinePunct w:val="0"/>
              <w:autoSpaceDE/>
              <w:autoSpaceDN/>
              <w:bidi w:val="0"/>
              <w:spacing w:line="520" w:lineRule="exact"/>
              <w:ind w:leftChars="0"/>
              <w:jc w:val="left"/>
              <w:textAlignment w:val="center"/>
              <w:rPr>
                <w:rFonts w:hint="eastAsia" w:ascii="宋体" w:hAnsi="宋体" w:eastAsia="宋体" w:cs="宋体"/>
                <w:i w:val="0"/>
                <w:iCs w:val="0"/>
                <w:color w:val="auto"/>
                <w:kern w:val="0"/>
                <w:sz w:val="24"/>
                <w:szCs w:val="24"/>
                <w:highlight w:val="none"/>
                <w:u w:val="none"/>
                <w:lang w:val="zh-CN" w:eastAsia="zh-CN" w:bidi="ar"/>
              </w:rPr>
            </w:pPr>
            <w:r>
              <w:rPr>
                <w:rFonts w:hint="eastAsia" w:ascii="宋体" w:hAnsi="宋体" w:eastAsia="宋体" w:cs="宋体"/>
                <w:i w:val="0"/>
                <w:iCs w:val="0"/>
                <w:color w:val="auto"/>
                <w:kern w:val="0"/>
                <w:sz w:val="24"/>
                <w:szCs w:val="24"/>
                <w:highlight w:val="none"/>
                <w:u w:val="none"/>
                <w:lang w:val="en-US" w:eastAsia="zh-CN" w:bidi="ar"/>
              </w:rPr>
              <w:t>（1）质量保证措施</w:t>
            </w:r>
            <w:r>
              <w:rPr>
                <w:rFonts w:hint="eastAsia" w:ascii="宋体" w:hAnsi="宋体" w:eastAsia="宋体" w:cs="宋体"/>
                <w:i w:val="0"/>
                <w:iCs w:val="0"/>
                <w:color w:val="auto"/>
                <w:kern w:val="0"/>
                <w:sz w:val="24"/>
                <w:szCs w:val="24"/>
                <w:highlight w:val="none"/>
                <w:u w:val="none"/>
                <w:lang w:val="zh-CN" w:eastAsia="zh-CN" w:bidi="ar"/>
              </w:rPr>
              <w:t>方案</w:t>
            </w:r>
            <w:r>
              <w:rPr>
                <w:rFonts w:hint="eastAsia" w:ascii="宋体" w:hAnsi="宋体" w:eastAsia="宋体" w:cs="宋体"/>
                <w:i w:val="0"/>
                <w:iCs w:val="0"/>
                <w:color w:val="auto"/>
                <w:kern w:val="0"/>
                <w:sz w:val="24"/>
                <w:szCs w:val="24"/>
                <w:highlight w:val="none"/>
                <w:u w:val="none"/>
                <w:lang w:val="en-US" w:eastAsia="zh-CN" w:bidi="ar"/>
              </w:rPr>
              <w:t>内容</w:t>
            </w:r>
            <w:r>
              <w:rPr>
                <w:rFonts w:hint="eastAsia" w:ascii="宋体" w:hAnsi="宋体" w:eastAsia="宋体" w:cs="宋体"/>
                <w:i w:val="0"/>
                <w:iCs w:val="0"/>
                <w:color w:val="auto"/>
                <w:kern w:val="0"/>
                <w:sz w:val="24"/>
                <w:szCs w:val="24"/>
                <w:highlight w:val="none"/>
                <w:u w:val="none"/>
                <w:lang w:val="zh-CN" w:eastAsia="zh-CN" w:bidi="ar"/>
              </w:rPr>
              <w:t>详尽、完整、技术支持能力</w:t>
            </w:r>
            <w:r>
              <w:rPr>
                <w:rFonts w:hint="eastAsia" w:ascii="宋体" w:hAnsi="宋体" w:eastAsia="宋体" w:cs="宋体"/>
                <w:i w:val="0"/>
                <w:iCs w:val="0"/>
                <w:color w:val="auto"/>
                <w:kern w:val="0"/>
                <w:sz w:val="24"/>
                <w:szCs w:val="24"/>
                <w:highlight w:val="none"/>
                <w:u w:val="none"/>
                <w:lang w:val="en-US" w:eastAsia="zh-CN" w:bidi="ar"/>
              </w:rPr>
              <w:t>满足项目需求</w:t>
            </w:r>
            <w:r>
              <w:rPr>
                <w:rFonts w:hint="eastAsia" w:ascii="宋体" w:hAnsi="宋体" w:eastAsia="宋体" w:cs="宋体"/>
                <w:i w:val="0"/>
                <w:iCs w:val="0"/>
                <w:color w:val="auto"/>
                <w:kern w:val="0"/>
                <w:sz w:val="24"/>
                <w:szCs w:val="24"/>
                <w:highlight w:val="none"/>
                <w:u w:val="none"/>
                <w:lang w:val="zh-CN" w:eastAsia="zh-CN" w:bidi="ar"/>
              </w:rPr>
              <w:t>、服务响应快、</w:t>
            </w:r>
            <w:r>
              <w:rPr>
                <w:rFonts w:hint="eastAsia" w:ascii="宋体" w:hAnsi="宋体" w:eastAsia="宋体" w:cs="宋体"/>
                <w:i w:val="0"/>
                <w:iCs w:val="0"/>
                <w:color w:val="auto"/>
                <w:kern w:val="0"/>
                <w:sz w:val="24"/>
                <w:szCs w:val="24"/>
                <w:highlight w:val="none"/>
                <w:u w:val="none"/>
                <w:lang w:val="en-US" w:eastAsia="zh-CN" w:bidi="ar"/>
              </w:rPr>
              <w:t>方案</w:t>
            </w:r>
            <w:r>
              <w:rPr>
                <w:rFonts w:hint="eastAsia" w:ascii="宋体" w:hAnsi="宋体" w:eastAsia="宋体" w:cs="宋体"/>
                <w:i w:val="0"/>
                <w:iCs w:val="0"/>
                <w:color w:val="auto"/>
                <w:kern w:val="0"/>
                <w:sz w:val="24"/>
                <w:szCs w:val="24"/>
                <w:highlight w:val="none"/>
                <w:u w:val="none"/>
                <w:lang w:val="zh-CN" w:eastAsia="zh-CN" w:bidi="ar"/>
              </w:rPr>
              <w:t>步骤完善、清晰明了</w:t>
            </w:r>
            <w:r>
              <w:rPr>
                <w:rFonts w:hint="eastAsia" w:ascii="宋体" w:hAnsi="宋体" w:eastAsia="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zh-CN" w:eastAsia="zh-CN" w:bidi="ar"/>
              </w:rPr>
              <w:t>得</w:t>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zh-CN" w:eastAsia="zh-CN" w:bidi="ar"/>
              </w:rPr>
              <w:t>分；</w:t>
            </w:r>
          </w:p>
          <w:p w14:paraId="0EB964BB">
            <w:pPr>
              <w:keepNext w:val="0"/>
              <w:keepLines w:val="0"/>
              <w:pageBreakBefore w:val="0"/>
              <w:widowControl/>
              <w:numPr>
                <w:ilvl w:val="0"/>
                <w:numId w:val="0"/>
              </w:numPr>
              <w:suppressLineNumbers w:val="0"/>
              <w:kinsoku/>
              <w:overflowPunct/>
              <w:topLinePunct w:val="0"/>
              <w:autoSpaceDE/>
              <w:autoSpaceDN/>
              <w:bidi w:val="0"/>
              <w:spacing w:line="520" w:lineRule="exact"/>
              <w:ind w:leftChars="0"/>
              <w:jc w:val="left"/>
              <w:textAlignment w:val="center"/>
              <w:rPr>
                <w:rFonts w:hint="eastAsia" w:ascii="宋体" w:hAnsi="宋体" w:eastAsia="宋体" w:cs="宋体"/>
                <w:i w:val="0"/>
                <w:iCs w:val="0"/>
                <w:color w:val="auto"/>
                <w:kern w:val="0"/>
                <w:sz w:val="24"/>
                <w:szCs w:val="24"/>
                <w:highlight w:val="none"/>
                <w:u w:val="none"/>
                <w:lang w:val="zh-CN" w:eastAsia="zh-CN" w:bidi="ar"/>
              </w:rPr>
            </w:pPr>
            <w:r>
              <w:rPr>
                <w:rFonts w:hint="eastAsia" w:ascii="宋体" w:hAnsi="宋体" w:eastAsia="宋体" w:cs="宋体"/>
                <w:i w:val="0"/>
                <w:iCs w:val="0"/>
                <w:color w:val="auto"/>
                <w:kern w:val="0"/>
                <w:sz w:val="24"/>
                <w:szCs w:val="24"/>
                <w:highlight w:val="none"/>
                <w:u w:val="none"/>
                <w:lang w:val="en-US" w:eastAsia="zh-CN" w:bidi="ar"/>
              </w:rPr>
              <w:t>（2）质量保证措施</w:t>
            </w:r>
            <w:r>
              <w:rPr>
                <w:rFonts w:hint="eastAsia" w:ascii="宋体" w:hAnsi="宋体" w:eastAsia="宋体" w:cs="宋体"/>
                <w:i w:val="0"/>
                <w:iCs w:val="0"/>
                <w:color w:val="auto"/>
                <w:kern w:val="0"/>
                <w:sz w:val="24"/>
                <w:szCs w:val="24"/>
                <w:highlight w:val="none"/>
                <w:u w:val="none"/>
                <w:lang w:val="zh-CN" w:eastAsia="zh-CN" w:bidi="ar"/>
              </w:rPr>
              <w:t>方案</w:t>
            </w:r>
            <w:r>
              <w:rPr>
                <w:rFonts w:hint="eastAsia" w:ascii="宋体" w:hAnsi="宋体" w:eastAsia="宋体" w:cs="宋体"/>
                <w:i w:val="0"/>
                <w:iCs w:val="0"/>
                <w:color w:val="auto"/>
                <w:kern w:val="0"/>
                <w:sz w:val="24"/>
                <w:szCs w:val="24"/>
                <w:highlight w:val="none"/>
                <w:u w:val="none"/>
                <w:lang w:val="en-US" w:eastAsia="zh-CN" w:bidi="ar"/>
              </w:rPr>
              <w:t>内容齐全</w:t>
            </w:r>
            <w:r>
              <w:rPr>
                <w:rFonts w:hint="eastAsia" w:ascii="宋体" w:hAnsi="宋体" w:eastAsia="宋体" w:cs="宋体"/>
                <w:i w:val="0"/>
                <w:iCs w:val="0"/>
                <w:color w:val="auto"/>
                <w:kern w:val="0"/>
                <w:sz w:val="24"/>
                <w:szCs w:val="24"/>
                <w:highlight w:val="none"/>
                <w:u w:val="none"/>
                <w:lang w:val="zh-CN" w:eastAsia="zh-CN" w:bidi="ar"/>
              </w:rPr>
              <w:t>、技术支持</w:t>
            </w:r>
            <w:r>
              <w:rPr>
                <w:rFonts w:hint="eastAsia" w:ascii="宋体" w:hAnsi="宋体" w:eastAsia="宋体" w:cs="宋体"/>
                <w:i w:val="0"/>
                <w:iCs w:val="0"/>
                <w:color w:val="auto"/>
                <w:kern w:val="0"/>
                <w:sz w:val="24"/>
                <w:szCs w:val="24"/>
                <w:highlight w:val="none"/>
                <w:u w:val="none"/>
                <w:lang w:val="en-US" w:eastAsia="zh-CN" w:bidi="ar"/>
              </w:rPr>
              <w:t>能力及服务</w:t>
            </w:r>
            <w:r>
              <w:rPr>
                <w:rFonts w:hint="eastAsia" w:ascii="宋体" w:hAnsi="宋体" w:eastAsia="宋体" w:cs="宋体"/>
                <w:i w:val="0"/>
                <w:iCs w:val="0"/>
                <w:color w:val="auto"/>
                <w:kern w:val="0"/>
                <w:sz w:val="24"/>
                <w:szCs w:val="24"/>
                <w:highlight w:val="none"/>
                <w:u w:val="none"/>
                <w:lang w:val="zh-CN" w:eastAsia="zh-CN" w:bidi="ar"/>
              </w:rPr>
              <w:t>响应</w:t>
            </w:r>
            <w:r>
              <w:rPr>
                <w:rFonts w:hint="eastAsia" w:ascii="宋体" w:hAnsi="宋体" w:eastAsia="宋体" w:cs="宋体"/>
                <w:i w:val="0"/>
                <w:iCs w:val="0"/>
                <w:color w:val="auto"/>
                <w:kern w:val="0"/>
                <w:sz w:val="24"/>
                <w:szCs w:val="24"/>
                <w:highlight w:val="none"/>
                <w:u w:val="none"/>
                <w:lang w:val="en-US" w:eastAsia="zh-CN" w:bidi="ar"/>
              </w:rPr>
              <w:t>满足需求</w:t>
            </w:r>
            <w:r>
              <w:rPr>
                <w:rFonts w:hint="eastAsia" w:ascii="宋体" w:hAnsi="宋体" w:eastAsia="宋体" w:cs="宋体"/>
                <w:i w:val="0"/>
                <w:iCs w:val="0"/>
                <w:color w:val="auto"/>
                <w:kern w:val="0"/>
                <w:sz w:val="24"/>
                <w:szCs w:val="24"/>
                <w:highlight w:val="none"/>
                <w:u w:val="none"/>
                <w:lang w:val="zh-CN" w:eastAsia="zh-CN" w:bidi="ar"/>
              </w:rPr>
              <w:t>、流程</w:t>
            </w:r>
            <w:r>
              <w:rPr>
                <w:rFonts w:hint="eastAsia" w:ascii="宋体" w:hAnsi="宋体" w:eastAsia="宋体" w:cs="宋体"/>
                <w:i w:val="0"/>
                <w:iCs w:val="0"/>
                <w:color w:val="auto"/>
                <w:kern w:val="0"/>
                <w:sz w:val="24"/>
                <w:szCs w:val="24"/>
                <w:highlight w:val="none"/>
                <w:u w:val="none"/>
                <w:lang w:val="en-US" w:eastAsia="zh-CN" w:bidi="ar"/>
              </w:rPr>
              <w:t>方案</w:t>
            </w:r>
            <w:r>
              <w:rPr>
                <w:rFonts w:hint="eastAsia" w:ascii="宋体" w:hAnsi="宋体" w:eastAsia="宋体" w:cs="宋体"/>
                <w:i w:val="0"/>
                <w:iCs w:val="0"/>
                <w:color w:val="auto"/>
                <w:kern w:val="0"/>
                <w:sz w:val="24"/>
                <w:szCs w:val="24"/>
                <w:highlight w:val="none"/>
                <w:u w:val="none"/>
                <w:lang w:val="zh-CN" w:eastAsia="zh-CN" w:bidi="ar"/>
              </w:rPr>
              <w:t>有待提升优化</w:t>
            </w:r>
            <w:r>
              <w:rPr>
                <w:rFonts w:hint="eastAsia" w:ascii="宋体" w:hAnsi="宋体" w:eastAsia="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zh-CN" w:eastAsia="zh-CN" w:bidi="ar"/>
              </w:rPr>
              <w:t>得</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zh-CN" w:eastAsia="zh-CN" w:bidi="ar"/>
              </w:rPr>
              <w:t>分；</w:t>
            </w:r>
          </w:p>
          <w:p w14:paraId="7F288F01">
            <w:pPr>
              <w:keepNext w:val="0"/>
              <w:keepLines w:val="0"/>
              <w:pageBreakBefore w:val="0"/>
              <w:widowControl/>
              <w:numPr>
                <w:ilvl w:val="0"/>
                <w:numId w:val="0"/>
              </w:numPr>
              <w:suppressLineNumbers w:val="0"/>
              <w:kinsoku/>
              <w:overflowPunct/>
              <w:topLinePunct w:val="0"/>
              <w:autoSpaceDE/>
              <w:autoSpaceDN/>
              <w:bidi w:val="0"/>
              <w:spacing w:line="520" w:lineRule="exact"/>
              <w:ind w:leftChars="0"/>
              <w:jc w:val="left"/>
              <w:textAlignment w:val="center"/>
              <w:rPr>
                <w:rFonts w:hint="eastAsia" w:ascii="宋体" w:hAnsi="宋体" w:eastAsia="宋体" w:cs="宋体"/>
                <w:i w:val="0"/>
                <w:iCs w:val="0"/>
                <w:color w:val="auto"/>
                <w:kern w:val="0"/>
                <w:sz w:val="24"/>
                <w:szCs w:val="24"/>
                <w:highlight w:val="none"/>
                <w:u w:val="none"/>
                <w:lang w:val="zh-CN" w:eastAsia="zh-CN" w:bidi="ar"/>
              </w:rPr>
            </w:pPr>
            <w:r>
              <w:rPr>
                <w:rFonts w:hint="eastAsia" w:ascii="宋体" w:hAnsi="宋体" w:eastAsia="宋体" w:cs="宋体"/>
                <w:i w:val="0"/>
                <w:iCs w:val="0"/>
                <w:color w:val="auto"/>
                <w:kern w:val="0"/>
                <w:sz w:val="24"/>
                <w:szCs w:val="24"/>
                <w:highlight w:val="none"/>
                <w:u w:val="none"/>
                <w:lang w:val="en-US" w:eastAsia="zh-CN" w:bidi="ar"/>
              </w:rPr>
              <w:t>（3）质量保证措施</w:t>
            </w:r>
            <w:r>
              <w:rPr>
                <w:rFonts w:hint="eastAsia" w:ascii="宋体" w:hAnsi="宋体" w:eastAsia="宋体" w:cs="宋体"/>
                <w:i w:val="0"/>
                <w:iCs w:val="0"/>
                <w:color w:val="auto"/>
                <w:kern w:val="0"/>
                <w:sz w:val="24"/>
                <w:szCs w:val="24"/>
                <w:highlight w:val="none"/>
                <w:u w:val="none"/>
                <w:lang w:val="zh-CN" w:eastAsia="zh-CN" w:bidi="ar"/>
              </w:rPr>
              <w:t>方案</w:t>
            </w:r>
            <w:r>
              <w:rPr>
                <w:rFonts w:hint="eastAsia" w:ascii="宋体" w:hAnsi="宋体" w:eastAsia="宋体" w:cs="宋体"/>
                <w:i w:val="0"/>
                <w:iCs w:val="0"/>
                <w:color w:val="auto"/>
                <w:kern w:val="0"/>
                <w:sz w:val="24"/>
                <w:szCs w:val="24"/>
                <w:highlight w:val="none"/>
                <w:u w:val="none"/>
                <w:lang w:val="en-US" w:eastAsia="zh-CN" w:bidi="ar"/>
              </w:rPr>
              <w:t>内容简单</w:t>
            </w:r>
            <w:r>
              <w:rPr>
                <w:rFonts w:hint="eastAsia" w:ascii="宋体" w:hAnsi="宋体" w:eastAsia="宋体" w:cs="宋体"/>
                <w:i w:val="0"/>
                <w:iCs w:val="0"/>
                <w:color w:val="auto"/>
                <w:kern w:val="0"/>
                <w:sz w:val="24"/>
                <w:szCs w:val="24"/>
                <w:highlight w:val="none"/>
                <w:u w:val="none"/>
                <w:lang w:val="zh-CN" w:eastAsia="zh-CN" w:bidi="ar"/>
              </w:rPr>
              <w:t>、技术支持</w:t>
            </w:r>
            <w:r>
              <w:rPr>
                <w:rFonts w:hint="eastAsia" w:ascii="宋体" w:hAnsi="宋体" w:eastAsia="宋体" w:cs="宋体"/>
                <w:i w:val="0"/>
                <w:iCs w:val="0"/>
                <w:color w:val="auto"/>
                <w:kern w:val="0"/>
                <w:sz w:val="24"/>
                <w:szCs w:val="24"/>
                <w:highlight w:val="none"/>
                <w:u w:val="none"/>
                <w:lang w:val="en-US" w:eastAsia="zh-CN" w:bidi="ar"/>
              </w:rPr>
              <w:t>能力欠缺、服务</w:t>
            </w:r>
            <w:r>
              <w:rPr>
                <w:rFonts w:hint="eastAsia" w:ascii="宋体" w:hAnsi="宋体" w:eastAsia="宋体" w:cs="宋体"/>
                <w:i w:val="0"/>
                <w:iCs w:val="0"/>
                <w:color w:val="auto"/>
                <w:kern w:val="0"/>
                <w:sz w:val="24"/>
                <w:szCs w:val="24"/>
                <w:highlight w:val="none"/>
                <w:u w:val="none"/>
                <w:lang w:val="zh-CN" w:eastAsia="zh-CN" w:bidi="ar"/>
              </w:rPr>
              <w:t>响应</w:t>
            </w:r>
            <w:r>
              <w:rPr>
                <w:rFonts w:hint="eastAsia" w:ascii="宋体" w:hAnsi="宋体" w:eastAsia="宋体" w:cs="宋体"/>
                <w:i w:val="0"/>
                <w:iCs w:val="0"/>
                <w:color w:val="auto"/>
                <w:kern w:val="0"/>
                <w:sz w:val="24"/>
                <w:szCs w:val="24"/>
                <w:highlight w:val="none"/>
                <w:u w:val="none"/>
                <w:lang w:val="en-US" w:eastAsia="zh-CN" w:bidi="ar"/>
              </w:rPr>
              <w:t>滞后</w:t>
            </w:r>
            <w:r>
              <w:rPr>
                <w:rFonts w:hint="eastAsia" w:ascii="宋体" w:hAnsi="宋体" w:eastAsia="宋体" w:cs="宋体"/>
                <w:i w:val="0"/>
                <w:iCs w:val="0"/>
                <w:color w:val="auto"/>
                <w:kern w:val="0"/>
                <w:sz w:val="24"/>
                <w:szCs w:val="24"/>
                <w:highlight w:val="none"/>
                <w:u w:val="none"/>
                <w:lang w:val="zh-CN" w:eastAsia="zh-CN" w:bidi="ar"/>
              </w:rPr>
              <w:t>得</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zh-CN" w:eastAsia="zh-CN" w:bidi="ar"/>
              </w:rPr>
              <w:t>分；</w:t>
            </w:r>
          </w:p>
          <w:p w14:paraId="039D50C0">
            <w:pPr>
              <w:widowControl/>
              <w:spacing w:line="52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Theme="minorEastAsia" w:hAnsiTheme="minorEastAsia" w:eastAsiaTheme="minorEastAsia" w:cstheme="minorEastAsia"/>
                <w:color w:val="auto"/>
                <w:spacing w:val="1"/>
                <w:kern w:val="2"/>
                <w:sz w:val="24"/>
                <w:szCs w:val="24"/>
                <w:highlight w:val="none"/>
                <w:lang w:val="en-US" w:eastAsia="zh-CN" w:bidi="ar-SA"/>
              </w:rPr>
              <w:t>内容不可行或</w:t>
            </w:r>
            <w:r>
              <w:rPr>
                <w:rFonts w:hint="eastAsia" w:ascii="宋体" w:hAnsi="宋体" w:eastAsia="宋体" w:cs="宋体"/>
                <w:color w:val="auto"/>
                <w:sz w:val="24"/>
                <w:szCs w:val="24"/>
                <w:highlight w:val="none"/>
                <w:lang w:val="en-US" w:eastAsia="zh-CN"/>
              </w:rPr>
              <w:t>未提供的</w:t>
            </w:r>
            <w:r>
              <w:rPr>
                <w:rFonts w:hint="eastAsia" w:ascii="宋体" w:hAnsi="宋体" w:eastAsia="宋体" w:cs="宋体"/>
                <w:i w:val="0"/>
                <w:iCs w:val="0"/>
                <w:color w:val="auto"/>
                <w:kern w:val="0"/>
                <w:sz w:val="24"/>
                <w:szCs w:val="24"/>
                <w:highlight w:val="none"/>
                <w:u w:val="none"/>
                <w:lang w:val="en-US" w:eastAsia="zh-CN" w:bidi="ar"/>
              </w:rPr>
              <w:t>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D285941">
            <w:pPr>
              <w:widowControl/>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0-5分</w:t>
            </w:r>
          </w:p>
        </w:tc>
      </w:tr>
      <w:tr w14:paraId="5C0A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vMerge w:val="continue"/>
            <w:tcBorders>
              <w:left w:val="single" w:color="auto" w:sz="4" w:space="0"/>
              <w:right w:val="single" w:color="auto" w:sz="4" w:space="0"/>
            </w:tcBorders>
            <w:vAlign w:val="center"/>
          </w:tcPr>
          <w:p w14:paraId="769540B1">
            <w:pPr>
              <w:keepNext w:val="0"/>
              <w:keepLines w:val="0"/>
              <w:pageBreakBefore w:val="0"/>
              <w:kinsoku/>
              <w:overflowPunct/>
              <w:topLinePunct w:val="0"/>
              <w:autoSpaceDE/>
              <w:autoSpaceDN/>
              <w:bidi w:val="0"/>
              <w:spacing w:line="520" w:lineRule="exact"/>
              <w:jc w:val="center"/>
              <w:textAlignment w:val="auto"/>
              <w:rPr>
                <w:rFonts w:hint="eastAsia" w:ascii="宋体" w:hAnsi="宋体" w:eastAsia="宋体" w:cs="宋体"/>
                <w:color w:val="auto"/>
                <w:sz w:val="24"/>
                <w:szCs w:val="24"/>
                <w:highlight w:val="none"/>
              </w:rPr>
            </w:pP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0F9EDE7A">
            <w:pPr>
              <w:keepNext w:val="0"/>
              <w:keepLines w:val="0"/>
              <w:pageBreakBefore w:val="0"/>
              <w:widowControl/>
              <w:numPr>
                <w:ilvl w:val="0"/>
                <w:numId w:val="0"/>
              </w:numPr>
              <w:suppressLineNumbers w:val="0"/>
              <w:kinsoku/>
              <w:overflowPunct/>
              <w:topLinePunct w:val="0"/>
              <w:autoSpaceDE/>
              <w:autoSpaceDN/>
              <w:bidi w:val="0"/>
              <w:spacing w:line="520" w:lineRule="exact"/>
              <w:ind w:lef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4.售后服务方案</w:t>
            </w:r>
          </w:p>
        </w:tc>
        <w:tc>
          <w:tcPr>
            <w:tcW w:w="3090" w:type="pct"/>
            <w:tcBorders>
              <w:top w:val="single" w:color="auto" w:sz="4" w:space="0"/>
              <w:left w:val="single" w:color="auto" w:sz="4" w:space="0"/>
              <w:bottom w:val="single" w:color="auto" w:sz="4" w:space="0"/>
              <w:right w:val="single" w:color="auto" w:sz="4" w:space="0"/>
            </w:tcBorders>
            <w:shd w:val="clear" w:color="auto" w:fill="auto"/>
            <w:vAlign w:val="center"/>
          </w:tcPr>
          <w:p w14:paraId="7C785ABF">
            <w:pPr>
              <w:keepNext w:val="0"/>
              <w:keepLines w:val="0"/>
              <w:pageBreakBefore w:val="0"/>
              <w:widowControl/>
              <w:numPr>
                <w:ilvl w:val="0"/>
                <w:numId w:val="0"/>
              </w:numPr>
              <w:suppressLineNumbers w:val="0"/>
              <w:kinsoku/>
              <w:overflowPunct/>
              <w:topLinePunct w:val="0"/>
              <w:autoSpaceDE/>
              <w:autoSpaceDN/>
              <w:bidi w:val="0"/>
              <w:spacing w:line="520" w:lineRule="exact"/>
              <w:ind w:leftChars="0"/>
              <w:jc w:val="left"/>
              <w:textAlignment w:val="center"/>
              <w:rPr>
                <w:rFonts w:hint="eastAsia" w:ascii="宋体" w:hAnsi="宋体" w:eastAsia="宋体" w:cs="宋体"/>
                <w:i w:val="0"/>
                <w:iCs w:val="0"/>
                <w:color w:val="auto"/>
                <w:kern w:val="0"/>
                <w:sz w:val="24"/>
                <w:szCs w:val="24"/>
                <w:highlight w:val="none"/>
                <w:u w:val="none"/>
                <w:lang w:val="zh-CN" w:eastAsia="zh-CN" w:bidi="ar"/>
              </w:rPr>
            </w:pPr>
            <w:r>
              <w:rPr>
                <w:rFonts w:hint="eastAsia" w:ascii="宋体" w:hAnsi="宋体" w:eastAsia="宋体" w:cs="宋体"/>
                <w:i w:val="0"/>
                <w:iCs w:val="0"/>
                <w:color w:val="auto"/>
                <w:kern w:val="0"/>
                <w:sz w:val="24"/>
                <w:szCs w:val="24"/>
                <w:highlight w:val="none"/>
                <w:u w:val="none"/>
                <w:lang w:val="zh-CN" w:eastAsia="zh-CN" w:bidi="ar"/>
              </w:rPr>
              <w:t>投标人</w:t>
            </w:r>
            <w:r>
              <w:rPr>
                <w:rFonts w:hint="eastAsia" w:ascii="宋体" w:hAnsi="宋体" w:eastAsia="宋体" w:cs="宋体"/>
                <w:i w:val="0"/>
                <w:iCs w:val="0"/>
                <w:color w:val="auto"/>
                <w:kern w:val="0"/>
                <w:sz w:val="24"/>
                <w:szCs w:val="24"/>
                <w:highlight w:val="none"/>
                <w:u w:val="none"/>
                <w:lang w:val="en-US" w:eastAsia="zh-CN" w:bidi="ar"/>
              </w:rPr>
              <w:t>针对本项目提供的售后服务方案，包含：人员配置、售后服务计划、服务内容、售后程序、及时响应及其他合理的售后服务承诺及处罚和质保期满后的服务等进行综合评审</w:t>
            </w:r>
            <w:r>
              <w:rPr>
                <w:rFonts w:hint="eastAsia" w:ascii="宋体" w:hAnsi="宋体" w:eastAsia="宋体" w:cs="宋体"/>
                <w:i w:val="0"/>
                <w:iCs w:val="0"/>
                <w:color w:val="auto"/>
                <w:kern w:val="0"/>
                <w:sz w:val="24"/>
                <w:szCs w:val="24"/>
                <w:highlight w:val="none"/>
                <w:u w:val="none"/>
                <w:lang w:val="zh-CN" w:eastAsia="zh-CN" w:bidi="ar"/>
              </w:rPr>
              <w:t>：</w:t>
            </w:r>
          </w:p>
          <w:p w14:paraId="3199C1F1">
            <w:pPr>
              <w:spacing w:line="440" w:lineRule="exact"/>
              <w:jc w:val="left"/>
              <w:rPr>
                <w:rFonts w:hint="eastAsia"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方案切合实际情况，各部分有深入的表述，解决方案合理、有具体切实可行的保障措施，售后人员配备充足、售后方案设计完整、安全、切实可行，措施得力的得5分；</w:t>
            </w:r>
          </w:p>
          <w:p w14:paraId="68AA18EF">
            <w:pPr>
              <w:spacing w:line="440" w:lineRule="exact"/>
              <w:jc w:val="left"/>
              <w:rPr>
                <w:rFonts w:hint="eastAsia"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方案基本符合实际情况，内容完整、表述基本清晰，有保障措施，配备了售后服务人员，解决方案基本符合项目要求的得3分；</w:t>
            </w:r>
          </w:p>
          <w:p w14:paraId="0DC586EC">
            <w:pPr>
              <w:spacing w:line="440" w:lineRule="exact"/>
              <w:jc w:val="left"/>
              <w:rPr>
                <w:rFonts w:hint="eastAsia" w:ascii="宋体" w:hAnsi="宋体" w:eastAsia="宋体"/>
                <w:color w:val="auto"/>
                <w:sz w:val="24"/>
                <w:highlight w:val="none"/>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方案基本满足项目要求但有一定的矛盾点、可行性受影响，对各个环节的保障措施、解决方案等缺项或关键点缺失的得1分；</w:t>
            </w:r>
          </w:p>
          <w:p w14:paraId="6656B857">
            <w:pPr>
              <w:keepNext w:val="0"/>
              <w:keepLines w:val="0"/>
              <w:pageBreakBefore w:val="0"/>
              <w:widowControl/>
              <w:numPr>
                <w:ilvl w:val="0"/>
                <w:numId w:val="0"/>
              </w:numPr>
              <w:suppressLineNumbers w:val="0"/>
              <w:kinsoku/>
              <w:overflowPunct/>
              <w:topLinePunct w:val="0"/>
              <w:autoSpaceDE/>
              <w:autoSpaceDN/>
              <w:bidi w:val="0"/>
              <w:spacing w:line="520" w:lineRule="exact"/>
              <w:ind w:leftChars="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未提供的不得分。</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52F0D2C">
            <w:pPr>
              <w:keepNext w:val="0"/>
              <w:keepLines w:val="0"/>
              <w:pageBreakBefore w:val="0"/>
              <w:widowControl/>
              <w:suppressLineNumbers w:val="0"/>
              <w:kinsoku/>
              <w:overflowPunct/>
              <w:topLinePunct w:val="0"/>
              <w:autoSpaceDE/>
              <w:autoSpaceDN/>
              <w:bidi w:val="0"/>
              <w:spacing w:line="52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0-5分</w:t>
            </w:r>
          </w:p>
        </w:tc>
      </w:tr>
      <w:tr w14:paraId="633C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left w:val="single" w:color="auto" w:sz="4" w:space="0"/>
              <w:right w:val="single" w:color="auto" w:sz="4" w:space="0"/>
            </w:tcBorders>
            <w:vAlign w:val="center"/>
          </w:tcPr>
          <w:p w14:paraId="4FF1C8CA">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价格分</w:t>
            </w:r>
          </w:p>
          <w:p w14:paraId="04502231">
            <w:pPr>
              <w:keepNext w:val="0"/>
              <w:keepLines w:val="0"/>
              <w:pageBreakBefore w:val="0"/>
              <w:kinsoku/>
              <w:overflowPunct/>
              <w:topLinePunct w:val="0"/>
              <w:autoSpaceDE/>
              <w:autoSpaceDN/>
              <w:bidi w:val="0"/>
              <w:spacing w:line="520" w:lineRule="exact"/>
              <w:jc w:val="center"/>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u w:val="single"/>
                <w:lang w:val="en-US" w:eastAsia="zh-CN"/>
              </w:rPr>
              <w:t>15</w:t>
            </w:r>
            <w:r>
              <w:rPr>
                <w:rFonts w:hint="eastAsia" w:asciiTheme="minorEastAsia" w:hAnsiTheme="minorEastAsia" w:eastAsiaTheme="minorEastAsia"/>
                <w:color w:val="auto"/>
                <w:sz w:val="24"/>
                <w:szCs w:val="24"/>
                <w:highlight w:val="none"/>
              </w:rPr>
              <w:t>分）</w:t>
            </w:r>
          </w:p>
        </w:tc>
        <w:tc>
          <w:tcPr>
            <w:tcW w:w="4421" w:type="pct"/>
            <w:gridSpan w:val="3"/>
            <w:tcBorders>
              <w:top w:val="single" w:color="auto" w:sz="4" w:space="0"/>
              <w:left w:val="single" w:color="auto" w:sz="4" w:space="0"/>
              <w:bottom w:val="single" w:color="auto" w:sz="4" w:space="0"/>
              <w:right w:val="single" w:color="auto" w:sz="4" w:space="0"/>
            </w:tcBorders>
            <w:vAlign w:val="center"/>
          </w:tcPr>
          <w:p w14:paraId="55240F12">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szCs w:val="24"/>
                <w:highlight w:val="none"/>
                <w:u w:val="single"/>
                <w:lang w:val="en-US" w:eastAsia="zh-CN"/>
              </w:rPr>
              <w:t>15</w:t>
            </w:r>
            <w:r>
              <w:rPr>
                <w:rFonts w:hint="eastAsia" w:asciiTheme="minorEastAsia" w:hAnsiTheme="minorEastAsia" w:eastAsiaTheme="minorEastAsia"/>
                <w:color w:val="auto"/>
                <w:sz w:val="24"/>
                <w:szCs w:val="24"/>
                <w:highlight w:val="none"/>
              </w:rPr>
              <w:t>分。其他投标人的价格分统一按照下列公式计算：</w:t>
            </w:r>
          </w:p>
          <w:p w14:paraId="78B8F05E">
            <w:pPr>
              <w:keepNext w:val="0"/>
              <w:keepLines w:val="0"/>
              <w:pageBreakBefore w:val="0"/>
              <w:kinsoku/>
              <w:overflowPunct/>
              <w:topLinePunct w:val="0"/>
              <w:autoSpaceDE/>
              <w:autoSpaceDN/>
              <w:bidi w:val="0"/>
              <w:spacing w:line="520" w:lineRule="exact"/>
              <w:textAlignment w:val="auto"/>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color w:val="auto"/>
                <w:sz w:val="24"/>
                <w:szCs w:val="24"/>
                <w:highlight w:val="none"/>
              </w:rPr>
              <w:t>投标报价得分＝（评标基准价/投标报价）×</w:t>
            </w:r>
            <w:r>
              <w:rPr>
                <w:rFonts w:hint="eastAsia" w:asciiTheme="minorEastAsia" w:hAnsiTheme="minorEastAsia" w:eastAsiaTheme="minorEastAsia"/>
                <w:color w:val="auto"/>
                <w:sz w:val="24"/>
                <w:szCs w:val="24"/>
                <w:highlight w:val="none"/>
                <w:lang w:val="en-US" w:eastAsia="zh-CN"/>
              </w:rPr>
              <w:t>15</w:t>
            </w:r>
            <w:r>
              <w:rPr>
                <w:rFonts w:hint="eastAsia" w:asciiTheme="minorEastAsia" w:hAnsiTheme="minorEastAsia" w:eastAsiaTheme="minorEastAsia"/>
                <w:color w:val="auto"/>
                <w:sz w:val="24"/>
                <w:szCs w:val="24"/>
                <w:highlight w:val="none"/>
              </w:rPr>
              <w:t>％×100</w:t>
            </w:r>
          </w:p>
        </w:tc>
      </w:tr>
    </w:tbl>
    <w:p w14:paraId="208BE63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697B41C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10196C0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default" w:eastAsiaTheme="minorEastAsia"/>
          <w:color w:val="auto"/>
          <w:highlight w:val="none"/>
          <w:lang w:val="en-US" w:eastAsia="zh-CN"/>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7E5954A5">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三、无效投标条款</w:t>
      </w:r>
    </w:p>
    <w:p w14:paraId="4C6FC29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304A02EF">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未在开标截止时间前通过网上招标投标系统递交有效电子投标文件的，开标系统不予接收，投标将被拒绝。</w:t>
      </w:r>
    </w:p>
    <w:p w14:paraId="0DCF4F4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129F159C">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035ED28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230A784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3F7AAC5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(3)招标公告写明专门面向中小企业采购，投标人提供的货物非中小企业制造的；</w:t>
      </w:r>
    </w:p>
    <w:p w14:paraId="0865B01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(4)要求供应商以联合体形式参加采购活动，投标人非联合体或者联合协议中中小企业合同金额未达到应当达到的比例；</w:t>
      </w:r>
    </w:p>
    <w:p w14:paraId="188BBC80">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(5)要求获得采购合同的供应商向中小企业分包，投标人未提供分包意向协议或者分包意向协议中中小企业合同金额未达到应当达到的比例；</w:t>
      </w:r>
    </w:p>
    <w:p w14:paraId="005F3B65">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(6)评标专家无法查看并检验电子投标文件中相关资料的；</w:t>
      </w:r>
    </w:p>
    <w:p w14:paraId="7199933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(7)联合体投标未提交联合体协议的；</w:t>
      </w:r>
    </w:p>
    <w:p w14:paraId="06E7551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(8)责令停产停业的；</w:t>
      </w:r>
    </w:p>
    <w:p w14:paraId="45C847C1">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(9)暂停或者取消参与政府采购项目资格的；</w:t>
      </w:r>
    </w:p>
    <w:p w14:paraId="2FD25A8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(10)投标人单位负责人为同一人或者存在（直接）控股、管理关系的不同单位的；</w:t>
      </w:r>
    </w:p>
    <w:p w14:paraId="7BF5E4FF">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(11)投标人基本资格条件和特定资格条件中有一项及以上不符合要求的；</w:t>
      </w:r>
    </w:p>
    <w:p w14:paraId="4E3AD375">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3D94EF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(13)其它情形，经评标委员会委提出按无效投标处理，并经公共资源交易监督部门核准的；</w:t>
      </w:r>
    </w:p>
    <w:p w14:paraId="411B5C7C">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(14)投标人投标MAC地址或投标人联系人或联系电话相同的，由评标委员会否决其投标，并报告监管部门作不良行为处理和进一步调查；</w:t>
      </w:r>
    </w:p>
    <w:p w14:paraId="48FBB8F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(15)投标人单方面出现其他投标人材料的；</w:t>
      </w:r>
    </w:p>
    <w:p w14:paraId="229661EF">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(16)招标文件规定的其它无效投标情形。</w:t>
      </w:r>
    </w:p>
    <w:p w14:paraId="38A8337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4FAD929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(1)投标文件签字、盖章不全，经评标委员会一致认定对开评标内容有实质性影响并经公共资源交易监督部门核准的；</w:t>
      </w:r>
    </w:p>
    <w:p w14:paraId="65F058C3">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 经公共资源交易监督部门核准的；</w:t>
      </w:r>
    </w:p>
    <w:p w14:paraId="77C6B9BB">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238F1AA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1629005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787E843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4D79094F">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(7)其它情形，经评标委员会委提出按无效投标处理，并经公共资源交易监督部门核准的；</w:t>
      </w:r>
    </w:p>
    <w:p w14:paraId="56646C6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672E7DC5">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3C56633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19BAB98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0B16D54F">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0F39D5BB">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0A175192">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10A6A7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7A82D2C8">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(6)其它情形，经评标委员会委提出按无效投标处理，并经公共资源交易监督部门核准的；</w:t>
      </w:r>
    </w:p>
    <w:p w14:paraId="0416EBFD">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r>
        <w:rPr>
          <w:rFonts w:asciiTheme="minorEastAsia" w:hAnsiTheme="minorEastAsia" w:eastAsiaTheme="minorEastAsia"/>
          <w:color w:val="auto"/>
          <w:sz w:val="24"/>
          <w:highlight w:val="none"/>
        </w:rPr>
        <w:br w:type="page"/>
      </w:r>
    </w:p>
    <w:p w14:paraId="7E91A7F7">
      <w:pPr>
        <w:spacing w:line="360" w:lineRule="auto"/>
        <w:jc w:val="center"/>
        <w:outlineLvl w:val="0"/>
        <w:rPr>
          <w:rFonts w:hint="eastAsia" w:asciiTheme="minorEastAsia" w:hAnsiTheme="minorEastAsia" w:eastAsiaTheme="minorEastAsia"/>
          <w:b/>
          <w:color w:val="auto"/>
          <w:sz w:val="28"/>
          <w:highlight w:val="none"/>
        </w:rPr>
      </w:pPr>
      <w:bookmarkStart w:id="76" w:name="_Toc1711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76"/>
    </w:p>
    <w:p w14:paraId="7D33957C">
      <w:pPr>
        <w:spacing w:line="480" w:lineRule="auto"/>
        <w:jc w:val="center"/>
        <w:rPr>
          <w:rFonts w:hint="eastAsia" w:cs="Times New Roman" w:asciiTheme="minorEastAsia" w:hAnsiTheme="minorEastAsia" w:eastAsiaTheme="minorEastAsia"/>
          <w:b/>
          <w:color w:val="auto"/>
          <w:sz w:val="28"/>
          <w:szCs w:val="28"/>
          <w:highlight w:val="none"/>
        </w:rPr>
      </w:pPr>
      <w:bookmarkStart w:id="77" w:name="_Toc331685784"/>
    </w:p>
    <w:p w14:paraId="769B6F6C">
      <w:pPr>
        <w:spacing w:line="480" w:lineRule="auto"/>
        <w:jc w:val="center"/>
        <w:rPr>
          <w:rFonts w:hint="eastAsia" w:cs="Times New Roman" w:asciiTheme="minorEastAsia" w:hAnsiTheme="minorEastAsia" w:eastAsiaTheme="minorEastAsia"/>
          <w:b/>
          <w:color w:val="auto"/>
          <w:sz w:val="28"/>
          <w:szCs w:val="28"/>
          <w:highlight w:val="none"/>
        </w:rPr>
      </w:pPr>
    </w:p>
    <w:p w14:paraId="5C367B1B">
      <w:pPr>
        <w:pStyle w:val="2"/>
        <w:rPr>
          <w:rFonts w:hint="eastAsia"/>
          <w:color w:val="auto"/>
          <w:highlight w:val="none"/>
        </w:rPr>
      </w:pPr>
    </w:p>
    <w:p w14:paraId="47D1766E">
      <w:pPr>
        <w:spacing w:line="480" w:lineRule="auto"/>
        <w:jc w:val="center"/>
        <w:outlineLvl w:val="1"/>
        <w:rPr>
          <w:rFonts w:hint="eastAsia" w:cs="Times New Roman" w:asciiTheme="minorEastAsia" w:hAnsiTheme="minorEastAsia" w:eastAsiaTheme="minorEastAsia"/>
          <w:b/>
          <w:color w:val="auto"/>
          <w:sz w:val="28"/>
          <w:szCs w:val="28"/>
          <w:highlight w:val="none"/>
        </w:rPr>
      </w:pPr>
      <w:bookmarkStart w:id="78" w:name="_Toc992"/>
      <w:bookmarkStart w:id="79" w:name="_Toc3714"/>
      <w:r>
        <w:rPr>
          <w:rFonts w:cs="Times New Roman" w:asciiTheme="minorEastAsia" w:hAnsiTheme="minorEastAsia" w:eastAsiaTheme="minorEastAsia"/>
          <w:b/>
          <w:color w:val="auto"/>
          <w:sz w:val="28"/>
          <w:szCs w:val="28"/>
          <w:highlight w:val="none"/>
        </w:rPr>
        <w:t>政府采购合同</w:t>
      </w:r>
      <w:r>
        <w:rPr>
          <w:rFonts w:hint="eastAsia" w:cs="Times New Roman" w:asciiTheme="minorEastAsia" w:hAnsiTheme="minorEastAsia" w:eastAsiaTheme="minorEastAsia"/>
          <w:b/>
          <w:color w:val="auto"/>
          <w:sz w:val="28"/>
          <w:szCs w:val="28"/>
          <w:highlight w:val="none"/>
        </w:rPr>
        <w:t>参考范本</w:t>
      </w:r>
      <w:bookmarkEnd w:id="78"/>
      <w:bookmarkEnd w:id="79"/>
    </w:p>
    <w:p w14:paraId="4DA20618">
      <w:pPr>
        <w:spacing w:line="480" w:lineRule="auto"/>
        <w:jc w:val="center"/>
        <w:outlineLvl w:val="1"/>
        <w:rPr>
          <w:rFonts w:hint="eastAsia" w:cs="Times New Roman" w:asciiTheme="minorEastAsia" w:hAnsiTheme="minorEastAsia" w:eastAsiaTheme="minorEastAsia"/>
          <w:b/>
          <w:color w:val="auto"/>
          <w:sz w:val="28"/>
          <w:szCs w:val="28"/>
          <w:highlight w:val="none"/>
        </w:rPr>
      </w:pPr>
      <w:bookmarkStart w:id="80" w:name="_Toc20850"/>
      <w:bookmarkStart w:id="81" w:name="_Toc8560"/>
      <w:r>
        <w:rPr>
          <w:rFonts w:hint="eastAsia" w:cs="Times New Roman" w:asciiTheme="minorEastAsia" w:hAnsiTheme="minorEastAsia" w:eastAsiaTheme="minorEastAsia"/>
          <w:b/>
          <w:color w:val="auto"/>
          <w:sz w:val="28"/>
          <w:szCs w:val="28"/>
          <w:highlight w:val="none"/>
        </w:rPr>
        <w:t>（服务类）</w:t>
      </w:r>
      <w:bookmarkEnd w:id="80"/>
      <w:bookmarkEnd w:id="81"/>
    </w:p>
    <w:p w14:paraId="15687414">
      <w:pPr>
        <w:spacing w:line="480" w:lineRule="auto"/>
        <w:jc w:val="center"/>
        <w:rPr>
          <w:rFonts w:hint="eastAsia" w:cs="Times New Roman" w:asciiTheme="minorEastAsia" w:hAnsiTheme="minorEastAsia" w:eastAsiaTheme="minorEastAsia"/>
          <w:b/>
          <w:color w:val="auto"/>
          <w:sz w:val="24"/>
          <w:szCs w:val="24"/>
          <w:highlight w:val="none"/>
        </w:rPr>
      </w:pPr>
    </w:p>
    <w:p w14:paraId="3754A5E7">
      <w:pPr>
        <w:spacing w:line="480" w:lineRule="auto"/>
        <w:jc w:val="center"/>
        <w:rPr>
          <w:rFonts w:hint="eastAsia" w:cs="Times New Roman" w:asciiTheme="minorEastAsia" w:hAnsiTheme="minorEastAsia" w:eastAsiaTheme="minorEastAsia"/>
          <w:b/>
          <w:color w:val="auto"/>
          <w:sz w:val="24"/>
          <w:szCs w:val="24"/>
          <w:highlight w:val="none"/>
        </w:rPr>
      </w:pPr>
    </w:p>
    <w:p w14:paraId="7199B6F1">
      <w:pPr>
        <w:spacing w:line="480" w:lineRule="auto"/>
        <w:jc w:val="center"/>
        <w:rPr>
          <w:rFonts w:hint="eastAsia" w:cs="Times New Roman" w:asciiTheme="minorEastAsia" w:hAnsiTheme="minorEastAsia" w:eastAsiaTheme="minorEastAsia"/>
          <w:b/>
          <w:color w:val="auto"/>
          <w:sz w:val="24"/>
          <w:szCs w:val="24"/>
          <w:highlight w:val="none"/>
        </w:rPr>
      </w:pPr>
    </w:p>
    <w:p w14:paraId="059F6574">
      <w:pPr>
        <w:spacing w:line="360" w:lineRule="auto"/>
        <w:jc w:val="center"/>
        <w:outlineLvl w:val="1"/>
        <w:rPr>
          <w:rFonts w:hint="eastAsia" w:asciiTheme="minorEastAsia" w:hAnsiTheme="minorEastAsia" w:eastAsiaTheme="minorEastAsia"/>
          <w:b/>
          <w:color w:val="auto"/>
          <w:sz w:val="24"/>
          <w:highlight w:val="none"/>
        </w:rPr>
      </w:pPr>
      <w:bookmarkStart w:id="82" w:name="_Toc21335"/>
      <w:bookmarkStart w:id="83" w:name="_Toc2449"/>
      <w:r>
        <w:rPr>
          <w:rFonts w:hint="eastAsia" w:asciiTheme="minorEastAsia" w:hAnsiTheme="minorEastAsia" w:eastAsiaTheme="minorEastAsia"/>
          <w:b/>
          <w:color w:val="auto"/>
          <w:sz w:val="24"/>
          <w:highlight w:val="none"/>
        </w:rPr>
        <w:t>第一部分 合同书</w:t>
      </w:r>
      <w:bookmarkEnd w:id="82"/>
      <w:bookmarkEnd w:id="83"/>
    </w:p>
    <w:p w14:paraId="17514DEF">
      <w:pPr>
        <w:spacing w:line="480" w:lineRule="auto"/>
        <w:jc w:val="center"/>
        <w:rPr>
          <w:rFonts w:hint="eastAsia" w:cs="Times New Roman" w:asciiTheme="minorEastAsia" w:hAnsiTheme="minorEastAsia" w:eastAsiaTheme="minorEastAsia"/>
          <w:b/>
          <w:color w:val="auto"/>
          <w:sz w:val="24"/>
          <w:szCs w:val="24"/>
          <w:highlight w:val="none"/>
        </w:rPr>
      </w:pPr>
    </w:p>
    <w:p w14:paraId="5515E01F">
      <w:pPr>
        <w:spacing w:line="480" w:lineRule="auto"/>
        <w:jc w:val="center"/>
        <w:rPr>
          <w:rFonts w:hint="eastAsia" w:cs="Times New Roman" w:asciiTheme="minorEastAsia" w:hAnsiTheme="minorEastAsia" w:eastAsiaTheme="minorEastAsia"/>
          <w:b/>
          <w:color w:val="auto"/>
          <w:sz w:val="24"/>
          <w:szCs w:val="24"/>
          <w:highlight w:val="none"/>
        </w:rPr>
      </w:pPr>
    </w:p>
    <w:p w14:paraId="3B6AF21C">
      <w:pPr>
        <w:pStyle w:val="2"/>
        <w:rPr>
          <w:rFonts w:hint="eastAsia"/>
          <w:color w:val="auto"/>
          <w:highlight w:val="none"/>
        </w:rPr>
      </w:pPr>
    </w:p>
    <w:p w14:paraId="35FFEFBB">
      <w:pPr>
        <w:pStyle w:val="2"/>
        <w:rPr>
          <w:rFonts w:hint="eastAsia"/>
          <w:color w:val="auto"/>
          <w:highlight w:val="none"/>
        </w:rPr>
      </w:pPr>
    </w:p>
    <w:p w14:paraId="359F361A">
      <w:pPr>
        <w:spacing w:before="120" w:line="480" w:lineRule="auto"/>
        <w:ind w:left="960"/>
        <w:rPr>
          <w:rFonts w:hint="default" w:cs="Times New Roman" w:asciiTheme="minorEastAsia" w:hAnsiTheme="minorEastAsia" w:eastAsiaTheme="minorEastAsia"/>
          <w:color w:val="auto"/>
          <w:sz w:val="24"/>
          <w:szCs w:val="24"/>
          <w:highlight w:val="none"/>
          <w:u w:val="single"/>
          <w:lang w:val="en-US" w:eastAsia="zh-CN"/>
        </w:rPr>
      </w:pPr>
      <w:r>
        <w:rPr>
          <w:rFonts w:hint="eastAsia" w:cs="Times New Roman" w:asciiTheme="minorEastAsia" w:hAnsiTheme="minorEastAsia" w:eastAsiaTheme="minorEastAsia"/>
          <w:color w:val="auto"/>
          <w:sz w:val="24"/>
          <w:szCs w:val="24"/>
          <w:highlight w:val="none"/>
        </w:rPr>
        <w:t>项目名称：</w:t>
      </w:r>
      <w:r>
        <w:rPr>
          <w:rFonts w:hint="eastAsia" w:cs="Times New Roman" w:asciiTheme="minorEastAsia" w:hAnsiTheme="minorEastAsia" w:eastAsiaTheme="minorEastAsia"/>
          <w:color w:val="auto"/>
          <w:sz w:val="24"/>
          <w:szCs w:val="24"/>
          <w:highlight w:val="none"/>
          <w:u w:val="single"/>
          <w:lang w:val="en-US" w:eastAsia="zh-CN"/>
        </w:rPr>
        <w:t xml:space="preserve"> 滁州职业技术学院专业教学资源库教学资源建设项目 </w:t>
      </w:r>
    </w:p>
    <w:p w14:paraId="16414A90">
      <w:pPr>
        <w:spacing w:before="120" w:line="480" w:lineRule="auto"/>
        <w:ind w:left="960"/>
        <w:rPr>
          <w:rFonts w:hint="default" w:cs="Times New Roman" w:asciiTheme="minorEastAsia" w:hAnsiTheme="minorEastAsia" w:eastAsiaTheme="minorEastAsia"/>
          <w:color w:val="auto"/>
          <w:sz w:val="24"/>
          <w:szCs w:val="24"/>
          <w:highlight w:val="none"/>
          <w:u w:val="single"/>
          <w:lang w:eastAsia="zh-CN"/>
        </w:rPr>
      </w:pPr>
      <w:r>
        <w:rPr>
          <w:rFonts w:hint="eastAsia" w:cs="Times New Roman" w:asciiTheme="minorEastAsia" w:hAnsiTheme="minorEastAsia" w:eastAsiaTheme="minorEastAsia"/>
          <w:color w:val="auto"/>
          <w:sz w:val="24"/>
          <w:szCs w:val="24"/>
          <w:highlight w:val="none"/>
        </w:rPr>
        <w:t>项目编号：</w:t>
      </w:r>
    </w:p>
    <w:p w14:paraId="4E88260E">
      <w:pPr>
        <w:spacing w:before="120" w:line="480" w:lineRule="auto"/>
        <w:ind w:left="960"/>
        <w:rPr>
          <w:rFonts w:hint="eastAsia"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甲方（采购人）：</w:t>
      </w:r>
      <w:r>
        <w:rPr>
          <w:rFonts w:hint="eastAsia" w:cs="Times New Roman" w:asciiTheme="minorEastAsia" w:hAnsiTheme="minorEastAsia" w:eastAsiaTheme="minorEastAsia"/>
          <w:color w:val="auto"/>
          <w:sz w:val="24"/>
          <w:szCs w:val="24"/>
          <w:highlight w:val="none"/>
          <w:u w:val="single"/>
          <w:lang w:eastAsia="zh-CN"/>
        </w:rPr>
        <w:t>滁州职业技术学院</w:t>
      </w:r>
      <w:r>
        <w:rPr>
          <w:rFonts w:hint="eastAsia" w:cs="Times New Roman" w:asciiTheme="minorEastAsia" w:hAnsiTheme="minorEastAsia" w:eastAsiaTheme="minorEastAsia"/>
          <w:color w:val="auto"/>
          <w:sz w:val="24"/>
          <w:szCs w:val="24"/>
          <w:highlight w:val="none"/>
          <w:u w:val="single"/>
        </w:rPr>
        <w:t xml:space="preserve"> </w:t>
      </w:r>
    </w:p>
    <w:p w14:paraId="3739F005">
      <w:pPr>
        <w:spacing w:before="120" w:line="480" w:lineRule="auto"/>
        <w:ind w:left="960"/>
        <w:rPr>
          <w:rFonts w:hint="eastAsia"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p>
    <w:p w14:paraId="604D3FBD">
      <w:pPr>
        <w:spacing w:before="120" w:line="480" w:lineRule="auto"/>
        <w:ind w:left="960"/>
        <w:rPr>
          <w:rFonts w:hint="eastAsia"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签订地：</w:t>
      </w:r>
      <w:r>
        <w:rPr>
          <w:rFonts w:hint="eastAsia" w:cs="Times New Roman" w:asciiTheme="minorEastAsia" w:hAnsiTheme="minorEastAsia" w:eastAsiaTheme="minorEastAsia"/>
          <w:color w:val="auto"/>
          <w:sz w:val="24"/>
          <w:szCs w:val="24"/>
          <w:highlight w:val="none"/>
          <w:u w:val="single"/>
          <w:lang w:eastAsia="zh-CN"/>
        </w:rPr>
        <w:t>滁州职业技术学院</w:t>
      </w:r>
    </w:p>
    <w:p w14:paraId="34FFF58E">
      <w:pPr>
        <w:spacing w:before="120" w:line="480" w:lineRule="auto"/>
        <w:ind w:firstLine="960" w:firstLineChars="400"/>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签订日期：</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年</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月</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日</w:t>
      </w:r>
    </w:p>
    <w:bookmarkEnd w:id="77"/>
    <w:p w14:paraId="2B8E5468">
      <w:pPr>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u w:val="single"/>
          <w:lang w:eastAsia="zh-CN"/>
        </w:rPr>
        <w:br w:type="page"/>
      </w:r>
    </w:p>
    <w:p w14:paraId="37252002">
      <w:pPr>
        <w:keepNext w:val="0"/>
        <w:keepLines w:val="0"/>
        <w:pageBreakBefore w:val="0"/>
        <w:kinsoku/>
        <w:wordWrap/>
        <w:overflowPunct/>
        <w:topLinePunct w:val="0"/>
        <w:bidi w:val="0"/>
        <w:snapToGrid/>
        <w:spacing w:line="520" w:lineRule="exact"/>
        <w:ind w:firstLine="435"/>
        <w:textAlignment w:val="auto"/>
        <w:rPr>
          <w:rFonts w:hint="eastAsia"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szCs w:val="24"/>
          <w:highlight w:val="none"/>
          <w:u w:val="single"/>
          <w:lang w:eastAsia="zh-CN"/>
        </w:rPr>
        <w:t>滁州职业技术学院</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 xml:space="preserve">）通过 </w:t>
      </w:r>
      <w:r>
        <w:rPr>
          <w:rFonts w:hint="eastAsia" w:asciiTheme="minorEastAsia" w:hAnsiTheme="minorEastAsia" w:eastAsiaTheme="minorEastAsia"/>
          <w:color w:val="auto"/>
          <w:sz w:val="24"/>
          <w:highlight w:val="none"/>
          <w:u w:val="single"/>
          <w:lang w:val="en-US" w:eastAsia="zh-CN"/>
        </w:rPr>
        <w:t>滁州市政府采购中心</w:t>
      </w:r>
      <w:r>
        <w:rPr>
          <w:rFonts w:hint="eastAsia" w:asciiTheme="minorEastAsia" w:hAnsiTheme="minorEastAsia" w:eastAsiaTheme="minorEastAsia"/>
          <w:color w:val="auto"/>
          <w:sz w:val="24"/>
          <w:highlight w:val="none"/>
        </w:rPr>
        <w:t>组织的</w:t>
      </w:r>
      <w:r>
        <w:rPr>
          <w:rFonts w:hint="eastAsia" w:asciiTheme="minorEastAsia" w:hAnsiTheme="minorEastAsia" w:eastAsiaTheme="minorEastAsia"/>
          <w:color w:val="auto"/>
          <w:sz w:val="24"/>
          <w:highlight w:val="none"/>
          <w:u w:val="single"/>
        </w:rPr>
        <w:t>公开招标</w:t>
      </w:r>
      <w:r>
        <w:rPr>
          <w:rFonts w:hint="eastAsia" w:asciiTheme="minorEastAsia" w:hAnsiTheme="minorEastAsia" w:eastAsiaTheme="minorEastAsia"/>
          <w:color w:val="auto"/>
          <w:sz w:val="24"/>
          <w:highlight w:val="none"/>
        </w:rPr>
        <w:t>方式采购活动，经</w:t>
      </w:r>
      <w:r>
        <w:rPr>
          <w:rFonts w:hint="eastAsia" w:asciiTheme="minorEastAsia" w:hAnsiTheme="minorEastAsia" w:eastAsiaTheme="minorEastAsia"/>
          <w:color w:val="auto"/>
          <w:sz w:val="24"/>
          <w:highlight w:val="none"/>
          <w:u w:val="single"/>
        </w:rPr>
        <w:t>评标委员会</w:t>
      </w:r>
      <w:r>
        <w:rPr>
          <w:rFonts w:hint="eastAsia" w:asciiTheme="minorEastAsia" w:hAnsiTheme="minorEastAsia" w:eastAsiaTheme="minorEastAsia"/>
          <w:color w:val="auto"/>
          <w:sz w:val="24"/>
          <w:highlight w:val="none"/>
        </w:rPr>
        <w:t>评定，</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）为本项目中标人，现按照采购文件确定的事项签订本合同。</w:t>
      </w:r>
    </w:p>
    <w:p w14:paraId="7239D95E">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62D68C9B">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84" w:name="_Toc24059"/>
      <w:bookmarkStart w:id="85" w:name="_Toc3029"/>
      <w:bookmarkStart w:id="86" w:name="_Toc2232"/>
      <w:r>
        <w:rPr>
          <w:rFonts w:hint="eastAsia" w:cs="Times New Roman" w:asciiTheme="minorEastAsia" w:hAnsiTheme="minorEastAsia" w:eastAsiaTheme="minorEastAsia"/>
          <w:b/>
          <w:bCs/>
          <w:color w:val="auto"/>
          <w:sz w:val="24"/>
          <w:szCs w:val="24"/>
          <w:highlight w:val="none"/>
          <w:lang w:val="zh-CN"/>
        </w:rPr>
        <w:t>1.1</w:t>
      </w:r>
      <w:r>
        <w:rPr>
          <w:rFonts w:cs="Times New Roman" w:asciiTheme="minorEastAsia" w:hAnsiTheme="minorEastAsia" w:eastAsiaTheme="minorEastAsia"/>
          <w:b/>
          <w:bCs/>
          <w:color w:val="auto"/>
          <w:sz w:val="24"/>
          <w:szCs w:val="24"/>
          <w:highlight w:val="none"/>
          <w:lang w:val="zh-CN"/>
        </w:rPr>
        <w:t xml:space="preserve"> </w:t>
      </w:r>
      <w:r>
        <w:rPr>
          <w:rFonts w:hint="eastAsia" w:cs="Times New Roman" w:asciiTheme="minorEastAsia" w:hAnsiTheme="minorEastAsia" w:eastAsiaTheme="minorEastAsia"/>
          <w:b/>
          <w:bCs/>
          <w:color w:val="auto"/>
          <w:sz w:val="24"/>
          <w:szCs w:val="24"/>
          <w:highlight w:val="none"/>
          <w:lang w:val="zh-CN"/>
        </w:rPr>
        <w:t>合同组成部分</w:t>
      </w:r>
      <w:bookmarkEnd w:id="84"/>
      <w:bookmarkEnd w:id="85"/>
      <w:bookmarkEnd w:id="86"/>
    </w:p>
    <w:p w14:paraId="49AA4FB0">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BBA2DEB">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1.1.1本合同及其补充合同、变更协议；</w:t>
      </w:r>
    </w:p>
    <w:p w14:paraId="46C6E554">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1.1.2中标通知书；</w:t>
      </w:r>
    </w:p>
    <w:p w14:paraId="517EF9A2">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1.1.3投标文件（含澄清或者说明文件）；</w:t>
      </w:r>
    </w:p>
    <w:p w14:paraId="6F376496">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1.1.4招标文件（含澄清或者修改文件）；</w:t>
      </w:r>
    </w:p>
    <w:p w14:paraId="5DAEF033">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1.1.5其他相关采购文件（</w:t>
      </w:r>
      <w:r>
        <w:rPr>
          <w:rFonts w:hint="eastAsia" w:cs="Times New Roman" w:asciiTheme="minorEastAsia" w:hAnsiTheme="minorEastAsia" w:eastAsiaTheme="minorEastAsia"/>
          <w:color w:val="auto"/>
          <w:sz w:val="24"/>
          <w:szCs w:val="24"/>
          <w:highlight w:val="none"/>
          <w:lang w:val="en-US" w:eastAsia="zh-CN"/>
        </w:rPr>
        <w:t>建设方案等）</w:t>
      </w:r>
      <w:r>
        <w:rPr>
          <w:rFonts w:hint="eastAsia" w:cs="Times New Roman" w:asciiTheme="minorEastAsia" w:hAnsiTheme="minorEastAsia" w:eastAsiaTheme="minorEastAsia"/>
          <w:color w:val="auto"/>
          <w:sz w:val="24"/>
          <w:szCs w:val="24"/>
          <w:highlight w:val="none"/>
          <w:lang w:val="zh-CN"/>
        </w:rPr>
        <w:t>。</w:t>
      </w:r>
    </w:p>
    <w:p w14:paraId="6F42B877">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87" w:name="_Toc22185"/>
      <w:bookmarkStart w:id="88" w:name="_Toc6311"/>
      <w:bookmarkStart w:id="89" w:name="_Toc18585"/>
      <w:bookmarkStart w:id="90" w:name="_Toc6773"/>
      <w:bookmarkStart w:id="91" w:name="_Toc2918"/>
      <w:r>
        <w:rPr>
          <w:rFonts w:hint="eastAsia" w:cs="Times New Roman" w:asciiTheme="minorEastAsia" w:hAnsiTheme="minorEastAsia" w:eastAsiaTheme="minorEastAsia"/>
          <w:b/>
          <w:bCs/>
          <w:color w:val="auto"/>
          <w:sz w:val="24"/>
          <w:szCs w:val="24"/>
          <w:highlight w:val="none"/>
          <w:lang w:val="zh-CN"/>
        </w:rPr>
        <w:t xml:space="preserve">1.2 </w:t>
      </w:r>
      <w:bookmarkEnd w:id="87"/>
      <w:bookmarkEnd w:id="88"/>
      <w:bookmarkEnd w:id="89"/>
      <w:bookmarkEnd w:id="90"/>
      <w:bookmarkEnd w:id="91"/>
      <w:r>
        <w:rPr>
          <w:rFonts w:hint="eastAsia" w:cs="Times New Roman" w:asciiTheme="minorEastAsia" w:hAnsiTheme="minorEastAsia" w:eastAsiaTheme="minorEastAsia"/>
          <w:b/>
          <w:bCs/>
          <w:color w:val="auto"/>
          <w:sz w:val="24"/>
          <w:szCs w:val="24"/>
          <w:highlight w:val="none"/>
          <w:lang w:val="zh-CN"/>
        </w:rPr>
        <w:t>服务</w:t>
      </w:r>
    </w:p>
    <w:p w14:paraId="5854A5C6">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1.2.1服务</w:t>
      </w:r>
      <w:r>
        <w:rPr>
          <w:rFonts w:cs="Times New Roman" w:asciiTheme="minorEastAsia" w:hAnsiTheme="minorEastAsia" w:eastAsiaTheme="minorEastAsia"/>
          <w:color w:val="auto"/>
          <w:sz w:val="24"/>
          <w:szCs w:val="24"/>
          <w:highlight w:val="none"/>
        </w:rPr>
        <w:t>名称：</w:t>
      </w:r>
      <w:r>
        <w:rPr>
          <w:rFonts w:hint="eastAsia" w:cs="Times New Roman" w:asciiTheme="minorEastAsia" w:hAnsiTheme="minorEastAsia" w:eastAsiaTheme="minorEastAsia"/>
          <w:color w:val="auto"/>
          <w:sz w:val="24"/>
          <w:szCs w:val="24"/>
          <w:highlight w:val="none"/>
          <w:u w:val="single"/>
          <w:lang w:val="en-US" w:eastAsia="zh-CN"/>
        </w:rPr>
        <w:t xml:space="preserve">滁州职业技术学院专业教学资源库教学资源建设项目 </w:t>
      </w:r>
      <w:r>
        <w:rPr>
          <w:rFonts w:hint="eastAsia" w:cs="Times New Roman" w:asciiTheme="minorEastAsia" w:hAnsiTheme="minorEastAsia" w:eastAsiaTheme="minorEastAsia"/>
          <w:color w:val="auto"/>
          <w:sz w:val="24"/>
          <w:szCs w:val="24"/>
          <w:highlight w:val="none"/>
        </w:rPr>
        <w:t>；</w:t>
      </w:r>
    </w:p>
    <w:p w14:paraId="55EC4FA7">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1.2.2服务内容</w:t>
      </w:r>
      <w:r>
        <w:rPr>
          <w:rFonts w:cs="Times New Roman" w:asciiTheme="minorEastAsia" w:hAnsiTheme="minorEastAsia" w:eastAsiaTheme="minorEastAsia"/>
          <w:color w:val="auto"/>
          <w:sz w:val="24"/>
          <w:szCs w:val="24"/>
          <w:highlight w:val="none"/>
        </w:rPr>
        <w:t>：</w:t>
      </w:r>
      <w:r>
        <w:rPr>
          <w:rFonts w:hint="eastAsia" w:ascii="宋体" w:hAnsi="宋体" w:eastAsia="宋体" w:cs="宋体"/>
          <w:color w:val="auto"/>
          <w:sz w:val="24"/>
          <w:highlight w:val="none"/>
          <w:u w:val="single"/>
        </w:rPr>
        <w:t>招标文件第三章采购需求全部内容</w:t>
      </w:r>
      <w:r>
        <w:rPr>
          <w:rFonts w:hint="eastAsia" w:cs="Times New Roman" w:asciiTheme="minorEastAsia" w:hAnsiTheme="minorEastAsia" w:eastAsiaTheme="minorEastAsia"/>
          <w:color w:val="auto"/>
          <w:sz w:val="24"/>
          <w:szCs w:val="24"/>
          <w:highlight w:val="none"/>
          <w:u w:val="single"/>
          <w:lang w:val="en-US" w:eastAsia="zh-CN"/>
        </w:rPr>
        <w:t xml:space="preserve"> </w:t>
      </w:r>
      <w:r>
        <w:rPr>
          <w:rFonts w:hint="eastAsia" w:cs="Times New Roman" w:asciiTheme="minorEastAsia" w:hAnsiTheme="minorEastAsia" w:eastAsiaTheme="minorEastAsia"/>
          <w:color w:val="auto"/>
          <w:sz w:val="24"/>
          <w:szCs w:val="24"/>
          <w:highlight w:val="none"/>
        </w:rPr>
        <w:t>；</w:t>
      </w:r>
    </w:p>
    <w:p w14:paraId="0E3D8714">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1.2.3服务质量：</w:t>
      </w:r>
      <w:r>
        <w:rPr>
          <w:rFonts w:hint="eastAsia" w:ascii="宋体" w:hAnsi="宋体" w:eastAsia="宋体" w:cs="宋体"/>
          <w:color w:val="auto"/>
          <w:sz w:val="24"/>
          <w:highlight w:val="none"/>
          <w:u w:val="single"/>
          <w:lang w:val="en-US" w:eastAsia="zh-CN"/>
        </w:rPr>
        <w:t>达到合同要求的标准</w:t>
      </w:r>
      <w:r>
        <w:rPr>
          <w:rFonts w:hint="eastAsia" w:cs="Times New Roman" w:asciiTheme="minorEastAsia" w:hAnsiTheme="minorEastAsia" w:eastAsiaTheme="minorEastAsia"/>
          <w:color w:val="auto"/>
          <w:sz w:val="24"/>
          <w:szCs w:val="24"/>
          <w:highlight w:val="none"/>
        </w:rPr>
        <w:t>。</w:t>
      </w:r>
    </w:p>
    <w:p w14:paraId="474EE6D0">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92" w:name="_Toc21631"/>
      <w:bookmarkStart w:id="93" w:name="_Toc23292"/>
      <w:bookmarkStart w:id="94" w:name="_Toc21551"/>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 xml:space="preserve">3 </w:t>
      </w:r>
      <w:r>
        <w:rPr>
          <w:rFonts w:hint="eastAsia" w:cs="Times New Roman" w:asciiTheme="minorEastAsia" w:hAnsiTheme="minorEastAsia" w:eastAsiaTheme="minorEastAsia"/>
          <w:b/>
          <w:bCs/>
          <w:color w:val="auto"/>
          <w:sz w:val="24"/>
          <w:szCs w:val="24"/>
          <w:highlight w:val="none"/>
          <w:lang w:val="zh-CN"/>
        </w:rPr>
        <w:t>价款</w:t>
      </w:r>
      <w:bookmarkEnd w:id="92"/>
      <w:bookmarkEnd w:id="93"/>
      <w:bookmarkEnd w:id="94"/>
    </w:p>
    <w:p w14:paraId="40DF4282">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本合同总价为</w:t>
      </w:r>
      <w:r>
        <w:rPr>
          <w:rFonts w:hint="eastAsia"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rPr>
        <w:t>元</w:t>
      </w:r>
      <w:r>
        <w:rPr>
          <w:rFonts w:hint="eastAsia" w:cs="Times New Roman" w:asciiTheme="minorEastAsia" w:hAnsiTheme="minorEastAsia" w:eastAsiaTheme="minorEastAsia"/>
          <w:color w:val="auto"/>
          <w:sz w:val="24"/>
          <w:szCs w:val="24"/>
          <w:highlight w:val="none"/>
        </w:rPr>
        <w:t>（大写：人民币</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元）</w:t>
      </w:r>
    </w:p>
    <w:p w14:paraId="5CB2DB2B">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95" w:name="_Toc10340"/>
      <w:bookmarkStart w:id="96" w:name="_Toc1814"/>
      <w:bookmarkStart w:id="97" w:name="_Toc22618"/>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4 付款方式和发票开具方式</w:t>
      </w:r>
      <w:bookmarkEnd w:id="95"/>
      <w:bookmarkEnd w:id="96"/>
      <w:bookmarkEnd w:id="97"/>
    </w:p>
    <w:p w14:paraId="1A0E017D">
      <w:pPr>
        <w:pStyle w:val="60"/>
        <w:pageBreakBefore w:val="0"/>
        <w:widowControl w:val="0"/>
        <w:kinsoku/>
        <w:wordWrap/>
        <w:overflowPunct/>
        <w:topLinePunct w:val="0"/>
        <w:autoSpaceDE/>
        <w:autoSpaceDN/>
        <w:bidi w:val="0"/>
        <w:adjustRightInd/>
        <w:snapToGrid/>
        <w:spacing w:before="0" w:beforeAutospacing="0" w:after="0" w:afterAutospacing="0" w:line="520" w:lineRule="exact"/>
        <w:ind w:firstLine="482" w:firstLineChars="200"/>
        <w:jc w:val="both"/>
        <w:rPr>
          <w:rFonts w:hint="eastAsia" w:ascii="宋体" w:hAnsi="宋体" w:eastAsia="宋体" w:cs="宋体"/>
          <w:b w:val="0"/>
          <w:bCs w:val="0"/>
          <w:color w:val="auto"/>
          <w:kern w:val="2"/>
          <w:sz w:val="24"/>
          <w:szCs w:val="24"/>
          <w:highlight w:val="none"/>
          <w:u w:val="single"/>
          <w:lang w:val="en-US" w:eastAsia="zh-CN" w:bidi="ar-SA"/>
        </w:rPr>
      </w:pPr>
      <w:r>
        <w:rPr>
          <w:rFonts w:hint="eastAsia" w:cs="Times New Roman" w:asciiTheme="minorEastAsia" w:hAnsiTheme="minorEastAsia" w:eastAsiaTheme="minorEastAsia"/>
          <w:color w:val="auto"/>
          <w:sz w:val="24"/>
          <w:szCs w:val="24"/>
          <w:highlight w:val="none"/>
        </w:rPr>
        <w:t>1.4.1</w:t>
      </w:r>
      <w:r>
        <w:rPr>
          <w:rFonts w:cs="Times New Roman" w:asciiTheme="minorEastAsia" w:hAnsiTheme="minorEastAsia" w:eastAsiaTheme="minorEastAsia"/>
          <w:color w:val="auto"/>
          <w:sz w:val="24"/>
          <w:szCs w:val="24"/>
          <w:highlight w:val="none"/>
        </w:rPr>
        <w:t>付款方式：</w:t>
      </w:r>
      <w:r>
        <w:rPr>
          <w:rFonts w:hint="eastAsia" w:ascii="宋体" w:hAnsi="宋体" w:eastAsia="宋体"/>
          <w:b w:val="0"/>
          <w:color w:val="auto"/>
          <w:sz w:val="24"/>
          <w:highlight w:val="none"/>
          <w:lang w:val="en-US" w:eastAsia="zh-CN"/>
        </w:rPr>
        <w:t>合同签订生效并具备实施条件后支付合同金额的40%预付款（预付款支付前，中标人须提供等额的见索即付预付款保函），所有资源制作完成并通过验收后，支付剩余合同价款。</w:t>
      </w:r>
    </w:p>
    <w:p w14:paraId="6D5DEB51">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1.4.2发票开具方式：</w:t>
      </w:r>
      <w:bookmarkStart w:id="98" w:name="OLE_LINK8"/>
      <w:r>
        <w:rPr>
          <w:rFonts w:hint="eastAsia" w:ascii="宋体" w:hAnsi="宋体" w:eastAsia="宋体" w:cs="宋体"/>
          <w:color w:val="auto"/>
          <w:sz w:val="24"/>
          <w:szCs w:val="24"/>
          <w:highlight w:val="none"/>
          <w:u w:val="single"/>
        </w:rPr>
        <w:t>开具符合要求的发票</w:t>
      </w:r>
      <w:r>
        <w:rPr>
          <w:rFonts w:hint="eastAsia" w:cs="Times New Roman" w:asciiTheme="minorEastAsia" w:hAnsiTheme="minorEastAsia" w:eastAsiaTheme="minorEastAsia"/>
          <w:color w:val="auto"/>
          <w:sz w:val="24"/>
          <w:szCs w:val="24"/>
          <w:highlight w:val="none"/>
        </w:rPr>
        <w:t>。</w:t>
      </w:r>
      <w:bookmarkEnd w:id="98"/>
    </w:p>
    <w:p w14:paraId="4AA03EC0">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99" w:name="_Toc2846"/>
      <w:bookmarkStart w:id="100" w:name="_Toc32071"/>
      <w:bookmarkStart w:id="101" w:name="_Toc19304"/>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 xml:space="preserve">5 </w:t>
      </w:r>
      <w:r>
        <w:rPr>
          <w:rFonts w:hint="eastAsia" w:cs="Times New Roman" w:asciiTheme="minorEastAsia" w:hAnsiTheme="minorEastAsia" w:eastAsiaTheme="minorEastAsia"/>
          <w:b/>
          <w:bCs/>
          <w:color w:val="auto"/>
          <w:sz w:val="24"/>
          <w:szCs w:val="24"/>
          <w:highlight w:val="none"/>
          <w:lang w:val="zh-CN"/>
        </w:rPr>
        <w:t>服务</w:t>
      </w:r>
      <w:r>
        <w:rPr>
          <w:rFonts w:cs="Times New Roman" w:asciiTheme="minorEastAsia" w:hAnsiTheme="minorEastAsia" w:eastAsiaTheme="minorEastAsia"/>
          <w:b/>
          <w:bCs/>
          <w:color w:val="auto"/>
          <w:sz w:val="24"/>
          <w:szCs w:val="24"/>
          <w:highlight w:val="none"/>
          <w:lang w:val="zh-CN"/>
        </w:rPr>
        <w:t>期限</w:t>
      </w:r>
      <w:r>
        <w:rPr>
          <w:rFonts w:hint="eastAsia" w:cs="Times New Roman" w:asciiTheme="minorEastAsia" w:hAnsiTheme="minorEastAsia" w:eastAsiaTheme="minorEastAsia"/>
          <w:b/>
          <w:bCs/>
          <w:color w:val="auto"/>
          <w:sz w:val="24"/>
          <w:szCs w:val="24"/>
          <w:highlight w:val="none"/>
          <w:lang w:val="zh-CN"/>
        </w:rPr>
        <w:t>、地点和方式</w:t>
      </w:r>
      <w:bookmarkEnd w:id="99"/>
      <w:bookmarkEnd w:id="100"/>
      <w:bookmarkEnd w:id="101"/>
    </w:p>
    <w:p w14:paraId="2C7B54F0">
      <w:pPr>
        <w:keepNext w:val="0"/>
        <w:keepLines w:val="0"/>
        <w:pageBreakBefore w:val="0"/>
        <w:kinsoku/>
        <w:wordWrap/>
        <w:overflowPunct/>
        <w:topLinePunct w:val="0"/>
        <w:bidi w:val="0"/>
        <w:snapToGrid/>
        <w:spacing w:line="520" w:lineRule="exact"/>
        <w:ind w:firstLine="435"/>
        <w:textAlignment w:val="auto"/>
        <w:rPr>
          <w:rFonts w:hint="eastAsia" w:ascii="宋体" w:hAnsi="宋体" w:cs="宋体" w:eastAsiaTheme="minorEastAsia"/>
          <w:color w:val="auto"/>
          <w:sz w:val="24"/>
          <w:szCs w:val="24"/>
          <w:highlight w:val="none"/>
          <w:u w:val="single"/>
          <w:lang w:val="en-US" w:eastAsia="zh-CN"/>
        </w:rPr>
      </w:pPr>
      <w:r>
        <w:rPr>
          <w:rFonts w:hint="eastAsia" w:cs="Times New Roman" w:asciiTheme="minorEastAsia" w:hAnsiTheme="minorEastAsia" w:eastAsiaTheme="minorEastAsia"/>
          <w:color w:val="auto"/>
          <w:sz w:val="24"/>
          <w:szCs w:val="24"/>
          <w:highlight w:val="none"/>
        </w:rPr>
        <w:t>1.5.1服务期限</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合同签订后所有课程在1年内完成制作并上线平台</w:t>
      </w:r>
      <w:r>
        <w:rPr>
          <w:rFonts w:hint="eastAsia" w:cs="Times New Roman" w:asciiTheme="minorEastAsia" w:hAnsiTheme="minorEastAsia" w:eastAsiaTheme="minorEastAsia"/>
          <w:color w:val="auto"/>
          <w:sz w:val="24"/>
          <w:szCs w:val="24"/>
          <w:highlight w:val="none"/>
          <w:u w:val="single"/>
          <w:lang w:eastAsia="zh-CN"/>
        </w:rPr>
        <w:t>；</w:t>
      </w:r>
    </w:p>
    <w:p w14:paraId="149616C9">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1.5.2服务地点</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lang w:val="en-US" w:eastAsia="zh-CN"/>
        </w:rPr>
        <w:t>滁州市内，采购人指定地点</w:t>
      </w:r>
      <w:r>
        <w:rPr>
          <w:rFonts w:hint="eastAsia" w:cs="Times New Roman" w:asciiTheme="minorEastAsia" w:hAnsiTheme="minorEastAsia" w:eastAsiaTheme="minorEastAsia"/>
          <w:color w:val="auto"/>
          <w:sz w:val="24"/>
          <w:szCs w:val="24"/>
          <w:highlight w:val="none"/>
          <w:u w:val="single"/>
        </w:rPr>
        <w:t>；</w:t>
      </w:r>
    </w:p>
    <w:p w14:paraId="0D1193EF">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1.5.3服务方式：</w:t>
      </w:r>
      <w:r>
        <w:rPr>
          <w:rFonts w:hint="eastAsia" w:cs="Times New Roman" w:asciiTheme="minorEastAsia" w:hAnsiTheme="minorEastAsia" w:eastAsiaTheme="minorEastAsia"/>
          <w:color w:val="auto"/>
          <w:sz w:val="24"/>
          <w:szCs w:val="24"/>
          <w:highlight w:val="none"/>
          <w:u w:val="single"/>
        </w:rPr>
        <w:t>甲方指定方式</w:t>
      </w:r>
      <w:r>
        <w:rPr>
          <w:rFonts w:hint="eastAsia" w:cs="Times New Roman" w:asciiTheme="minorEastAsia" w:hAnsiTheme="minorEastAsia" w:eastAsiaTheme="minorEastAsia"/>
          <w:color w:val="auto"/>
          <w:sz w:val="24"/>
          <w:szCs w:val="24"/>
          <w:highlight w:val="none"/>
        </w:rPr>
        <w:t>。</w:t>
      </w:r>
    </w:p>
    <w:p w14:paraId="0036F0FD">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102" w:name="_Toc21423"/>
      <w:bookmarkStart w:id="103" w:name="_Toc19554"/>
      <w:bookmarkStart w:id="104" w:name="_Toc27250"/>
      <w:r>
        <w:rPr>
          <w:rFonts w:hint="eastAsia" w:cs="Times New Roman" w:asciiTheme="minorEastAsia" w:hAnsiTheme="minorEastAsia" w:eastAsiaTheme="minorEastAsia"/>
          <w:b/>
          <w:bCs/>
          <w:color w:val="auto"/>
          <w:sz w:val="24"/>
          <w:szCs w:val="24"/>
          <w:highlight w:val="none"/>
          <w:lang w:val="zh-CN"/>
        </w:rPr>
        <w:t>1.6 违约责任</w:t>
      </w:r>
      <w:bookmarkEnd w:id="102"/>
      <w:bookmarkEnd w:id="103"/>
      <w:bookmarkEnd w:id="104"/>
    </w:p>
    <w:p w14:paraId="00D85D2F">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1.6.1除不可抗力外，如果乙方没有按照本合同约定的期限、地点和方式履行，那么甲方可要求乙方支付违约金，违约金按每迟延履行一日的应提供而未提供服务价格的0.1 %计算，最高限额为本合同总价的10%；迟延履行的违约金计算数额达到前述最高限额之日起，甲方有权在要求乙方支付违约金的同时，书面通知乙方解除本合同；</w:t>
      </w:r>
    </w:p>
    <w:p w14:paraId="7B46245D">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1.6.2除不可抗力外，如果甲方没有按照本合同约定的付款方式付款，那么乙方可要求甲方支付违约金，违约金按每迟延付款一日的应付而未付款的0.1 %计算，最高限额为本合同总价的10%；迟延付款的违约金计算数额达到前述最高限额之日起，乙方有权在要求甲方支付违约金的同时，书面通知甲方解除本合同；</w:t>
      </w:r>
    </w:p>
    <w:p w14:paraId="7D8BB601">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0D1FBC">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AE8405">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E6CF46">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41C3917F">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1.6.7因甲方未按合同约定支付价款、未按合同约定受领标的物、擅自解除合同</w:t>
      </w:r>
      <w:r>
        <w:rPr>
          <w:rFonts w:hint="eastAsia" w:cs="Times New Roman" w:asciiTheme="minorEastAsia" w:hAnsiTheme="minorEastAsia" w:eastAsiaTheme="minorEastAsia"/>
          <w:color w:val="auto"/>
          <w:sz w:val="24"/>
          <w:szCs w:val="24"/>
          <w:highlight w:val="none"/>
        </w:rPr>
        <w:t>、逾期退还履约保证金</w:t>
      </w:r>
      <w:r>
        <w:rPr>
          <w:rFonts w:cs="Times New Roman" w:asciiTheme="minorEastAsia" w:hAnsiTheme="minorEastAsia" w:eastAsiaTheme="minorEastAsia"/>
          <w:color w:val="auto"/>
          <w:sz w:val="24"/>
          <w:szCs w:val="24"/>
          <w:highlight w:val="none"/>
        </w:rPr>
        <w:t>导致乙方遭受的直接损失，乙方可向甲方申请赔偿，赔偿金额由双方协商一致；</w:t>
      </w:r>
      <w:r>
        <w:rPr>
          <w:rFonts w:hint="eastAsia" w:cs="Times New Roman" w:asciiTheme="minorEastAsia" w:hAnsiTheme="minorEastAsia" w:eastAsiaTheme="minorEastAsia"/>
          <w:color w:val="auto"/>
          <w:sz w:val="24"/>
          <w:szCs w:val="24"/>
          <w:highlight w:val="none"/>
        </w:rPr>
        <w:t>针对因政策变化等原因不能签订合同或解除合同时，造成乙方合法利益受损的情形，可以给予乙方合理补偿，补偿金额不得超过乙方的直接损失。</w:t>
      </w:r>
    </w:p>
    <w:p w14:paraId="62AB20D7">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105" w:name="_Toc15583"/>
      <w:bookmarkStart w:id="106" w:name="_Toc16021"/>
      <w:bookmarkStart w:id="107" w:name="_Toc28375"/>
      <w:r>
        <w:rPr>
          <w:rFonts w:hint="eastAsia" w:cs="Times New Roman" w:asciiTheme="minorEastAsia" w:hAnsiTheme="minorEastAsia" w:eastAsiaTheme="minorEastAsia"/>
          <w:b/>
          <w:bCs/>
          <w:color w:val="auto"/>
          <w:sz w:val="24"/>
          <w:szCs w:val="24"/>
          <w:highlight w:val="none"/>
          <w:lang w:val="zh-CN"/>
        </w:rPr>
        <w:t>1.7</w:t>
      </w:r>
      <w:r>
        <w:rPr>
          <w:rFonts w:cs="Times New Roman" w:asciiTheme="minorEastAsia" w:hAnsiTheme="minorEastAsia" w:eastAsiaTheme="minorEastAsia"/>
          <w:b/>
          <w:bCs/>
          <w:color w:val="auto"/>
          <w:sz w:val="24"/>
          <w:szCs w:val="24"/>
          <w:highlight w:val="none"/>
          <w:lang w:val="zh-CN"/>
        </w:rPr>
        <w:t xml:space="preserve"> </w:t>
      </w:r>
      <w:r>
        <w:rPr>
          <w:rFonts w:hint="eastAsia" w:cs="Times New Roman" w:asciiTheme="minorEastAsia" w:hAnsiTheme="minorEastAsia" w:eastAsiaTheme="minorEastAsia"/>
          <w:b/>
          <w:bCs/>
          <w:color w:val="auto"/>
          <w:sz w:val="24"/>
          <w:szCs w:val="24"/>
          <w:highlight w:val="none"/>
          <w:lang w:val="zh-CN"/>
        </w:rPr>
        <w:t>合同</w:t>
      </w:r>
      <w:r>
        <w:rPr>
          <w:rFonts w:cs="Times New Roman" w:asciiTheme="minorEastAsia" w:hAnsiTheme="minorEastAsia" w:eastAsiaTheme="minorEastAsia"/>
          <w:b/>
          <w:bCs/>
          <w:color w:val="auto"/>
          <w:sz w:val="24"/>
          <w:szCs w:val="24"/>
          <w:highlight w:val="none"/>
          <w:lang w:val="zh-CN"/>
        </w:rPr>
        <w:t>争议的解决</w:t>
      </w:r>
      <w:bookmarkEnd w:id="105"/>
      <w:bookmarkEnd w:id="106"/>
      <w:bookmarkEnd w:id="107"/>
    </w:p>
    <w:p w14:paraId="4ABC3A16">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本合</w:t>
      </w:r>
      <w:r>
        <w:rPr>
          <w:rFonts w:cs="Times New Roman" w:asciiTheme="minorEastAsia" w:hAnsiTheme="minorEastAsia" w:eastAsiaTheme="minorEastAsia"/>
          <w:color w:val="auto"/>
          <w:sz w:val="24"/>
          <w:szCs w:val="24"/>
          <w:highlight w:val="none"/>
        </w:rPr>
        <w:t>同履行过程中发生的任何争议，双方当事人均可</w:t>
      </w:r>
      <w:r>
        <w:rPr>
          <w:rFonts w:hint="eastAsia" w:cs="Times New Roman" w:asciiTheme="minorEastAsia" w:hAnsiTheme="minorEastAsia" w:eastAsiaTheme="minorEastAsia"/>
          <w:color w:val="auto"/>
          <w:sz w:val="24"/>
          <w:szCs w:val="24"/>
          <w:highlight w:val="none"/>
        </w:rPr>
        <w:t>通过和解或者调解解决；不愿和解、调解或者和解、调解不成的，可以选择下列第</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种方式解决：</w:t>
      </w:r>
    </w:p>
    <w:p w14:paraId="597AE7DE">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（1）将争议提交</w:t>
      </w:r>
      <w:r>
        <w:rPr>
          <w:rFonts w:hint="eastAsia" w:cs="Times New Roman" w:asciiTheme="minorEastAsia" w:hAnsiTheme="minorEastAsia" w:eastAsiaTheme="minorEastAsia"/>
          <w:color w:val="auto"/>
          <w:sz w:val="24"/>
          <w:szCs w:val="24"/>
          <w:highlight w:val="none"/>
          <w:u w:val="single"/>
        </w:rPr>
        <w:t xml:space="preserve">  滁州    </w:t>
      </w:r>
      <w:r>
        <w:rPr>
          <w:rFonts w:hint="eastAsia" w:cs="Times New Roman" w:asciiTheme="minorEastAsia" w:hAnsiTheme="minorEastAsia" w:eastAsiaTheme="minorEastAsia"/>
          <w:color w:val="auto"/>
          <w:sz w:val="24"/>
          <w:szCs w:val="24"/>
          <w:highlight w:val="none"/>
        </w:rPr>
        <w:t>仲裁委员会依申请仲裁时其现行有效的仲裁规则裁决；</w:t>
      </w:r>
    </w:p>
    <w:p w14:paraId="1211B59F">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（2）向</w:t>
      </w:r>
      <w:r>
        <w:rPr>
          <w:rFonts w:hint="eastAsia" w:cs="Times New Roman" w:asciiTheme="minorEastAsia" w:hAnsiTheme="minorEastAsia" w:eastAsiaTheme="minorEastAsia"/>
          <w:color w:val="auto"/>
          <w:sz w:val="24"/>
          <w:szCs w:val="24"/>
          <w:highlight w:val="none"/>
          <w:u w:val="single"/>
        </w:rPr>
        <w:t xml:space="preserve">  甲方（采购人） </w:t>
      </w:r>
      <w:r>
        <w:rPr>
          <w:rFonts w:hint="eastAsia" w:cs="Times New Roman" w:asciiTheme="minorEastAsia" w:hAnsiTheme="minorEastAsia" w:eastAsiaTheme="minorEastAsia"/>
          <w:color w:val="auto"/>
          <w:sz w:val="24"/>
          <w:szCs w:val="24"/>
          <w:highlight w:val="none"/>
        </w:rPr>
        <w:t>人民法院起诉。</w:t>
      </w:r>
    </w:p>
    <w:p w14:paraId="1C708517">
      <w:pPr>
        <w:keepNext w:val="0"/>
        <w:keepLines w:val="0"/>
        <w:pageBreakBefore w:val="0"/>
        <w:kinsoku/>
        <w:wordWrap/>
        <w:overflowPunct/>
        <w:topLinePunct w:val="0"/>
        <w:bidi w:val="0"/>
        <w:snapToGrid/>
        <w:spacing w:line="520" w:lineRule="exact"/>
        <w:ind w:firstLine="437"/>
        <w:textAlignment w:val="auto"/>
        <w:outlineLvl w:val="2"/>
        <w:rPr>
          <w:rFonts w:hint="eastAsia" w:cs="Times New Roman" w:asciiTheme="minorEastAsia" w:hAnsiTheme="minorEastAsia" w:eastAsiaTheme="minorEastAsia"/>
          <w:b/>
          <w:bCs/>
          <w:color w:val="auto"/>
          <w:sz w:val="24"/>
          <w:szCs w:val="24"/>
          <w:highlight w:val="none"/>
          <w:lang w:val="zh-CN"/>
        </w:rPr>
      </w:pPr>
      <w:bookmarkStart w:id="108" w:name="_Toc7245"/>
      <w:bookmarkStart w:id="109" w:name="_Toc11173"/>
      <w:bookmarkStart w:id="110" w:name="_Toc15322"/>
      <w:r>
        <w:rPr>
          <w:rFonts w:hint="eastAsia" w:cs="Times New Roman" w:asciiTheme="minorEastAsia" w:hAnsiTheme="minorEastAsia" w:eastAsiaTheme="minorEastAsia"/>
          <w:b/>
          <w:bCs/>
          <w:color w:val="auto"/>
          <w:sz w:val="24"/>
          <w:szCs w:val="24"/>
          <w:highlight w:val="none"/>
          <w:lang w:val="zh-CN"/>
        </w:rPr>
        <w:t>1.8</w:t>
      </w:r>
      <w:r>
        <w:rPr>
          <w:rFonts w:cs="Times New Roman" w:asciiTheme="minorEastAsia" w:hAnsiTheme="minorEastAsia" w:eastAsiaTheme="minorEastAsia"/>
          <w:b/>
          <w:bCs/>
          <w:color w:val="auto"/>
          <w:sz w:val="24"/>
          <w:szCs w:val="24"/>
          <w:highlight w:val="none"/>
          <w:lang w:val="zh-CN"/>
        </w:rPr>
        <w:t xml:space="preserve"> 合同生效</w:t>
      </w:r>
      <w:bookmarkEnd w:id="108"/>
      <w:bookmarkEnd w:id="109"/>
      <w:bookmarkEnd w:id="110"/>
    </w:p>
    <w:p w14:paraId="33DC8A3D">
      <w:pPr>
        <w:keepNext w:val="0"/>
        <w:keepLines w:val="0"/>
        <w:pageBreakBefore w:val="0"/>
        <w:kinsoku/>
        <w:wordWrap/>
        <w:overflowPunct/>
        <w:topLinePunct w:val="0"/>
        <w:bidi w:val="0"/>
        <w:snapToGrid/>
        <w:spacing w:line="520" w:lineRule="exact"/>
        <w:ind w:firstLine="435"/>
        <w:textAlignment w:val="auto"/>
        <w:rPr>
          <w:rFonts w:hint="eastAsia" w:cs="Times New Roman" w:asciiTheme="minorEastAsia" w:hAnsiTheme="minorEastAsia" w:eastAsiaTheme="minorEastAsia"/>
          <w:color w:val="auto"/>
          <w:sz w:val="24"/>
          <w:szCs w:val="24"/>
          <w:highlight w:val="none"/>
          <w:lang w:val="zh-CN"/>
        </w:rPr>
      </w:pPr>
      <w:r>
        <w:rPr>
          <w:rFonts w:cs="Times New Roman" w:asciiTheme="minorEastAsia" w:hAnsiTheme="minorEastAsia" w:eastAsiaTheme="minorEastAsia"/>
          <w:color w:val="auto"/>
          <w:sz w:val="24"/>
          <w:szCs w:val="24"/>
          <w:highlight w:val="none"/>
        </w:rPr>
        <w:t>本合同自</w:t>
      </w:r>
      <w:r>
        <w:rPr>
          <w:rFonts w:hint="eastAsia" w:cs="Times New Roman" w:asciiTheme="minorEastAsia" w:hAnsiTheme="minorEastAsia" w:eastAsiaTheme="minorEastAsia"/>
          <w:color w:val="auto"/>
          <w:sz w:val="24"/>
          <w:szCs w:val="24"/>
          <w:highlight w:val="none"/>
        </w:rPr>
        <w:t>双方当事人盖章时</w:t>
      </w:r>
      <w:r>
        <w:rPr>
          <w:rFonts w:cs="Times New Roman" w:asciiTheme="minorEastAsia" w:hAnsiTheme="minorEastAsia" w:eastAsiaTheme="minorEastAsia"/>
          <w:color w:val="auto"/>
          <w:sz w:val="24"/>
          <w:szCs w:val="24"/>
          <w:highlight w:val="none"/>
        </w:rPr>
        <w:t>生效。</w:t>
      </w:r>
    </w:p>
    <w:p w14:paraId="624D55B0">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cs="Times New Roman" w:asciiTheme="minorEastAsia" w:hAnsiTheme="minorEastAsia" w:eastAsiaTheme="minorEastAsia"/>
          <w:bCs/>
          <w:color w:val="auto"/>
          <w:sz w:val="24"/>
          <w:szCs w:val="24"/>
          <w:highlight w:val="none"/>
          <w:lang w:val="zh-CN"/>
        </w:rPr>
      </w:pPr>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458ED5AD">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41868805">
      <w:pPr>
        <w:keepNext w:val="0"/>
        <w:keepLines w:val="0"/>
        <w:pageBreakBefore w:val="0"/>
        <w:kinsoku/>
        <w:wordWrap/>
        <w:overflowPunct/>
        <w:topLinePunct w:val="0"/>
        <w:autoSpaceDE w:val="0"/>
        <w:autoSpaceDN w:val="0"/>
        <w:bidi w:val="0"/>
        <w:adjustRightInd w:val="0"/>
        <w:snapToGrid/>
        <w:spacing w:line="520" w:lineRule="exact"/>
        <w:textAlignment w:val="auto"/>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6B08E9E6">
      <w:pPr>
        <w:keepNext w:val="0"/>
        <w:keepLines w:val="0"/>
        <w:pageBreakBefore w:val="0"/>
        <w:widowControl/>
        <w:kinsoku/>
        <w:wordWrap/>
        <w:overflowPunct/>
        <w:topLinePunct w:val="0"/>
        <w:bidi w:val="0"/>
        <w:snapToGrid/>
        <w:spacing w:line="520" w:lineRule="exact"/>
        <w:jc w:val="left"/>
        <w:textAlignment w:val="auto"/>
        <w:rPr>
          <w:rFonts w:hint="eastAsia" w:cs="Times New Roman" w:asciiTheme="minorEastAsia" w:hAnsiTheme="minorEastAsia" w:eastAsiaTheme="minorEastAsia"/>
          <w:bCs/>
          <w:color w:val="auto"/>
          <w:sz w:val="24"/>
          <w:szCs w:val="24"/>
          <w:highlight w:val="none"/>
        </w:rPr>
      </w:pPr>
      <w:bookmarkStart w:id="111" w:name="_Toc331685783"/>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5E3DD52C">
      <w:pPr>
        <w:keepNext w:val="0"/>
        <w:keepLines w:val="0"/>
        <w:pageBreakBefore w:val="0"/>
        <w:kinsoku/>
        <w:wordWrap/>
        <w:overflowPunct/>
        <w:topLinePunct w:val="0"/>
        <w:bidi w:val="0"/>
        <w:snapToGrid/>
        <w:spacing w:line="52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bookmarkStart w:id="112" w:name="_Hlk110099149"/>
      <w:r>
        <w:rPr>
          <w:rFonts w:hint="eastAsia" w:ascii="宋体" w:hAnsi="宋体" w:eastAsia="宋体"/>
          <w:color w:val="auto"/>
          <w:sz w:val="24"/>
          <w:szCs w:val="24"/>
          <w:highlight w:val="none"/>
        </w:rPr>
        <w:t>乙方账户信息</w:t>
      </w:r>
    </w:p>
    <w:p w14:paraId="72006A18">
      <w:pPr>
        <w:keepNext w:val="0"/>
        <w:keepLines w:val="0"/>
        <w:pageBreakBefore w:val="0"/>
        <w:kinsoku/>
        <w:wordWrap/>
        <w:overflowPunct/>
        <w:topLinePunct w:val="0"/>
        <w:bidi w:val="0"/>
        <w:snapToGrid/>
        <w:spacing w:line="52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户名：</w:t>
      </w:r>
      <w:r>
        <w:rPr>
          <w:rFonts w:hint="eastAsia" w:ascii="宋体" w:hAnsi="宋体" w:eastAsia="宋体"/>
          <w:color w:val="auto"/>
          <w:sz w:val="24"/>
          <w:szCs w:val="24"/>
          <w:highlight w:val="none"/>
          <w:u w:val="single"/>
        </w:rPr>
        <w:t xml:space="preserve">            </w:t>
      </w:r>
    </w:p>
    <w:p w14:paraId="48FC2EB1">
      <w:pPr>
        <w:keepNext w:val="0"/>
        <w:keepLines w:val="0"/>
        <w:pageBreakBefore w:val="0"/>
        <w:kinsoku/>
        <w:wordWrap/>
        <w:overflowPunct/>
        <w:topLinePunct w:val="0"/>
        <w:bidi w:val="0"/>
        <w:snapToGrid/>
        <w:spacing w:line="52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账号：</w:t>
      </w:r>
      <w:r>
        <w:rPr>
          <w:rFonts w:hint="eastAsia" w:ascii="宋体" w:hAnsi="宋体" w:eastAsia="宋体"/>
          <w:color w:val="auto"/>
          <w:sz w:val="24"/>
          <w:szCs w:val="24"/>
          <w:highlight w:val="none"/>
          <w:u w:val="single"/>
        </w:rPr>
        <w:t xml:space="preserve">            </w:t>
      </w:r>
    </w:p>
    <w:p w14:paraId="55A6A976">
      <w:pPr>
        <w:keepNext w:val="0"/>
        <w:keepLines w:val="0"/>
        <w:pageBreakBefore w:val="0"/>
        <w:kinsoku/>
        <w:wordWrap/>
        <w:overflowPunct/>
        <w:topLinePunct w:val="0"/>
        <w:bidi w:val="0"/>
        <w:snapToGrid/>
        <w:spacing w:line="520" w:lineRule="exac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bookmarkEnd w:id="112"/>
    <w:p w14:paraId="5718C2E2">
      <w:pPr>
        <w:widowControl/>
        <w:spacing w:line="440" w:lineRule="exact"/>
        <w:jc w:val="left"/>
        <w:rPr>
          <w:rFonts w:hint="eastAsia"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71988CD0">
      <w:pPr>
        <w:spacing w:line="440" w:lineRule="exact"/>
        <w:jc w:val="center"/>
        <w:outlineLvl w:val="1"/>
        <w:rPr>
          <w:rFonts w:hint="eastAsia" w:asciiTheme="minorEastAsia" w:hAnsiTheme="minorEastAsia" w:eastAsiaTheme="minorEastAsia"/>
          <w:b/>
          <w:color w:val="auto"/>
          <w:sz w:val="24"/>
          <w:highlight w:val="none"/>
        </w:rPr>
      </w:pPr>
      <w:bookmarkStart w:id="113" w:name="_Toc415"/>
      <w:bookmarkStart w:id="114" w:name="_Toc30857"/>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111"/>
      <w:bookmarkEnd w:id="113"/>
      <w:bookmarkEnd w:id="114"/>
    </w:p>
    <w:p w14:paraId="273E1864">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15" w:name="_Toc19614"/>
      <w:bookmarkStart w:id="116" w:name="_Ref467378499"/>
      <w:bookmarkStart w:id="117" w:name="_Toc279701240"/>
      <w:bookmarkStart w:id="118" w:name="_Ref467379094"/>
      <w:bookmarkStart w:id="119" w:name="_Ref467379195"/>
      <w:bookmarkStart w:id="120" w:name="_Ref467379214"/>
      <w:bookmarkStart w:id="121" w:name="_Toc259093669"/>
      <w:bookmarkStart w:id="122" w:name="_Toc28763"/>
      <w:bookmarkStart w:id="123" w:name="_Toc16917"/>
      <w:bookmarkStart w:id="124" w:name="_Toc487900349"/>
      <w:bookmarkStart w:id="125" w:name="_Ref467379225"/>
      <w:bookmarkStart w:id="126" w:name="_Ref467379109"/>
      <w:bookmarkStart w:id="127" w:name="_Ref467378404"/>
      <w:bookmarkStart w:id="128" w:name="_Ref467378463"/>
      <w:bookmarkStart w:id="129" w:name="_Ref467379205"/>
      <w:bookmarkStart w:id="130" w:name="_Ref467379101"/>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 xml:space="preserve"> 定义</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C8602FF">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本合同中的下列</w:t>
      </w:r>
      <w:r>
        <w:rPr>
          <w:rFonts w:hint="eastAsia" w:cs="Times New Roman" w:asciiTheme="minorEastAsia" w:hAnsiTheme="minorEastAsia" w:eastAsiaTheme="minorEastAsia"/>
          <w:color w:val="auto"/>
          <w:sz w:val="24"/>
          <w:szCs w:val="24"/>
          <w:highlight w:val="none"/>
        </w:rPr>
        <w:t>词</w:t>
      </w:r>
      <w:r>
        <w:rPr>
          <w:rFonts w:cs="Times New Roman" w:asciiTheme="minorEastAsia" w:hAnsiTheme="minorEastAsia" w:eastAsiaTheme="minorEastAsia"/>
          <w:color w:val="auto"/>
          <w:sz w:val="24"/>
          <w:szCs w:val="24"/>
          <w:highlight w:val="none"/>
        </w:rPr>
        <w:t>语应</w:t>
      </w:r>
      <w:r>
        <w:rPr>
          <w:rFonts w:hint="eastAsia" w:cs="Times New Roman" w:asciiTheme="minorEastAsia" w:hAnsiTheme="minorEastAsia" w:eastAsiaTheme="minorEastAsia"/>
          <w:color w:val="auto"/>
          <w:sz w:val="24"/>
          <w:szCs w:val="24"/>
          <w:highlight w:val="none"/>
        </w:rPr>
        <w:t>按以下内容进行</w:t>
      </w:r>
      <w:r>
        <w:rPr>
          <w:rFonts w:cs="Times New Roman" w:asciiTheme="minorEastAsia" w:hAnsiTheme="minorEastAsia" w:eastAsiaTheme="minorEastAsia"/>
          <w:color w:val="auto"/>
          <w:sz w:val="24"/>
          <w:szCs w:val="24"/>
          <w:highlight w:val="none"/>
        </w:rPr>
        <w:t>解释：</w:t>
      </w:r>
    </w:p>
    <w:p w14:paraId="42DAAFB7">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.1</w:t>
      </w:r>
      <w:r>
        <w:rPr>
          <w:rFonts w:cs="Times New Roman" w:asciiTheme="minorEastAsia" w:hAnsiTheme="minorEastAsia" w:eastAsiaTheme="minorEastAsia"/>
          <w:color w:val="auto"/>
          <w:sz w:val="24"/>
          <w:szCs w:val="24"/>
          <w:highlight w:val="none"/>
        </w:rPr>
        <w:t>“合同”系指采购人和中标人签订的载明双方当事人所达成的协议，并包括所有的附件、附录和构成合同的其他文件。</w:t>
      </w:r>
    </w:p>
    <w:p w14:paraId="0DCC3058">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1.2“合同价”系指根据合同约定，中标人在完全履行合同义务后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采购人应支付给中标人的价格。</w:t>
      </w:r>
    </w:p>
    <w:p w14:paraId="065B7F71">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1.3“</w:t>
      </w:r>
      <w:r>
        <w:rPr>
          <w:rFonts w:hint="eastAsia" w:cs="Times New Roman" w:asciiTheme="minorEastAsia" w:hAnsiTheme="minorEastAsia" w:eastAsiaTheme="minorEastAsia"/>
          <w:color w:val="auto"/>
          <w:sz w:val="24"/>
          <w:szCs w:val="24"/>
          <w:highlight w:val="none"/>
        </w:rPr>
        <w:t>服务</w:t>
      </w:r>
      <w:r>
        <w:rPr>
          <w:rFonts w:cs="Times New Roman" w:asciiTheme="minorEastAsia" w:hAnsiTheme="minorEastAsia" w:eastAsiaTheme="minorEastAsia"/>
          <w:color w:val="auto"/>
          <w:sz w:val="24"/>
          <w:szCs w:val="24"/>
          <w:highlight w:val="none"/>
        </w:rPr>
        <w:t>”系指</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根据合同约定应向采购人</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w:t>
      </w:r>
      <w:r>
        <w:rPr>
          <w:rFonts w:hint="eastAsia" w:cs="Times New Roman" w:asciiTheme="minorEastAsia" w:hAnsiTheme="minorEastAsia" w:eastAsiaTheme="minorEastAsia"/>
          <w:color w:val="auto"/>
          <w:sz w:val="24"/>
          <w:szCs w:val="24"/>
          <w:highlight w:val="none"/>
        </w:rPr>
        <w:t>除货物和工程以外的其他政府采购对象，包括采购人自身需要的服务和向社会公众提供的公共服务。</w:t>
      </w:r>
    </w:p>
    <w:p w14:paraId="4B320047">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bookmarkStart w:id="131" w:name="_Ref46737884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甲方</w:t>
      </w:r>
      <w:r>
        <w:rPr>
          <w:rFonts w:cs="Times New Roman" w:asciiTheme="minorEastAsia" w:hAnsiTheme="minorEastAsia" w:eastAsiaTheme="minorEastAsia"/>
          <w:color w:val="auto"/>
          <w:sz w:val="24"/>
          <w:szCs w:val="24"/>
          <w:highlight w:val="none"/>
        </w:rPr>
        <w:t>”系指与</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签署合同的采购人</w:t>
      </w:r>
      <w:bookmarkEnd w:id="131"/>
      <w:r>
        <w:rPr>
          <w:rFonts w:hint="eastAsia" w:cs="Times New Roman" w:asciiTheme="minorEastAsia" w:hAnsiTheme="minorEastAsia" w:eastAsiaTheme="minorEastAsia"/>
          <w:color w:val="auto"/>
          <w:sz w:val="24"/>
          <w:szCs w:val="24"/>
          <w:highlight w:val="none"/>
        </w:rPr>
        <w:t>；采购人委托采购代理机构代表其与乙方签订合同的，采购人的授权委托书作为合同附件。</w:t>
      </w:r>
    </w:p>
    <w:p w14:paraId="4BC6EFCA">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bookmarkStart w:id="132" w:name="_Ref46737940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“乙方”系指根据合同约定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的中标人</w:t>
      </w:r>
      <w:bookmarkEnd w:id="132"/>
      <w:r>
        <w:rPr>
          <w:rFonts w:hint="eastAsia" w:cs="Times New Roman" w:asciiTheme="minorEastAsia" w:hAnsiTheme="minorEastAsia" w:eastAsiaTheme="minorEastAsia"/>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C2266E">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bookmarkStart w:id="133" w:name="_Ref467379436"/>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6</w:t>
      </w:r>
      <w:r>
        <w:rPr>
          <w:rFonts w:cs="Times New Roman" w:asciiTheme="minorEastAsia" w:hAnsiTheme="minorEastAsia" w:eastAsiaTheme="minorEastAsia"/>
          <w:color w:val="auto"/>
          <w:sz w:val="24"/>
          <w:szCs w:val="24"/>
          <w:highlight w:val="none"/>
        </w:rPr>
        <w:t>“现场”系指合同约定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的地点。</w:t>
      </w:r>
      <w:bookmarkEnd w:id="133"/>
    </w:p>
    <w:p w14:paraId="2195748F">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34" w:name="_Toc13336"/>
      <w:bookmarkStart w:id="135" w:name="_Toc279701241"/>
      <w:bookmarkStart w:id="136" w:name="_Toc32504"/>
      <w:bookmarkStart w:id="137" w:name="_Toc487900350"/>
      <w:bookmarkStart w:id="138" w:name="_Toc27635"/>
      <w:bookmarkStart w:id="139" w:name="_Toc25909367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2 技术规范</w:t>
      </w:r>
      <w:bookmarkEnd w:id="134"/>
      <w:bookmarkEnd w:id="135"/>
      <w:bookmarkEnd w:id="136"/>
      <w:bookmarkEnd w:id="137"/>
      <w:bookmarkEnd w:id="138"/>
      <w:bookmarkEnd w:id="139"/>
    </w:p>
    <w:p w14:paraId="000A3754">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如果采购文件中没有技术规范的相应说明，那么应以国家有关部门最新颁布的相应标准</w:t>
      </w:r>
      <w:r>
        <w:rPr>
          <w:rFonts w:hint="eastAsia" w:cs="Times New Roman" w:asciiTheme="minorEastAsia" w:hAnsiTheme="minorEastAsia" w:eastAsiaTheme="minorEastAsia"/>
          <w:color w:val="auto"/>
          <w:sz w:val="24"/>
          <w:szCs w:val="24"/>
          <w:highlight w:val="none"/>
        </w:rPr>
        <w:t>和</w:t>
      </w:r>
      <w:r>
        <w:rPr>
          <w:rFonts w:cs="Times New Roman" w:asciiTheme="minorEastAsia" w:hAnsiTheme="minorEastAsia" w:eastAsiaTheme="minorEastAsia"/>
          <w:color w:val="auto"/>
          <w:sz w:val="24"/>
          <w:szCs w:val="24"/>
          <w:highlight w:val="none"/>
        </w:rPr>
        <w:t>规范为准。</w:t>
      </w:r>
    </w:p>
    <w:p w14:paraId="5307B3E0">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40" w:name="_Toc279701242"/>
      <w:bookmarkStart w:id="141" w:name="_Toc259093671"/>
      <w:bookmarkStart w:id="142" w:name="_Toc27853"/>
      <w:bookmarkStart w:id="143" w:name="_Toc31634"/>
      <w:bookmarkStart w:id="144" w:name="_Toc487900351"/>
      <w:bookmarkStart w:id="145" w:name="_Toc9829"/>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3 知识产权</w:t>
      </w:r>
      <w:bookmarkEnd w:id="140"/>
      <w:bookmarkEnd w:id="141"/>
      <w:bookmarkEnd w:id="142"/>
      <w:bookmarkEnd w:id="143"/>
      <w:bookmarkEnd w:id="144"/>
      <w:bookmarkEnd w:id="145"/>
    </w:p>
    <w:p w14:paraId="66E7BD8C">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2.3.1乙</w:t>
      </w:r>
      <w:r>
        <w:rPr>
          <w:rFonts w:cs="Times New Roman" w:asciiTheme="minorEastAsia" w:hAnsiTheme="minorEastAsia" w:eastAsiaTheme="minorEastAsia"/>
          <w:color w:val="auto"/>
          <w:sz w:val="24"/>
          <w:szCs w:val="24"/>
          <w:highlight w:val="none"/>
        </w:rPr>
        <w:t>方应保证</w:t>
      </w:r>
      <w:r>
        <w:rPr>
          <w:rFonts w:hint="eastAsia" w:cs="Times New Roman" w:asciiTheme="minorEastAsia" w:hAnsiTheme="minorEastAsia" w:eastAsiaTheme="minorEastAsia"/>
          <w:color w:val="auto"/>
          <w:sz w:val="24"/>
          <w:szCs w:val="24"/>
          <w:highlight w:val="none"/>
        </w:rPr>
        <w:t>其提供的服务</w:t>
      </w:r>
      <w:r>
        <w:rPr>
          <w:rFonts w:cs="Times New Roman" w:asciiTheme="minorEastAsia" w:hAnsiTheme="minorEastAsia" w:eastAsiaTheme="minorEastAsia"/>
          <w:color w:val="auto"/>
          <w:sz w:val="24"/>
          <w:szCs w:val="24"/>
          <w:highlight w:val="none"/>
        </w:rPr>
        <w:t>不受任何第三方提出的侵犯其著作权、商标权、专利权等知识产权方面的起诉</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如果任何第三方提出侵权</w:t>
      </w:r>
      <w:r>
        <w:rPr>
          <w:rFonts w:hint="eastAsia" w:cs="Times New Roman" w:asciiTheme="minorEastAsia" w:hAnsiTheme="minorEastAsia" w:eastAsiaTheme="minorEastAsia"/>
          <w:color w:val="auto"/>
          <w:sz w:val="24"/>
          <w:szCs w:val="24"/>
          <w:highlight w:val="none"/>
        </w:rPr>
        <w:t>指控</w:t>
      </w:r>
      <w:r>
        <w:rPr>
          <w:rFonts w:cs="Times New Roman" w:asciiTheme="minorEastAsia" w:hAnsiTheme="minorEastAsia" w:eastAsiaTheme="minorEastAsia"/>
          <w:color w:val="auto"/>
          <w:sz w:val="24"/>
          <w:szCs w:val="24"/>
          <w:highlight w:val="none"/>
        </w:rPr>
        <w:t>，那么乙方须与该第三方交涉并承担由此发生的一切责任、费用和赔偿</w:t>
      </w:r>
      <w:r>
        <w:rPr>
          <w:rFonts w:hint="eastAsia" w:cs="Times New Roman" w:asciiTheme="minorEastAsia" w:hAnsiTheme="minorEastAsia" w:eastAsiaTheme="minorEastAsia"/>
          <w:color w:val="auto"/>
          <w:sz w:val="24"/>
          <w:szCs w:val="24"/>
          <w:highlight w:val="none"/>
        </w:rPr>
        <w:t>。</w:t>
      </w:r>
    </w:p>
    <w:p w14:paraId="208C3517">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46" w:name="_Ref467379542"/>
      <w:bookmarkStart w:id="147" w:name="_Ref467379527"/>
      <w:bookmarkStart w:id="148" w:name="_Toc487900354"/>
      <w:bookmarkStart w:id="149" w:name="_Ref467378541"/>
      <w:bookmarkStart w:id="150" w:name="_Toc279701245"/>
      <w:bookmarkStart w:id="151" w:name="_Ref467378591"/>
      <w:bookmarkStart w:id="152" w:name="_Toc259093674"/>
      <w:bookmarkStart w:id="153" w:name="_Ref467379536"/>
      <w:bookmarkStart w:id="154" w:name="_Toc19074"/>
      <w:bookmarkStart w:id="155" w:name="_Toc30272"/>
      <w:bookmarkStart w:id="156" w:name="_Toc26182"/>
      <w:r>
        <w:rPr>
          <w:rFonts w:hint="eastAsia" w:cs="Times New Roman" w:asciiTheme="minorEastAsia" w:hAnsiTheme="minorEastAsia" w:eastAsiaTheme="minorEastAsia"/>
          <w:b/>
          <w:bCs/>
          <w:color w:val="auto"/>
          <w:sz w:val="24"/>
          <w:szCs w:val="24"/>
          <w:highlight w:val="none"/>
          <w:lang w:val="zh-CN"/>
        </w:rPr>
        <w:t>2.</w:t>
      </w:r>
      <w:bookmarkEnd w:id="146"/>
      <w:bookmarkEnd w:id="147"/>
      <w:bookmarkEnd w:id="148"/>
      <w:bookmarkEnd w:id="149"/>
      <w:bookmarkEnd w:id="150"/>
      <w:bookmarkEnd w:id="151"/>
      <w:bookmarkEnd w:id="152"/>
      <w:bookmarkEnd w:id="153"/>
      <w:r>
        <w:rPr>
          <w:rFonts w:cs="Times New Roman" w:asciiTheme="minorEastAsia" w:hAnsiTheme="minorEastAsia" w:eastAsiaTheme="minorEastAsia"/>
          <w:b/>
          <w:bCs/>
          <w:color w:val="auto"/>
          <w:sz w:val="24"/>
          <w:szCs w:val="24"/>
          <w:highlight w:val="none"/>
          <w:lang w:val="zh-CN"/>
        </w:rPr>
        <w:t xml:space="preserve">4 </w:t>
      </w:r>
      <w:r>
        <w:rPr>
          <w:rFonts w:hint="eastAsia" w:cs="Times New Roman" w:asciiTheme="minorEastAsia" w:hAnsiTheme="minorEastAsia" w:eastAsiaTheme="minorEastAsia"/>
          <w:b/>
          <w:bCs/>
          <w:color w:val="auto"/>
          <w:sz w:val="24"/>
          <w:szCs w:val="24"/>
          <w:highlight w:val="none"/>
          <w:lang w:val="zh-CN"/>
        </w:rPr>
        <w:t>履约检查和问题反馈</w:t>
      </w:r>
      <w:bookmarkEnd w:id="154"/>
      <w:bookmarkEnd w:id="155"/>
      <w:bookmarkEnd w:id="156"/>
    </w:p>
    <w:p w14:paraId="218077CF">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bookmarkStart w:id="157" w:name="_Toc186431854"/>
      <w:bookmarkStart w:id="158" w:name="_Toc279701247"/>
      <w:bookmarkStart w:id="159" w:name="_Toc487900357"/>
      <w:bookmarkStart w:id="160" w:name="_Ref467379793"/>
      <w:bookmarkStart w:id="161" w:name="_Toc259093676"/>
      <w:bookmarkStart w:id="162" w:name="_Ref467379807"/>
      <w:r>
        <w:rPr>
          <w:rFonts w:hint="eastAsia" w:cs="Times New Roman" w:asciiTheme="minorEastAsia" w:hAnsiTheme="minorEastAsia" w:eastAsiaTheme="minorEastAsia"/>
          <w:color w:val="auto"/>
          <w:sz w:val="24"/>
          <w:szCs w:val="24"/>
          <w:highlight w:val="none"/>
        </w:rPr>
        <w:t>2.4</w:t>
      </w:r>
      <w:r>
        <w:rPr>
          <w:rFonts w:cs="Times New Roman" w:asciiTheme="minorEastAsia" w:hAnsiTheme="minorEastAsia" w:eastAsiaTheme="minorEastAsia"/>
          <w:color w:val="auto"/>
          <w:sz w:val="24"/>
          <w:szCs w:val="24"/>
          <w:highlight w:val="none"/>
        </w:rPr>
        <w:t>.1甲方</w:t>
      </w:r>
      <w:r>
        <w:rPr>
          <w:rFonts w:hint="eastAsia" w:cs="Times New Roman" w:asciiTheme="minorEastAsia" w:hAnsiTheme="minorEastAsia" w:eastAsiaTheme="minorEastAsia"/>
          <w:color w:val="auto"/>
          <w:sz w:val="24"/>
          <w:szCs w:val="24"/>
          <w:highlight w:val="none"/>
        </w:rPr>
        <w:t>有权</w:t>
      </w:r>
      <w:r>
        <w:rPr>
          <w:rFonts w:cs="Times New Roman" w:asciiTheme="minorEastAsia" w:hAnsiTheme="minorEastAsia" w:eastAsiaTheme="minorEastAsia"/>
          <w:color w:val="auto"/>
          <w:sz w:val="24"/>
          <w:szCs w:val="24"/>
          <w:highlight w:val="none"/>
        </w:rPr>
        <w:t>在其认为必要时</w:t>
      </w:r>
      <w:r>
        <w:rPr>
          <w:rFonts w:hint="eastAsia" w:cs="Times New Roman" w:asciiTheme="minorEastAsia" w:hAnsiTheme="minorEastAsia" w:eastAsiaTheme="minorEastAsia"/>
          <w:color w:val="auto"/>
          <w:sz w:val="24"/>
          <w:szCs w:val="24"/>
          <w:highlight w:val="none"/>
        </w:rPr>
        <w:t>，对乙方是否能够按照合同约定提供服务进行履约检查，以确保乙方所提供的服务能够依约满足甲方项目需求，但不得因履约检查妨碍乙方的正常工作，乙方应予积极配合；</w:t>
      </w:r>
    </w:p>
    <w:p w14:paraId="57A74E93">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.2合同履行期间，甲方有权将履行过程中出现的问题反馈给乙方，双方当事人应以书面形式约定需要完善和改进的内容</w:t>
      </w:r>
      <w:bookmarkEnd w:id="157"/>
      <w:bookmarkStart w:id="163" w:name="_Toc186431855"/>
      <w:r>
        <w:rPr>
          <w:rFonts w:hint="eastAsia" w:cs="Times New Roman" w:asciiTheme="minorEastAsia" w:hAnsiTheme="minorEastAsia" w:eastAsiaTheme="minorEastAsia"/>
          <w:color w:val="auto"/>
          <w:sz w:val="24"/>
          <w:szCs w:val="24"/>
          <w:highlight w:val="none"/>
        </w:rPr>
        <w:t>。</w:t>
      </w:r>
    </w:p>
    <w:bookmarkEnd w:id="163"/>
    <w:p w14:paraId="59623258">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64" w:name="_Toc19219"/>
      <w:bookmarkStart w:id="165" w:name="_Toc7836"/>
      <w:bookmarkStart w:id="166" w:name="_Toc28451"/>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结算方式和付款条件</w:t>
      </w:r>
      <w:bookmarkEnd w:id="158"/>
      <w:bookmarkEnd w:id="159"/>
      <w:bookmarkEnd w:id="160"/>
      <w:bookmarkEnd w:id="161"/>
      <w:bookmarkEnd w:id="162"/>
      <w:bookmarkEnd w:id="164"/>
      <w:bookmarkEnd w:id="165"/>
      <w:bookmarkEnd w:id="166"/>
    </w:p>
    <w:p w14:paraId="63521D1A">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详见</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w:t>
      </w:r>
    </w:p>
    <w:p w14:paraId="1C149188">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67" w:name="_Ref467379923"/>
      <w:bookmarkStart w:id="168" w:name="_Toc259093677"/>
      <w:bookmarkStart w:id="169" w:name="_Ref467379863"/>
      <w:bookmarkStart w:id="170" w:name="_Toc487900358"/>
      <w:bookmarkStart w:id="171" w:name="_Ref467379852"/>
      <w:bookmarkStart w:id="172" w:name="_Toc279701248"/>
      <w:bookmarkStart w:id="173" w:name="_Toc774"/>
      <w:bookmarkStart w:id="174" w:name="_Toc3225"/>
      <w:bookmarkStart w:id="175" w:name="_Toc1611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6</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技术资料</w:t>
      </w:r>
      <w:bookmarkEnd w:id="167"/>
      <w:bookmarkEnd w:id="168"/>
      <w:bookmarkEnd w:id="169"/>
      <w:bookmarkEnd w:id="170"/>
      <w:bookmarkEnd w:id="171"/>
      <w:bookmarkEnd w:id="172"/>
      <w:r>
        <w:rPr>
          <w:rFonts w:cs="Times New Roman" w:asciiTheme="minorEastAsia" w:hAnsiTheme="minorEastAsia" w:eastAsiaTheme="minorEastAsia"/>
          <w:b/>
          <w:bCs/>
          <w:color w:val="auto"/>
          <w:sz w:val="24"/>
          <w:szCs w:val="24"/>
          <w:highlight w:val="none"/>
          <w:lang w:val="zh-CN"/>
        </w:rPr>
        <w:t>和保密义务</w:t>
      </w:r>
      <w:bookmarkEnd w:id="173"/>
      <w:bookmarkEnd w:id="174"/>
      <w:bookmarkEnd w:id="175"/>
    </w:p>
    <w:p w14:paraId="67CB3495">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6.1</w:t>
      </w:r>
      <w:r>
        <w:rPr>
          <w:rFonts w:hint="eastAsia" w:cs="Times New Roman" w:asciiTheme="minorEastAsia" w:hAnsiTheme="minorEastAsia" w:eastAsiaTheme="minorEastAsia"/>
          <w:color w:val="auto"/>
          <w:sz w:val="24"/>
          <w:szCs w:val="24"/>
          <w:highlight w:val="none"/>
        </w:rPr>
        <w:t>乙方有权依据合同约定和项目需要，向甲方了解有关情况，调阅有关资料等，甲方应予积极配合；</w:t>
      </w:r>
    </w:p>
    <w:p w14:paraId="010C8FA9">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.2乙方有义务妥善保管和保护由甲方提供的前款信息和资料等；</w:t>
      </w:r>
    </w:p>
    <w:p w14:paraId="6F5E8BEA">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auto"/>
          <w:sz w:val="24"/>
          <w:szCs w:val="24"/>
          <w:highlight w:val="none"/>
        </w:rPr>
        <w:t>技术情报</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技术资料</w:t>
      </w:r>
      <w:r>
        <w:rPr>
          <w:rFonts w:hint="eastAsia" w:cs="Times New Roman" w:asciiTheme="minorEastAsia" w:hAnsiTheme="minorEastAsia" w:eastAsiaTheme="minorEastAsia"/>
          <w:color w:val="auto"/>
          <w:sz w:val="24"/>
          <w:szCs w:val="24"/>
          <w:highlight w:val="none"/>
        </w:rPr>
        <w:t>、商业秘密和商业信息等，并采取一切合理和必要措施和方式防止任何第三方接触到对方当事人的上述保密信息和资料。</w:t>
      </w:r>
    </w:p>
    <w:p w14:paraId="14DB29E2">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76" w:name="_Toc7860"/>
      <w:r>
        <w:rPr>
          <w:rFonts w:cs="Times New Roman" w:asciiTheme="minorEastAsia" w:hAnsiTheme="minorEastAsia" w:eastAsiaTheme="minorEastAsia"/>
          <w:b/>
          <w:bCs/>
          <w:color w:val="auto"/>
          <w:sz w:val="24"/>
          <w:szCs w:val="24"/>
          <w:highlight w:val="none"/>
          <w:lang w:val="zh-CN"/>
        </w:rPr>
        <w:t>2.7 质量保证</w:t>
      </w:r>
      <w:bookmarkEnd w:id="176"/>
    </w:p>
    <w:p w14:paraId="543F70AA">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.1乙方应建立和完善履行合同的内部质量保证体系，并提供相关内部规章制度给甲方，以便甲方进行监督检查；</w:t>
      </w:r>
    </w:p>
    <w:p w14:paraId="17BBB39D">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.2乙方应保证履行合同的人员数量和素质、软件和硬件设备的配置、场地、环境和设施等满足全面履行合同的要求，并应接受甲方的监督检查。</w:t>
      </w:r>
    </w:p>
    <w:p w14:paraId="1F560E7F">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color w:val="auto"/>
          <w:sz w:val="24"/>
          <w:szCs w:val="24"/>
          <w:highlight w:val="none"/>
        </w:rPr>
      </w:pPr>
      <w:bookmarkStart w:id="177" w:name="_Toc22267"/>
      <w:r>
        <w:rPr>
          <w:rFonts w:hint="eastAsia" w:cs="Times New Roman" w:asciiTheme="minorEastAsia" w:hAnsiTheme="minorEastAsia" w:eastAsiaTheme="minorEastAsia"/>
          <w:b/>
          <w:color w:val="auto"/>
          <w:sz w:val="24"/>
          <w:szCs w:val="24"/>
          <w:highlight w:val="none"/>
        </w:rPr>
        <w:t>2.8 延迟履行</w:t>
      </w:r>
      <w:bookmarkEnd w:id="177"/>
    </w:p>
    <w:p w14:paraId="1CDC6E1A">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在合同履行过程中，如果乙方遇到不能按时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的情况，应及时以书面形式将不能按时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的理由、预期延误时间通知甲方</w:t>
      </w:r>
      <w:r>
        <w:rPr>
          <w:rFonts w:hint="eastAsia" w:cs="Times New Roman" w:asciiTheme="minorEastAsia" w:hAnsiTheme="minorEastAsia" w:eastAsiaTheme="minorEastAsia"/>
          <w:color w:val="auto"/>
          <w:sz w:val="24"/>
          <w:szCs w:val="24"/>
          <w:highlight w:val="none"/>
        </w:rPr>
        <w:t>；甲</w:t>
      </w:r>
      <w:r>
        <w:rPr>
          <w:rFonts w:cs="Times New Roman" w:asciiTheme="minorEastAsia" w:hAnsiTheme="minorEastAsia" w:eastAsiaTheme="minorEastAsia"/>
          <w:color w:val="auto"/>
          <w:sz w:val="24"/>
          <w:szCs w:val="24"/>
          <w:highlight w:val="none"/>
        </w:rPr>
        <w:t>方收到乙方通知后，认为其理由正当的，可以书面形式酌情同意乙方可以延长</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的具体时间。</w:t>
      </w:r>
    </w:p>
    <w:p w14:paraId="145C307B">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78" w:name="_Toc7502"/>
      <w:bookmarkStart w:id="179" w:name="_Toc259093683"/>
      <w:bookmarkStart w:id="180" w:name="_Ref467378121"/>
      <w:bookmarkStart w:id="181" w:name="_Toc279701254"/>
      <w:bookmarkStart w:id="182" w:name="_Toc487900364"/>
      <w:r>
        <w:rPr>
          <w:rFonts w:cs="Times New Roman" w:asciiTheme="minorEastAsia" w:hAnsiTheme="minorEastAsia" w:eastAsiaTheme="minorEastAsia"/>
          <w:b/>
          <w:bCs/>
          <w:color w:val="auto"/>
          <w:sz w:val="24"/>
          <w:szCs w:val="24"/>
          <w:highlight w:val="none"/>
          <w:lang w:val="zh-CN"/>
        </w:rPr>
        <w:t>2.9 合同变更</w:t>
      </w:r>
      <w:bookmarkEnd w:id="178"/>
    </w:p>
    <w:p w14:paraId="024EDBB5">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.1双方当事人协商一致，可以签订书面补充合同的形式变更合同，但不得违背采购文件确定的事项；</w:t>
      </w:r>
    </w:p>
    <w:p w14:paraId="13391A17">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.2合同继续履行将损害国家利益和社会公共利益的，双方当事人应当以书面形式变更合同。有过错的一方应当承担赔偿责任，双方当事人都有过错的，各自承担相应的责任。</w:t>
      </w:r>
      <w:bookmarkStart w:id="183" w:name="_Toc279701259"/>
      <w:bookmarkStart w:id="184" w:name="_Toc259093688"/>
      <w:bookmarkStart w:id="185" w:name="_Toc487900369"/>
    </w:p>
    <w:p w14:paraId="27495DF4">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86" w:name="_Toc10366"/>
      <w:bookmarkStart w:id="187" w:name="_Toc15237"/>
      <w:bookmarkStart w:id="188" w:name="_Toc22955"/>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0</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合同转让</w:t>
      </w:r>
      <w:bookmarkEnd w:id="183"/>
      <w:bookmarkEnd w:id="184"/>
      <w:bookmarkEnd w:id="185"/>
      <w:r>
        <w:rPr>
          <w:rFonts w:cs="Times New Roman" w:asciiTheme="minorEastAsia" w:hAnsiTheme="minorEastAsia" w:eastAsiaTheme="minorEastAsia"/>
          <w:b/>
          <w:bCs/>
          <w:color w:val="auto"/>
          <w:sz w:val="24"/>
          <w:szCs w:val="24"/>
          <w:highlight w:val="none"/>
          <w:lang w:val="zh-CN"/>
        </w:rPr>
        <w:t>和分包</w:t>
      </w:r>
      <w:bookmarkEnd w:id="186"/>
      <w:bookmarkEnd w:id="187"/>
      <w:bookmarkEnd w:id="188"/>
    </w:p>
    <w:p w14:paraId="0CB4D2D0">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合同的权利义务依法不</w:t>
      </w:r>
      <w:r>
        <w:rPr>
          <w:rFonts w:hint="eastAsia" w:cs="Times New Roman" w:asciiTheme="minorEastAsia" w:hAnsiTheme="minorEastAsia" w:eastAsiaTheme="minorEastAsia"/>
          <w:color w:val="auto"/>
          <w:sz w:val="24"/>
          <w:szCs w:val="24"/>
          <w:highlight w:val="none"/>
        </w:rPr>
        <w:t>得</w:t>
      </w:r>
      <w:r>
        <w:rPr>
          <w:rFonts w:cs="Times New Roman" w:asciiTheme="minorEastAsia" w:hAnsiTheme="minorEastAsia" w:eastAsiaTheme="minorEastAsia"/>
          <w:color w:val="auto"/>
          <w:sz w:val="24"/>
          <w:szCs w:val="24"/>
          <w:highlight w:val="none"/>
        </w:rPr>
        <w:t>转让</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但经甲方</w:t>
      </w:r>
      <w:r>
        <w:rPr>
          <w:rFonts w:hint="eastAsia" w:cs="Times New Roman" w:asciiTheme="minorEastAsia" w:hAnsiTheme="minorEastAsia" w:eastAsiaTheme="minorEastAsia"/>
          <w:color w:val="auto"/>
          <w:sz w:val="24"/>
          <w:szCs w:val="24"/>
          <w:highlight w:val="none"/>
        </w:rPr>
        <w:t>同意，乙方可以依法采取分包方式履行合同，即：依法可以</w:t>
      </w:r>
      <w:r>
        <w:rPr>
          <w:rFonts w:cs="Times New Roman" w:asciiTheme="minorEastAsia" w:hAnsiTheme="minorEastAsia" w:eastAsiaTheme="minorEastAsia"/>
          <w:color w:val="auto"/>
          <w:sz w:val="24"/>
          <w:szCs w:val="24"/>
          <w:highlight w:val="none"/>
        </w:rPr>
        <w:t>将合同项下的部分非主体、非关键性工作分包给他人完成</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接受分包的人应当具备相应的资格条件，并不得再次分包</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且乙方应就分包项目向甲方负责</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并</w:t>
      </w:r>
      <w:r>
        <w:rPr>
          <w:rFonts w:hint="eastAsia" w:cs="Times New Roman" w:asciiTheme="minorEastAsia" w:hAnsiTheme="minorEastAsia" w:eastAsiaTheme="minorEastAsia"/>
          <w:color w:val="auto"/>
          <w:sz w:val="24"/>
          <w:szCs w:val="24"/>
          <w:highlight w:val="none"/>
        </w:rPr>
        <w:t>与分包供应商就分包项目向甲方承担连带责任。</w:t>
      </w:r>
    </w:p>
    <w:p w14:paraId="4B5EF0FB">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89" w:name="_Toc16508"/>
      <w:bookmarkStart w:id="190" w:name="_Toc14066"/>
      <w:bookmarkStart w:id="191" w:name="_Toc13566"/>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1 不可抗力</w:t>
      </w:r>
      <w:bookmarkEnd w:id="189"/>
      <w:bookmarkEnd w:id="190"/>
      <w:bookmarkEnd w:id="191"/>
    </w:p>
    <w:p w14:paraId="69CCBB27">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auto"/>
          <w:sz w:val="24"/>
          <w:szCs w:val="24"/>
          <w:highlight w:val="none"/>
        </w:rPr>
        <w:t>；</w:t>
      </w:r>
    </w:p>
    <w:p w14:paraId="27D4CF0E">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.2因不可抗力致使不能实现合同目的的，当事人可以解除合同；</w:t>
      </w:r>
    </w:p>
    <w:p w14:paraId="1E14CB98">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.3因</w:t>
      </w:r>
      <w:r>
        <w:rPr>
          <w:rFonts w:cs="Times New Roman" w:asciiTheme="minorEastAsia" w:hAnsiTheme="minorEastAsia" w:eastAsiaTheme="minorEastAsia"/>
          <w:color w:val="auto"/>
          <w:sz w:val="24"/>
          <w:szCs w:val="24"/>
          <w:highlight w:val="none"/>
        </w:rPr>
        <w:t>不可抗力致使合同有变更必要的，双方当事人应在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约定时间内以书面形式变更合同</w:t>
      </w:r>
      <w:r>
        <w:rPr>
          <w:rFonts w:hint="eastAsia" w:cs="Times New Roman" w:asciiTheme="minorEastAsia" w:hAnsiTheme="minorEastAsia" w:eastAsiaTheme="minorEastAsia"/>
          <w:color w:val="auto"/>
          <w:sz w:val="24"/>
          <w:szCs w:val="24"/>
          <w:highlight w:val="none"/>
        </w:rPr>
        <w:t>；</w:t>
      </w:r>
    </w:p>
    <w:p w14:paraId="073230E1">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受</w:t>
      </w:r>
      <w:r>
        <w:rPr>
          <w:rFonts w:hint="eastAsia" w:cs="Times New Roman" w:asciiTheme="minorEastAsia" w:hAnsiTheme="minorEastAsia" w:eastAsiaTheme="minorEastAsia"/>
          <w:color w:val="auto"/>
          <w:sz w:val="24"/>
          <w:szCs w:val="24"/>
          <w:highlight w:val="none"/>
        </w:rPr>
        <w:t>不可抗力</w:t>
      </w:r>
      <w:r>
        <w:rPr>
          <w:rFonts w:cs="Times New Roman" w:asciiTheme="minorEastAsia" w:hAnsiTheme="minorEastAsia" w:eastAsiaTheme="minorEastAsia"/>
          <w:color w:val="auto"/>
          <w:sz w:val="24"/>
          <w:szCs w:val="24"/>
          <w:highlight w:val="none"/>
        </w:rPr>
        <w:t>影响的一方在不可抗力发生后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约定时间内以书面形式通知</w:t>
      </w:r>
      <w:r>
        <w:rPr>
          <w:rFonts w:hint="eastAsia" w:cs="Times New Roman" w:asciiTheme="minorEastAsia" w:hAnsiTheme="minorEastAsia" w:eastAsiaTheme="minorEastAsia"/>
          <w:color w:val="auto"/>
          <w:sz w:val="24"/>
          <w:szCs w:val="24"/>
          <w:highlight w:val="none"/>
        </w:rPr>
        <w:t>对</w:t>
      </w:r>
      <w:r>
        <w:rPr>
          <w:rFonts w:cs="Times New Roman" w:asciiTheme="minorEastAsia" w:hAnsiTheme="minorEastAsia" w:eastAsiaTheme="minorEastAsia"/>
          <w:color w:val="auto"/>
          <w:sz w:val="24"/>
          <w:szCs w:val="24"/>
          <w:highlight w:val="none"/>
        </w:rPr>
        <w:t>方当事人，并在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约定时间内，将有关部门出具的证明文件送达</w:t>
      </w:r>
      <w:r>
        <w:rPr>
          <w:rFonts w:hint="eastAsia" w:cs="Times New Roman" w:asciiTheme="minorEastAsia" w:hAnsiTheme="minorEastAsia" w:eastAsiaTheme="minorEastAsia"/>
          <w:color w:val="auto"/>
          <w:sz w:val="24"/>
          <w:szCs w:val="24"/>
          <w:highlight w:val="none"/>
        </w:rPr>
        <w:t>对方当事人</w:t>
      </w:r>
      <w:r>
        <w:rPr>
          <w:rFonts w:cs="Times New Roman" w:asciiTheme="minorEastAsia" w:hAnsiTheme="minorEastAsia" w:eastAsiaTheme="minorEastAsia"/>
          <w:color w:val="auto"/>
          <w:sz w:val="24"/>
          <w:szCs w:val="24"/>
          <w:highlight w:val="none"/>
        </w:rPr>
        <w:t>。</w:t>
      </w:r>
    </w:p>
    <w:p w14:paraId="6C51762B">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92" w:name="_Toc259093684"/>
      <w:bookmarkStart w:id="193" w:name="_Toc487900365"/>
      <w:bookmarkStart w:id="194" w:name="_Toc6969"/>
      <w:bookmarkStart w:id="195" w:name="_Toc279701255"/>
      <w:bookmarkStart w:id="196" w:name="_Toc689"/>
      <w:bookmarkStart w:id="197" w:name="_Toc30676"/>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12</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税费</w:t>
      </w:r>
      <w:bookmarkEnd w:id="192"/>
      <w:bookmarkEnd w:id="193"/>
      <w:bookmarkEnd w:id="194"/>
      <w:bookmarkEnd w:id="195"/>
      <w:bookmarkEnd w:id="196"/>
      <w:bookmarkEnd w:id="197"/>
    </w:p>
    <w:p w14:paraId="3746EFF4">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与合同有关的一切税费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均按照中华人民共和国法律的相关规定</w:t>
      </w:r>
      <w:r>
        <w:rPr>
          <w:rFonts w:hint="eastAsia" w:cs="Times New Roman" w:asciiTheme="minorEastAsia" w:hAnsiTheme="minorEastAsia" w:eastAsiaTheme="minorEastAsia"/>
          <w:color w:val="auto"/>
          <w:sz w:val="24"/>
          <w:szCs w:val="24"/>
          <w:highlight w:val="none"/>
        </w:rPr>
        <w:t>缴纳</w:t>
      </w:r>
      <w:r>
        <w:rPr>
          <w:rFonts w:cs="Times New Roman" w:asciiTheme="minorEastAsia" w:hAnsiTheme="minorEastAsia" w:eastAsiaTheme="minorEastAsia"/>
          <w:color w:val="auto"/>
          <w:sz w:val="24"/>
          <w:szCs w:val="24"/>
          <w:highlight w:val="none"/>
        </w:rPr>
        <w:t>。</w:t>
      </w:r>
    </w:p>
    <w:p w14:paraId="6643608A">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198" w:name="_Toc279701258"/>
      <w:bookmarkStart w:id="199" w:name="_Toc16959"/>
      <w:bookmarkStart w:id="200" w:name="_Toc8298"/>
      <w:bookmarkStart w:id="201" w:name="_Toc487900368"/>
      <w:bookmarkStart w:id="202" w:name="_Toc7102"/>
      <w:bookmarkStart w:id="203" w:name="_Toc259093687"/>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13</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乙方破产</w:t>
      </w:r>
      <w:bookmarkEnd w:id="198"/>
      <w:bookmarkEnd w:id="199"/>
      <w:bookmarkEnd w:id="200"/>
      <w:bookmarkEnd w:id="201"/>
      <w:bookmarkEnd w:id="202"/>
      <w:bookmarkEnd w:id="203"/>
    </w:p>
    <w:p w14:paraId="6963773E">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auto"/>
          <w:sz w:val="24"/>
          <w:szCs w:val="24"/>
          <w:highlight w:val="none"/>
        </w:rPr>
        <w:t>，但合同的</w:t>
      </w:r>
      <w:r>
        <w:rPr>
          <w:rFonts w:cs="Times New Roman" w:asciiTheme="minorEastAsia" w:hAnsiTheme="minorEastAsia" w:eastAsiaTheme="minorEastAsia"/>
          <w:color w:val="auto"/>
          <w:sz w:val="24"/>
          <w:szCs w:val="24"/>
          <w:highlight w:val="none"/>
        </w:rPr>
        <w:t>终止不损害或不影响甲方已经采取或将要采取的任何要求乙方支付违约金</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赔偿损失等的行动或补救措施的权利</w:t>
      </w:r>
      <w:r>
        <w:rPr>
          <w:rFonts w:hint="eastAsia" w:cs="Times New Roman" w:asciiTheme="minorEastAsia" w:hAnsiTheme="minorEastAsia" w:eastAsiaTheme="minorEastAsia"/>
          <w:color w:val="auto"/>
          <w:sz w:val="24"/>
          <w:szCs w:val="24"/>
          <w:highlight w:val="none"/>
        </w:rPr>
        <w:t>。</w:t>
      </w:r>
    </w:p>
    <w:p w14:paraId="00BC459C">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color w:val="auto"/>
          <w:sz w:val="24"/>
          <w:szCs w:val="24"/>
          <w:highlight w:val="none"/>
        </w:rPr>
      </w:pPr>
      <w:bookmarkStart w:id="204" w:name="_Toc29333"/>
      <w:bookmarkStart w:id="205" w:name="_Toc15387"/>
      <w:bookmarkStart w:id="206" w:name="_Toc6134"/>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4</w:t>
      </w:r>
      <w:r>
        <w:rPr>
          <w:rFonts w:hint="eastAsia" w:cs="Times New Roman" w:asciiTheme="minorEastAsia" w:hAnsiTheme="minorEastAsia" w:eastAsiaTheme="minorEastAsia"/>
          <w:b/>
          <w:bCs/>
          <w:color w:val="auto"/>
          <w:sz w:val="24"/>
          <w:szCs w:val="24"/>
          <w:highlight w:val="none"/>
          <w:lang w:val="zh-CN"/>
        </w:rPr>
        <w:t xml:space="preserve"> 合同中止、终止</w:t>
      </w:r>
      <w:bookmarkEnd w:id="204"/>
      <w:bookmarkEnd w:id="205"/>
      <w:bookmarkEnd w:id="206"/>
    </w:p>
    <w:p w14:paraId="5A1C36B4">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.1双方当事人不得擅自中止或者终止合同；</w:t>
      </w:r>
    </w:p>
    <w:p w14:paraId="724B771A">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717737CF">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lang w:val="zh-CN"/>
        </w:rPr>
      </w:pPr>
      <w:bookmarkStart w:id="207" w:name="_Toc6596"/>
      <w:bookmarkStart w:id="208" w:name="_Toc1125"/>
      <w:bookmarkStart w:id="209" w:name="_Toc14563"/>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检验和验收</w:t>
      </w:r>
      <w:bookmarkEnd w:id="207"/>
      <w:bookmarkEnd w:id="208"/>
      <w:bookmarkEnd w:id="209"/>
    </w:p>
    <w:p w14:paraId="205880FF">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1乙方按照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定期提交服务报告</w:t>
      </w:r>
      <w:r>
        <w:rPr>
          <w:rFonts w:hint="eastAsia" w:cs="Times New Roman" w:asciiTheme="minorEastAsia" w:hAnsiTheme="minorEastAsia" w:eastAsiaTheme="minorEastAsia"/>
          <w:color w:val="auto"/>
          <w:sz w:val="24"/>
          <w:szCs w:val="24"/>
          <w:highlight w:val="none"/>
        </w:rPr>
        <w:t>，甲方按照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的约定进行定期验收</w:t>
      </w:r>
      <w:r>
        <w:rPr>
          <w:rFonts w:hint="eastAsia" w:cs="Times New Roman" w:asciiTheme="minorEastAsia" w:hAnsiTheme="minorEastAsia" w:eastAsiaTheme="minorEastAsia"/>
          <w:color w:val="auto"/>
          <w:sz w:val="24"/>
          <w:szCs w:val="24"/>
          <w:highlight w:val="none"/>
        </w:rPr>
        <w:t>；</w:t>
      </w:r>
    </w:p>
    <w:p w14:paraId="7CCCA852">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94209F">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2.15.3检验和验收标准、程序等具体内容以及前述验收书的效力详见</w:t>
      </w:r>
      <w:r>
        <w:rPr>
          <w:rFonts w:cs="Times New Roman" w:asciiTheme="minorEastAsia" w:hAnsiTheme="minorEastAsia" w:eastAsiaTheme="minorEastAsia"/>
          <w:b/>
          <w:i/>
          <w:color w:val="auto"/>
          <w:sz w:val="24"/>
          <w:szCs w:val="24"/>
          <w:highlight w:val="none"/>
          <w:u w:val="single"/>
        </w:rPr>
        <w:t>合同专用条款</w:t>
      </w:r>
      <w:r>
        <w:rPr>
          <w:rFonts w:hint="eastAsia" w:cs="Times New Roman" w:asciiTheme="minorEastAsia" w:hAnsiTheme="minorEastAsia" w:eastAsiaTheme="minorEastAsia"/>
          <w:i/>
          <w:color w:val="auto"/>
          <w:sz w:val="24"/>
          <w:szCs w:val="24"/>
          <w:highlight w:val="none"/>
        </w:rPr>
        <w:t>。</w:t>
      </w:r>
    </w:p>
    <w:bookmarkEnd w:id="179"/>
    <w:bookmarkEnd w:id="180"/>
    <w:bookmarkEnd w:id="181"/>
    <w:bookmarkEnd w:id="182"/>
    <w:p w14:paraId="7D1B4324">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bCs/>
          <w:color w:val="auto"/>
          <w:sz w:val="24"/>
          <w:szCs w:val="24"/>
          <w:highlight w:val="none"/>
        </w:rPr>
      </w:pPr>
      <w:bookmarkStart w:id="210" w:name="_Toc18567"/>
      <w:bookmarkStart w:id="211" w:name="_Toc487900373"/>
      <w:bookmarkStart w:id="212" w:name="_Toc279701263"/>
      <w:bookmarkStart w:id="213" w:name="_Toc259093692"/>
      <w:bookmarkStart w:id="214" w:name="_Toc12773"/>
      <w:bookmarkStart w:id="215" w:name="_Toc10330"/>
      <w:r>
        <w:rPr>
          <w:rFonts w:hint="eastAsia" w:cs="Times New Roman" w:asciiTheme="minorEastAsia" w:hAnsiTheme="minorEastAsia" w:eastAsiaTheme="minorEastAsia"/>
          <w:b/>
          <w:bCs/>
          <w:color w:val="auto"/>
          <w:sz w:val="24"/>
          <w:szCs w:val="24"/>
          <w:highlight w:val="none"/>
        </w:rPr>
        <w:t>2.</w:t>
      </w:r>
      <w:r>
        <w:rPr>
          <w:rFonts w:cs="Times New Roman" w:asciiTheme="minorEastAsia" w:hAnsiTheme="minorEastAsia" w:eastAsiaTheme="minorEastAsia"/>
          <w:b/>
          <w:bCs/>
          <w:color w:val="auto"/>
          <w:sz w:val="24"/>
          <w:szCs w:val="24"/>
          <w:highlight w:val="none"/>
        </w:rPr>
        <w:t>16</w:t>
      </w:r>
      <w:r>
        <w:rPr>
          <w:rFonts w:hint="eastAsia" w:cs="Times New Roman" w:asciiTheme="minorEastAsia" w:hAnsiTheme="minorEastAsia" w:eastAsiaTheme="minorEastAsia"/>
          <w:b/>
          <w:bCs/>
          <w:color w:val="auto"/>
          <w:sz w:val="24"/>
          <w:szCs w:val="24"/>
          <w:highlight w:val="none"/>
        </w:rPr>
        <w:t xml:space="preserve"> </w:t>
      </w:r>
      <w:r>
        <w:rPr>
          <w:rFonts w:hint="eastAsia" w:cs="Times New Roman" w:asciiTheme="minorEastAsia" w:hAnsiTheme="minorEastAsia" w:eastAsiaTheme="minorEastAsia"/>
          <w:b/>
          <w:bCs/>
          <w:color w:val="auto"/>
          <w:sz w:val="24"/>
          <w:szCs w:val="24"/>
          <w:highlight w:val="none"/>
          <w:lang w:val="zh-CN"/>
        </w:rPr>
        <w:t>合同使用的文字和</w:t>
      </w:r>
      <w:r>
        <w:rPr>
          <w:rFonts w:cs="Times New Roman" w:asciiTheme="minorEastAsia" w:hAnsiTheme="minorEastAsia" w:eastAsiaTheme="minorEastAsia"/>
          <w:b/>
          <w:bCs/>
          <w:color w:val="auto"/>
          <w:sz w:val="24"/>
          <w:szCs w:val="24"/>
          <w:highlight w:val="none"/>
          <w:lang w:val="zh-CN"/>
        </w:rPr>
        <w:t>适用的法律</w:t>
      </w:r>
      <w:bookmarkEnd w:id="210"/>
      <w:bookmarkEnd w:id="211"/>
      <w:bookmarkEnd w:id="212"/>
      <w:bookmarkEnd w:id="213"/>
      <w:bookmarkEnd w:id="214"/>
      <w:bookmarkEnd w:id="215"/>
    </w:p>
    <w:p w14:paraId="460F1108">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16.1合同使用汉语书就</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变更和解释</w:t>
      </w:r>
      <w:r>
        <w:rPr>
          <w:rFonts w:hint="eastAsia" w:cs="Times New Roman" w:asciiTheme="minorEastAsia" w:hAnsiTheme="minorEastAsia" w:eastAsiaTheme="minorEastAsia"/>
          <w:color w:val="auto"/>
          <w:sz w:val="24"/>
          <w:szCs w:val="24"/>
          <w:highlight w:val="none"/>
        </w:rPr>
        <w:t>；</w:t>
      </w:r>
    </w:p>
    <w:p w14:paraId="2333D1D4">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w:t>
      </w:r>
      <w:r>
        <w:rPr>
          <w:rFonts w:hint="eastAsia" w:cs="Times New Roman" w:asciiTheme="minorEastAsia" w:hAnsiTheme="minorEastAsia" w:eastAsiaTheme="minorEastAsia"/>
          <w:color w:val="auto"/>
          <w:sz w:val="24"/>
          <w:szCs w:val="24"/>
          <w:highlight w:val="none"/>
        </w:rPr>
        <w:t>.2合同适用</w:t>
      </w:r>
      <w:r>
        <w:rPr>
          <w:rFonts w:cs="Times New Roman" w:asciiTheme="minorEastAsia" w:hAnsiTheme="minorEastAsia" w:eastAsiaTheme="minorEastAsia"/>
          <w:color w:val="auto"/>
          <w:sz w:val="24"/>
          <w:szCs w:val="24"/>
          <w:highlight w:val="none"/>
        </w:rPr>
        <w:t>中华人民共和国法律。</w:t>
      </w:r>
    </w:p>
    <w:p w14:paraId="47C4F362">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color w:val="auto"/>
          <w:sz w:val="24"/>
          <w:szCs w:val="24"/>
          <w:highlight w:val="none"/>
        </w:rPr>
      </w:pPr>
      <w:bookmarkStart w:id="216" w:name="_Toc279701264"/>
      <w:bookmarkStart w:id="217" w:name="_Toc12004"/>
      <w:bookmarkStart w:id="218" w:name="_Toc259093693"/>
      <w:bookmarkStart w:id="219" w:name="_Toc3148"/>
      <w:bookmarkStart w:id="220" w:name="_Toc16673"/>
      <w:bookmarkStart w:id="221" w:name="_Toc4879003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17</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履约保证金</w:t>
      </w:r>
      <w:bookmarkEnd w:id="216"/>
      <w:bookmarkEnd w:id="217"/>
      <w:bookmarkEnd w:id="218"/>
      <w:bookmarkEnd w:id="219"/>
      <w:bookmarkEnd w:id="220"/>
    </w:p>
    <w:p w14:paraId="2CB820E1">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.1采购文件要求乙方提交履约保证金的，乙方</w:t>
      </w:r>
      <w:r>
        <w:rPr>
          <w:rFonts w:cs="Times New Roman" w:asciiTheme="minorEastAsia" w:hAnsiTheme="minorEastAsia" w:eastAsiaTheme="minorEastAsia"/>
          <w:color w:val="auto"/>
          <w:sz w:val="24"/>
          <w:szCs w:val="24"/>
          <w:highlight w:val="none"/>
        </w:rPr>
        <w:t>应按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约定的方式</w:t>
      </w:r>
      <w:r>
        <w:rPr>
          <w:rFonts w:hint="eastAsia" w:cs="Times New Roman" w:asciiTheme="minorEastAsia" w:hAnsiTheme="minorEastAsia" w:eastAsiaTheme="minorEastAsia"/>
          <w:color w:val="auto"/>
          <w:sz w:val="24"/>
          <w:szCs w:val="24"/>
          <w:highlight w:val="none"/>
        </w:rPr>
        <w:t>，以支票、汇票、本票或者金融机构、担保机构出具的保函等非现金形式提交；</w:t>
      </w:r>
    </w:p>
    <w:p w14:paraId="2CD8B789">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17.2履约保证金在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rPr>
        <w:t>，甲方逾期退还履约保证金应承担违约责任。</w:t>
      </w:r>
    </w:p>
    <w:p w14:paraId="56598293">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.3</w:t>
      </w:r>
      <w:r>
        <w:rPr>
          <w:rFonts w:cs="Times New Roman" w:asciiTheme="minorEastAsia" w:hAnsiTheme="minorEastAsia" w:eastAsiaTheme="minorEastAsia"/>
          <w:color w:val="auto"/>
          <w:sz w:val="24"/>
          <w:szCs w:val="24"/>
          <w:highlight w:val="none"/>
        </w:rPr>
        <w:t>如果乙方不履行合同</w:t>
      </w:r>
      <w:r>
        <w:rPr>
          <w:rFonts w:hint="eastAsia" w:cs="Times New Roman" w:asciiTheme="minorEastAsia" w:hAnsiTheme="minorEastAsia" w:eastAsiaTheme="minorEastAsia"/>
          <w:color w:val="auto"/>
          <w:sz w:val="24"/>
          <w:szCs w:val="24"/>
          <w:highlight w:val="none"/>
        </w:rPr>
        <w:t>，履约保证金不予退还；如果乙方</w:t>
      </w:r>
      <w:r>
        <w:rPr>
          <w:rFonts w:cs="Times New Roman" w:asciiTheme="minorEastAsia" w:hAnsiTheme="minorEastAsia" w:eastAsiaTheme="minorEastAsia"/>
          <w:color w:val="auto"/>
          <w:sz w:val="24"/>
          <w:szCs w:val="24"/>
          <w:highlight w:val="none"/>
        </w:rPr>
        <w:t>未能按合同</w:t>
      </w:r>
      <w:r>
        <w:rPr>
          <w:rFonts w:hint="eastAsia" w:cs="Times New Roman" w:asciiTheme="minorEastAsia" w:hAnsiTheme="minorEastAsia" w:eastAsiaTheme="minorEastAsia"/>
          <w:color w:val="auto"/>
          <w:sz w:val="24"/>
          <w:szCs w:val="24"/>
          <w:highlight w:val="none"/>
        </w:rPr>
        <w:t>约</w:t>
      </w:r>
      <w:r>
        <w:rPr>
          <w:rFonts w:cs="Times New Roman" w:asciiTheme="minorEastAsia" w:hAnsiTheme="minorEastAsia" w:eastAsiaTheme="minorEastAsia"/>
          <w:color w:val="auto"/>
          <w:sz w:val="24"/>
          <w:szCs w:val="24"/>
          <w:highlight w:val="none"/>
        </w:rPr>
        <w:t>定全面履行义务，那么甲方有权从履约保证金中取得补偿或赔偿</w:t>
      </w:r>
      <w:r>
        <w:rPr>
          <w:rFonts w:hint="eastAsia" w:cs="Times New Roman" w:asciiTheme="minorEastAsia" w:hAnsiTheme="minorEastAsia" w:eastAsiaTheme="minorEastAsia"/>
          <w:color w:val="auto"/>
          <w:sz w:val="24"/>
          <w:szCs w:val="24"/>
          <w:highlight w:val="none"/>
        </w:rPr>
        <w:t>，同时不影响甲方要求乙方承担合同约定的超过履约保证金的违约责任的权利。</w:t>
      </w:r>
    </w:p>
    <w:bookmarkEnd w:id="221"/>
    <w:p w14:paraId="1852A1AE">
      <w:pPr>
        <w:keepNext w:val="0"/>
        <w:keepLines w:val="0"/>
        <w:pageBreakBefore w:val="0"/>
        <w:widowControl w:val="0"/>
        <w:kinsoku/>
        <w:wordWrap/>
        <w:overflowPunct/>
        <w:topLinePunct w:val="0"/>
        <w:autoSpaceDE/>
        <w:autoSpaceDN/>
        <w:bidi w:val="0"/>
        <w:adjustRightInd/>
        <w:snapToGrid/>
        <w:spacing w:line="520" w:lineRule="exact"/>
        <w:ind w:firstLine="437"/>
        <w:jc w:val="left"/>
        <w:textAlignment w:val="auto"/>
        <w:outlineLvl w:val="2"/>
        <w:rPr>
          <w:rFonts w:hint="eastAsia" w:cs="Times New Roman" w:asciiTheme="minorEastAsia" w:hAnsiTheme="minorEastAsia" w:eastAsiaTheme="minorEastAsia"/>
          <w:b/>
          <w:color w:val="auto"/>
          <w:sz w:val="24"/>
          <w:szCs w:val="24"/>
          <w:highlight w:val="none"/>
        </w:rPr>
      </w:pPr>
      <w:bookmarkStart w:id="222" w:name="_Toc14001"/>
      <w:bookmarkStart w:id="223" w:name="_Toc6885"/>
      <w:bookmarkStart w:id="224" w:name="_Toc1989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18</w:t>
      </w:r>
      <w:r>
        <w:rPr>
          <w:rFonts w:hint="eastAsia" w:cs="Times New Roman" w:asciiTheme="minorEastAsia" w:hAnsiTheme="minorEastAsia" w:eastAsiaTheme="minorEastAsia"/>
          <w:b/>
          <w:bCs/>
          <w:color w:val="auto"/>
          <w:sz w:val="24"/>
          <w:szCs w:val="24"/>
          <w:highlight w:val="none"/>
          <w:lang w:val="zh-CN"/>
        </w:rPr>
        <w:t xml:space="preserve"> 合同份数</w:t>
      </w:r>
      <w:bookmarkEnd w:id="222"/>
      <w:bookmarkEnd w:id="223"/>
      <w:bookmarkEnd w:id="224"/>
    </w:p>
    <w:p w14:paraId="75146AD0">
      <w:pPr>
        <w:keepNext w:val="0"/>
        <w:keepLines w:val="0"/>
        <w:pageBreakBefore w:val="0"/>
        <w:widowControl w:val="0"/>
        <w:kinsoku/>
        <w:wordWrap/>
        <w:overflowPunct/>
        <w:topLinePunct w:val="0"/>
        <w:autoSpaceDE/>
        <w:autoSpaceDN/>
        <w:bidi w:val="0"/>
        <w:adjustRightInd/>
        <w:snapToGrid/>
        <w:spacing w:line="520" w:lineRule="exact"/>
        <w:ind w:firstLine="435"/>
        <w:jc w:val="left"/>
        <w:textAlignment w:val="auto"/>
        <w:rPr>
          <w:rFonts w:hint="eastAsia"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合同份数按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规定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每份均具有同等法律效力</w:t>
      </w:r>
      <w:r>
        <w:rPr>
          <w:rFonts w:hint="eastAsia" w:cs="Times New Roman" w:asciiTheme="minorEastAsia" w:hAnsiTheme="minorEastAsia" w:eastAsiaTheme="minorEastAsia"/>
          <w:color w:val="auto"/>
          <w:sz w:val="24"/>
          <w:szCs w:val="24"/>
          <w:highlight w:val="none"/>
        </w:rPr>
        <w:t>。</w:t>
      </w:r>
    </w:p>
    <w:p w14:paraId="2E86A0A5">
      <w:pPr>
        <w:spacing w:line="440" w:lineRule="exact"/>
        <w:jc w:val="center"/>
        <w:outlineLvl w:val="1"/>
        <w:rPr>
          <w:rFonts w:hint="eastAsia" w:asciiTheme="minorEastAsia" w:hAnsiTheme="minorEastAsia" w:eastAsiaTheme="minorEastAsia"/>
          <w:b/>
          <w:color w:val="auto"/>
          <w:sz w:val="24"/>
          <w:highlight w:val="none"/>
        </w:rPr>
      </w:pPr>
      <w:r>
        <w:rPr>
          <w:rFonts w:cs="Times New Roman" w:asciiTheme="minorEastAsia" w:hAnsiTheme="minorEastAsia" w:eastAsiaTheme="minorEastAsia"/>
          <w:color w:val="auto"/>
          <w:sz w:val="24"/>
          <w:szCs w:val="24"/>
          <w:highlight w:val="none"/>
        </w:rPr>
        <w:br w:type="page"/>
      </w:r>
      <w:bookmarkStart w:id="225" w:name="_Toc3736"/>
      <w:bookmarkStart w:id="226" w:name="_Toc2117"/>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25"/>
      <w:bookmarkEnd w:id="226"/>
    </w:p>
    <w:p w14:paraId="1B2DAB4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本部分</w:t>
      </w:r>
      <w:r>
        <w:rPr>
          <w:rFonts w:cs="Times New Roman" w:asciiTheme="minorEastAsia" w:hAnsiTheme="minorEastAsia" w:eastAsiaTheme="minorEastAsia"/>
          <w:color w:val="auto"/>
          <w:sz w:val="24"/>
          <w:szCs w:val="24"/>
          <w:highlight w:val="none"/>
        </w:rPr>
        <w:t>是对</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部分的补充和修改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部分和本部分的约定不一致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应以本部分的约定为准</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本部分的条款号应与</w:t>
      </w:r>
      <w:r>
        <w:rPr>
          <w:rFonts w:hint="eastAsia" w:cs="Times New Roman" w:asciiTheme="minorEastAsia" w:hAnsiTheme="minorEastAsia" w:eastAsiaTheme="minorEastAsia"/>
          <w:color w:val="auto"/>
          <w:sz w:val="24"/>
          <w:szCs w:val="24"/>
          <w:highlight w:val="none"/>
        </w:rPr>
        <w:t>前两部分</w:t>
      </w:r>
      <w:r>
        <w:rPr>
          <w:rFonts w:cs="Times New Roman" w:asciiTheme="minorEastAsia" w:hAnsiTheme="minorEastAsia" w:eastAsiaTheme="minorEastAsia"/>
          <w:color w:val="auto"/>
          <w:sz w:val="24"/>
          <w:szCs w:val="24"/>
          <w:highlight w:val="none"/>
        </w:rPr>
        <w:t>的条款号保持对应</w:t>
      </w:r>
      <w:r>
        <w:rPr>
          <w:rFonts w:hint="eastAsia" w:cs="Times New Roman" w:asciiTheme="minorEastAsia" w:hAnsiTheme="minorEastAsia" w:eastAsiaTheme="minorEastAsia"/>
          <w:color w:val="auto"/>
          <w:sz w:val="24"/>
          <w:szCs w:val="24"/>
          <w:highlight w:val="none"/>
        </w:rPr>
        <w:t>；与前两部分</w:t>
      </w:r>
      <w:r>
        <w:rPr>
          <w:rFonts w:cs="Times New Roman" w:asciiTheme="minorEastAsia" w:hAnsiTheme="minorEastAsia" w:eastAsiaTheme="minorEastAsia"/>
          <w:color w:val="auto"/>
          <w:sz w:val="24"/>
          <w:szCs w:val="24"/>
          <w:highlight w:val="none"/>
        </w:rPr>
        <w:t>无对应关系的内容可另行编制条款号</w:t>
      </w:r>
      <w:r>
        <w:rPr>
          <w:rFonts w:hint="eastAsia" w:cs="Times New Roman" w:asciiTheme="minorEastAsia" w:hAnsiTheme="minorEastAsia" w:eastAsiaTheme="minorEastAsia"/>
          <w:color w:val="auto"/>
          <w:sz w:val="24"/>
          <w:szCs w:val="24"/>
          <w:highlight w:val="none"/>
        </w:rPr>
        <w:t>。</w:t>
      </w:r>
    </w:p>
    <w:tbl>
      <w:tblPr>
        <w:tblStyle w:val="39"/>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955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70E564C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t>条款号</w:t>
            </w:r>
          </w:p>
        </w:tc>
        <w:tc>
          <w:tcPr>
            <w:tcW w:w="7568" w:type="dxa"/>
            <w:vAlign w:val="center"/>
          </w:tcPr>
          <w:p w14:paraId="0DA57D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t>约定内容</w:t>
            </w:r>
          </w:p>
        </w:tc>
      </w:tr>
      <w:tr w14:paraId="5A318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21EA34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2.5</w:t>
            </w:r>
          </w:p>
        </w:tc>
        <w:tc>
          <w:tcPr>
            <w:tcW w:w="7568" w:type="dxa"/>
            <w:vAlign w:val="center"/>
          </w:tcPr>
          <w:p w14:paraId="0051F04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Times New Roman" w:asciiTheme="minorEastAsia" w:hAnsiTheme="minorEastAsia" w:eastAsiaTheme="minorEastAsia"/>
                <w:color w:val="auto"/>
                <w:sz w:val="24"/>
                <w:szCs w:val="24"/>
                <w:highlight w:val="none"/>
              </w:rPr>
            </w:pPr>
            <w:r>
              <w:rPr>
                <w:rFonts w:hint="eastAsia" w:ascii="宋体" w:hAnsi="宋体" w:eastAsia="宋体"/>
                <w:b w:val="0"/>
                <w:color w:val="auto"/>
                <w:sz w:val="24"/>
                <w:highlight w:val="none"/>
                <w:lang w:val="en-US" w:eastAsia="zh-CN"/>
              </w:rPr>
              <w:t>合同签订生效并具备实施条件后支付合同金额的40%预付款（预付款支付前，中标人须提供等额的见索即付预付款保函），所有资源制作完成并通过验收后，支付剩余合同价款。</w:t>
            </w:r>
          </w:p>
        </w:tc>
      </w:tr>
      <w:tr w14:paraId="2AAA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EF9F8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2.11.3</w:t>
            </w:r>
          </w:p>
        </w:tc>
        <w:tc>
          <w:tcPr>
            <w:tcW w:w="7568" w:type="dxa"/>
            <w:vAlign w:val="center"/>
          </w:tcPr>
          <w:p w14:paraId="4B3DF94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因不可抗力致使合同有变更必要的，双方当事人应在不可抗力发生的</w:t>
            </w:r>
            <w:r>
              <w:rPr>
                <w:rFonts w:hint="eastAsia" w:cs="Times New Roman" w:asciiTheme="minorEastAsia" w:hAnsiTheme="minorEastAsia" w:eastAsiaTheme="minorEastAsia"/>
                <w:color w:val="auto"/>
                <w:sz w:val="24"/>
                <w:szCs w:val="24"/>
                <w:highlight w:val="none"/>
                <w:lang w:val="en-US" w:eastAsia="zh-CN"/>
              </w:rPr>
              <w:t>15</w:t>
            </w:r>
            <w:r>
              <w:rPr>
                <w:rFonts w:hint="eastAsia" w:cs="Times New Roman" w:asciiTheme="minorEastAsia" w:hAnsiTheme="minorEastAsia" w:eastAsiaTheme="minorEastAsia"/>
                <w:color w:val="auto"/>
                <w:sz w:val="24"/>
                <w:szCs w:val="24"/>
                <w:highlight w:val="none"/>
              </w:rPr>
              <w:t>个工作日内以书面形式变更合同</w:t>
            </w:r>
          </w:p>
        </w:tc>
      </w:tr>
      <w:tr w14:paraId="09AB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6728B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2.11.4</w:t>
            </w:r>
          </w:p>
        </w:tc>
        <w:tc>
          <w:tcPr>
            <w:tcW w:w="7568" w:type="dxa"/>
            <w:vAlign w:val="center"/>
          </w:tcPr>
          <w:p w14:paraId="2E6CC8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受不可抗力影响的一方在不可抗力发生后，应在不可抗力发生的</w:t>
            </w:r>
            <w:r>
              <w:rPr>
                <w:rFonts w:hint="eastAsia" w:cs="Times New Roman" w:asciiTheme="minorEastAsia" w:hAnsiTheme="minorEastAsia" w:eastAsiaTheme="minorEastAsia"/>
                <w:color w:val="auto"/>
                <w:sz w:val="24"/>
                <w:szCs w:val="24"/>
                <w:highlight w:val="none"/>
                <w:lang w:val="en-US" w:eastAsia="zh-CN"/>
              </w:rPr>
              <w:t>3</w:t>
            </w:r>
            <w:r>
              <w:rPr>
                <w:rFonts w:hint="eastAsia" w:cs="Times New Roman" w:asciiTheme="minorEastAsia" w:hAnsiTheme="minorEastAsia" w:eastAsiaTheme="minorEastAsia"/>
                <w:color w:val="auto"/>
                <w:sz w:val="24"/>
                <w:szCs w:val="24"/>
                <w:highlight w:val="none"/>
              </w:rPr>
              <w:t>个工作日内以书面形式通知对方当事人，并在</w:t>
            </w:r>
            <w:r>
              <w:rPr>
                <w:rFonts w:hint="eastAsia" w:cs="Times New Roman" w:asciiTheme="minorEastAsia" w:hAnsiTheme="minorEastAsia" w:eastAsiaTheme="minorEastAsia"/>
                <w:color w:val="auto"/>
                <w:sz w:val="24"/>
                <w:szCs w:val="24"/>
                <w:highlight w:val="none"/>
                <w:lang w:val="en-US" w:eastAsia="zh-CN"/>
              </w:rPr>
              <w:t>3</w:t>
            </w:r>
            <w:r>
              <w:rPr>
                <w:rFonts w:hint="eastAsia" w:cs="Times New Roman" w:asciiTheme="minorEastAsia" w:hAnsiTheme="minorEastAsia" w:eastAsiaTheme="minorEastAsia"/>
                <w:color w:val="auto"/>
                <w:sz w:val="24"/>
                <w:szCs w:val="24"/>
                <w:highlight w:val="none"/>
              </w:rPr>
              <w:t>个工作日内，将有关部门出具的证明文件送达对方当事人</w:t>
            </w:r>
          </w:p>
        </w:tc>
      </w:tr>
      <w:tr w14:paraId="52E07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E5905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r>
              <w:rPr>
                <w:rFonts w:hint="eastAsia" w:ascii="宋体" w:hAnsi="宋体" w:eastAsia="宋体" w:cs="宋体"/>
                <w:color w:val="auto"/>
                <w:sz w:val="24"/>
                <w:szCs w:val="24"/>
                <w:highlight w:val="none"/>
              </w:rPr>
              <w:t>2.15</w:t>
            </w:r>
          </w:p>
        </w:tc>
        <w:tc>
          <w:tcPr>
            <w:tcW w:w="7568" w:type="dxa"/>
            <w:vAlign w:val="center"/>
          </w:tcPr>
          <w:p w14:paraId="7EADC7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2.15.1乙方须接受甲方对项目执行情况、服务质量等的监督、检查和验收，甲方有权查看与项目直接相关的凭证和资料，乙方应予以配合。</w:t>
            </w:r>
          </w:p>
          <w:p w14:paraId="10342A1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rPr>
              <w:t>2.15.3验收书的内容以</w:t>
            </w:r>
            <w:r>
              <w:rPr>
                <w:rFonts w:hint="eastAsia" w:ascii="宋体" w:hAnsi="宋体" w:eastAsia="宋体" w:cs="宋体"/>
                <w:color w:val="auto"/>
                <w:sz w:val="24"/>
                <w:szCs w:val="24"/>
                <w:highlight w:val="none"/>
                <w:lang w:val="en-US" w:eastAsia="zh-CN"/>
              </w:rPr>
              <w:t>考核结论</w:t>
            </w:r>
            <w:r>
              <w:rPr>
                <w:rFonts w:hint="eastAsia" w:ascii="宋体" w:hAnsi="宋体" w:eastAsia="宋体" w:cs="宋体"/>
                <w:color w:val="auto"/>
                <w:sz w:val="24"/>
                <w:szCs w:val="24"/>
                <w:highlight w:val="none"/>
              </w:rPr>
              <w:t>作为结算依据。</w:t>
            </w:r>
          </w:p>
        </w:tc>
      </w:tr>
      <w:tr w14:paraId="153F5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E03A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olor w:val="auto"/>
                <w:sz w:val="24"/>
                <w:highlight w:val="none"/>
              </w:rPr>
            </w:pPr>
            <w:r>
              <w:rPr>
                <w:rFonts w:hint="eastAsia" w:ascii="宋体" w:hAnsi="宋体" w:eastAsia="宋体"/>
                <w:color w:val="auto"/>
                <w:sz w:val="24"/>
                <w:highlight w:val="none"/>
              </w:rPr>
              <w:t>2.17</w:t>
            </w:r>
          </w:p>
        </w:tc>
        <w:tc>
          <w:tcPr>
            <w:tcW w:w="7568" w:type="dxa"/>
            <w:vAlign w:val="center"/>
          </w:tcPr>
          <w:p w14:paraId="0AB40E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本项目免收</w:t>
            </w:r>
            <w:r>
              <w:rPr>
                <w:rFonts w:hint="eastAsia" w:cs="Times New Roman" w:asciiTheme="minorEastAsia" w:hAnsiTheme="minorEastAsia" w:eastAsiaTheme="minorEastAsia"/>
                <w:color w:val="auto"/>
                <w:sz w:val="24"/>
                <w:szCs w:val="24"/>
                <w:highlight w:val="none"/>
                <w:lang w:val="zh-CN"/>
              </w:rPr>
              <w:t>履约保证金。</w:t>
            </w:r>
          </w:p>
        </w:tc>
      </w:tr>
      <w:tr w14:paraId="5D69A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10978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2.18</w:t>
            </w:r>
          </w:p>
        </w:tc>
        <w:tc>
          <w:tcPr>
            <w:tcW w:w="7568" w:type="dxa"/>
            <w:vAlign w:val="center"/>
          </w:tcPr>
          <w:p w14:paraId="24B770D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Times New Roman" w:asciiTheme="minorEastAsia" w:hAnsiTheme="minorEastAsia" w:eastAsiaTheme="minorEastAsia"/>
                <w:color w:val="auto"/>
                <w:sz w:val="24"/>
                <w:szCs w:val="24"/>
                <w:highlight w:val="none"/>
              </w:rPr>
            </w:pPr>
            <w:r>
              <w:rPr>
                <w:rFonts w:hint="eastAsia" w:ascii="宋体" w:hAnsi="宋体" w:eastAsia="宋体" w:cs="宋体"/>
                <w:color w:val="auto"/>
                <w:sz w:val="24"/>
                <w:highlight w:val="none"/>
              </w:rPr>
              <w:t>合同一式陆份，甲乙双方各执叁份。</w:t>
            </w:r>
          </w:p>
        </w:tc>
      </w:tr>
      <w:tr w14:paraId="7A6D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07C04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p>
        </w:tc>
        <w:tc>
          <w:tcPr>
            <w:tcW w:w="7568" w:type="dxa"/>
            <w:vAlign w:val="center"/>
          </w:tcPr>
          <w:p w14:paraId="03F3F9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rPr>
            </w:pPr>
          </w:p>
        </w:tc>
      </w:tr>
      <w:tr w14:paraId="7DFCB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FC65D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Times New Roman" w:asciiTheme="minorEastAsia" w:hAnsiTheme="minorEastAsia" w:eastAsiaTheme="minorEastAsia"/>
                <w:color w:val="auto"/>
                <w:sz w:val="24"/>
                <w:szCs w:val="24"/>
                <w:highlight w:val="none"/>
              </w:rPr>
            </w:pPr>
          </w:p>
        </w:tc>
        <w:tc>
          <w:tcPr>
            <w:tcW w:w="7568" w:type="dxa"/>
            <w:vAlign w:val="center"/>
          </w:tcPr>
          <w:p w14:paraId="2F5733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rPr>
            </w:pPr>
          </w:p>
        </w:tc>
      </w:tr>
    </w:tbl>
    <w:p w14:paraId="35B63AB8">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7635E46">
      <w:pPr>
        <w:numPr>
          <w:ilvl w:val="0"/>
          <w:numId w:val="28"/>
        </w:num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 </w:t>
      </w:r>
      <w:bookmarkStart w:id="227" w:name="_Toc6987"/>
      <w:r>
        <w:rPr>
          <w:rFonts w:hint="eastAsia" w:asciiTheme="minorEastAsia" w:hAnsiTheme="minorEastAsia" w:eastAsiaTheme="minorEastAsia"/>
          <w:b/>
          <w:color w:val="auto"/>
          <w:sz w:val="28"/>
          <w:highlight w:val="none"/>
        </w:rPr>
        <w:t>投标文件格式</w:t>
      </w:r>
      <w:bookmarkEnd w:id="227"/>
    </w:p>
    <w:p w14:paraId="558F3A32">
      <w:pPr>
        <w:spacing w:line="900" w:lineRule="exact"/>
        <w:jc w:val="center"/>
        <w:rPr>
          <w:rFonts w:hint="eastAsia" w:asciiTheme="minorEastAsia" w:hAnsiTheme="minorEastAsia" w:eastAsiaTheme="minorEastAsia"/>
          <w:b/>
          <w:color w:val="auto"/>
          <w:sz w:val="72"/>
          <w:highlight w:val="none"/>
        </w:rPr>
      </w:pPr>
    </w:p>
    <w:p w14:paraId="35CE972A">
      <w:pPr>
        <w:spacing w:line="900" w:lineRule="exact"/>
        <w:jc w:val="center"/>
        <w:outlineLvl w:val="1"/>
        <w:rPr>
          <w:rFonts w:hint="eastAsia" w:asciiTheme="minorEastAsia" w:hAnsiTheme="minorEastAsia" w:eastAsiaTheme="minorEastAsia"/>
          <w:b/>
          <w:color w:val="auto"/>
          <w:sz w:val="72"/>
          <w:highlight w:val="none"/>
        </w:rPr>
      </w:pPr>
      <w:bookmarkStart w:id="228" w:name="_Toc6909"/>
      <w:bookmarkStart w:id="229" w:name="_Toc5119"/>
      <w:r>
        <w:rPr>
          <w:rFonts w:hint="eastAsia" w:asciiTheme="minorEastAsia" w:hAnsiTheme="minorEastAsia" w:eastAsiaTheme="minorEastAsia"/>
          <w:b/>
          <w:color w:val="auto"/>
          <w:sz w:val="72"/>
          <w:highlight w:val="none"/>
        </w:rPr>
        <w:t>投</w:t>
      </w:r>
      <w:bookmarkEnd w:id="228"/>
      <w:bookmarkEnd w:id="229"/>
    </w:p>
    <w:p w14:paraId="288F9D82">
      <w:pPr>
        <w:spacing w:line="900" w:lineRule="exact"/>
        <w:jc w:val="center"/>
        <w:rPr>
          <w:rFonts w:hint="eastAsia" w:asciiTheme="minorEastAsia" w:hAnsiTheme="minorEastAsia" w:eastAsiaTheme="minorEastAsia"/>
          <w:b/>
          <w:color w:val="auto"/>
          <w:sz w:val="72"/>
          <w:highlight w:val="none"/>
        </w:rPr>
      </w:pPr>
    </w:p>
    <w:p w14:paraId="453FDEFF">
      <w:pPr>
        <w:spacing w:line="900" w:lineRule="exact"/>
        <w:jc w:val="center"/>
        <w:outlineLvl w:val="1"/>
        <w:rPr>
          <w:rFonts w:hint="eastAsia" w:asciiTheme="minorEastAsia" w:hAnsiTheme="minorEastAsia" w:eastAsiaTheme="minorEastAsia"/>
          <w:b/>
          <w:color w:val="auto"/>
          <w:sz w:val="72"/>
          <w:highlight w:val="none"/>
        </w:rPr>
      </w:pPr>
      <w:bookmarkStart w:id="230" w:name="_Toc13129"/>
      <w:bookmarkStart w:id="231" w:name="_Toc4782"/>
      <w:r>
        <w:rPr>
          <w:rFonts w:hint="eastAsia" w:asciiTheme="minorEastAsia" w:hAnsiTheme="minorEastAsia" w:eastAsiaTheme="minorEastAsia"/>
          <w:b/>
          <w:color w:val="auto"/>
          <w:sz w:val="72"/>
          <w:highlight w:val="none"/>
        </w:rPr>
        <w:t>标</w:t>
      </w:r>
      <w:bookmarkEnd w:id="230"/>
      <w:bookmarkEnd w:id="231"/>
    </w:p>
    <w:p w14:paraId="79D25B58">
      <w:pPr>
        <w:spacing w:line="900" w:lineRule="exact"/>
        <w:jc w:val="center"/>
        <w:rPr>
          <w:rFonts w:hint="eastAsia" w:asciiTheme="minorEastAsia" w:hAnsiTheme="minorEastAsia" w:eastAsiaTheme="minorEastAsia"/>
          <w:b/>
          <w:color w:val="auto"/>
          <w:sz w:val="72"/>
          <w:highlight w:val="none"/>
        </w:rPr>
      </w:pPr>
    </w:p>
    <w:p w14:paraId="5623B1F4">
      <w:pPr>
        <w:spacing w:line="900" w:lineRule="exact"/>
        <w:jc w:val="center"/>
        <w:outlineLvl w:val="1"/>
        <w:rPr>
          <w:rFonts w:hint="eastAsia" w:asciiTheme="minorEastAsia" w:hAnsiTheme="minorEastAsia" w:eastAsiaTheme="minorEastAsia"/>
          <w:b/>
          <w:color w:val="auto"/>
          <w:sz w:val="72"/>
          <w:highlight w:val="none"/>
        </w:rPr>
      </w:pPr>
      <w:bookmarkStart w:id="232" w:name="_Toc7984"/>
      <w:bookmarkStart w:id="233" w:name="_Toc19607"/>
      <w:r>
        <w:rPr>
          <w:rFonts w:hint="eastAsia" w:asciiTheme="minorEastAsia" w:hAnsiTheme="minorEastAsia" w:eastAsiaTheme="minorEastAsia"/>
          <w:b/>
          <w:color w:val="auto"/>
          <w:sz w:val="72"/>
          <w:highlight w:val="none"/>
        </w:rPr>
        <w:t>文</w:t>
      </w:r>
      <w:bookmarkEnd w:id="232"/>
      <w:bookmarkEnd w:id="233"/>
    </w:p>
    <w:p w14:paraId="5905500D">
      <w:pPr>
        <w:spacing w:line="900" w:lineRule="exact"/>
        <w:jc w:val="center"/>
        <w:rPr>
          <w:rFonts w:hint="eastAsia" w:asciiTheme="minorEastAsia" w:hAnsiTheme="minorEastAsia" w:eastAsiaTheme="minorEastAsia"/>
          <w:b/>
          <w:color w:val="auto"/>
          <w:sz w:val="72"/>
          <w:highlight w:val="none"/>
        </w:rPr>
      </w:pPr>
    </w:p>
    <w:p w14:paraId="77404DA7">
      <w:pPr>
        <w:jc w:val="center"/>
        <w:outlineLvl w:val="1"/>
        <w:rPr>
          <w:rFonts w:hint="eastAsia" w:asciiTheme="minorEastAsia" w:hAnsiTheme="minorEastAsia" w:eastAsiaTheme="minorEastAsia"/>
          <w:b/>
          <w:color w:val="auto"/>
          <w:sz w:val="72"/>
          <w:highlight w:val="none"/>
        </w:rPr>
      </w:pPr>
      <w:bookmarkStart w:id="234" w:name="_Toc8365"/>
      <w:bookmarkStart w:id="235" w:name="_Toc3149"/>
      <w:r>
        <w:rPr>
          <w:rFonts w:hint="eastAsia" w:asciiTheme="minorEastAsia" w:hAnsiTheme="minorEastAsia" w:eastAsiaTheme="minorEastAsia"/>
          <w:b/>
          <w:color w:val="auto"/>
          <w:sz w:val="72"/>
          <w:highlight w:val="none"/>
        </w:rPr>
        <w:t>件</w:t>
      </w:r>
      <w:bookmarkEnd w:id="234"/>
      <w:bookmarkEnd w:id="235"/>
    </w:p>
    <w:p w14:paraId="571AF9F5">
      <w:pPr>
        <w:spacing w:after="156" w:afterLines="50"/>
        <w:jc w:val="center"/>
        <w:rPr>
          <w:rFonts w:hint="eastAsia" w:asciiTheme="minorEastAsia" w:hAnsiTheme="minorEastAsia" w:eastAsiaTheme="minorEastAsia"/>
          <w:b/>
          <w:color w:val="auto"/>
          <w:sz w:val="32"/>
          <w:szCs w:val="32"/>
          <w:highlight w:val="none"/>
        </w:rPr>
      </w:pPr>
      <w:bookmarkStart w:id="236" w:name="_Toc32506"/>
    </w:p>
    <w:bookmarkEnd w:id="236"/>
    <w:p w14:paraId="1A5C9A4D">
      <w:pPr>
        <w:spacing w:before="156" w:beforeLines="50" w:after="156" w:afterLines="50"/>
        <w:jc w:val="center"/>
        <w:rPr>
          <w:rFonts w:hint="eastAsia" w:asciiTheme="minorEastAsia" w:hAnsiTheme="minorEastAsia" w:eastAsiaTheme="minorEastAsia"/>
          <w:b/>
          <w:color w:val="auto"/>
          <w:sz w:val="32"/>
          <w:szCs w:val="32"/>
          <w:highlight w:val="none"/>
        </w:rPr>
      </w:pPr>
    </w:p>
    <w:p w14:paraId="2BDE9FBC">
      <w:pPr>
        <w:spacing w:before="156" w:beforeLines="50" w:after="156" w:afterLines="50"/>
        <w:jc w:val="center"/>
        <w:rPr>
          <w:rFonts w:hint="eastAsia" w:asciiTheme="minorEastAsia" w:hAnsiTheme="minorEastAsia" w:eastAsiaTheme="minorEastAsia"/>
          <w:b/>
          <w:color w:val="auto"/>
          <w:sz w:val="32"/>
          <w:szCs w:val="32"/>
          <w:highlight w:val="none"/>
        </w:rPr>
      </w:pPr>
    </w:p>
    <w:p w14:paraId="229AC2F7">
      <w:pPr>
        <w:spacing w:after="156" w:afterLines="50" w:line="500" w:lineRule="exact"/>
        <w:jc w:val="center"/>
        <w:rPr>
          <w:rFonts w:hint="eastAsia" w:asciiTheme="minorEastAsia" w:hAnsiTheme="minorEastAsia" w:eastAsiaTheme="minorEastAsia"/>
          <w:b/>
          <w:color w:val="auto"/>
          <w:sz w:val="28"/>
          <w:szCs w:val="28"/>
          <w:highlight w:val="none"/>
        </w:rPr>
      </w:pPr>
    </w:p>
    <w:p w14:paraId="7A49EDE9">
      <w:pPr>
        <w:tabs>
          <w:tab w:val="left" w:pos="2410"/>
        </w:tabs>
        <w:autoSpaceDE w:val="0"/>
        <w:autoSpaceDN w:val="0"/>
        <w:adjustRightInd w:val="0"/>
        <w:snapToGrid w:val="0"/>
        <w:spacing w:line="360" w:lineRule="auto"/>
        <w:ind w:firstLine="1928" w:firstLineChars="6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5325B96D">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343DA3F5">
      <w:pPr>
        <w:tabs>
          <w:tab w:val="left" w:pos="2410"/>
        </w:tabs>
        <w:autoSpaceDE w:val="0"/>
        <w:autoSpaceDN w:val="0"/>
        <w:adjustRightInd w:val="0"/>
        <w:snapToGrid w:val="0"/>
        <w:spacing w:line="360" w:lineRule="auto"/>
        <w:ind w:firstLine="1928" w:firstLineChars="6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1B23EED5">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237" w:name="_Toc19687"/>
      <w:bookmarkStart w:id="238" w:name="_Toc1264"/>
      <w:bookmarkStart w:id="239"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237"/>
      <w:bookmarkEnd w:id="238"/>
      <w:bookmarkEnd w:id="239"/>
    </w:p>
    <w:p w14:paraId="78E596FE">
      <w:pPr>
        <w:rPr>
          <w:rFonts w:hint="eastAsia" w:ascii="宋体" w:hAnsi="宋体" w:eastAsia="宋体" w:cs="宋体"/>
          <w:b/>
          <w:color w:val="auto"/>
          <w:sz w:val="28"/>
          <w:szCs w:val="28"/>
          <w:highlight w:val="none"/>
          <w:lang w:bidi="ar"/>
        </w:rPr>
      </w:pPr>
      <w:bookmarkStart w:id="240" w:name="_Toc17986"/>
      <w:bookmarkStart w:id="241" w:name="_Toc28960"/>
      <w:r>
        <w:rPr>
          <w:rFonts w:hint="eastAsia" w:ascii="宋体" w:hAnsi="宋体" w:eastAsia="宋体" w:cs="宋体"/>
          <w:b/>
          <w:color w:val="auto"/>
          <w:sz w:val="28"/>
          <w:szCs w:val="28"/>
          <w:highlight w:val="none"/>
          <w:lang w:bidi="ar"/>
        </w:rPr>
        <w:br w:type="page"/>
      </w:r>
    </w:p>
    <w:p w14:paraId="2A30E80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一、资信证明格式文件</w:t>
      </w:r>
    </w:p>
    <w:p w14:paraId="26F597F0">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26139950">
      <w:pPr>
        <w:rPr>
          <w:rFonts w:hint="eastAsia" w:ascii="宋体" w:hAnsi="宋体" w:eastAsia="宋体" w:cs="宋体"/>
          <w:b/>
          <w:color w:val="auto"/>
          <w:sz w:val="44"/>
          <w:szCs w:val="44"/>
          <w:highlight w:val="none"/>
          <w:lang w:bidi="ar"/>
        </w:rPr>
      </w:pPr>
      <w:r>
        <w:rPr>
          <w:rFonts w:hint="eastAsia" w:ascii="黑体" w:hAnsi="宋体" w:eastAsia="黑体" w:cs="黑体"/>
          <w:color w:val="auto"/>
          <w:sz w:val="20"/>
          <w:highlight w:val="none"/>
          <w:lang w:bidi="ar"/>
        </w:rPr>
        <w:t xml:space="preserve"> </w:t>
      </w:r>
    </w:p>
    <w:p w14:paraId="0E6412C2">
      <w:pPr>
        <w:jc w:val="center"/>
        <w:rPr>
          <w:rFonts w:hint="eastAsia" w:ascii="宋体" w:hAnsi="宋体" w:eastAsia="宋体" w:cs="宋体"/>
          <w:b/>
          <w:color w:val="auto"/>
          <w:sz w:val="44"/>
          <w:szCs w:val="44"/>
          <w:highlight w:val="none"/>
          <w:lang w:bidi="ar"/>
        </w:rPr>
      </w:pPr>
    </w:p>
    <w:p w14:paraId="0DF3A4BE">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资信证明文件</w:t>
      </w:r>
    </w:p>
    <w:p w14:paraId="429283EE">
      <w:pPr>
        <w:jc w:val="center"/>
        <w:rPr>
          <w:rFonts w:hint="eastAsia" w:ascii="宋体" w:hAnsi="宋体" w:eastAsia="宋体" w:cs="宋体"/>
          <w:color w:val="auto"/>
          <w:sz w:val="32"/>
          <w:szCs w:val="32"/>
          <w:highlight w:val="none"/>
          <w:lang w:bidi="ar"/>
        </w:rPr>
      </w:pPr>
    </w:p>
    <w:p w14:paraId="5EB5A04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（投标文件一）</w:t>
      </w:r>
    </w:p>
    <w:p w14:paraId="0B05F941">
      <w:pPr>
        <w:jc w:val="center"/>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lang w:bidi="ar"/>
        </w:rPr>
        <w:t xml:space="preserve"> </w:t>
      </w:r>
    </w:p>
    <w:p w14:paraId="0A391606">
      <w:pPr>
        <w:jc w:val="center"/>
        <w:rPr>
          <w:rFonts w:hint="eastAsia" w:ascii="宋体" w:hAnsi="宋体" w:eastAsia="宋体" w:cs="宋体"/>
          <w:color w:val="auto"/>
          <w:sz w:val="32"/>
          <w:szCs w:val="32"/>
          <w:highlight w:val="none"/>
          <w:u w:val="single"/>
          <w:lang w:bidi="ar"/>
        </w:rPr>
      </w:pPr>
    </w:p>
    <w:p w14:paraId="1194C1D5">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2CF369DC">
      <w:pPr>
        <w:jc w:val="center"/>
        <w:rPr>
          <w:rFonts w:hint="eastAsia" w:ascii="宋体" w:hAnsi="宋体" w:eastAsia="宋体" w:cs="宋体"/>
          <w:color w:val="auto"/>
          <w:sz w:val="28"/>
          <w:szCs w:val="28"/>
          <w:highlight w:val="none"/>
          <w:lang w:bidi="ar"/>
        </w:rPr>
      </w:pPr>
    </w:p>
    <w:p w14:paraId="05DE198B">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2A6EBF3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66015F30">
      <w:pPr>
        <w:rPr>
          <w:rFonts w:hint="eastAsia" w:ascii="宋体" w:hAnsi="宋体" w:eastAsia="宋体" w:cs="宋体"/>
          <w:color w:val="auto"/>
          <w:sz w:val="28"/>
          <w:szCs w:val="28"/>
          <w:highlight w:val="none"/>
          <w:lang w:bidi="ar"/>
        </w:rPr>
      </w:pPr>
    </w:p>
    <w:p w14:paraId="246CEAFE">
      <w:pPr>
        <w:rPr>
          <w:rFonts w:hint="eastAsia" w:ascii="宋体" w:hAnsi="宋体" w:eastAsia="宋体" w:cs="宋体"/>
          <w:color w:val="auto"/>
          <w:sz w:val="28"/>
          <w:szCs w:val="28"/>
          <w:highlight w:val="none"/>
          <w:lang w:bidi="ar"/>
        </w:rPr>
      </w:pPr>
      <w:r>
        <w:rPr>
          <w:rFonts w:hint="eastAsia" w:ascii="宋体" w:hAnsi="宋体" w:eastAsia="宋体" w:cs="宋体"/>
          <w:color w:val="auto"/>
          <w:sz w:val="28"/>
          <w:szCs w:val="28"/>
          <w:highlight w:val="none"/>
          <w:lang w:bidi="ar"/>
        </w:rPr>
        <w:t xml:space="preserve"> </w:t>
      </w:r>
    </w:p>
    <w:p w14:paraId="5B68762A">
      <w:pPr>
        <w:rPr>
          <w:rFonts w:hint="eastAsia" w:ascii="宋体" w:hAnsi="宋体" w:eastAsia="宋体" w:cs="宋体"/>
          <w:color w:val="auto"/>
          <w:sz w:val="28"/>
          <w:szCs w:val="28"/>
          <w:highlight w:val="none"/>
          <w:lang w:bidi="ar"/>
        </w:rPr>
      </w:pPr>
    </w:p>
    <w:p w14:paraId="0114F150">
      <w:pPr>
        <w:rPr>
          <w:rFonts w:hint="eastAsia" w:ascii="宋体" w:hAnsi="宋体" w:eastAsia="宋体" w:cs="宋体"/>
          <w:color w:val="auto"/>
          <w:sz w:val="28"/>
          <w:szCs w:val="28"/>
          <w:highlight w:val="none"/>
          <w:lang w:bidi="ar"/>
        </w:rPr>
      </w:pPr>
    </w:p>
    <w:p w14:paraId="1D6ADAA3">
      <w:pPr>
        <w:rPr>
          <w:rFonts w:hint="eastAsia" w:ascii="宋体" w:hAnsi="宋体" w:eastAsia="宋体" w:cs="宋体"/>
          <w:color w:val="auto"/>
          <w:sz w:val="28"/>
          <w:szCs w:val="28"/>
          <w:highlight w:val="none"/>
          <w:lang w:bidi="ar"/>
        </w:rPr>
      </w:pPr>
    </w:p>
    <w:p w14:paraId="028D9939">
      <w:pPr>
        <w:jc w:val="center"/>
        <w:rPr>
          <w:rFonts w:hint="eastAsia" w:ascii="宋体" w:hAnsi="宋体" w:eastAsia="宋体" w:cs="宋体"/>
          <w:color w:val="auto"/>
          <w:sz w:val="28"/>
          <w:szCs w:val="28"/>
          <w:highlight w:val="none"/>
          <w:lang w:bidi="ar"/>
        </w:rPr>
      </w:pPr>
    </w:p>
    <w:p w14:paraId="19969C69">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3139B4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5A3BD04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DBEE7F9">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2BA39A52">
      <w:pPr>
        <w:rPr>
          <w:rFonts w:hint="eastAsia" w:ascii="宋体" w:hAnsi="宋体" w:eastAsia="宋体" w:cs="宋体"/>
          <w:b/>
          <w:color w:val="auto"/>
          <w:sz w:val="36"/>
          <w:szCs w:val="36"/>
          <w:highlight w:val="none"/>
          <w:lang w:bidi="ar"/>
        </w:rPr>
      </w:pPr>
      <w:r>
        <w:rPr>
          <w:rFonts w:hint="eastAsia" w:ascii="宋体" w:hAnsi="宋体" w:eastAsia="宋体" w:cs="宋体"/>
          <w:b/>
          <w:color w:val="auto"/>
          <w:sz w:val="36"/>
          <w:szCs w:val="36"/>
          <w:highlight w:val="none"/>
          <w:lang w:bidi="ar"/>
        </w:rPr>
        <w:br w:type="page"/>
      </w:r>
    </w:p>
    <w:p w14:paraId="72355C1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lang w:bidi="ar"/>
        </w:rPr>
        <w:t>目   录</w:t>
      </w:r>
    </w:p>
    <w:p w14:paraId="0F41A845">
      <w:pPr>
        <w:spacing w:line="40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 xml:space="preserve"> </w:t>
      </w:r>
    </w:p>
    <w:p w14:paraId="3769C8D8">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（1）投标人资格声明书（格式见附件）；</w:t>
      </w:r>
    </w:p>
    <w:p w14:paraId="039B9E13">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（2）授权书（格式见附件）；   </w:t>
      </w:r>
    </w:p>
    <w:p w14:paraId="2B8157F2">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（3）投标人为企业（包括合伙企业）的，应提供有效的“营业执照”；</w:t>
      </w:r>
    </w:p>
    <w:p w14:paraId="296E1E04">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投标人为事业单位的，应提供有效的“事业单位法人证书”；</w:t>
      </w:r>
    </w:p>
    <w:p w14:paraId="0ABB91E5">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投标人是非企业机构的，应提供有效的“执业许可证”、“登记证书”等证明文件；</w:t>
      </w:r>
    </w:p>
    <w:p w14:paraId="62BCA254">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投标人是个体工商户的，应提供有效的“个体工商户营业执照”；</w:t>
      </w:r>
    </w:p>
    <w:p w14:paraId="4865B3A4">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投标人是自然人的，应提供有效的自然人身份证明；</w:t>
      </w:r>
    </w:p>
    <w:p w14:paraId="112AB8A4">
      <w:pPr>
        <w:numPr>
          <w:ilvl w:val="0"/>
          <w:numId w:val="0"/>
        </w:numPr>
        <w:spacing w:line="360" w:lineRule="auto"/>
        <w:ind w:left="630" w:leftChars="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诚信投标承诺书（格式见附件）；</w:t>
      </w:r>
    </w:p>
    <w:p w14:paraId="685E8413">
      <w:pPr>
        <w:numPr>
          <w:ilvl w:val="0"/>
          <w:numId w:val="0"/>
        </w:numPr>
        <w:spacing w:line="360" w:lineRule="auto"/>
        <w:ind w:left="630" w:leftChars="0"/>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eastAsia="zh-CN" w:bidi="ar"/>
        </w:rPr>
        <w:t>）中小企业声明函，残疾人福利性企业（格式见附件）；</w:t>
      </w:r>
    </w:p>
    <w:p w14:paraId="658A1019">
      <w:pPr>
        <w:numPr>
          <w:ilvl w:val="0"/>
          <w:numId w:val="0"/>
        </w:numPr>
        <w:spacing w:line="360" w:lineRule="auto"/>
        <w:ind w:left="630" w:leftChars="0"/>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eastAsia="zh-CN" w:bidi="ar"/>
        </w:rPr>
        <w:t>）省级以上监狱管理局、戒毒管理局（含新疆生产建设兵团）出具的属于监狱企业的证明（如是）；</w:t>
      </w:r>
    </w:p>
    <w:p w14:paraId="0E80C381">
      <w:pPr>
        <w:numPr>
          <w:ilvl w:val="0"/>
          <w:numId w:val="0"/>
        </w:numPr>
        <w:spacing w:line="360" w:lineRule="auto"/>
        <w:ind w:left="630" w:leftChars="0"/>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eastAsia="zh-CN" w:bidi="ar"/>
        </w:rPr>
        <w:t>）招标文件中要求的资信评审和资信评分的支持资料；</w:t>
      </w:r>
    </w:p>
    <w:p w14:paraId="612B919A">
      <w:pPr>
        <w:numPr>
          <w:ilvl w:val="0"/>
          <w:numId w:val="0"/>
        </w:numPr>
        <w:spacing w:line="360" w:lineRule="auto"/>
        <w:ind w:left="630" w:leftChars="0"/>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eastAsia="zh-CN" w:bidi="ar"/>
        </w:rPr>
        <w:t>）投标人认为需要提供的其他资信证明材料；</w:t>
      </w:r>
    </w:p>
    <w:p w14:paraId="53D3B5BB">
      <w:pPr>
        <w:numPr>
          <w:ilvl w:val="0"/>
          <w:numId w:val="0"/>
        </w:numPr>
        <w:spacing w:line="360" w:lineRule="auto"/>
        <w:ind w:left="630" w:leftChars="0"/>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9</w:t>
      </w:r>
      <w:r>
        <w:rPr>
          <w:rFonts w:hint="eastAsia" w:ascii="宋体" w:hAnsi="宋体" w:eastAsia="宋体" w:cs="宋体"/>
          <w:color w:val="auto"/>
          <w:sz w:val="24"/>
          <w:szCs w:val="24"/>
          <w:highlight w:val="none"/>
          <w:lang w:eastAsia="zh-CN" w:bidi="ar"/>
        </w:rPr>
        <w:t>）其他（如有）。</w:t>
      </w:r>
      <w:r>
        <w:rPr>
          <w:rFonts w:hint="eastAsia" w:ascii="宋体" w:hAnsi="宋体" w:eastAsia="宋体" w:cs="宋体"/>
          <w:color w:val="auto"/>
          <w:sz w:val="24"/>
          <w:szCs w:val="24"/>
          <w:highlight w:val="none"/>
          <w:lang w:eastAsia="zh-CN" w:bidi="ar"/>
        </w:rPr>
        <w:br w:type="page"/>
      </w:r>
    </w:p>
    <w:p w14:paraId="7ED34CFF">
      <w:pPr>
        <w:spacing w:line="360" w:lineRule="auto"/>
        <w:jc w:val="center"/>
        <w:outlineLvl w:val="1"/>
        <w:rPr>
          <w:rFonts w:hint="eastAsia" w:asciiTheme="minorEastAsia" w:hAnsiTheme="minorEastAsia" w:eastAsiaTheme="minorEastAsia"/>
          <w:b/>
          <w:color w:val="auto"/>
          <w:sz w:val="24"/>
          <w:highlight w:val="none"/>
        </w:rPr>
      </w:pPr>
      <w:bookmarkStart w:id="242" w:name="_Toc9159"/>
      <w:r>
        <w:rPr>
          <w:rFonts w:hint="eastAsia" w:asciiTheme="minorEastAsia" w:hAnsiTheme="minorEastAsia" w:eastAsiaTheme="minorEastAsia"/>
          <w:b/>
          <w:color w:val="auto"/>
          <w:sz w:val="24"/>
          <w:highlight w:val="none"/>
        </w:rPr>
        <w:t>（1）投标人资格声明书</w:t>
      </w:r>
      <w:bookmarkEnd w:id="242"/>
    </w:p>
    <w:p w14:paraId="273D2584">
      <w:pPr>
        <w:pStyle w:val="33"/>
        <w:spacing w:before="0" w:beforeAutospacing="0" w:after="0" w:afterAutospacing="0" w:line="360" w:lineRule="auto"/>
        <w:jc w:val="both"/>
        <w:rPr>
          <w:rFonts w:hint="eastAsia" w:ascii="宋体" w:hAnsi="宋体" w:eastAsia="宋体" w:cs="宋体"/>
          <w:b/>
          <w:color w:val="auto"/>
          <w:kern w:val="2"/>
          <w:szCs w:val="24"/>
          <w:highlight w:val="none"/>
        </w:rPr>
      </w:pPr>
      <w:r>
        <w:rPr>
          <w:rFonts w:hint="eastAsia" w:ascii="宋体" w:hAnsi="宋体" w:eastAsia="宋体" w:cs="宋体"/>
          <w:b/>
          <w:color w:val="auto"/>
          <w:kern w:val="2"/>
          <w:szCs w:val="24"/>
          <w:highlight w:val="none"/>
          <w:lang w:bidi="ar"/>
        </w:rPr>
        <w:t>致：</w:t>
      </w:r>
      <w:r>
        <w:rPr>
          <w:rFonts w:hint="eastAsia" w:ascii="宋体" w:hAnsi="宋体" w:eastAsia="宋体" w:cs="宋体"/>
          <w:b/>
          <w:color w:val="auto"/>
          <w:kern w:val="2"/>
          <w:szCs w:val="24"/>
          <w:highlight w:val="none"/>
          <w:u w:val="single"/>
          <w:lang w:bidi="ar"/>
        </w:rPr>
        <w:t>采购人</w:t>
      </w:r>
    </w:p>
    <w:p w14:paraId="204FD85B">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2A8AA451">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1539C93A">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31810CB1">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1D695EB8">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30483F4">
      <w:pPr>
        <w:widowControl/>
        <w:autoSpaceDE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50256AB6">
      <w:pPr>
        <w:widowControl/>
        <w:autoSpaceDE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0B1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8CFDBB9">
            <w:pPr>
              <w:widowControl/>
              <w:autoSpaceDE w:val="0"/>
              <w:spacing w:before="156" w:beforeLines="50" w:after="1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序号</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4759B171">
            <w:pPr>
              <w:pStyle w:val="33"/>
              <w:autoSpaceDE w:val="0"/>
              <w:spacing w:before="156" w:beforeLines="50" w:beforeAutospacing="0" w:after="10" w:afterAutospacing="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单位名称</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4B69E100">
            <w:pPr>
              <w:pStyle w:val="33"/>
              <w:autoSpaceDE w:val="0"/>
              <w:spacing w:before="156" w:beforeLines="50" w:beforeAutospacing="0" w:after="10" w:afterAutospacing="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相互关系</w:t>
            </w:r>
          </w:p>
        </w:tc>
      </w:tr>
      <w:tr w14:paraId="7D05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F2C68D3">
            <w:pPr>
              <w:pStyle w:val="33"/>
              <w:autoSpaceDE w:val="0"/>
              <w:spacing w:before="156" w:beforeLines="50" w:beforeAutospacing="0" w:after="10" w:afterAutospacing="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1</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36CF961A">
            <w:pPr>
              <w:pStyle w:val="33"/>
              <w:autoSpaceDE w:val="0"/>
              <w:spacing w:before="156" w:beforeLines="50" w:beforeAutospacing="0" w:after="10" w:afterAutospacing="0"/>
              <w:jc w:val="center"/>
              <w:rPr>
                <w:rFonts w:hint="eastAsia" w:ascii="宋体" w:hAnsi="宋体" w:eastAsia="宋体" w:cs="宋体"/>
                <w:color w:val="auto"/>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54BB4FBB">
            <w:pPr>
              <w:pStyle w:val="33"/>
              <w:autoSpaceDE w:val="0"/>
              <w:spacing w:before="156" w:beforeLines="50" w:beforeAutospacing="0" w:after="10" w:afterAutospacing="0"/>
              <w:jc w:val="center"/>
              <w:rPr>
                <w:rFonts w:hint="eastAsia" w:ascii="宋体" w:hAnsi="宋体" w:eastAsia="宋体" w:cs="宋体"/>
                <w:color w:val="auto"/>
                <w:szCs w:val="24"/>
                <w:highlight w:val="none"/>
              </w:rPr>
            </w:pPr>
          </w:p>
        </w:tc>
      </w:tr>
      <w:tr w14:paraId="39D1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4C695444">
            <w:pPr>
              <w:pStyle w:val="33"/>
              <w:autoSpaceDE w:val="0"/>
              <w:spacing w:before="156" w:beforeLines="50" w:beforeAutospacing="0" w:after="10" w:afterAutospacing="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2</w:t>
            </w: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65337F1F">
            <w:pPr>
              <w:pStyle w:val="33"/>
              <w:autoSpaceDE w:val="0"/>
              <w:spacing w:before="156" w:beforeLines="50" w:beforeAutospacing="0" w:after="10" w:afterAutospacing="0"/>
              <w:jc w:val="center"/>
              <w:rPr>
                <w:rFonts w:hint="eastAsia" w:ascii="宋体" w:hAnsi="宋体" w:eastAsia="宋体" w:cs="宋体"/>
                <w:color w:val="auto"/>
                <w:szCs w:val="24"/>
                <w:highlight w:val="none"/>
              </w:rPr>
            </w:pPr>
          </w:p>
        </w:tc>
        <w:tc>
          <w:tcPr>
            <w:tcW w:w="2841" w:type="dxa"/>
            <w:tcBorders>
              <w:top w:val="single" w:color="auto" w:sz="4" w:space="0"/>
              <w:left w:val="single" w:color="auto" w:sz="4" w:space="0"/>
              <w:bottom w:val="single" w:color="auto" w:sz="4" w:space="0"/>
              <w:right w:val="single" w:color="auto" w:sz="4" w:space="0"/>
            </w:tcBorders>
            <w:shd w:val="clear" w:color="auto" w:fill="auto"/>
          </w:tcPr>
          <w:p w14:paraId="6C780DE0">
            <w:pPr>
              <w:pStyle w:val="33"/>
              <w:autoSpaceDE w:val="0"/>
              <w:spacing w:before="156" w:beforeLines="50" w:beforeAutospacing="0" w:after="10" w:afterAutospacing="0"/>
              <w:jc w:val="center"/>
              <w:rPr>
                <w:rFonts w:hint="eastAsia" w:ascii="宋体" w:hAnsi="宋体" w:eastAsia="宋体" w:cs="宋体"/>
                <w:color w:val="auto"/>
                <w:szCs w:val="24"/>
                <w:highlight w:val="none"/>
              </w:rPr>
            </w:pPr>
          </w:p>
        </w:tc>
      </w:tr>
    </w:tbl>
    <w:p w14:paraId="7F705619">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7E7BEC4A">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72311854">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48DEFF04">
      <w:pPr>
        <w:pStyle w:val="33"/>
        <w:spacing w:before="0" w:after="120" w:afterAutospacing="0"/>
        <w:jc w:val="both"/>
        <w:rPr>
          <w:rFonts w:hint="eastAsia" w:ascii="宋体" w:hAnsi="宋体" w:eastAsia="宋体" w:cs="宋体"/>
          <w:color w:val="auto"/>
          <w:szCs w:val="24"/>
          <w:highlight w:val="none"/>
        </w:rPr>
      </w:pPr>
    </w:p>
    <w:p w14:paraId="5A3E065C">
      <w:pPr>
        <w:spacing w:line="360" w:lineRule="auto"/>
        <w:jc w:val="center"/>
        <w:outlineLvl w:val="1"/>
        <w:rPr>
          <w:rFonts w:hint="eastAsia" w:asciiTheme="minorEastAsia" w:hAnsiTheme="minorEastAsia" w:eastAsiaTheme="minorEastAsia"/>
          <w:b/>
          <w:color w:val="auto"/>
          <w:sz w:val="24"/>
          <w:highlight w:val="none"/>
        </w:rPr>
      </w:pPr>
    </w:p>
    <w:p w14:paraId="35906DE0">
      <w:pPr>
        <w:spacing w:line="360" w:lineRule="auto"/>
        <w:jc w:val="center"/>
        <w:outlineLvl w:val="1"/>
        <w:rPr>
          <w:rFonts w:hint="eastAsia" w:asciiTheme="minorEastAsia" w:hAnsiTheme="minorEastAsia" w:eastAsiaTheme="minorEastAsia"/>
          <w:b/>
          <w:color w:val="auto"/>
          <w:sz w:val="24"/>
          <w:highlight w:val="none"/>
        </w:rPr>
      </w:pPr>
    </w:p>
    <w:p w14:paraId="38DE0129">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AB16DDB">
      <w:pPr>
        <w:spacing w:line="360" w:lineRule="auto"/>
        <w:jc w:val="center"/>
        <w:outlineLvl w:val="1"/>
        <w:rPr>
          <w:rFonts w:hint="eastAsia" w:asciiTheme="minorEastAsia" w:hAnsiTheme="minorEastAsia" w:eastAsiaTheme="minorEastAsia"/>
          <w:b/>
          <w:color w:val="auto"/>
          <w:sz w:val="24"/>
          <w:highlight w:val="none"/>
        </w:rPr>
      </w:pPr>
      <w:bookmarkStart w:id="243" w:name="_Toc4849"/>
      <w:r>
        <w:rPr>
          <w:rFonts w:hint="eastAsia" w:asciiTheme="minorEastAsia" w:hAnsiTheme="minorEastAsia" w:eastAsiaTheme="minorEastAsia"/>
          <w:b/>
          <w:color w:val="auto"/>
          <w:sz w:val="24"/>
          <w:highlight w:val="none"/>
        </w:rPr>
        <w:t>（2）授权书</w:t>
      </w:r>
      <w:bookmarkEnd w:id="243"/>
    </w:p>
    <w:p w14:paraId="6CF732FA">
      <w:pPr>
        <w:pStyle w:val="33"/>
        <w:snapToGrid w:val="0"/>
        <w:spacing w:before="0" w:beforeAutospacing="0" w:after="0" w:afterAutospacing="0" w:line="360" w:lineRule="auto"/>
        <w:ind w:firstLine="480" w:firstLineChars="200"/>
        <w:rPr>
          <w:rFonts w:hint="eastAsia" w:ascii="宋体" w:hAnsi="宋体" w:eastAsia="宋体"/>
          <w:color w:val="auto"/>
          <w:kern w:val="2"/>
          <w:szCs w:val="24"/>
          <w:highlight w:val="none"/>
        </w:rPr>
      </w:pPr>
    </w:p>
    <w:p w14:paraId="7141820B">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本授权书声明：</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（投标人名称）授权</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（投标人授权代表姓名）代表我方参加本项目</w:t>
      </w:r>
      <w:r>
        <w:rPr>
          <w:rFonts w:hint="eastAsia" w:ascii="宋体" w:hAnsi="宋体" w:eastAsia="宋体" w:cs="宋体"/>
          <w:bCs/>
          <w:color w:val="auto"/>
          <w:sz w:val="24"/>
          <w:szCs w:val="24"/>
          <w:highlight w:val="none"/>
          <w:lang w:bidi="ar"/>
        </w:rPr>
        <w:t>采购活动</w:t>
      </w:r>
      <w:r>
        <w:rPr>
          <w:rFonts w:hint="eastAsia" w:ascii="宋体" w:hAnsi="宋体" w:eastAsia="宋体" w:cs="宋体"/>
          <w:color w:val="auto"/>
          <w:sz w:val="24"/>
          <w:szCs w:val="24"/>
          <w:highlight w:val="none"/>
          <w:lang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FA63674">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本授权书自出具之日起生效。</w:t>
      </w:r>
    </w:p>
    <w:p w14:paraId="0436FE9F">
      <w:pPr>
        <w:spacing w:line="360" w:lineRule="auto"/>
        <w:ind w:firstLine="435"/>
        <w:rPr>
          <w:rFonts w:hint="eastAsia" w:hAnsi="宋体" w:eastAsia="宋体"/>
          <w:color w:val="auto"/>
          <w:sz w:val="24"/>
          <w:szCs w:val="24"/>
          <w:highlight w:val="none"/>
        </w:rPr>
      </w:pPr>
      <w:r>
        <w:rPr>
          <w:rFonts w:hint="eastAsia" w:ascii="宋体" w:hAnsi="宋体" w:eastAsia="宋体" w:cs="宋体"/>
          <w:color w:val="auto"/>
          <w:sz w:val="24"/>
          <w:szCs w:val="24"/>
          <w:highlight w:val="none"/>
          <w:lang w:bidi="ar"/>
        </w:rPr>
        <w:t>授权代表身份证明扫描件：</w:t>
      </w:r>
    </w:p>
    <w:p w14:paraId="10605B5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B7ED973">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083F3A99">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77C33571">
      <w:pPr>
        <w:spacing w:line="360" w:lineRule="auto"/>
        <w:ind w:firstLine="435"/>
        <w:rPr>
          <w:rFonts w:hint="eastAsia" w:hAnsi="宋体" w:eastAsia="宋体"/>
          <w:color w:val="auto"/>
          <w:sz w:val="24"/>
          <w:szCs w:val="24"/>
          <w:highlight w:val="none"/>
          <w:u w:val="single"/>
        </w:rPr>
      </w:pPr>
      <w:r>
        <w:rPr>
          <w:rFonts w:hint="eastAsia" w:ascii="宋体" w:hAnsi="宋体" w:eastAsia="宋体" w:cs="宋体"/>
          <w:color w:val="auto"/>
          <w:sz w:val="24"/>
          <w:szCs w:val="24"/>
          <w:highlight w:val="none"/>
          <w:lang w:bidi="ar"/>
        </w:rPr>
        <w:t>授权代表联系方式：</w:t>
      </w:r>
      <w:r>
        <w:rPr>
          <w:rFonts w:hint="eastAsia" w:hAnsi="宋体" w:eastAsia="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（请填写手机号码）</w:t>
      </w:r>
    </w:p>
    <w:p w14:paraId="3011C914">
      <w:pPr>
        <w:spacing w:line="360" w:lineRule="auto"/>
        <w:ind w:firstLine="435"/>
        <w:rPr>
          <w:rFonts w:hint="eastAsia" w:hAnsi="宋体" w:eastAsia="宋体"/>
          <w:color w:val="auto"/>
          <w:sz w:val="24"/>
          <w:szCs w:val="24"/>
          <w:highlight w:val="none"/>
        </w:rPr>
      </w:pPr>
      <w:r>
        <w:rPr>
          <w:rFonts w:hAnsi="宋体" w:eastAsia="宋体"/>
          <w:color w:val="auto"/>
          <w:sz w:val="24"/>
          <w:szCs w:val="24"/>
          <w:highlight w:val="none"/>
          <w:lang w:bidi="ar"/>
        </w:rPr>
        <w:t xml:space="preserve"> </w:t>
      </w:r>
    </w:p>
    <w:p w14:paraId="506918B2">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特此声明。</w:t>
      </w:r>
    </w:p>
    <w:p w14:paraId="782B9E17">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48576A57">
      <w:pPr>
        <w:spacing w:line="360" w:lineRule="auto"/>
        <w:ind w:firstLine="435"/>
        <w:jc w:val="center"/>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70C8EDA6">
      <w:pPr>
        <w:spacing w:line="360" w:lineRule="auto"/>
        <w:ind w:firstLine="435"/>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b/>
          <w:bCs/>
          <w:color w:val="auto"/>
          <w:sz w:val="24"/>
          <w:szCs w:val="24"/>
          <w:highlight w:val="none"/>
          <w:u w:val="single"/>
          <w:lang w:bidi="ar"/>
        </w:rPr>
        <w:t xml:space="preserve">                    </w:t>
      </w:r>
    </w:p>
    <w:p w14:paraId="50A5E82F">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52A3DCF8">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6E363938">
      <w:pPr>
        <w:spacing w:line="360" w:lineRule="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注：</w:t>
      </w:r>
    </w:p>
    <w:p w14:paraId="359E92C4">
      <w:pPr>
        <w:spacing w:line="360" w:lineRule="auto"/>
        <w:ind w:firstLine="435"/>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1.本项目只允许有唯一的投标人授权代表，提供身份证明扫描件；</w:t>
      </w:r>
    </w:p>
    <w:p w14:paraId="5281E6C5">
      <w:pPr>
        <w:spacing w:line="360" w:lineRule="auto"/>
        <w:ind w:firstLine="435"/>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2.法定代表人参加投标的无需提供授权书，提供身份证明扫描件。</w:t>
      </w:r>
    </w:p>
    <w:p w14:paraId="24BC41FC">
      <w:pPr>
        <w:spacing w:line="360" w:lineRule="auto"/>
        <w:jc w:val="center"/>
        <w:outlineLvl w:val="1"/>
        <w:rPr>
          <w:rFonts w:hint="eastAsia" w:asciiTheme="minorEastAsia" w:hAnsiTheme="minorEastAsia" w:eastAsiaTheme="minorEastAsia"/>
          <w:b/>
          <w:color w:val="auto"/>
          <w:sz w:val="24"/>
          <w:highlight w:val="none"/>
        </w:rPr>
      </w:pPr>
    </w:p>
    <w:p w14:paraId="682A29D2">
      <w:pPr>
        <w:spacing w:line="360" w:lineRule="auto"/>
        <w:jc w:val="center"/>
        <w:outlineLvl w:val="1"/>
        <w:rPr>
          <w:rFonts w:hint="eastAsia" w:asciiTheme="minorEastAsia" w:hAnsiTheme="minorEastAsia" w:eastAsiaTheme="minorEastAsia"/>
          <w:b/>
          <w:color w:val="auto"/>
          <w:sz w:val="24"/>
          <w:highlight w:val="none"/>
        </w:rPr>
      </w:pPr>
    </w:p>
    <w:p w14:paraId="5533334E">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5787208B">
      <w:pPr>
        <w:spacing w:line="360" w:lineRule="auto"/>
        <w:jc w:val="center"/>
        <w:outlineLvl w:val="1"/>
        <w:rPr>
          <w:rFonts w:hint="eastAsia" w:asciiTheme="minorEastAsia" w:hAnsiTheme="minorEastAsia" w:eastAsiaTheme="minorEastAsia"/>
          <w:b/>
          <w:color w:val="auto"/>
          <w:sz w:val="24"/>
          <w:highlight w:val="none"/>
        </w:rPr>
      </w:pPr>
      <w:bookmarkStart w:id="244" w:name="_Toc28825"/>
      <w:r>
        <w:rPr>
          <w:rFonts w:hint="eastAsia" w:asciiTheme="minorEastAsia" w:hAnsiTheme="minorEastAsia" w:eastAsiaTheme="minorEastAsia"/>
          <w:b/>
          <w:color w:val="auto"/>
          <w:sz w:val="24"/>
          <w:highlight w:val="none"/>
        </w:rPr>
        <w:t>（3）诚信投标承诺书</w:t>
      </w:r>
      <w:bookmarkEnd w:id="244"/>
    </w:p>
    <w:p w14:paraId="6EB4E1A3">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本人以企业法定代表人的身份郑重承诺：</w:t>
      </w:r>
    </w:p>
    <w:p w14:paraId="4DA01443">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一、将遵循公开、公正和诚实信用的原则自愿参加</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项目的投标，所提供的一切材料都是真实、有效、合法的；</w:t>
      </w:r>
    </w:p>
    <w:p w14:paraId="6DA15DF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50FE5C0">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三、不出借、转让资质证书，不让他人挂靠投标，不以他人名义投标或者以其他方式弄虚作假，骗取中标；</w:t>
      </w:r>
    </w:p>
    <w:p w14:paraId="4BA76E72">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四、不与其他投标人相互串通投标报价，不排挤其他投标人的公平竞争、损害招标人的合法权益；</w:t>
      </w:r>
    </w:p>
    <w:p w14:paraId="69ABB3A9">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五、不与招标人、招标代理机构或其他投标人串通投标，损害国家利益、社会公共利益或者他人的合法权益；</w:t>
      </w:r>
    </w:p>
    <w:p w14:paraId="2B8DB070">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r>
        <w:rPr>
          <w:rFonts w:hint="eastAsia" w:ascii="宋体" w:hAnsi="宋体" w:eastAsia="宋体" w:cs="宋体"/>
          <w:color w:val="auto"/>
          <w:szCs w:val="21"/>
          <w:highlight w:val="none"/>
          <w:lang w:val="en-US" w:eastAsia="zh-CN"/>
        </w:rPr>
        <w:t>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7DB68AB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、严格遵守开标现场纪律，服从监管人员管理；</w:t>
      </w:r>
    </w:p>
    <w:p w14:paraId="39F73D5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、保证中标后不转包，若有分包征得招标人同意；</w:t>
      </w:r>
    </w:p>
    <w:p w14:paraId="453D44A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、保证中标之后，按照投标文件要求提供相关后续服务；</w:t>
      </w:r>
    </w:p>
    <w:p w14:paraId="35A1E62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十、保证企业及所属相关人员在本次投标中无行贿等犯罪行为；</w:t>
      </w:r>
    </w:p>
    <w:p w14:paraId="59DE4CA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36FB28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以上内容我已仔细阅读，本公司若有违反承诺内容的行为，自愿接受取消投标或者中标资格、记入不良行为记录等有关处理，愿意承担法律责任，给招标人造成损失的，依法承担赔偿责任。</w:t>
      </w:r>
    </w:p>
    <w:p w14:paraId="29658BCC">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4A7CEE7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                      基本账户：</w:t>
      </w:r>
    </w:p>
    <w:p w14:paraId="699C960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投标单位（签章）：              法定代表人（签章）：</w:t>
      </w:r>
    </w:p>
    <w:p w14:paraId="2FE66A2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5289DDF">
      <w:pPr>
        <w:spacing w:line="560" w:lineRule="exact"/>
        <w:jc w:val="right"/>
        <w:rPr>
          <w:rFonts w:hint="eastAsia" w:ascii="仿宋_GB2312" w:eastAsia="仿宋_GB2312" w:cs="仿宋_GB2312"/>
          <w:color w:val="auto"/>
          <w:sz w:val="32"/>
          <w:szCs w:val="32"/>
          <w:highlight w:val="none"/>
        </w:rPr>
      </w:pPr>
      <w:r>
        <w:rPr>
          <w:rFonts w:hint="eastAsia" w:ascii="宋体" w:hAnsi="宋体" w:eastAsia="宋体" w:cs="宋体"/>
          <w:color w:val="auto"/>
          <w:szCs w:val="21"/>
          <w:highlight w:val="none"/>
          <w:lang w:bidi="ar"/>
        </w:rPr>
        <w:t>日期：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月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45663667">
      <w:pPr>
        <w:spacing w:line="360" w:lineRule="auto"/>
        <w:jc w:val="center"/>
        <w:outlineLvl w:val="1"/>
        <w:rPr>
          <w:rFonts w:hint="eastAsia" w:asciiTheme="minorEastAsia" w:hAnsiTheme="minorEastAsia" w:eastAsiaTheme="minorEastAsia"/>
          <w:b/>
          <w:color w:val="auto"/>
          <w:sz w:val="24"/>
          <w:highlight w:val="none"/>
        </w:rPr>
      </w:pPr>
    </w:p>
    <w:p w14:paraId="4B944821">
      <w:pPr>
        <w:spacing w:line="360" w:lineRule="auto"/>
        <w:jc w:val="center"/>
        <w:outlineLvl w:val="1"/>
        <w:rPr>
          <w:rFonts w:hint="eastAsia" w:asciiTheme="minorEastAsia" w:hAnsiTheme="minorEastAsia" w:eastAsiaTheme="minorEastAsia"/>
          <w:b/>
          <w:color w:val="auto"/>
          <w:sz w:val="24"/>
          <w:highlight w:val="none"/>
        </w:rPr>
      </w:pPr>
    </w:p>
    <w:p w14:paraId="6A6902DB">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bookmarkStart w:id="245" w:name="_Toc11594"/>
      <w:bookmarkStart w:id="246" w:name="_Toc9864"/>
    </w:p>
    <w:p w14:paraId="7A033494">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p>
    <w:p w14:paraId="5E9CB54F">
      <w:pPr>
        <w:pStyle w:val="2"/>
        <w:rPr>
          <w:rFonts w:hint="eastAsia" w:asciiTheme="minorEastAsia" w:hAnsiTheme="minorEastAsia" w:eastAsiaTheme="minorEastAsia"/>
          <w:b/>
          <w:color w:val="auto"/>
          <w:sz w:val="24"/>
          <w:highlight w:val="none"/>
          <w:lang w:val="en-US" w:eastAsia="zh-CN"/>
        </w:rPr>
      </w:pPr>
    </w:p>
    <w:p w14:paraId="48ED813A">
      <w:pPr>
        <w:pStyle w:val="3"/>
        <w:rPr>
          <w:rFonts w:hint="eastAsia" w:asciiTheme="minorEastAsia" w:hAnsiTheme="minorEastAsia" w:eastAsiaTheme="minorEastAsia"/>
          <w:b/>
          <w:color w:val="auto"/>
          <w:sz w:val="24"/>
          <w:highlight w:val="none"/>
          <w:lang w:val="en-US" w:eastAsia="zh-CN"/>
        </w:rPr>
      </w:pPr>
    </w:p>
    <w:p w14:paraId="45113B79">
      <w:pPr>
        <w:rPr>
          <w:rFonts w:hint="eastAsia" w:asciiTheme="minorEastAsia" w:hAnsiTheme="minorEastAsia" w:eastAsiaTheme="minorEastAsia"/>
          <w:b/>
          <w:color w:val="auto"/>
          <w:sz w:val="24"/>
          <w:highlight w:val="none"/>
          <w:lang w:val="en-US" w:eastAsia="zh-CN"/>
        </w:rPr>
      </w:pPr>
    </w:p>
    <w:p w14:paraId="06B66CE7">
      <w:pPr>
        <w:pStyle w:val="2"/>
        <w:rPr>
          <w:rFonts w:hint="eastAsia" w:asciiTheme="minorEastAsia" w:hAnsiTheme="minorEastAsia" w:eastAsiaTheme="minorEastAsia"/>
          <w:b/>
          <w:color w:val="auto"/>
          <w:sz w:val="24"/>
          <w:highlight w:val="none"/>
          <w:lang w:val="en-US" w:eastAsia="zh-CN"/>
        </w:rPr>
      </w:pPr>
    </w:p>
    <w:p w14:paraId="0BAC6C42">
      <w:pPr>
        <w:pStyle w:val="3"/>
        <w:rPr>
          <w:rFonts w:hint="eastAsia" w:asciiTheme="minorEastAsia" w:hAnsiTheme="minorEastAsia" w:eastAsiaTheme="minorEastAsia"/>
          <w:b/>
          <w:color w:val="auto"/>
          <w:sz w:val="24"/>
          <w:highlight w:val="none"/>
          <w:lang w:val="en-US" w:eastAsia="zh-CN"/>
        </w:rPr>
      </w:pPr>
    </w:p>
    <w:p w14:paraId="4E441D2D">
      <w:pPr>
        <w:rPr>
          <w:rFonts w:hint="eastAsia" w:asciiTheme="minorEastAsia" w:hAnsiTheme="minorEastAsia" w:eastAsiaTheme="minorEastAsia"/>
          <w:b/>
          <w:color w:val="auto"/>
          <w:sz w:val="24"/>
          <w:highlight w:val="none"/>
          <w:lang w:val="en-US" w:eastAsia="zh-CN"/>
        </w:rPr>
      </w:pPr>
    </w:p>
    <w:p w14:paraId="5E888357">
      <w:pPr>
        <w:pStyle w:val="2"/>
        <w:rPr>
          <w:rFonts w:hint="eastAsia" w:asciiTheme="minorEastAsia" w:hAnsiTheme="minorEastAsia" w:eastAsiaTheme="minorEastAsia"/>
          <w:b/>
          <w:color w:val="auto"/>
          <w:sz w:val="24"/>
          <w:highlight w:val="none"/>
          <w:lang w:val="en-US" w:eastAsia="zh-CN"/>
        </w:rPr>
      </w:pPr>
    </w:p>
    <w:p w14:paraId="0736EDCC">
      <w:pPr>
        <w:pStyle w:val="3"/>
        <w:rPr>
          <w:rFonts w:hint="eastAsia" w:asciiTheme="minorEastAsia" w:hAnsiTheme="minorEastAsia" w:eastAsiaTheme="minorEastAsia"/>
          <w:b/>
          <w:color w:val="auto"/>
          <w:sz w:val="24"/>
          <w:highlight w:val="none"/>
          <w:lang w:val="en-US" w:eastAsia="zh-CN"/>
        </w:rPr>
      </w:pPr>
    </w:p>
    <w:p w14:paraId="4CDE153C">
      <w:pPr>
        <w:rPr>
          <w:rFonts w:hint="eastAsia" w:asciiTheme="minorEastAsia" w:hAnsiTheme="minorEastAsia" w:eastAsiaTheme="minorEastAsia"/>
          <w:b/>
          <w:color w:val="auto"/>
          <w:sz w:val="24"/>
          <w:highlight w:val="none"/>
          <w:lang w:val="en-US" w:eastAsia="zh-CN"/>
        </w:rPr>
      </w:pPr>
    </w:p>
    <w:p w14:paraId="0601136F">
      <w:pPr>
        <w:pStyle w:val="2"/>
        <w:rPr>
          <w:rFonts w:hint="eastAsia" w:asciiTheme="minorEastAsia" w:hAnsiTheme="minorEastAsia" w:eastAsiaTheme="minorEastAsia"/>
          <w:b/>
          <w:color w:val="auto"/>
          <w:sz w:val="24"/>
          <w:highlight w:val="none"/>
          <w:lang w:val="en-US" w:eastAsia="zh-CN"/>
        </w:rPr>
      </w:pPr>
    </w:p>
    <w:p w14:paraId="5E2C3CA6">
      <w:pPr>
        <w:pStyle w:val="3"/>
        <w:rPr>
          <w:rFonts w:hint="eastAsia" w:asciiTheme="minorEastAsia" w:hAnsiTheme="minorEastAsia" w:eastAsiaTheme="minorEastAsia"/>
          <w:b/>
          <w:color w:val="auto"/>
          <w:sz w:val="24"/>
          <w:highlight w:val="none"/>
          <w:lang w:val="en-US" w:eastAsia="zh-CN"/>
        </w:rPr>
      </w:pPr>
    </w:p>
    <w:p w14:paraId="0685055A">
      <w:pPr>
        <w:rPr>
          <w:rFonts w:hint="eastAsia" w:asciiTheme="minorEastAsia" w:hAnsiTheme="minorEastAsia" w:eastAsiaTheme="minorEastAsia"/>
          <w:b/>
          <w:color w:val="auto"/>
          <w:sz w:val="24"/>
          <w:highlight w:val="none"/>
          <w:lang w:val="en-US" w:eastAsia="zh-CN"/>
        </w:rPr>
      </w:pPr>
    </w:p>
    <w:p w14:paraId="4781E8E0">
      <w:pPr>
        <w:pStyle w:val="2"/>
        <w:rPr>
          <w:rFonts w:hint="eastAsia" w:asciiTheme="minorEastAsia" w:hAnsiTheme="minorEastAsia" w:eastAsiaTheme="minorEastAsia"/>
          <w:b/>
          <w:color w:val="auto"/>
          <w:sz w:val="24"/>
          <w:highlight w:val="none"/>
          <w:lang w:val="en-US" w:eastAsia="zh-CN"/>
        </w:rPr>
      </w:pPr>
    </w:p>
    <w:p w14:paraId="5254CA97">
      <w:pPr>
        <w:pStyle w:val="3"/>
        <w:rPr>
          <w:rFonts w:hint="eastAsia" w:asciiTheme="minorEastAsia" w:hAnsiTheme="minorEastAsia" w:eastAsiaTheme="minorEastAsia"/>
          <w:b/>
          <w:color w:val="auto"/>
          <w:sz w:val="24"/>
          <w:highlight w:val="none"/>
          <w:lang w:val="en-US" w:eastAsia="zh-CN"/>
        </w:rPr>
      </w:pPr>
    </w:p>
    <w:p w14:paraId="35AEDC8C">
      <w:pPr>
        <w:rPr>
          <w:rFonts w:hint="eastAsia" w:asciiTheme="minorEastAsia" w:hAnsiTheme="minorEastAsia" w:eastAsiaTheme="minorEastAsia"/>
          <w:b/>
          <w:color w:val="auto"/>
          <w:sz w:val="24"/>
          <w:highlight w:val="none"/>
          <w:lang w:val="en-US" w:eastAsia="zh-CN"/>
        </w:rPr>
      </w:pPr>
    </w:p>
    <w:p w14:paraId="3491C208">
      <w:pPr>
        <w:pStyle w:val="2"/>
        <w:rPr>
          <w:rFonts w:hint="eastAsia" w:asciiTheme="minorEastAsia" w:hAnsiTheme="minorEastAsia" w:eastAsiaTheme="minorEastAsia"/>
          <w:b/>
          <w:color w:val="auto"/>
          <w:sz w:val="24"/>
          <w:highlight w:val="none"/>
          <w:lang w:val="en-US" w:eastAsia="zh-CN"/>
        </w:rPr>
      </w:pPr>
    </w:p>
    <w:p w14:paraId="151E9A82">
      <w:pPr>
        <w:pStyle w:val="3"/>
        <w:rPr>
          <w:rFonts w:hint="eastAsia"/>
          <w:lang w:val="en-US" w:eastAsia="zh-CN"/>
        </w:rPr>
      </w:pPr>
    </w:p>
    <w:p w14:paraId="4DB0039C">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）中小企业声明函</w:t>
      </w:r>
    </w:p>
    <w:p w14:paraId="1C5E0628">
      <w:pPr>
        <w:pStyle w:val="33"/>
        <w:keepNext w:val="0"/>
        <w:keepLines w:val="0"/>
        <w:pageBreakBefore w:val="0"/>
        <w:widowControl w:val="0"/>
        <w:suppressLineNumbers w:val="0"/>
        <w:kinsoku/>
        <w:wordWrap/>
        <w:overflowPunct/>
        <w:topLinePunct w:val="0"/>
        <w:autoSpaceDE w:val="0"/>
        <w:autoSpaceDN/>
        <w:bidi w:val="0"/>
        <w:adjustRightInd/>
        <w:snapToGrid/>
        <w:spacing w:before="0" w:beforeAutospacing="0" w:after="120" w:afterAutospacing="0" w:line="240" w:lineRule="auto"/>
        <w:ind w:left="0" w:right="0"/>
        <w:jc w:val="center"/>
        <w:textAlignment w:val="auto"/>
        <w:rPr>
          <w:rFonts w:hint="eastAsia" w:ascii="宋体" w:hAnsi="宋体" w:eastAsia="宋体" w:cs="@微软简标宋"/>
          <w:b w:val="0"/>
          <w:i/>
          <w:iCs w:val="0"/>
          <w:color w:val="auto"/>
          <w:kern w:val="2"/>
          <w:sz w:val="24"/>
          <w:szCs w:val="24"/>
          <w:highlight w:val="none"/>
        </w:rPr>
      </w:pPr>
      <w:r>
        <w:rPr>
          <w:rFonts w:hint="eastAsia" w:ascii="宋体" w:hAnsi="宋体" w:eastAsia="宋体"/>
          <w:color w:val="auto"/>
          <w:sz w:val="24"/>
          <w:szCs w:val="24"/>
          <w:highlight w:val="none"/>
          <w:lang w:bidi="ar"/>
        </w:rPr>
        <w:t xml:space="preserve"> </w:t>
      </w:r>
      <w:r>
        <w:rPr>
          <w:rFonts w:hint="eastAsia" w:ascii="宋体" w:hAnsi="宋体" w:eastAsia="宋体" w:cs="宋体"/>
          <w:b w:val="0"/>
          <w:i/>
          <w:iCs w:val="0"/>
          <w:color w:val="auto"/>
          <w:kern w:val="2"/>
          <w:sz w:val="24"/>
          <w:szCs w:val="24"/>
          <w:highlight w:val="none"/>
          <w:lang w:val="en-US" w:eastAsia="zh-CN" w:bidi="ar"/>
        </w:rPr>
        <w:t>（非中小企业投标，不需此件，请删去“中小企业声明函”）</w:t>
      </w:r>
    </w:p>
    <w:p w14:paraId="6E38DEA2">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u w:val="single"/>
        </w:rPr>
        <w:t>单位名称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2951252F">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FF9692A">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F2E1430">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46B2E5A">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1A77B366">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32ECB4EB">
      <w:pPr>
        <w:spacing w:line="360" w:lineRule="auto"/>
        <w:ind w:firstLine="4228" w:firstLineChars="1762"/>
        <w:rPr>
          <w:rFonts w:hint="eastAsia"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674FD51">
      <w:pPr>
        <w:tabs>
          <w:tab w:val="left" w:pos="4620"/>
        </w:tabs>
        <w:spacing w:line="360" w:lineRule="auto"/>
        <w:ind w:firstLine="4252" w:firstLineChars="1772"/>
        <w:rPr>
          <w:rFonts w:hint="eastAsia"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48C429A3">
      <w:pPr>
        <w:spacing w:line="360" w:lineRule="auto"/>
        <w:jc w:val="left"/>
        <w:rPr>
          <w:rFonts w:hint="eastAsia" w:ascii="宋体" w:hAnsi="宋体" w:eastAsia="宋体"/>
          <w:b/>
          <w:color w:val="auto"/>
          <w:szCs w:val="21"/>
          <w:highlight w:val="none"/>
        </w:rPr>
      </w:pPr>
      <w:r>
        <w:rPr>
          <w:rFonts w:hint="eastAsia" w:ascii="宋体" w:hAnsi="宋体" w:eastAsia="宋体" w:cs="宋体"/>
          <w:b/>
          <w:color w:val="auto"/>
          <w:szCs w:val="21"/>
          <w:highlight w:val="none"/>
          <w:lang w:bidi="ar"/>
        </w:rPr>
        <w:t>注：</w:t>
      </w:r>
    </w:p>
    <w:p w14:paraId="13BF6D73">
      <w:pPr>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lang w:bidi="ar"/>
        </w:rPr>
        <w:t>1.从业人员、营业收入、资产总额填报上一年数据，无上一年数据的新成立企业可不填报。</w:t>
      </w:r>
    </w:p>
    <w:p w14:paraId="6C154E10">
      <w:pPr>
        <w:wordWrap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2CDE4180">
      <w:pPr>
        <w:wordWrap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3.上述“</w:t>
      </w:r>
      <w:r>
        <w:rPr>
          <w:rFonts w:hint="eastAsia" w:ascii="宋体" w:hAnsi="宋体" w:eastAsia="宋体" w:cs="宋体"/>
          <w:b/>
          <w:bCs/>
          <w:color w:val="auto"/>
          <w:szCs w:val="21"/>
          <w:highlight w:val="none"/>
          <w:u w:val="single"/>
          <w:lang w:bidi="ar"/>
        </w:rPr>
        <w:t>标的名称</w:t>
      </w:r>
      <w:r>
        <w:rPr>
          <w:rFonts w:hint="eastAsia" w:ascii="宋体" w:hAnsi="宋体" w:eastAsia="宋体" w:cs="宋体"/>
          <w:b/>
          <w:bCs/>
          <w:color w:val="auto"/>
          <w:szCs w:val="21"/>
          <w:highlight w:val="none"/>
          <w:lang w:bidi="ar"/>
        </w:rPr>
        <w:t>”，详见第三章采购需求中明确的“货物名称”。</w:t>
      </w:r>
    </w:p>
    <w:p w14:paraId="1D73B337">
      <w:pPr>
        <w:wordWrap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4.上述“</w:t>
      </w:r>
      <w:r>
        <w:rPr>
          <w:rFonts w:hint="eastAsia" w:ascii="宋体" w:hAnsi="宋体" w:eastAsia="宋体" w:cs="宋体"/>
          <w:b/>
          <w:bCs/>
          <w:color w:val="auto"/>
          <w:szCs w:val="21"/>
          <w:highlight w:val="none"/>
          <w:u w:val="single"/>
          <w:lang w:bidi="ar"/>
        </w:rPr>
        <w:t>采购文件中明确的所属行业</w:t>
      </w:r>
      <w:r>
        <w:rPr>
          <w:rFonts w:hint="eastAsia" w:ascii="宋体" w:hAnsi="宋体" w:eastAsia="宋体" w:cs="宋体"/>
          <w:b/>
          <w:bCs/>
          <w:color w:val="auto"/>
          <w:szCs w:val="21"/>
          <w:highlight w:val="none"/>
          <w:lang w:bidi="ar"/>
        </w:rPr>
        <w:t>”，详见第三章采购需求中明确的“所属行业”。</w:t>
      </w:r>
    </w:p>
    <w:p w14:paraId="38426DCB">
      <w:pPr>
        <w:wordWrap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5．填写示例：</w:t>
      </w:r>
      <w:r>
        <w:rPr>
          <w:rFonts w:hint="eastAsia" w:ascii="宋体" w:hAnsi="宋体" w:eastAsia="宋体" w:cs="宋体"/>
          <w:b/>
          <w:bCs/>
          <w:color w:val="auto"/>
          <w:szCs w:val="21"/>
          <w:highlight w:val="none"/>
          <w:u w:val="single"/>
          <w:lang w:bidi="ar"/>
        </w:rPr>
        <w:t>某设备</w:t>
      </w:r>
      <w:r>
        <w:rPr>
          <w:rFonts w:hint="eastAsia" w:ascii="宋体" w:hAnsi="宋体" w:eastAsia="宋体" w:cs="宋体"/>
          <w:b/>
          <w:bCs/>
          <w:color w:val="auto"/>
          <w:szCs w:val="21"/>
          <w:highlight w:val="none"/>
          <w:lang w:bidi="ar"/>
        </w:rPr>
        <w:t>，属于</w:t>
      </w:r>
      <w:r>
        <w:rPr>
          <w:rFonts w:hint="eastAsia" w:ascii="宋体" w:hAnsi="宋体" w:eastAsia="宋体" w:cs="宋体"/>
          <w:b/>
          <w:bCs/>
          <w:color w:val="auto"/>
          <w:szCs w:val="21"/>
          <w:highlight w:val="none"/>
          <w:u w:val="single"/>
          <w:lang w:bidi="ar"/>
        </w:rPr>
        <w:t>（填写第三章采购需求中对应货物的“所属行业”，如工业）</w:t>
      </w:r>
      <w:r>
        <w:rPr>
          <w:rFonts w:hint="eastAsia" w:ascii="宋体" w:hAnsi="宋体" w:eastAsia="宋体" w:cs="宋体"/>
          <w:b/>
          <w:bCs/>
          <w:color w:val="auto"/>
          <w:szCs w:val="21"/>
          <w:highlight w:val="none"/>
          <w:lang w:bidi="ar"/>
        </w:rPr>
        <w:t>行业；承接企业为</w:t>
      </w:r>
      <w:r>
        <w:rPr>
          <w:rFonts w:hint="eastAsia" w:ascii="宋体" w:hAnsi="宋体" w:eastAsia="宋体" w:cs="宋体"/>
          <w:b/>
          <w:bCs/>
          <w:color w:val="auto"/>
          <w:szCs w:val="21"/>
          <w:highlight w:val="none"/>
          <w:u w:val="single"/>
          <w:lang w:bidi="ar"/>
        </w:rPr>
        <w:t>某企业</w:t>
      </w:r>
      <w:r>
        <w:rPr>
          <w:rFonts w:hint="eastAsia" w:ascii="宋体" w:hAnsi="宋体" w:eastAsia="宋体" w:cs="宋体"/>
          <w:b/>
          <w:bCs/>
          <w:color w:val="auto"/>
          <w:szCs w:val="21"/>
          <w:highlight w:val="none"/>
          <w:lang w:bidi="ar"/>
        </w:rPr>
        <w:t>，从业人员</w:t>
      </w:r>
      <w:r>
        <w:rPr>
          <w:rFonts w:hint="eastAsia" w:ascii="宋体" w:hAnsi="宋体" w:eastAsia="宋体" w:cs="宋体"/>
          <w:b/>
          <w:bCs/>
          <w:color w:val="auto"/>
          <w:szCs w:val="21"/>
          <w:highlight w:val="none"/>
          <w:u w:val="single"/>
          <w:lang w:bidi="ar"/>
        </w:rPr>
        <w:t>100</w:t>
      </w:r>
      <w:r>
        <w:rPr>
          <w:rFonts w:hint="eastAsia" w:ascii="宋体" w:hAnsi="宋体" w:eastAsia="宋体" w:cs="宋体"/>
          <w:b/>
          <w:bCs/>
          <w:color w:val="auto"/>
          <w:szCs w:val="21"/>
          <w:highlight w:val="none"/>
          <w:lang w:bidi="ar"/>
        </w:rPr>
        <w:t>人，营业收入为</w:t>
      </w:r>
      <w:r>
        <w:rPr>
          <w:rFonts w:hint="eastAsia" w:ascii="宋体" w:hAnsi="宋体" w:eastAsia="宋体" w:cs="宋体"/>
          <w:b/>
          <w:bCs/>
          <w:color w:val="auto"/>
          <w:szCs w:val="21"/>
          <w:highlight w:val="none"/>
          <w:u w:val="single"/>
          <w:lang w:bidi="ar"/>
        </w:rPr>
        <w:t>10000</w:t>
      </w:r>
      <w:r>
        <w:rPr>
          <w:rFonts w:hint="eastAsia" w:ascii="宋体" w:hAnsi="宋体" w:eastAsia="宋体" w:cs="宋体"/>
          <w:b/>
          <w:bCs/>
          <w:color w:val="auto"/>
          <w:szCs w:val="21"/>
          <w:highlight w:val="none"/>
          <w:lang w:bidi="ar"/>
        </w:rPr>
        <w:t>万元，资产总额为</w:t>
      </w:r>
      <w:r>
        <w:rPr>
          <w:rFonts w:hint="eastAsia" w:ascii="宋体" w:hAnsi="宋体" w:eastAsia="宋体" w:cs="宋体"/>
          <w:b/>
          <w:bCs/>
          <w:color w:val="auto"/>
          <w:szCs w:val="21"/>
          <w:highlight w:val="none"/>
          <w:u w:val="single"/>
          <w:lang w:bidi="ar"/>
        </w:rPr>
        <w:t>5000</w:t>
      </w:r>
      <w:r>
        <w:rPr>
          <w:rFonts w:hint="eastAsia" w:ascii="宋体" w:hAnsi="宋体" w:eastAsia="宋体" w:cs="宋体"/>
          <w:b/>
          <w:bCs/>
          <w:color w:val="auto"/>
          <w:szCs w:val="21"/>
          <w:highlight w:val="none"/>
          <w:lang w:bidi="ar"/>
        </w:rPr>
        <w:t>万元，属于</w:t>
      </w:r>
      <w:r>
        <w:rPr>
          <w:rFonts w:hint="eastAsia" w:ascii="宋体" w:hAnsi="宋体" w:eastAsia="宋体" w:cs="宋体"/>
          <w:b/>
          <w:bCs/>
          <w:color w:val="auto"/>
          <w:szCs w:val="21"/>
          <w:highlight w:val="none"/>
          <w:u w:val="single"/>
          <w:lang w:bidi="ar"/>
        </w:rPr>
        <w:t>小型</w:t>
      </w:r>
      <w:r>
        <w:rPr>
          <w:rFonts w:hint="eastAsia" w:ascii="宋体" w:hAnsi="宋体" w:eastAsia="宋体" w:cs="宋体"/>
          <w:b/>
          <w:bCs/>
          <w:color w:val="auto"/>
          <w:szCs w:val="21"/>
          <w:highlight w:val="none"/>
          <w:lang w:bidi="ar"/>
        </w:rPr>
        <w:t>企业[投标人自行登录工业和信息化部官网进行中小企业规模类型自测（查询网址https://www.miit.gov.cn/）]。</w:t>
      </w:r>
    </w:p>
    <w:p w14:paraId="14512252">
      <w:pPr>
        <w:spacing w:line="360" w:lineRule="auto"/>
        <w:jc w:val="center"/>
        <w:outlineLvl w:val="1"/>
        <w:rPr>
          <w:rFonts w:hint="eastAsia" w:asciiTheme="minorEastAsia" w:hAnsiTheme="minorEastAsia" w:eastAsiaTheme="minorEastAsia"/>
          <w:b/>
          <w:color w:val="auto"/>
          <w:sz w:val="24"/>
          <w:highlight w:val="none"/>
        </w:rPr>
      </w:pPr>
    </w:p>
    <w:p w14:paraId="4E2BABD0">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）残疾人福利性单位声明函</w:t>
      </w:r>
    </w:p>
    <w:p w14:paraId="5A12A686">
      <w:pPr>
        <w:pStyle w:val="33"/>
        <w:autoSpaceDE w:val="0"/>
        <w:spacing w:before="0" w:after="120" w:afterAutospacing="0" w:line="360" w:lineRule="auto"/>
        <w:jc w:val="center"/>
        <w:rPr>
          <w:rFonts w:hint="eastAsia" w:ascii="宋体" w:hAnsi="宋体" w:eastAsia="宋体" w:cs="@微软简标宋"/>
          <w:i/>
          <w:color w:val="auto"/>
          <w:kern w:val="2"/>
          <w:szCs w:val="24"/>
          <w:highlight w:val="none"/>
        </w:rPr>
      </w:pPr>
      <w:r>
        <w:rPr>
          <w:rFonts w:hint="eastAsia" w:ascii="宋体" w:hAnsi="宋体" w:eastAsia="宋体" w:cs="宋体"/>
          <w:i/>
          <w:color w:val="auto"/>
          <w:kern w:val="2"/>
          <w:szCs w:val="24"/>
          <w:highlight w:val="none"/>
          <w:lang w:bidi="ar"/>
        </w:rPr>
        <w:t>（非残疾人福利性单位投标，请删去“残疾人福利性单位声明函”）</w:t>
      </w:r>
    </w:p>
    <w:p w14:paraId="4DFB583F">
      <w:pPr>
        <w:spacing w:line="360" w:lineRule="auto"/>
        <w:ind w:firstLine="435"/>
        <w:rPr>
          <w:rFonts w:hint="eastAsia" w:ascii="宋体" w:hAnsi="宋体" w:eastAsia="宋体"/>
          <w:color w:val="auto"/>
          <w:spacing w:val="6"/>
          <w:sz w:val="24"/>
          <w:szCs w:val="24"/>
          <w:highlight w:val="none"/>
        </w:rPr>
      </w:pPr>
      <w:r>
        <w:rPr>
          <w:rFonts w:hint="eastAsia" w:ascii="宋体" w:hAnsi="宋体" w:eastAsia="宋体" w:cs="宋体"/>
          <w:color w:val="auto"/>
          <w:spacing w:val="6"/>
          <w:sz w:val="24"/>
          <w:szCs w:val="24"/>
          <w:highlight w:val="none"/>
          <w:lang w:bidi="ar"/>
        </w:rPr>
        <w:t>本单位</w:t>
      </w:r>
      <w:r>
        <w:rPr>
          <w:rFonts w:hint="eastAsia" w:ascii="宋体" w:hAnsi="宋体" w:eastAsia="宋体" w:cs="宋体"/>
          <w:color w:val="auto"/>
          <w:sz w:val="24"/>
          <w:szCs w:val="24"/>
          <w:highlight w:val="none"/>
          <w:lang w:bidi="ar"/>
        </w:rPr>
        <w:t>郑重</w:t>
      </w:r>
      <w:r>
        <w:rPr>
          <w:rFonts w:hint="eastAsia" w:ascii="宋体" w:hAnsi="宋体" w:eastAsia="宋体" w:cs="宋体"/>
          <w:color w:val="auto"/>
          <w:spacing w:val="6"/>
          <w:sz w:val="24"/>
          <w:szCs w:val="24"/>
          <w:highlight w:val="none"/>
          <w:lang w:bidi="ar"/>
        </w:rPr>
        <w:t>声明，根据《财政部</w:t>
      </w:r>
      <w:r>
        <w:rPr>
          <w:rFonts w:hint="eastAsia" w:ascii="宋体" w:hAnsi="宋体" w:eastAsia="宋体"/>
          <w:color w:val="auto"/>
          <w:spacing w:val="6"/>
          <w:sz w:val="24"/>
          <w:szCs w:val="24"/>
          <w:highlight w:val="none"/>
          <w:lang w:bidi="ar"/>
        </w:rPr>
        <w:t xml:space="preserve"> </w:t>
      </w:r>
      <w:r>
        <w:rPr>
          <w:rFonts w:hint="eastAsia" w:ascii="宋体" w:hAnsi="宋体" w:eastAsia="宋体" w:cs="宋体"/>
          <w:color w:val="auto"/>
          <w:spacing w:val="6"/>
          <w:sz w:val="24"/>
          <w:szCs w:val="24"/>
          <w:highlight w:val="none"/>
          <w:lang w:bidi="ar"/>
        </w:rPr>
        <w:t>民政部</w:t>
      </w:r>
      <w:r>
        <w:rPr>
          <w:rFonts w:hint="eastAsia" w:ascii="宋体" w:hAnsi="宋体" w:eastAsia="宋体"/>
          <w:color w:val="auto"/>
          <w:spacing w:val="6"/>
          <w:sz w:val="24"/>
          <w:szCs w:val="24"/>
          <w:highlight w:val="none"/>
          <w:lang w:bidi="ar"/>
        </w:rPr>
        <w:t xml:space="preserve"> </w:t>
      </w:r>
      <w:r>
        <w:rPr>
          <w:rFonts w:hint="eastAsia" w:ascii="宋体" w:hAnsi="宋体" w:eastAsia="宋体" w:cs="宋体"/>
          <w:color w:val="auto"/>
          <w:spacing w:val="6"/>
          <w:sz w:val="24"/>
          <w:szCs w:val="24"/>
          <w:highlight w:val="none"/>
          <w:lang w:bidi="ar"/>
        </w:rPr>
        <w:t>中国残疾人联合会关于促进残疾人就业政府采购政策的通知》（财库</w:t>
      </w:r>
      <w:r>
        <w:rPr>
          <w:rFonts w:hint="eastAsia" w:ascii="宋体" w:hAnsi="宋体" w:eastAsia="宋体" w:cs="宋体"/>
          <w:color w:val="auto"/>
          <w:sz w:val="24"/>
          <w:szCs w:val="24"/>
          <w:highlight w:val="none"/>
          <w:lang w:bidi="ar"/>
        </w:rPr>
        <w:t>〔2017〕141</w:t>
      </w:r>
      <w:r>
        <w:rPr>
          <w:rFonts w:hint="eastAsia" w:ascii="宋体" w:hAnsi="宋体" w:eastAsia="宋体" w:cs="宋体"/>
          <w:color w:val="auto"/>
          <w:spacing w:val="6"/>
          <w:sz w:val="24"/>
          <w:szCs w:val="24"/>
          <w:highlight w:val="none"/>
          <w:lang w:bidi="ar"/>
        </w:rPr>
        <w:t>号）的规定，本单位为</w:t>
      </w:r>
      <w:r>
        <w:rPr>
          <w:rFonts w:hint="eastAsia" w:ascii="宋体" w:hAnsi="宋体" w:eastAsia="宋体" w:cs="宋体"/>
          <w:bCs/>
          <w:color w:val="auto"/>
          <w:sz w:val="24"/>
          <w:szCs w:val="24"/>
          <w:highlight w:val="none"/>
          <w:lang w:bidi="ar"/>
        </w:rPr>
        <w:t>符合</w:t>
      </w:r>
      <w:r>
        <w:rPr>
          <w:rFonts w:hint="eastAsia" w:ascii="宋体" w:hAnsi="宋体" w:eastAsia="宋体" w:cs="宋体"/>
          <w:color w:val="auto"/>
          <w:spacing w:val="6"/>
          <w:sz w:val="24"/>
          <w:szCs w:val="24"/>
          <w:highlight w:val="none"/>
          <w:lang w:bidi="ar"/>
        </w:rPr>
        <w:t>条件的残疾人福利性单位，且本单位参加</w:t>
      </w:r>
      <w:r>
        <w:rPr>
          <w:rFonts w:hint="eastAsia" w:ascii="宋体" w:hAnsi="宋体" w:eastAsia="宋体"/>
          <w:color w:val="auto"/>
          <w:spacing w:val="6"/>
          <w:sz w:val="24"/>
          <w:szCs w:val="24"/>
          <w:highlight w:val="none"/>
          <w:u w:val="single"/>
          <w:lang w:bidi="ar"/>
        </w:rPr>
        <w:t xml:space="preserve">      </w:t>
      </w:r>
      <w:r>
        <w:rPr>
          <w:rFonts w:hint="eastAsia" w:ascii="宋体" w:hAnsi="宋体" w:eastAsia="宋体" w:cs="宋体"/>
          <w:color w:val="auto"/>
          <w:spacing w:val="6"/>
          <w:sz w:val="24"/>
          <w:szCs w:val="24"/>
          <w:highlight w:val="none"/>
          <w:lang w:bidi="ar"/>
        </w:rPr>
        <w:t>单位的</w:t>
      </w:r>
      <w:r>
        <w:rPr>
          <w:rFonts w:hint="eastAsia" w:ascii="宋体" w:hAnsi="宋体" w:eastAsia="宋体"/>
          <w:color w:val="auto"/>
          <w:spacing w:val="6"/>
          <w:sz w:val="24"/>
          <w:szCs w:val="24"/>
          <w:highlight w:val="none"/>
          <w:u w:val="single"/>
          <w:lang w:bidi="ar"/>
        </w:rPr>
        <w:t xml:space="preserve">      </w:t>
      </w:r>
      <w:r>
        <w:rPr>
          <w:rFonts w:hint="eastAsia" w:ascii="宋体" w:hAnsi="宋体" w:eastAsia="宋体" w:cs="宋体"/>
          <w:color w:val="auto"/>
          <w:spacing w:val="6"/>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72BCC589">
      <w:pPr>
        <w:spacing w:line="360" w:lineRule="auto"/>
        <w:ind w:firstLine="435"/>
        <w:rPr>
          <w:rFonts w:hint="eastAsia" w:ascii="宋体" w:hAnsi="宋体" w:eastAsia="宋体"/>
          <w:color w:val="auto"/>
          <w:spacing w:val="6"/>
          <w:sz w:val="24"/>
          <w:szCs w:val="24"/>
          <w:highlight w:val="none"/>
        </w:rPr>
      </w:pPr>
      <w:r>
        <w:rPr>
          <w:rFonts w:hint="eastAsia" w:ascii="宋体" w:hAnsi="宋体" w:eastAsia="宋体" w:cs="宋体"/>
          <w:color w:val="auto"/>
          <w:spacing w:val="6"/>
          <w:sz w:val="24"/>
          <w:szCs w:val="24"/>
          <w:highlight w:val="none"/>
          <w:lang w:bidi="ar"/>
        </w:rPr>
        <w:t>本单位对上述声明的真实性负责。如有虚假，将依法承担相应责任。</w:t>
      </w:r>
    </w:p>
    <w:p w14:paraId="45FB735D">
      <w:pPr>
        <w:spacing w:line="360" w:lineRule="auto"/>
        <w:ind w:firstLine="4228" w:firstLineChars="1762"/>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248F19F6">
      <w:pPr>
        <w:spacing w:line="360" w:lineRule="auto"/>
        <w:ind w:firstLine="4228" w:firstLineChars="1762"/>
        <w:rPr>
          <w:rFonts w:hint="eastAsia"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 </w:t>
      </w:r>
    </w:p>
    <w:p w14:paraId="140494E7">
      <w:pPr>
        <w:spacing w:line="360" w:lineRule="auto"/>
        <w:ind w:firstLine="4228" w:firstLineChars="1762"/>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68BF973F">
      <w:pPr>
        <w:spacing w:line="360" w:lineRule="auto"/>
        <w:ind w:firstLine="4252" w:firstLineChars="1772"/>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7647B665">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p>
    <w:p w14:paraId="055B42D1">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p>
    <w:p w14:paraId="22DA590C">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p>
    <w:p w14:paraId="795F0332">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p>
    <w:p w14:paraId="4F8343D5">
      <w:pPr>
        <w:wordWrap w:val="0"/>
        <w:spacing w:line="400" w:lineRule="exact"/>
        <w:jc w:val="center"/>
        <w:outlineLvl w:val="1"/>
        <w:rPr>
          <w:rFonts w:hint="eastAsia" w:asciiTheme="minorEastAsia" w:hAnsiTheme="minorEastAsia" w:eastAsiaTheme="minorEastAsia"/>
          <w:b/>
          <w:color w:val="auto"/>
          <w:sz w:val="24"/>
          <w:highlight w:val="none"/>
          <w:lang w:val="en-US" w:eastAsia="zh-CN"/>
        </w:rPr>
      </w:pPr>
    </w:p>
    <w:bookmarkEnd w:id="245"/>
    <w:bookmarkEnd w:id="246"/>
    <w:p w14:paraId="63959912">
      <w:pPr>
        <w:rPr>
          <w:rFonts w:hint="eastAsia" w:asciiTheme="minorEastAsia" w:hAnsiTheme="minorEastAsia" w:eastAsiaTheme="minorEastAsia"/>
          <w:b/>
          <w:color w:val="auto"/>
          <w:sz w:val="24"/>
          <w:highlight w:val="none"/>
        </w:rPr>
      </w:pPr>
    </w:p>
    <w:p w14:paraId="61AA39E3">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6</w:t>
      </w:r>
      <w:r>
        <w:rPr>
          <w:rFonts w:hint="eastAsia" w:asciiTheme="minorEastAsia" w:hAnsiTheme="minorEastAsia" w:eastAsiaTheme="minorEastAsia"/>
          <w:b/>
          <w:color w:val="auto"/>
          <w:sz w:val="24"/>
          <w:highlight w:val="none"/>
        </w:rPr>
        <w:t>）其他相关证明材料</w:t>
      </w:r>
    </w:p>
    <w:p w14:paraId="70D4B21A">
      <w:pPr>
        <w:spacing w:line="360" w:lineRule="auto"/>
        <w:ind w:firstLine="435"/>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如有</w:t>
      </w:r>
      <w:r>
        <w:rPr>
          <w:rFonts w:asciiTheme="minorEastAsia" w:hAnsiTheme="minorEastAsia" w:eastAsiaTheme="minorEastAsia"/>
          <w:color w:val="auto"/>
          <w:sz w:val="24"/>
          <w:highlight w:val="none"/>
        </w:rPr>
        <w:t>。</w:t>
      </w:r>
    </w:p>
    <w:p w14:paraId="79B21244">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6A3BD6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二、技术标格式文件</w:t>
      </w:r>
    </w:p>
    <w:p w14:paraId="78F03062">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3FC8241D">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18EB183E">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5B0F59E3">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技术标</w:t>
      </w:r>
    </w:p>
    <w:p w14:paraId="59766E3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（投标文件二）</w:t>
      </w:r>
    </w:p>
    <w:p w14:paraId="213EFEC0">
      <w:pPr>
        <w:jc w:val="center"/>
        <w:rPr>
          <w:rFonts w:hint="eastAsia" w:ascii="宋体" w:hAnsi="宋体" w:eastAsia="宋体" w:cs="宋体"/>
          <w:color w:val="auto"/>
          <w:sz w:val="32"/>
          <w:szCs w:val="32"/>
          <w:highlight w:val="none"/>
          <w:u w:val="single"/>
        </w:rPr>
      </w:pPr>
    </w:p>
    <w:p w14:paraId="1EF245F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47827F7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4A59307">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312AAD3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7F4D00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0D26A1">
      <w:pPr>
        <w:jc w:val="center"/>
        <w:rPr>
          <w:rFonts w:hint="eastAsia" w:ascii="宋体" w:hAnsi="宋体" w:eastAsia="宋体" w:cs="宋体"/>
          <w:color w:val="auto"/>
          <w:sz w:val="28"/>
          <w:szCs w:val="28"/>
          <w:highlight w:val="none"/>
        </w:rPr>
      </w:pPr>
    </w:p>
    <w:p w14:paraId="03DDAB5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4FD7B3F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94D443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6CC941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555092F3">
      <w:pPr>
        <w:autoSpaceDE w:val="0"/>
        <w:spacing w:line="360" w:lineRule="auto"/>
        <w:jc w:val="center"/>
        <w:rPr>
          <w:rFonts w:hint="eastAsia" w:ascii="宋体" w:hAnsi="宋体" w:eastAsia="宋体" w:cs="宋体"/>
          <w:color w:val="auto"/>
          <w:sz w:val="28"/>
          <w:szCs w:val="28"/>
          <w:highlight w:val="none"/>
          <w:lang w:bidi="ar"/>
        </w:rPr>
      </w:pPr>
    </w:p>
    <w:p w14:paraId="763D58A1">
      <w:pPr>
        <w:autoSpaceDE w:val="0"/>
        <w:spacing w:line="360" w:lineRule="auto"/>
        <w:jc w:val="center"/>
        <w:rPr>
          <w:rFonts w:hint="eastAsia" w:ascii="宋体" w:hAnsi="宋体" w:eastAsia="宋体" w:cs="宋体"/>
          <w:color w:val="auto"/>
          <w:sz w:val="28"/>
          <w:szCs w:val="28"/>
          <w:highlight w:val="none"/>
          <w:lang w:bidi="ar"/>
        </w:rPr>
      </w:pPr>
    </w:p>
    <w:p w14:paraId="281CF1DF">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72C5567B">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1D371BF">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3A79331C">
      <w:pPr>
        <w:spacing w:line="360" w:lineRule="auto"/>
        <w:jc w:val="center"/>
        <w:outlineLvl w:val="1"/>
        <w:rPr>
          <w:rFonts w:hint="eastAsia" w:asciiTheme="minorEastAsia" w:hAnsiTheme="minorEastAsia" w:eastAsiaTheme="minorEastAsia"/>
          <w:b/>
          <w:color w:val="auto"/>
          <w:sz w:val="24"/>
          <w:highlight w:val="none"/>
        </w:rPr>
      </w:pPr>
    </w:p>
    <w:p w14:paraId="41304A7F">
      <w:pPr>
        <w:spacing w:line="360" w:lineRule="auto"/>
        <w:jc w:val="center"/>
        <w:outlineLvl w:val="1"/>
        <w:rPr>
          <w:rFonts w:hint="eastAsia" w:asciiTheme="minorEastAsia" w:hAnsiTheme="minorEastAsia" w:eastAsiaTheme="minorEastAsia"/>
          <w:b/>
          <w:color w:val="auto"/>
          <w:sz w:val="24"/>
          <w:highlight w:val="none"/>
        </w:rPr>
      </w:pPr>
    </w:p>
    <w:p w14:paraId="5062B3DB">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2D9B7799">
      <w:pPr>
        <w:spacing w:line="400" w:lineRule="exact"/>
        <w:ind w:firstLine="3744" w:firstLineChars="1036"/>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 xml:space="preserve"> </w:t>
      </w:r>
    </w:p>
    <w:p w14:paraId="738AC921">
      <w:pPr>
        <w:spacing w:line="400" w:lineRule="exact"/>
        <w:ind w:firstLine="480" w:firstLineChars="200"/>
        <w:rPr>
          <w:rFonts w:hint="eastAsia" w:ascii="宋体" w:hAnsi="宋体" w:eastAsia="宋体" w:cs="宋体"/>
          <w:bCs/>
          <w:color w:val="auto"/>
          <w:sz w:val="24"/>
          <w:szCs w:val="24"/>
          <w:highlight w:val="none"/>
          <w:lang w:bidi="ar"/>
        </w:rPr>
      </w:pPr>
      <w:r>
        <w:rPr>
          <w:rFonts w:hint="eastAsia" w:cs="Times New Roman" w:asciiTheme="minorEastAsia" w:hAnsiTheme="minorEastAsia" w:eastAsiaTheme="minorEastAsia"/>
          <w:color w:val="auto"/>
          <w:sz w:val="24"/>
          <w:szCs w:val="24"/>
          <w:highlight w:val="none"/>
        </w:rPr>
        <w:t>（</w:t>
      </w:r>
      <w:r>
        <w:rPr>
          <w:rFonts w:hint="eastAsia" w:ascii="宋体" w:hAnsi="宋体" w:eastAsia="宋体" w:cs="宋体"/>
          <w:bCs/>
          <w:color w:val="auto"/>
          <w:sz w:val="24"/>
          <w:szCs w:val="24"/>
          <w:highlight w:val="none"/>
          <w:lang w:bidi="ar"/>
        </w:rPr>
        <w:t>1）投标响应表（格式见附件）；</w:t>
      </w:r>
    </w:p>
    <w:p w14:paraId="36D5E201">
      <w:pPr>
        <w:spacing w:line="400" w:lineRule="exact"/>
        <w:ind w:firstLine="480" w:firstLineChars="200"/>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（2）诚信履约承诺函（格式见附件）；</w:t>
      </w:r>
    </w:p>
    <w:p w14:paraId="7425CB5D">
      <w:pPr>
        <w:spacing w:line="400" w:lineRule="exact"/>
        <w:ind w:firstLine="480" w:firstLineChars="200"/>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（3）招标文件中要求的技术标评审及技术标评分的支持资料；</w:t>
      </w:r>
    </w:p>
    <w:p w14:paraId="6FE37B5C">
      <w:pPr>
        <w:spacing w:line="400" w:lineRule="exact"/>
        <w:ind w:firstLine="480" w:firstLineChars="200"/>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 xml:space="preserve">（4）投标人认为需要提供的其他技术证明材料。 </w:t>
      </w:r>
    </w:p>
    <w:p w14:paraId="7624BB62">
      <w:pPr>
        <w:spacing w:line="360" w:lineRule="auto"/>
        <w:jc w:val="center"/>
        <w:outlineLvl w:val="1"/>
        <w:rPr>
          <w:rFonts w:hint="eastAsia" w:asciiTheme="minorEastAsia" w:hAnsiTheme="minorEastAsia" w:eastAsiaTheme="minorEastAsia"/>
          <w:b/>
          <w:color w:val="auto"/>
          <w:sz w:val="24"/>
          <w:highlight w:val="none"/>
        </w:rPr>
      </w:pPr>
    </w:p>
    <w:p w14:paraId="173A6F20">
      <w:pPr>
        <w:spacing w:line="360" w:lineRule="auto"/>
        <w:jc w:val="center"/>
        <w:outlineLvl w:val="1"/>
        <w:rPr>
          <w:rFonts w:hint="eastAsia" w:asciiTheme="minorEastAsia" w:hAnsiTheme="minorEastAsia" w:eastAsiaTheme="minorEastAsia"/>
          <w:b/>
          <w:color w:val="auto"/>
          <w:sz w:val="24"/>
          <w:highlight w:val="none"/>
        </w:rPr>
      </w:pPr>
    </w:p>
    <w:p w14:paraId="510C4BAC">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2FFAACF">
      <w:pPr>
        <w:spacing w:line="360" w:lineRule="auto"/>
        <w:jc w:val="center"/>
        <w:outlineLvl w:val="1"/>
        <w:rPr>
          <w:rFonts w:hint="eastAsia" w:asciiTheme="minorEastAsia" w:hAnsiTheme="minorEastAsia" w:eastAsiaTheme="minorEastAsia"/>
          <w:b/>
          <w:color w:val="auto"/>
          <w:sz w:val="24"/>
          <w:highlight w:val="none"/>
        </w:rPr>
      </w:pPr>
      <w:bookmarkStart w:id="247" w:name="_Toc27548"/>
      <w:r>
        <w:rPr>
          <w:rFonts w:hint="eastAsia" w:asciiTheme="minorEastAsia" w:hAnsiTheme="minorEastAsia" w:eastAsiaTheme="minorEastAsia"/>
          <w:b/>
          <w:color w:val="auto"/>
          <w:sz w:val="24"/>
          <w:highlight w:val="none"/>
        </w:rPr>
        <w:t>（1）投标响应表</w:t>
      </w:r>
      <w:bookmarkEnd w:id="247"/>
    </w:p>
    <w:p w14:paraId="3E7F36D0">
      <w:pPr>
        <w:spacing w:line="360" w:lineRule="auto"/>
        <w:ind w:firstLine="435"/>
        <w:outlineLvl w:val="2"/>
        <w:rPr>
          <w:rFonts w:hint="eastAsia"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1</w:t>
      </w:r>
      <w:r>
        <w:rPr>
          <w:rFonts w:hint="eastAsia" w:ascii="宋体" w:hAnsi="宋体" w:eastAsia="宋体"/>
          <w:b/>
          <w:color w:val="auto"/>
          <w:sz w:val="24"/>
          <w:szCs w:val="24"/>
          <w:highlight w:val="none"/>
          <w:lang w:bidi="ar"/>
        </w:rPr>
        <w:t>.1</w:t>
      </w:r>
      <w:r>
        <w:rPr>
          <w:rFonts w:hint="eastAsia" w:ascii="宋体" w:hAnsi="宋体" w:eastAsia="宋体" w:cs="宋体"/>
          <w:b/>
          <w:color w:val="auto"/>
          <w:sz w:val="24"/>
          <w:szCs w:val="24"/>
          <w:highlight w:val="none"/>
          <w:lang w:bidi="ar"/>
        </w:rPr>
        <w:t>商务响应表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992"/>
        <w:gridCol w:w="2596"/>
        <w:gridCol w:w="2676"/>
        <w:gridCol w:w="842"/>
      </w:tblGrid>
      <w:tr w14:paraId="6C08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859C016">
            <w:pPr>
              <w:pStyle w:val="33"/>
              <w:spacing w:before="0" w:beforeAutospacing="0" w:after="0" w:afterAutospacing="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65C55B68">
            <w:pPr>
              <w:pStyle w:val="33"/>
              <w:spacing w:before="0" w:beforeAutospacing="0" w:after="0" w:afterAutospacing="0"/>
              <w:jc w:val="center"/>
              <w:rPr>
                <w:rFonts w:hint="eastAsia" w:ascii="宋体" w:hAnsi="宋体" w:eastAsia="宋体" w:cs="Wingdings"/>
                <w:b/>
                <w:color w:val="auto"/>
                <w:kern w:val="2"/>
                <w:szCs w:val="24"/>
                <w:highlight w:val="none"/>
              </w:rPr>
            </w:pPr>
            <w:r>
              <w:rPr>
                <w:rFonts w:hint="eastAsia" w:ascii="宋体" w:hAnsi="宋体" w:eastAsia="宋体" w:cs="宋体"/>
                <w:b/>
                <w:bCs/>
                <w:color w:val="auto"/>
                <w:kern w:val="2"/>
                <w:szCs w:val="24"/>
                <w:highlight w:val="none"/>
                <w:lang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FEF4F4A">
            <w:pPr>
              <w:pStyle w:val="33"/>
              <w:spacing w:before="0" w:beforeAutospacing="0" w:after="0" w:afterAutospacing="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3CBA5C6">
            <w:pPr>
              <w:pStyle w:val="33"/>
              <w:spacing w:before="0" w:beforeAutospacing="0" w:after="0" w:afterAutospacing="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94C5E3B">
            <w:pPr>
              <w:pStyle w:val="33"/>
              <w:spacing w:before="0" w:beforeAutospacing="0" w:after="0" w:afterAutospacing="0"/>
              <w:jc w:val="center"/>
              <w:rPr>
                <w:rFonts w:hint="eastAsia" w:ascii="宋体" w:hAnsi="宋体" w:eastAsia="宋体" w:cs="Wingdings"/>
                <w:b/>
                <w:color w:val="auto"/>
                <w:kern w:val="2"/>
                <w:szCs w:val="24"/>
                <w:highlight w:val="none"/>
              </w:rPr>
            </w:pPr>
            <w:r>
              <w:rPr>
                <w:rFonts w:hint="eastAsia" w:ascii="宋体" w:hAnsi="宋体" w:eastAsia="宋体" w:cs="宋体"/>
                <w:b/>
                <w:color w:val="auto"/>
                <w:kern w:val="2"/>
                <w:szCs w:val="24"/>
                <w:highlight w:val="none"/>
                <w:lang w:bidi="ar"/>
              </w:rPr>
              <w:t>偏离说明</w:t>
            </w:r>
          </w:p>
        </w:tc>
      </w:tr>
      <w:tr w14:paraId="6F43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083E5AD3">
            <w:pPr>
              <w:jc w:val="center"/>
              <w:rPr>
                <w:rFonts w:hint="eastAsia" w:ascii="宋体" w:hAnsi="宋体" w:eastAsia="宋体"/>
                <w:color w:val="auto"/>
                <w:sz w:val="24"/>
                <w:szCs w:val="24"/>
                <w:highlight w:val="none"/>
              </w:rPr>
            </w:pPr>
            <w:r>
              <w:rPr>
                <w:rFonts w:asciiTheme="minorEastAsia" w:hAnsiTheme="minorEastAsia" w:eastAsiaTheme="minorEastAsia"/>
                <w:color w:val="auto"/>
                <w:sz w:val="24"/>
                <w:highlight w:val="none"/>
              </w:rPr>
              <w:t>1</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4CBE53B8">
            <w:pPr>
              <w:jc w:val="center"/>
              <w:rPr>
                <w:rFonts w:hint="eastAsia" w:ascii="宋体" w:hAnsi="宋体" w:eastAsia="宋体"/>
                <w:color w:val="auto"/>
                <w:sz w:val="24"/>
                <w:szCs w:val="24"/>
                <w:highlight w:val="none"/>
              </w:rPr>
            </w:pPr>
            <w:r>
              <w:rPr>
                <w:rFonts w:asciiTheme="minorEastAsia" w:hAnsiTheme="minorEastAsia" w:eastAsiaTheme="minorEastAsia"/>
                <w:color w:val="auto"/>
                <w:sz w:val="24"/>
                <w:highlight w:val="none"/>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34BE276">
            <w:pPr>
              <w:jc w:val="center"/>
              <w:rPr>
                <w:rFonts w:hint="eastAsia"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E2D1E1A">
            <w:pPr>
              <w:jc w:val="center"/>
              <w:rPr>
                <w:rFonts w:hint="eastAsia"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32E8B3EC">
            <w:pPr>
              <w:jc w:val="center"/>
              <w:rPr>
                <w:rFonts w:hint="eastAsia" w:ascii="宋体" w:hAnsi="宋体" w:eastAsia="宋体"/>
                <w:color w:val="auto"/>
                <w:sz w:val="24"/>
                <w:szCs w:val="24"/>
                <w:highlight w:val="none"/>
              </w:rPr>
            </w:pPr>
          </w:p>
        </w:tc>
      </w:tr>
      <w:tr w14:paraId="4780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EBB5F25">
            <w:pPr>
              <w:jc w:val="center"/>
              <w:rPr>
                <w:rFonts w:hint="eastAsia" w:ascii="宋体" w:hAnsi="宋体" w:eastAsia="宋体"/>
                <w:color w:val="auto"/>
                <w:sz w:val="24"/>
                <w:szCs w:val="24"/>
                <w:highlight w:val="none"/>
              </w:rPr>
            </w:pPr>
            <w:r>
              <w:rPr>
                <w:rFonts w:hint="eastAsia" w:asciiTheme="minorEastAsia" w:hAnsiTheme="minorEastAsia" w:eastAsiaTheme="minorEastAsia"/>
                <w:color w:val="auto"/>
                <w:sz w:val="24"/>
                <w:highlight w:val="none"/>
              </w:rPr>
              <w:t>2</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1A08CD7A">
            <w:pPr>
              <w:jc w:val="center"/>
              <w:rPr>
                <w:rFonts w:hint="eastAsia" w:ascii="宋体" w:hAnsi="宋体" w:eastAsia="宋体"/>
                <w:color w:val="auto"/>
                <w:sz w:val="24"/>
                <w:szCs w:val="24"/>
                <w:highlight w:val="none"/>
              </w:rPr>
            </w:pPr>
            <w:r>
              <w:rPr>
                <w:rFonts w:hint="eastAsia" w:ascii="宋体" w:hAnsi="宋体" w:eastAsia="宋体"/>
                <w:color w:val="auto"/>
                <w:sz w:val="24"/>
                <w:highlight w:val="none"/>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0EACDBAF">
            <w:pPr>
              <w:jc w:val="center"/>
              <w:rPr>
                <w:rFonts w:hint="eastAsia"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0D3594D">
            <w:pPr>
              <w:jc w:val="center"/>
              <w:rPr>
                <w:rFonts w:hint="eastAsia"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033E8AB">
            <w:pPr>
              <w:jc w:val="center"/>
              <w:rPr>
                <w:rFonts w:hint="eastAsia" w:ascii="宋体" w:hAnsi="宋体" w:eastAsia="宋体"/>
                <w:color w:val="auto"/>
                <w:sz w:val="24"/>
                <w:szCs w:val="24"/>
                <w:highlight w:val="none"/>
              </w:rPr>
            </w:pPr>
          </w:p>
        </w:tc>
      </w:tr>
      <w:tr w14:paraId="3C64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13522A80">
            <w:pPr>
              <w:jc w:val="center"/>
              <w:rPr>
                <w:rFonts w:hint="eastAsia" w:ascii="宋体" w:hAnsi="宋体" w:eastAsia="宋体"/>
                <w:color w:val="auto"/>
                <w:sz w:val="24"/>
                <w:szCs w:val="24"/>
                <w:highlight w:val="none"/>
              </w:rPr>
            </w:pPr>
            <w:r>
              <w:rPr>
                <w:rFonts w:hint="eastAsia" w:asciiTheme="minorEastAsia" w:hAnsiTheme="minorEastAsia" w:eastAsiaTheme="minorEastAsia"/>
                <w:color w:val="auto"/>
                <w:sz w:val="24"/>
                <w:highlight w:val="none"/>
              </w:rPr>
              <w:t>3</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1495A779">
            <w:pPr>
              <w:jc w:val="center"/>
              <w:rPr>
                <w:rFonts w:hint="eastAsia" w:ascii="宋体" w:hAnsi="宋体" w:eastAsia="宋体"/>
                <w:color w:val="auto"/>
                <w:sz w:val="24"/>
                <w:szCs w:val="24"/>
                <w:highlight w:val="none"/>
              </w:rPr>
            </w:pPr>
            <w:r>
              <w:rPr>
                <w:rFonts w:hint="eastAsia" w:ascii="宋体" w:hAnsi="宋体" w:eastAsia="宋体"/>
                <w:color w:val="auto"/>
                <w:sz w:val="24"/>
                <w:highlight w:val="none"/>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565F9FC">
            <w:pPr>
              <w:jc w:val="center"/>
              <w:rPr>
                <w:rFonts w:hint="eastAsia"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21907072">
            <w:pPr>
              <w:pStyle w:val="33"/>
              <w:spacing w:before="0" w:beforeAutospacing="0" w:after="0" w:afterAutospacing="0"/>
              <w:jc w:val="center"/>
              <w:rPr>
                <w:rFonts w:hint="eastAsia" w:ascii="宋体" w:hAnsi="宋体" w:eastAsia="宋体" w:cs="Arial"/>
                <w:color w:val="auto"/>
                <w:kern w:val="2"/>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9F893C3">
            <w:pPr>
              <w:jc w:val="center"/>
              <w:rPr>
                <w:rFonts w:hint="eastAsia" w:ascii="宋体" w:hAnsi="宋体" w:eastAsia="宋体"/>
                <w:color w:val="auto"/>
                <w:sz w:val="24"/>
                <w:szCs w:val="24"/>
                <w:highlight w:val="none"/>
              </w:rPr>
            </w:pPr>
          </w:p>
        </w:tc>
      </w:tr>
      <w:tr w14:paraId="490D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459D70AD">
            <w:pPr>
              <w:jc w:val="center"/>
              <w:rPr>
                <w:rFonts w:hint="eastAsia" w:ascii="宋体" w:hAnsi="宋体" w:eastAsia="宋体"/>
                <w:color w:val="auto"/>
                <w:sz w:val="24"/>
                <w:szCs w:val="24"/>
                <w:highlight w:val="none"/>
              </w:rPr>
            </w:pPr>
            <w:r>
              <w:rPr>
                <w:rFonts w:hint="eastAsia" w:asciiTheme="minorEastAsia" w:hAnsiTheme="minorEastAsia" w:eastAsiaTheme="minorEastAsia"/>
                <w:color w:val="auto"/>
                <w:sz w:val="24"/>
                <w:highlight w:val="none"/>
              </w:rPr>
              <w:t>4</w:t>
            </w:r>
          </w:p>
        </w:tc>
        <w:tc>
          <w:tcPr>
            <w:tcW w:w="2102" w:type="dxa"/>
            <w:tcBorders>
              <w:top w:val="single" w:color="auto" w:sz="4" w:space="0"/>
              <w:left w:val="single" w:color="auto" w:sz="4" w:space="0"/>
              <w:bottom w:val="single" w:color="auto" w:sz="4" w:space="0"/>
              <w:right w:val="single" w:color="auto" w:sz="4" w:space="0"/>
            </w:tcBorders>
            <w:shd w:val="clear" w:color="auto" w:fill="auto"/>
            <w:vAlign w:val="center"/>
          </w:tcPr>
          <w:p w14:paraId="7ED2DE84">
            <w:pPr>
              <w:jc w:val="center"/>
              <w:rPr>
                <w:rFonts w:hint="eastAsia" w:ascii="宋体" w:hAnsi="宋体" w:eastAsia="宋体"/>
                <w:color w:val="auto"/>
                <w:sz w:val="24"/>
                <w:szCs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AD4F064">
            <w:pPr>
              <w:jc w:val="center"/>
              <w:rPr>
                <w:rFonts w:hint="eastAsia"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7AC40249">
            <w:pPr>
              <w:jc w:val="center"/>
              <w:rPr>
                <w:rFonts w:hint="eastAsia"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065DFAB">
            <w:pPr>
              <w:jc w:val="center"/>
              <w:rPr>
                <w:rFonts w:hint="eastAsia" w:ascii="宋体" w:hAnsi="宋体" w:eastAsia="宋体"/>
                <w:color w:val="auto"/>
                <w:sz w:val="24"/>
                <w:szCs w:val="24"/>
                <w:highlight w:val="none"/>
              </w:rPr>
            </w:pPr>
          </w:p>
        </w:tc>
      </w:tr>
      <w:tr w14:paraId="5628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70B272A">
            <w:pPr>
              <w:jc w:val="center"/>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FE49242">
            <w:pPr>
              <w:jc w:val="center"/>
              <w:rPr>
                <w:rFonts w:hint="eastAsia" w:ascii="宋体" w:hAnsi="宋体" w:eastAsia="宋体"/>
                <w:color w:val="auto"/>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DC691A3">
            <w:pPr>
              <w:jc w:val="center"/>
              <w:rPr>
                <w:rFonts w:hint="eastAsia" w:ascii="宋体" w:hAnsi="宋体" w:eastAsia="宋体"/>
                <w:color w:val="auto"/>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010D3890">
            <w:pPr>
              <w:jc w:val="center"/>
              <w:rPr>
                <w:rFonts w:hint="eastAsia" w:ascii="宋体" w:hAnsi="宋体" w:eastAsia="宋体"/>
                <w:color w:val="auto"/>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29AD107">
            <w:pPr>
              <w:jc w:val="center"/>
              <w:rPr>
                <w:rFonts w:hint="eastAsia" w:ascii="宋体" w:hAnsi="宋体" w:eastAsia="宋体"/>
                <w:color w:val="auto"/>
                <w:sz w:val="24"/>
                <w:szCs w:val="24"/>
                <w:highlight w:val="none"/>
              </w:rPr>
            </w:pPr>
          </w:p>
        </w:tc>
      </w:tr>
    </w:tbl>
    <w:p w14:paraId="0DB127D6">
      <w:pPr>
        <w:spacing w:line="360" w:lineRule="auto"/>
        <w:ind w:firstLine="4800" w:firstLineChars="2000"/>
        <w:rPr>
          <w:rFonts w:hint="eastAsia" w:ascii="宋体" w:hAnsi="宋体" w:eastAsia="宋体" w:cs="宋体"/>
          <w:color w:val="auto"/>
          <w:sz w:val="24"/>
          <w:szCs w:val="24"/>
          <w:highlight w:val="none"/>
          <w:lang w:bidi="ar"/>
        </w:rPr>
      </w:pPr>
    </w:p>
    <w:p w14:paraId="440CA650">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投标人电子签章：</w:t>
      </w:r>
      <w:r>
        <w:rPr>
          <w:rFonts w:hint="eastAsia" w:ascii="宋体" w:hAnsi="宋体" w:eastAsia="宋体"/>
          <w:color w:val="auto"/>
          <w:sz w:val="24"/>
          <w:szCs w:val="24"/>
          <w:highlight w:val="none"/>
          <w:u w:val="single"/>
          <w:lang w:bidi="ar"/>
        </w:rPr>
        <w:t xml:space="preserve">             </w:t>
      </w:r>
    </w:p>
    <w:p w14:paraId="354BB996">
      <w:pPr>
        <w:spacing w:line="360" w:lineRule="auto"/>
        <w:ind w:firstLine="4800" w:firstLineChars="2000"/>
        <w:rPr>
          <w:rFonts w:hint="eastAsia" w:ascii="宋体" w:hAnsi="宋体" w:eastAsia="宋体"/>
          <w:color w:val="auto"/>
          <w:sz w:val="24"/>
          <w:szCs w:val="24"/>
          <w:highlight w:val="none"/>
          <w:u w:val="single"/>
        </w:rPr>
      </w:pPr>
      <w:r>
        <w:rPr>
          <w:rFonts w:hint="eastAsia" w:ascii="宋体" w:hAnsi="宋体" w:eastAsia="宋体" w:cs="宋体"/>
          <w:color w:val="auto"/>
          <w:sz w:val="24"/>
          <w:szCs w:val="24"/>
          <w:highlight w:val="none"/>
          <w:lang w:bidi="ar"/>
        </w:rPr>
        <w:t>日</w:t>
      </w:r>
      <w:r>
        <w:rPr>
          <w:rFonts w:hint="eastAsia" w:ascii="宋体" w:hAnsi="宋体" w:eastAsia="宋体"/>
          <w:color w:val="auto"/>
          <w:sz w:val="24"/>
          <w:szCs w:val="24"/>
          <w:highlight w:val="none"/>
          <w:lang w:bidi="ar"/>
        </w:rPr>
        <w:t xml:space="preserve">          </w:t>
      </w:r>
      <w:r>
        <w:rPr>
          <w:rFonts w:hint="eastAsia" w:ascii="宋体" w:hAnsi="宋体" w:eastAsia="宋体" w:cs="宋体"/>
          <w:color w:val="auto"/>
          <w:sz w:val="24"/>
          <w:szCs w:val="24"/>
          <w:highlight w:val="none"/>
          <w:lang w:bidi="ar"/>
        </w:rPr>
        <w:t>期：</w:t>
      </w:r>
      <w:r>
        <w:rPr>
          <w:rFonts w:hint="eastAsia" w:ascii="宋体" w:hAnsi="宋体" w:eastAsia="宋体"/>
          <w:color w:val="auto"/>
          <w:sz w:val="24"/>
          <w:szCs w:val="24"/>
          <w:highlight w:val="none"/>
          <w:u w:val="single"/>
          <w:lang w:bidi="ar"/>
        </w:rPr>
        <w:t xml:space="preserve">             </w:t>
      </w:r>
    </w:p>
    <w:p w14:paraId="2AB7BCF4">
      <w:pPr>
        <w:spacing w:line="360" w:lineRule="auto"/>
        <w:jc w:val="center"/>
        <w:outlineLvl w:val="1"/>
        <w:rPr>
          <w:rFonts w:hint="eastAsia" w:asciiTheme="minorEastAsia" w:hAnsiTheme="minorEastAsia" w:eastAsiaTheme="minorEastAsia"/>
          <w:b/>
          <w:color w:val="auto"/>
          <w:sz w:val="24"/>
          <w:highlight w:val="none"/>
        </w:rPr>
      </w:pPr>
    </w:p>
    <w:p w14:paraId="42C80472">
      <w:pPr>
        <w:spacing w:line="360" w:lineRule="auto"/>
        <w:jc w:val="center"/>
        <w:outlineLvl w:val="1"/>
        <w:rPr>
          <w:rFonts w:hint="eastAsia" w:asciiTheme="minorEastAsia" w:hAnsiTheme="minorEastAsia" w:eastAsiaTheme="minorEastAsia"/>
          <w:b/>
          <w:color w:val="auto"/>
          <w:sz w:val="24"/>
          <w:highlight w:val="none"/>
        </w:rPr>
      </w:pPr>
    </w:p>
    <w:p w14:paraId="7826E809">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53DD3E7C">
      <w:pPr>
        <w:spacing w:line="360" w:lineRule="auto"/>
        <w:jc w:val="center"/>
        <w:outlineLvl w:val="1"/>
        <w:rPr>
          <w:rFonts w:hint="eastAsia" w:asciiTheme="minorEastAsia" w:hAnsiTheme="minorEastAsia" w:eastAsiaTheme="minorEastAsia"/>
          <w:b/>
          <w:color w:val="auto"/>
          <w:sz w:val="24"/>
          <w:highlight w:val="none"/>
        </w:rPr>
      </w:pPr>
      <w:bookmarkStart w:id="248" w:name="_Toc15952"/>
      <w:r>
        <w:rPr>
          <w:rFonts w:hint="eastAsia" w:asciiTheme="minorEastAsia" w:hAnsiTheme="minorEastAsia" w:eastAsiaTheme="minorEastAsia"/>
          <w:b/>
          <w:color w:val="auto"/>
          <w:sz w:val="24"/>
          <w:highlight w:val="none"/>
        </w:rPr>
        <w:t>（2）诚信履约承诺函</w:t>
      </w:r>
      <w:bookmarkEnd w:id="248"/>
    </w:p>
    <w:p w14:paraId="18104449">
      <w:pPr>
        <w:spacing w:line="360" w:lineRule="auto"/>
        <w:rPr>
          <w:rFonts w:hint="eastAsia" w:ascii="宋体" w:hAnsi="宋体" w:eastAsia="宋体"/>
          <w:b/>
          <w:bCs/>
          <w:color w:val="auto"/>
          <w:sz w:val="24"/>
          <w:szCs w:val="24"/>
          <w:highlight w:val="none"/>
        </w:rPr>
      </w:pPr>
    </w:p>
    <w:p w14:paraId="71F903DD">
      <w:pPr>
        <w:spacing w:line="360" w:lineRule="auto"/>
        <w:rPr>
          <w:rFonts w:hint="eastAsia" w:ascii="宋体" w:hAnsi="宋体" w:eastAsia="宋体"/>
          <w:b/>
          <w:bCs/>
          <w:color w:val="auto"/>
          <w:sz w:val="24"/>
          <w:szCs w:val="24"/>
          <w:highlight w:val="none"/>
          <w:u w:val="single"/>
        </w:rPr>
      </w:pPr>
      <w:r>
        <w:rPr>
          <w:rFonts w:hint="eastAsia" w:ascii="宋体" w:hAnsi="宋体" w:eastAsia="宋体" w:cs="宋体"/>
          <w:b/>
          <w:bCs/>
          <w:color w:val="auto"/>
          <w:sz w:val="24"/>
          <w:szCs w:val="24"/>
          <w:highlight w:val="none"/>
          <w:lang w:bidi="ar"/>
        </w:rPr>
        <w:t>致：采购人</w:t>
      </w:r>
    </w:p>
    <w:p w14:paraId="468C963A">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8E8DE6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（1）中标或者成交后无正当理由拒不与采购人签订政府采购合同；</w:t>
      </w:r>
    </w:p>
    <w:p w14:paraId="039C4AEF">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（2）未按照采购文件确定的事项签订政府采购合同；</w:t>
      </w:r>
    </w:p>
    <w:p w14:paraId="604C9E55">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（3）将政府采购合同转包；</w:t>
      </w:r>
    </w:p>
    <w:p w14:paraId="327581AB">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（4）提供假冒伪劣产品；</w:t>
      </w:r>
    </w:p>
    <w:p w14:paraId="60C3BEE7">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（5）擅自变更、中止或者终止政府采购合同。</w:t>
      </w:r>
    </w:p>
    <w:p w14:paraId="0BBDFF41">
      <w:pPr>
        <w:spacing w:line="360" w:lineRule="auto"/>
        <w:ind w:firstLine="480" w:firstLineChars="2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AB1BD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本承诺声明：</w:t>
      </w:r>
      <w:r>
        <w:rPr>
          <w:rFonts w:hint="eastAsia" w:ascii="宋体" w:hAnsi="宋体" w:eastAsia="宋体" w:cs="宋体"/>
          <w:bCs/>
          <w:color w:val="auto"/>
          <w:sz w:val="24"/>
          <w:szCs w:val="24"/>
          <w:highlight w:val="none"/>
          <w:u w:val="single"/>
          <w:lang w:bidi="ar"/>
        </w:rPr>
        <w:t xml:space="preserve">                   （投标人名称）</w:t>
      </w:r>
      <w:r>
        <w:rPr>
          <w:rFonts w:hint="eastAsia" w:ascii="宋体" w:hAnsi="宋体" w:eastAsia="宋体" w:cs="宋体"/>
          <w:bCs/>
          <w:color w:val="auto"/>
          <w:sz w:val="24"/>
          <w:szCs w:val="24"/>
          <w:highlight w:val="none"/>
          <w:lang w:bidi="ar"/>
        </w:rPr>
        <w:t>对本招标文件的相关要求完全响应</w:t>
      </w:r>
      <w:r>
        <w:rPr>
          <w:rFonts w:hint="eastAsia" w:asciiTheme="minorEastAsia" w:hAnsiTheme="minorEastAsia" w:eastAsiaTheme="minorEastAsia"/>
          <w:bCs/>
          <w:color w:val="auto"/>
          <w:sz w:val="24"/>
          <w:highlight w:val="none"/>
        </w:rPr>
        <w:t>。配备人员数量</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设备</w:t>
      </w:r>
      <w:r>
        <w:rPr>
          <w:rFonts w:hint="eastAsia" w:asciiTheme="minorEastAsia" w:hAnsiTheme="minorEastAsia" w:eastAsiaTheme="minorEastAsia"/>
          <w:bCs/>
          <w:color w:val="auto"/>
          <w:sz w:val="24"/>
          <w:highlight w:val="none"/>
          <w:lang w:val="en-US" w:eastAsia="zh-CN"/>
        </w:rPr>
        <w:t>数量和采购生产资料数量均</w:t>
      </w:r>
      <w:r>
        <w:rPr>
          <w:rFonts w:hint="eastAsia" w:asciiTheme="minorEastAsia" w:hAnsiTheme="minorEastAsia" w:eastAsiaTheme="minorEastAsia"/>
          <w:bCs/>
          <w:color w:val="auto"/>
          <w:sz w:val="24"/>
          <w:highlight w:val="none"/>
        </w:rPr>
        <w:t>不低于采购需求的要求。若有幸中标将严格按照以上承诺进行服务。</w:t>
      </w:r>
    </w:p>
    <w:p w14:paraId="06988A4B">
      <w:pPr>
        <w:spacing w:line="360" w:lineRule="auto"/>
        <w:ind w:firstLine="4320" w:firstLineChars="1800"/>
        <w:rPr>
          <w:rFonts w:hint="eastAsia" w:ascii="宋体" w:hAnsi="宋体" w:eastAsia="宋体" w:cs="宋体"/>
          <w:bCs/>
          <w:color w:val="auto"/>
          <w:sz w:val="24"/>
          <w:szCs w:val="24"/>
          <w:highlight w:val="none"/>
          <w:lang w:bidi="ar"/>
        </w:rPr>
      </w:pPr>
    </w:p>
    <w:p w14:paraId="32E2FE9C">
      <w:pPr>
        <w:spacing w:line="360" w:lineRule="auto"/>
        <w:ind w:firstLine="4320" w:firstLineChars="1800"/>
        <w:rPr>
          <w:rFonts w:hint="eastAsia" w:ascii="宋体" w:hAnsi="宋体" w:eastAsia="宋体"/>
          <w:bCs/>
          <w:color w:val="auto"/>
          <w:sz w:val="24"/>
          <w:szCs w:val="24"/>
          <w:highlight w:val="none"/>
          <w:u w:val="single"/>
        </w:rPr>
      </w:pPr>
      <w:r>
        <w:rPr>
          <w:rFonts w:hint="eastAsia" w:ascii="宋体" w:hAnsi="宋体" w:eastAsia="宋体" w:cs="宋体"/>
          <w:bCs/>
          <w:color w:val="auto"/>
          <w:sz w:val="24"/>
          <w:szCs w:val="24"/>
          <w:highlight w:val="none"/>
          <w:lang w:bidi="ar"/>
        </w:rPr>
        <w:t>投标人电子签章：</w:t>
      </w:r>
      <w:r>
        <w:rPr>
          <w:rFonts w:hint="eastAsia" w:ascii="宋体" w:hAnsi="宋体" w:eastAsia="宋体"/>
          <w:bCs/>
          <w:color w:val="auto"/>
          <w:sz w:val="24"/>
          <w:szCs w:val="24"/>
          <w:highlight w:val="none"/>
          <w:u w:val="single"/>
          <w:lang w:bidi="ar"/>
        </w:rPr>
        <w:t xml:space="preserve">             </w:t>
      </w:r>
    </w:p>
    <w:p w14:paraId="3CB99EA1">
      <w:pPr>
        <w:spacing w:line="360" w:lineRule="auto"/>
        <w:ind w:firstLine="4320" w:firstLineChars="1800"/>
        <w:rPr>
          <w:rFonts w:hint="eastAsia" w:ascii="宋体" w:hAnsi="宋体" w:eastAsia="宋体"/>
          <w:bCs/>
          <w:color w:val="auto"/>
          <w:sz w:val="24"/>
          <w:szCs w:val="24"/>
          <w:highlight w:val="none"/>
        </w:rPr>
      </w:pPr>
      <w:r>
        <w:rPr>
          <w:rFonts w:hint="eastAsia" w:ascii="宋体" w:hAnsi="宋体" w:eastAsia="宋体" w:cs="宋体"/>
          <w:bCs/>
          <w:color w:val="auto"/>
          <w:sz w:val="24"/>
          <w:szCs w:val="24"/>
          <w:highlight w:val="none"/>
          <w:lang w:bidi="ar"/>
        </w:rPr>
        <w:t>日</w:t>
      </w:r>
      <w:r>
        <w:rPr>
          <w:rFonts w:hint="eastAsia" w:ascii="宋体" w:hAnsi="宋体" w:eastAsia="宋体"/>
          <w:bCs/>
          <w:color w:val="auto"/>
          <w:sz w:val="24"/>
          <w:szCs w:val="24"/>
          <w:highlight w:val="none"/>
          <w:lang w:bidi="ar"/>
        </w:rPr>
        <w:t xml:space="preserve">          </w:t>
      </w:r>
      <w:r>
        <w:rPr>
          <w:rFonts w:hint="eastAsia" w:ascii="宋体" w:hAnsi="宋体" w:eastAsia="宋体" w:cs="宋体"/>
          <w:bCs/>
          <w:color w:val="auto"/>
          <w:sz w:val="24"/>
          <w:szCs w:val="24"/>
          <w:highlight w:val="none"/>
          <w:lang w:bidi="ar"/>
        </w:rPr>
        <w:t>期：</w:t>
      </w:r>
      <w:r>
        <w:rPr>
          <w:rFonts w:hint="eastAsia" w:ascii="宋体" w:hAnsi="宋体" w:eastAsia="宋体"/>
          <w:bCs/>
          <w:color w:val="auto"/>
          <w:sz w:val="24"/>
          <w:szCs w:val="24"/>
          <w:highlight w:val="none"/>
          <w:u w:val="single"/>
          <w:lang w:bidi="ar"/>
        </w:rPr>
        <w:t xml:space="preserve">             </w:t>
      </w:r>
    </w:p>
    <w:p w14:paraId="136BC939">
      <w:pPr>
        <w:spacing w:line="360" w:lineRule="auto"/>
        <w:jc w:val="center"/>
        <w:outlineLvl w:val="1"/>
        <w:rPr>
          <w:rFonts w:hint="eastAsia" w:asciiTheme="minorEastAsia" w:hAnsiTheme="minorEastAsia" w:eastAsiaTheme="minorEastAsia"/>
          <w:b/>
          <w:color w:val="auto"/>
          <w:sz w:val="24"/>
          <w:highlight w:val="none"/>
        </w:rPr>
      </w:pPr>
    </w:p>
    <w:p w14:paraId="70BD305C">
      <w:pPr>
        <w:spacing w:line="360" w:lineRule="auto"/>
        <w:jc w:val="center"/>
        <w:outlineLvl w:val="1"/>
        <w:rPr>
          <w:rFonts w:hint="eastAsia" w:asciiTheme="minorEastAsia" w:hAnsiTheme="minorEastAsia" w:eastAsiaTheme="minorEastAsia"/>
          <w:b/>
          <w:color w:val="auto"/>
          <w:sz w:val="24"/>
          <w:highlight w:val="none"/>
        </w:rPr>
      </w:pPr>
    </w:p>
    <w:p w14:paraId="76C0A1C5">
      <w:pP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br w:type="page"/>
      </w:r>
    </w:p>
    <w:p w14:paraId="4AFF978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三、商务标格式文件</w:t>
      </w:r>
    </w:p>
    <w:p w14:paraId="2039BA45">
      <w:pPr>
        <w:jc w:val="cente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2CCF98F6">
      <w:pPr>
        <w:rPr>
          <w:rFonts w:hint="eastAsia" w:ascii="黑体" w:hAnsi="宋体" w:eastAsia="黑体" w:cs="黑体"/>
          <w:color w:val="auto"/>
          <w:sz w:val="20"/>
          <w:highlight w:val="none"/>
        </w:rPr>
      </w:pPr>
      <w:r>
        <w:rPr>
          <w:rFonts w:hint="eastAsia" w:ascii="黑体" w:hAnsi="宋体" w:eastAsia="黑体" w:cs="黑体"/>
          <w:color w:val="auto"/>
          <w:sz w:val="20"/>
          <w:highlight w:val="none"/>
          <w:lang w:bidi="ar"/>
        </w:rPr>
        <w:t xml:space="preserve"> </w:t>
      </w:r>
    </w:p>
    <w:p w14:paraId="0F25A9F2">
      <w:pPr>
        <w:jc w:val="center"/>
        <w:rPr>
          <w:rFonts w:hint="eastAsia" w:ascii="宋体" w:hAnsi="宋体" w:eastAsia="宋体" w:cs="宋体"/>
          <w:b/>
          <w:color w:val="auto"/>
          <w:sz w:val="44"/>
          <w:szCs w:val="44"/>
          <w:highlight w:val="none"/>
        </w:rPr>
      </w:pPr>
    </w:p>
    <w:p w14:paraId="1D54DC06">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61CB2FF1">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商务标</w:t>
      </w:r>
    </w:p>
    <w:p w14:paraId="78A328A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（投标文件三）</w:t>
      </w:r>
    </w:p>
    <w:p w14:paraId="3826FE48">
      <w:pPr>
        <w:jc w:val="center"/>
        <w:rPr>
          <w:rFonts w:hint="eastAsia" w:ascii="宋体" w:hAnsi="宋体" w:eastAsia="宋体" w:cs="宋体"/>
          <w:color w:val="auto"/>
          <w:sz w:val="32"/>
          <w:szCs w:val="32"/>
          <w:highlight w:val="none"/>
          <w:u w:val="single"/>
        </w:rPr>
      </w:pPr>
    </w:p>
    <w:p w14:paraId="29E6D09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bidi="ar"/>
        </w:rPr>
        <w:t xml:space="preserve">        </w:t>
      </w:r>
      <w:r>
        <w:rPr>
          <w:rFonts w:hint="eastAsia" w:ascii="宋体" w:hAnsi="宋体" w:eastAsia="宋体" w:cs="宋体"/>
          <w:color w:val="auto"/>
          <w:sz w:val="32"/>
          <w:szCs w:val="32"/>
          <w:highlight w:val="none"/>
          <w:lang w:bidi="ar"/>
        </w:rPr>
        <w:t>项目</w:t>
      </w:r>
    </w:p>
    <w:p w14:paraId="440A6C2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772FE52">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lang w:bidi="ar"/>
        </w:rPr>
        <w:t>项目编号：</w:t>
      </w:r>
      <w:r>
        <w:rPr>
          <w:rFonts w:hint="eastAsia" w:ascii="宋体" w:hAnsi="宋体" w:eastAsia="宋体" w:cs="宋体"/>
          <w:color w:val="auto"/>
          <w:sz w:val="28"/>
          <w:szCs w:val="28"/>
          <w:highlight w:val="none"/>
          <w:u w:val="single"/>
          <w:lang w:bidi="ar"/>
        </w:rPr>
        <w:t xml:space="preserve">     </w:t>
      </w:r>
    </w:p>
    <w:p w14:paraId="78C1023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0904891">
      <w:pPr>
        <w:rPr>
          <w:rFonts w:hint="eastAsia" w:ascii="宋体" w:hAnsi="宋体" w:eastAsia="宋体" w:cs="宋体"/>
          <w:color w:val="auto"/>
          <w:sz w:val="28"/>
          <w:szCs w:val="28"/>
          <w:highlight w:val="none"/>
        </w:rPr>
      </w:pPr>
    </w:p>
    <w:p w14:paraId="625AEFB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3D1D2D9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13F3D22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7A020CE2">
      <w:pPr>
        <w:jc w:val="center"/>
        <w:rPr>
          <w:rFonts w:hint="eastAsia" w:ascii="宋体" w:hAnsi="宋体" w:eastAsia="宋体" w:cs="宋体"/>
          <w:color w:val="auto"/>
          <w:sz w:val="28"/>
          <w:szCs w:val="28"/>
          <w:highlight w:val="none"/>
          <w:lang w:bidi="ar"/>
        </w:rPr>
      </w:pPr>
    </w:p>
    <w:p w14:paraId="3FB0DC0A">
      <w:pPr>
        <w:jc w:val="center"/>
        <w:rPr>
          <w:rFonts w:hint="eastAsia" w:ascii="宋体" w:hAnsi="宋体" w:eastAsia="宋体" w:cs="宋体"/>
          <w:color w:val="auto"/>
          <w:sz w:val="28"/>
          <w:szCs w:val="28"/>
          <w:highlight w:val="none"/>
        </w:rPr>
      </w:pPr>
    </w:p>
    <w:p w14:paraId="32B468C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 </w:t>
      </w:r>
    </w:p>
    <w:p w14:paraId="2F018F54">
      <w:pPr>
        <w:autoSpaceDE w:val="0"/>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bidi="ar"/>
        </w:rPr>
        <w:t>投标人：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EB3A552">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法定代表人：</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（签章）</w:t>
      </w:r>
    </w:p>
    <w:p w14:paraId="2D47DBAB">
      <w:pPr>
        <w:autoSpaceDE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年</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月</w:t>
      </w:r>
      <w:r>
        <w:rPr>
          <w:rFonts w:hint="eastAsia" w:ascii="宋体" w:hAnsi="宋体" w:eastAsia="宋体" w:cs="宋体"/>
          <w:color w:val="auto"/>
          <w:sz w:val="28"/>
          <w:szCs w:val="28"/>
          <w:highlight w:val="none"/>
          <w:u w:val="single"/>
          <w:lang w:bidi="ar"/>
        </w:rPr>
        <w:t xml:space="preserve">        </w:t>
      </w:r>
      <w:r>
        <w:rPr>
          <w:rFonts w:hint="eastAsia" w:ascii="宋体" w:hAnsi="宋体" w:eastAsia="宋体" w:cs="宋体"/>
          <w:color w:val="auto"/>
          <w:sz w:val="28"/>
          <w:szCs w:val="28"/>
          <w:highlight w:val="none"/>
          <w:lang w:bidi="ar"/>
        </w:rPr>
        <w:t>日</w:t>
      </w:r>
    </w:p>
    <w:p w14:paraId="1C56CBEE">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7BB17E09">
      <w:pPr>
        <w:spacing w:line="400" w:lineRule="exact"/>
        <w:ind w:firstLine="3379" w:firstLineChars="935"/>
        <w:jc w:val="left"/>
        <w:rPr>
          <w:rFonts w:hint="eastAsia" w:ascii="宋体" w:hAnsi="宋体" w:eastAsia="宋体" w:cs="宋体"/>
          <w:b/>
          <w:color w:val="auto"/>
          <w:sz w:val="36"/>
          <w:szCs w:val="36"/>
          <w:highlight w:val="none"/>
          <w:lang w:bidi="ar"/>
        </w:rPr>
      </w:pPr>
    </w:p>
    <w:p w14:paraId="67186AA3">
      <w:pPr>
        <w:spacing w:line="400" w:lineRule="exact"/>
        <w:ind w:firstLine="3379" w:firstLineChars="935"/>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258B5C3E">
      <w:pPr>
        <w:spacing w:line="400" w:lineRule="exact"/>
        <w:ind w:firstLine="4130" w:firstLineChars="935"/>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 xml:space="preserve"> </w:t>
      </w:r>
    </w:p>
    <w:p w14:paraId="024AA821">
      <w:pPr>
        <w:spacing w:line="440" w:lineRule="exact"/>
        <w:ind w:left="42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（1）开标一览表（格式见附件）；</w:t>
      </w:r>
    </w:p>
    <w:p w14:paraId="03B1497C">
      <w:pPr>
        <w:spacing w:line="440" w:lineRule="exact"/>
        <w:ind w:left="42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（2）投标函（格式见附件）；</w:t>
      </w:r>
    </w:p>
    <w:p w14:paraId="579B057D">
      <w:pPr>
        <w:spacing w:line="440" w:lineRule="exact"/>
        <w:ind w:left="42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投标分项报价表（格式见附件）；</w:t>
      </w:r>
    </w:p>
    <w:p w14:paraId="42EE02C6">
      <w:pPr>
        <w:spacing w:line="440" w:lineRule="exact"/>
        <w:ind w:left="42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）招标文件商务评审中要求提供的其他相关资料；</w:t>
      </w:r>
    </w:p>
    <w:p w14:paraId="6BD0F970">
      <w:pPr>
        <w:spacing w:line="440" w:lineRule="exact"/>
        <w:ind w:left="42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）投标人认为需要提供的其他材料。</w:t>
      </w:r>
    </w:p>
    <w:p w14:paraId="40EAF82A">
      <w:pPr>
        <w:spacing w:line="360" w:lineRule="auto"/>
        <w:jc w:val="center"/>
        <w:outlineLvl w:val="1"/>
        <w:rPr>
          <w:rFonts w:hint="eastAsia" w:asciiTheme="minorEastAsia" w:hAnsiTheme="minorEastAsia" w:eastAsiaTheme="minorEastAsia"/>
          <w:b/>
          <w:color w:val="auto"/>
          <w:sz w:val="24"/>
          <w:highlight w:val="none"/>
        </w:rPr>
      </w:pPr>
    </w:p>
    <w:p w14:paraId="2A11C02C">
      <w:pPr>
        <w:spacing w:line="360" w:lineRule="auto"/>
        <w:ind w:firstLine="482" w:firstLineChars="200"/>
        <w:rPr>
          <w:rFonts w:hint="eastAsia" w:ascii="宋体" w:hAnsi="宋体" w:eastAsia="宋体" w:cs="宋体"/>
          <w:color w:val="auto"/>
          <w:szCs w:val="21"/>
          <w:highlight w:val="none"/>
        </w:rPr>
      </w:pPr>
      <w:r>
        <w:rPr>
          <w:rFonts w:hint="eastAsia" w:asciiTheme="minorEastAsia" w:hAnsiTheme="minorEastAsia" w:eastAsiaTheme="minorEastAsia"/>
          <w:b/>
          <w:color w:val="auto"/>
          <w:sz w:val="24"/>
          <w:highlight w:val="none"/>
        </w:rPr>
        <w:br w:type="page"/>
      </w:r>
    </w:p>
    <w:p w14:paraId="638D926F">
      <w:pPr>
        <w:rPr>
          <w:rFonts w:hint="eastAsia" w:asciiTheme="minorEastAsia" w:hAnsiTheme="minorEastAsia" w:eastAsiaTheme="minorEastAsia"/>
          <w:b/>
          <w:color w:val="auto"/>
          <w:sz w:val="24"/>
          <w:highlight w:val="none"/>
        </w:rPr>
      </w:pPr>
    </w:p>
    <w:p w14:paraId="16F154B2">
      <w:pPr>
        <w:spacing w:line="360" w:lineRule="auto"/>
        <w:jc w:val="center"/>
        <w:outlineLvl w:val="1"/>
        <w:rPr>
          <w:rFonts w:hint="eastAsia" w:asciiTheme="minorEastAsia" w:hAnsiTheme="minorEastAsia" w:eastAsiaTheme="minorEastAsia"/>
          <w:b/>
          <w:color w:val="auto"/>
          <w:sz w:val="24"/>
          <w:highlight w:val="none"/>
        </w:rPr>
      </w:pPr>
      <w:bookmarkStart w:id="249" w:name="_Toc15344"/>
      <w:r>
        <w:rPr>
          <w:rFonts w:hint="eastAsia" w:asciiTheme="minorEastAsia" w:hAnsiTheme="minorEastAsia" w:eastAsiaTheme="minorEastAsia"/>
          <w:b/>
          <w:color w:val="auto"/>
          <w:sz w:val="24"/>
          <w:highlight w:val="none"/>
        </w:rPr>
        <w:t>（1）开标一览表</w:t>
      </w:r>
      <w:bookmarkEnd w:id="240"/>
      <w:bookmarkEnd w:id="241"/>
      <w:bookmarkEnd w:id="249"/>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6461"/>
      </w:tblGrid>
      <w:tr w14:paraId="5870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352" w:type="pct"/>
            <w:tcBorders>
              <w:top w:val="single" w:color="auto" w:sz="4" w:space="0"/>
              <w:bottom w:val="single" w:color="auto" w:sz="4" w:space="0"/>
              <w:right w:val="single" w:color="auto" w:sz="4" w:space="0"/>
            </w:tcBorders>
            <w:vAlign w:val="center"/>
          </w:tcPr>
          <w:p w14:paraId="007F0598">
            <w:pPr>
              <w:widowControl/>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42C00FC5">
            <w:pPr>
              <w:spacing w:line="360" w:lineRule="exact"/>
              <w:jc w:val="center"/>
              <w:rPr>
                <w:rFonts w:hint="eastAsia" w:asciiTheme="minorEastAsia" w:hAnsiTheme="minorEastAsia" w:eastAsiaTheme="minorEastAsia"/>
                <w:bCs/>
                <w:color w:val="auto"/>
                <w:sz w:val="24"/>
                <w:highlight w:val="none"/>
                <w:u w:val="single"/>
              </w:rPr>
            </w:pPr>
          </w:p>
        </w:tc>
      </w:tr>
      <w:tr w14:paraId="07E0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352" w:type="pct"/>
            <w:tcBorders>
              <w:top w:val="nil"/>
            </w:tcBorders>
            <w:vAlign w:val="center"/>
          </w:tcPr>
          <w:p w14:paraId="203ED44A">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3648" w:type="pct"/>
            <w:tcBorders>
              <w:top w:val="nil"/>
            </w:tcBorders>
            <w:vAlign w:val="center"/>
          </w:tcPr>
          <w:p w14:paraId="04FEEA4B">
            <w:pPr>
              <w:spacing w:line="360" w:lineRule="auto"/>
              <w:rPr>
                <w:rFonts w:hint="eastAsia" w:asciiTheme="minorEastAsia" w:hAnsiTheme="minorEastAsia" w:eastAsiaTheme="minorEastAsia"/>
                <w:color w:val="auto"/>
                <w:sz w:val="24"/>
                <w:highlight w:val="none"/>
              </w:rPr>
            </w:pPr>
          </w:p>
        </w:tc>
      </w:tr>
      <w:tr w14:paraId="5FCF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352" w:type="pct"/>
            <w:tcBorders>
              <w:top w:val="nil"/>
            </w:tcBorders>
            <w:vAlign w:val="center"/>
          </w:tcPr>
          <w:p w14:paraId="289CECB8">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6461" w:type="dxa"/>
            <w:tcBorders>
              <w:top w:val="nil"/>
            </w:tcBorders>
            <w:vAlign w:val="center"/>
          </w:tcPr>
          <w:p w14:paraId="0ABEC06C">
            <w:pPr>
              <w:keepNext w:val="0"/>
              <w:keepLines w:val="0"/>
              <w:widowControl/>
              <w:suppressLineNumbers w:val="0"/>
              <w:autoSpaceDE w:val="0"/>
              <w:autoSpaceDN/>
              <w:spacing w:before="0" w:beforeAutospacing="0" w:after="0" w:afterAutospacing="0" w:line="360" w:lineRule="auto"/>
              <w:ind w:left="0" w:leftChars="0" w:right="0" w:rightChars="0"/>
              <w:jc w:val="both"/>
              <w:rPr>
                <w:rFonts w:hint="eastAsia" w:asciiTheme="minorEastAsia" w:hAnsiTheme="minorEastAsia" w:eastAsiaTheme="minorEastAsia"/>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全部</w:t>
            </w:r>
          </w:p>
        </w:tc>
      </w:tr>
      <w:tr w14:paraId="7D4F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1352" w:type="pct"/>
            <w:tcBorders>
              <w:top w:val="nil"/>
            </w:tcBorders>
            <w:vAlign w:val="center"/>
          </w:tcPr>
          <w:p w14:paraId="6C0E703F">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6461" w:type="dxa"/>
            <w:tcBorders>
              <w:top w:val="nil"/>
            </w:tcBorders>
            <w:vAlign w:val="center"/>
          </w:tcPr>
          <w:p w14:paraId="71FA6E12">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大写：</w:t>
            </w:r>
            <w:r>
              <w:rPr>
                <w:rFonts w:hint="eastAsia" w:ascii="宋体" w:hAnsi="宋体" w:eastAsia="宋体" w:cs="宋体"/>
                <w:bCs/>
                <w:color w:val="auto"/>
                <w:kern w:val="2"/>
                <w:sz w:val="24"/>
                <w:szCs w:val="24"/>
                <w:highlight w:val="none"/>
                <w:u w:val="single"/>
                <w:lang w:val="en-US" w:eastAsia="zh-CN" w:bidi="ar"/>
              </w:rPr>
              <w:t xml:space="preserve">                     </w:t>
            </w:r>
          </w:p>
          <w:p w14:paraId="2B257E43">
            <w:pPr>
              <w:keepNext w:val="0"/>
              <w:keepLines w:val="0"/>
              <w:widowControl w:val="0"/>
              <w:suppressLineNumbers w:val="0"/>
              <w:autoSpaceDE w:val="0"/>
              <w:autoSpaceDN/>
              <w:spacing w:before="0" w:beforeAutospacing="0" w:after="0" w:afterAutospacing="0" w:line="360" w:lineRule="auto"/>
              <w:ind w:left="0" w:leftChars="0" w:right="-670" w:rightChars="0"/>
              <w:jc w:val="both"/>
              <w:rPr>
                <w:rFonts w:hint="default" w:eastAsia="宋体"/>
                <w:color w:val="auto"/>
                <w:highlight w:val="none"/>
                <w:lang w:val="en-US" w:eastAsia="zh-CN"/>
              </w:rPr>
            </w:pPr>
            <w:r>
              <w:rPr>
                <w:rFonts w:hint="eastAsia" w:ascii="宋体" w:hAnsi="宋体" w:eastAsia="宋体" w:cs="宋体"/>
                <w:bCs/>
                <w:color w:val="auto"/>
                <w:kern w:val="2"/>
                <w:sz w:val="24"/>
                <w:szCs w:val="24"/>
                <w:highlight w:val="none"/>
                <w:lang w:val="en-US" w:eastAsia="zh-CN" w:bidi="ar"/>
              </w:rPr>
              <w:t>小写：</w:t>
            </w:r>
            <w:r>
              <w:rPr>
                <w:rFonts w:hint="eastAsia" w:ascii="宋体" w:hAnsi="宋体" w:eastAsia="宋体" w:cs="宋体"/>
                <w:bCs/>
                <w:color w:val="auto"/>
                <w:kern w:val="2"/>
                <w:sz w:val="24"/>
                <w:szCs w:val="24"/>
                <w:highlight w:val="none"/>
                <w:u w:val="single"/>
                <w:lang w:val="en-US" w:eastAsia="zh-CN" w:bidi="ar"/>
              </w:rPr>
              <w:t xml:space="preserve">                     </w:t>
            </w:r>
          </w:p>
        </w:tc>
      </w:tr>
      <w:tr w14:paraId="518D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7" w:hRule="atLeast"/>
          <w:jc w:val="center"/>
        </w:trPr>
        <w:tc>
          <w:tcPr>
            <w:tcW w:w="1352" w:type="pct"/>
            <w:tcBorders>
              <w:top w:val="nil"/>
            </w:tcBorders>
            <w:vAlign w:val="center"/>
          </w:tcPr>
          <w:p w14:paraId="1F5DDA5F">
            <w:pPr>
              <w:spacing w:line="360" w:lineRule="auto"/>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3648" w:type="pct"/>
            <w:tcBorders>
              <w:top w:val="nil"/>
            </w:tcBorders>
            <w:vAlign w:val="center"/>
          </w:tcPr>
          <w:p w14:paraId="4D3E2630">
            <w:pPr>
              <w:spacing w:line="360" w:lineRule="auto"/>
              <w:jc w:val="left"/>
              <w:rPr>
                <w:rFonts w:hint="eastAsia" w:asciiTheme="minorEastAsia" w:hAnsiTheme="minorEastAsia" w:eastAsiaTheme="minorEastAsia"/>
                <w:color w:val="auto"/>
                <w:sz w:val="24"/>
                <w:szCs w:val="28"/>
                <w:highlight w:val="none"/>
                <w:lang w:val="en-US" w:eastAsia="zh-CN"/>
              </w:rPr>
            </w:pPr>
          </w:p>
        </w:tc>
      </w:tr>
    </w:tbl>
    <w:p w14:paraId="1315E922">
      <w:pPr>
        <w:spacing w:line="360" w:lineRule="auto"/>
        <w:ind w:firstLine="4800" w:firstLineChars="2000"/>
        <w:rPr>
          <w:rFonts w:hint="eastAsia" w:ascii="宋体" w:hAnsi="宋体" w:eastAsia="宋体"/>
          <w:color w:val="auto"/>
          <w:sz w:val="24"/>
          <w:highlight w:val="none"/>
        </w:rPr>
      </w:pPr>
    </w:p>
    <w:p w14:paraId="00220DA3">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134B4BC">
      <w:pPr>
        <w:tabs>
          <w:tab w:val="left" w:pos="630"/>
        </w:tabs>
        <w:spacing w:line="360" w:lineRule="auto"/>
        <w:ind w:firstLine="4800" w:firstLineChars="2000"/>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592EE89">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09F9925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695EA2D7">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26008F8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3.表中大写金额与小写金额不一致的，以大写金额为准。</w:t>
      </w:r>
      <w:r>
        <w:rPr>
          <w:rFonts w:asciiTheme="minorEastAsia" w:hAnsiTheme="minorEastAsia" w:eastAsiaTheme="minorEastAsia"/>
          <w:color w:val="auto"/>
          <w:sz w:val="24"/>
          <w:highlight w:val="none"/>
        </w:rPr>
        <w:br w:type="page"/>
      </w:r>
    </w:p>
    <w:p w14:paraId="5E818C99">
      <w:pPr>
        <w:spacing w:line="360" w:lineRule="auto"/>
        <w:jc w:val="center"/>
        <w:outlineLvl w:val="1"/>
        <w:rPr>
          <w:rFonts w:hint="eastAsia" w:asciiTheme="minorEastAsia" w:hAnsiTheme="minorEastAsia" w:eastAsiaTheme="minorEastAsia"/>
          <w:b/>
          <w:color w:val="auto"/>
          <w:sz w:val="24"/>
          <w:highlight w:val="none"/>
        </w:rPr>
      </w:pPr>
      <w:bookmarkStart w:id="250" w:name="_Toc24326"/>
      <w:bookmarkStart w:id="251" w:name="_Toc6441"/>
      <w:bookmarkStart w:id="252" w:name="_Toc6120"/>
      <w:r>
        <w:rPr>
          <w:rFonts w:hint="eastAsia" w:asciiTheme="minorEastAsia" w:hAnsiTheme="minorEastAsia" w:eastAsiaTheme="minorEastAsia"/>
          <w:b/>
          <w:color w:val="auto"/>
          <w:sz w:val="24"/>
          <w:highlight w:val="none"/>
        </w:rPr>
        <w:t>（2）投标函</w:t>
      </w:r>
      <w:bookmarkEnd w:id="250"/>
      <w:bookmarkEnd w:id="251"/>
      <w:bookmarkEnd w:id="252"/>
    </w:p>
    <w:p w14:paraId="5AA63509">
      <w:pPr>
        <w:pStyle w:val="23"/>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093D83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71FC9A3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38BE20B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2.我方已详细审核全部招标文件，包括招标文件附件及更正公告（如有），我方正式认可并遵守本次招标文件，并对招标文件各项条款、规定及要求均无异议。</w:t>
      </w:r>
    </w:p>
    <w:p w14:paraId="34369D4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3.我方同意从招标文件规定的开标日期起遵循本招标文件，并在招标文件规定的投标有效期之前均具有约束力。</w:t>
      </w:r>
    </w:p>
    <w:p w14:paraId="71987DE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A9502A3">
      <w:pPr>
        <w:spacing w:line="360" w:lineRule="auto"/>
        <w:ind w:firstLine="4800" w:firstLineChars="2000"/>
        <w:rPr>
          <w:rFonts w:hint="eastAsia" w:ascii="宋体" w:hAnsi="宋体" w:eastAsia="宋体"/>
          <w:color w:val="auto"/>
          <w:sz w:val="24"/>
          <w:highlight w:val="none"/>
        </w:rPr>
      </w:pPr>
    </w:p>
    <w:p w14:paraId="562D4110">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1D9A1ED1">
      <w:pPr>
        <w:spacing w:line="360" w:lineRule="auto"/>
        <w:jc w:val="center"/>
        <w:outlineLvl w:val="1"/>
        <w:rPr>
          <w:rFonts w:hint="eastAsia" w:asciiTheme="minorEastAsia" w:hAnsiTheme="minorEastAsia" w:eastAsiaTheme="minorEastAsia"/>
          <w:b/>
          <w:color w:val="auto"/>
          <w:sz w:val="24"/>
          <w:highlight w:val="none"/>
        </w:rPr>
      </w:pPr>
    </w:p>
    <w:p w14:paraId="72C228B7">
      <w:pPr>
        <w:spacing w:line="360" w:lineRule="auto"/>
        <w:ind w:firstLine="4269" w:firstLineChars="1772"/>
        <w:rPr>
          <w:rFonts w:hint="eastAsia" w:ascii="宋体" w:hAnsi="宋体" w:eastAsia="宋体"/>
          <w:color w:val="auto"/>
          <w:sz w:val="24"/>
          <w:szCs w:val="24"/>
          <w:highlight w:val="none"/>
          <w:u w:val="single"/>
        </w:rPr>
      </w:pPr>
      <w:r>
        <w:rPr>
          <w:rFonts w:hint="eastAsia" w:asciiTheme="minorEastAsia" w:hAnsiTheme="minorEastAsia" w:eastAsiaTheme="minorEastAsia"/>
          <w:b/>
          <w:color w:val="auto"/>
          <w:sz w:val="24"/>
          <w:highlight w:val="none"/>
        </w:rPr>
        <w:br w:type="page"/>
      </w:r>
    </w:p>
    <w:p w14:paraId="01235940">
      <w:pPr>
        <w:spacing w:line="360" w:lineRule="auto"/>
        <w:jc w:val="center"/>
        <w:outlineLvl w:val="1"/>
        <w:rPr>
          <w:rFonts w:hint="eastAsia" w:asciiTheme="minorEastAsia" w:hAnsiTheme="minorEastAsia" w:eastAsiaTheme="minorEastAsia"/>
          <w:b/>
          <w:color w:val="auto"/>
          <w:sz w:val="24"/>
          <w:highlight w:val="none"/>
        </w:rPr>
      </w:pPr>
    </w:p>
    <w:p w14:paraId="407F449D">
      <w:pPr>
        <w:spacing w:line="360" w:lineRule="auto"/>
        <w:jc w:val="center"/>
        <w:outlineLvl w:val="1"/>
        <w:rPr>
          <w:rFonts w:hint="eastAsia" w:asciiTheme="minorEastAsia" w:hAnsiTheme="minorEastAsia" w:eastAsiaTheme="minorEastAsia"/>
          <w:b/>
          <w:color w:val="auto"/>
          <w:sz w:val="24"/>
          <w:highlight w:val="none"/>
        </w:rPr>
      </w:pPr>
      <w:bookmarkStart w:id="253" w:name="_Toc32226"/>
      <w:bookmarkStart w:id="254" w:name="_Toc31027"/>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rPr>
        <w:t>投标分项报价表</w:t>
      </w:r>
      <w:bookmarkEnd w:id="253"/>
      <w:bookmarkEnd w:id="254"/>
    </w:p>
    <w:p w14:paraId="74E251E8">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（仅供参考，投标人可自行制作格式）</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231"/>
        <w:gridCol w:w="1410"/>
        <w:gridCol w:w="1764"/>
        <w:gridCol w:w="1630"/>
      </w:tblGrid>
      <w:tr w14:paraId="0593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544F306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1824" w:type="pct"/>
            <w:vAlign w:val="center"/>
          </w:tcPr>
          <w:p w14:paraId="6B94CA75">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服务内容</w:t>
            </w:r>
          </w:p>
        </w:tc>
        <w:tc>
          <w:tcPr>
            <w:tcW w:w="796" w:type="pct"/>
            <w:vAlign w:val="center"/>
          </w:tcPr>
          <w:p w14:paraId="479BA2B1">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w:t>
            </w:r>
          </w:p>
        </w:tc>
        <w:tc>
          <w:tcPr>
            <w:tcW w:w="995" w:type="pct"/>
            <w:vAlign w:val="center"/>
          </w:tcPr>
          <w:p w14:paraId="0DEBE142">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tc>
        <w:tc>
          <w:tcPr>
            <w:tcW w:w="920" w:type="pct"/>
            <w:vAlign w:val="center"/>
          </w:tcPr>
          <w:p w14:paraId="45ABC93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小计金额（元）</w:t>
            </w:r>
          </w:p>
        </w:tc>
      </w:tr>
      <w:tr w14:paraId="5C60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CD4BB8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824" w:type="pct"/>
            <w:vAlign w:val="center"/>
          </w:tcPr>
          <w:p w14:paraId="1A4B582F">
            <w:pPr>
              <w:jc w:val="center"/>
              <w:rPr>
                <w:rFonts w:asciiTheme="minorEastAsia" w:hAnsiTheme="minorEastAsia" w:eastAsiaTheme="minorEastAsia"/>
                <w:color w:val="auto"/>
                <w:sz w:val="24"/>
                <w:highlight w:val="none"/>
              </w:rPr>
            </w:pPr>
          </w:p>
        </w:tc>
        <w:tc>
          <w:tcPr>
            <w:tcW w:w="796" w:type="pct"/>
            <w:vAlign w:val="center"/>
          </w:tcPr>
          <w:p w14:paraId="7902AC11">
            <w:pPr>
              <w:jc w:val="center"/>
              <w:rPr>
                <w:rFonts w:asciiTheme="minorEastAsia" w:hAnsiTheme="minorEastAsia" w:eastAsiaTheme="minorEastAsia"/>
                <w:color w:val="auto"/>
                <w:sz w:val="24"/>
                <w:highlight w:val="none"/>
              </w:rPr>
            </w:pPr>
          </w:p>
        </w:tc>
        <w:tc>
          <w:tcPr>
            <w:tcW w:w="995" w:type="pct"/>
            <w:vAlign w:val="center"/>
          </w:tcPr>
          <w:p w14:paraId="52560BF5">
            <w:pPr>
              <w:jc w:val="center"/>
              <w:rPr>
                <w:rFonts w:asciiTheme="minorEastAsia" w:hAnsiTheme="minorEastAsia" w:eastAsiaTheme="minorEastAsia"/>
                <w:color w:val="auto"/>
                <w:sz w:val="24"/>
                <w:highlight w:val="none"/>
              </w:rPr>
            </w:pPr>
          </w:p>
        </w:tc>
        <w:tc>
          <w:tcPr>
            <w:tcW w:w="920" w:type="pct"/>
            <w:vAlign w:val="center"/>
          </w:tcPr>
          <w:p w14:paraId="14ED0000">
            <w:pPr>
              <w:jc w:val="center"/>
              <w:rPr>
                <w:rFonts w:asciiTheme="minorEastAsia" w:hAnsiTheme="minorEastAsia" w:eastAsiaTheme="minorEastAsia"/>
                <w:color w:val="auto"/>
                <w:sz w:val="24"/>
                <w:highlight w:val="none"/>
              </w:rPr>
            </w:pPr>
          </w:p>
        </w:tc>
      </w:tr>
      <w:tr w14:paraId="363A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BF7807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824" w:type="pct"/>
            <w:vAlign w:val="center"/>
          </w:tcPr>
          <w:p w14:paraId="53233747">
            <w:pPr>
              <w:jc w:val="center"/>
              <w:rPr>
                <w:rFonts w:asciiTheme="minorEastAsia" w:hAnsiTheme="minorEastAsia" w:eastAsiaTheme="minorEastAsia"/>
                <w:color w:val="auto"/>
                <w:sz w:val="24"/>
                <w:highlight w:val="none"/>
              </w:rPr>
            </w:pPr>
          </w:p>
        </w:tc>
        <w:tc>
          <w:tcPr>
            <w:tcW w:w="796" w:type="pct"/>
            <w:vAlign w:val="center"/>
          </w:tcPr>
          <w:p w14:paraId="3C0F0DC6">
            <w:pPr>
              <w:jc w:val="center"/>
              <w:rPr>
                <w:rFonts w:asciiTheme="minorEastAsia" w:hAnsiTheme="minorEastAsia" w:eastAsiaTheme="minorEastAsia"/>
                <w:color w:val="auto"/>
                <w:sz w:val="24"/>
                <w:highlight w:val="none"/>
              </w:rPr>
            </w:pPr>
          </w:p>
        </w:tc>
        <w:tc>
          <w:tcPr>
            <w:tcW w:w="995" w:type="pct"/>
            <w:vAlign w:val="center"/>
          </w:tcPr>
          <w:p w14:paraId="6AC44545">
            <w:pPr>
              <w:jc w:val="center"/>
              <w:rPr>
                <w:rFonts w:asciiTheme="minorEastAsia" w:hAnsiTheme="minorEastAsia" w:eastAsiaTheme="minorEastAsia"/>
                <w:color w:val="auto"/>
                <w:sz w:val="24"/>
                <w:highlight w:val="none"/>
              </w:rPr>
            </w:pPr>
          </w:p>
        </w:tc>
        <w:tc>
          <w:tcPr>
            <w:tcW w:w="920" w:type="pct"/>
            <w:vAlign w:val="center"/>
          </w:tcPr>
          <w:p w14:paraId="711885E5">
            <w:pPr>
              <w:jc w:val="center"/>
              <w:rPr>
                <w:rFonts w:asciiTheme="minorEastAsia" w:hAnsiTheme="minorEastAsia" w:eastAsiaTheme="minorEastAsia"/>
                <w:color w:val="auto"/>
                <w:sz w:val="24"/>
                <w:highlight w:val="none"/>
              </w:rPr>
            </w:pPr>
          </w:p>
        </w:tc>
      </w:tr>
      <w:tr w14:paraId="4D9B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736BA3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824" w:type="pct"/>
            <w:vAlign w:val="center"/>
          </w:tcPr>
          <w:p w14:paraId="412FC86C">
            <w:pPr>
              <w:jc w:val="center"/>
              <w:rPr>
                <w:rFonts w:asciiTheme="minorEastAsia" w:hAnsiTheme="minorEastAsia" w:eastAsiaTheme="minorEastAsia"/>
                <w:color w:val="auto"/>
                <w:sz w:val="24"/>
                <w:highlight w:val="none"/>
              </w:rPr>
            </w:pPr>
          </w:p>
        </w:tc>
        <w:tc>
          <w:tcPr>
            <w:tcW w:w="796" w:type="pct"/>
            <w:vAlign w:val="center"/>
          </w:tcPr>
          <w:p w14:paraId="6F93AC08">
            <w:pPr>
              <w:jc w:val="center"/>
              <w:rPr>
                <w:rFonts w:asciiTheme="minorEastAsia" w:hAnsiTheme="minorEastAsia" w:eastAsiaTheme="minorEastAsia"/>
                <w:color w:val="auto"/>
                <w:sz w:val="24"/>
                <w:highlight w:val="none"/>
              </w:rPr>
            </w:pPr>
          </w:p>
        </w:tc>
        <w:tc>
          <w:tcPr>
            <w:tcW w:w="995" w:type="pct"/>
            <w:vAlign w:val="center"/>
          </w:tcPr>
          <w:p w14:paraId="78877B1C">
            <w:pPr>
              <w:jc w:val="center"/>
              <w:rPr>
                <w:rFonts w:asciiTheme="minorEastAsia" w:hAnsiTheme="minorEastAsia" w:eastAsiaTheme="minorEastAsia"/>
                <w:color w:val="auto"/>
                <w:sz w:val="24"/>
                <w:highlight w:val="none"/>
              </w:rPr>
            </w:pPr>
          </w:p>
        </w:tc>
        <w:tc>
          <w:tcPr>
            <w:tcW w:w="920" w:type="pct"/>
            <w:vAlign w:val="center"/>
          </w:tcPr>
          <w:p w14:paraId="158B4739">
            <w:pPr>
              <w:jc w:val="center"/>
              <w:rPr>
                <w:rFonts w:asciiTheme="minorEastAsia" w:hAnsiTheme="minorEastAsia" w:eastAsiaTheme="minorEastAsia"/>
                <w:color w:val="auto"/>
                <w:sz w:val="24"/>
                <w:highlight w:val="none"/>
              </w:rPr>
            </w:pPr>
          </w:p>
        </w:tc>
      </w:tr>
      <w:tr w14:paraId="410E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9B5A016">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824" w:type="pct"/>
            <w:vAlign w:val="center"/>
          </w:tcPr>
          <w:p w14:paraId="3AF55E29">
            <w:pPr>
              <w:jc w:val="center"/>
              <w:rPr>
                <w:rFonts w:asciiTheme="minorEastAsia" w:hAnsiTheme="minorEastAsia" w:eastAsiaTheme="minorEastAsia"/>
                <w:color w:val="auto"/>
                <w:sz w:val="24"/>
                <w:highlight w:val="none"/>
              </w:rPr>
            </w:pPr>
          </w:p>
        </w:tc>
        <w:tc>
          <w:tcPr>
            <w:tcW w:w="796" w:type="pct"/>
            <w:vAlign w:val="center"/>
          </w:tcPr>
          <w:p w14:paraId="284B5DC3">
            <w:pPr>
              <w:jc w:val="center"/>
              <w:rPr>
                <w:rFonts w:asciiTheme="minorEastAsia" w:hAnsiTheme="minorEastAsia" w:eastAsiaTheme="minorEastAsia"/>
                <w:color w:val="auto"/>
                <w:sz w:val="24"/>
                <w:highlight w:val="none"/>
              </w:rPr>
            </w:pPr>
          </w:p>
        </w:tc>
        <w:tc>
          <w:tcPr>
            <w:tcW w:w="995" w:type="pct"/>
            <w:vAlign w:val="center"/>
          </w:tcPr>
          <w:p w14:paraId="4C6FCBB5">
            <w:pPr>
              <w:jc w:val="center"/>
              <w:rPr>
                <w:rFonts w:asciiTheme="minorEastAsia" w:hAnsiTheme="minorEastAsia" w:eastAsiaTheme="minorEastAsia"/>
                <w:color w:val="auto"/>
                <w:sz w:val="24"/>
                <w:highlight w:val="none"/>
              </w:rPr>
            </w:pPr>
          </w:p>
        </w:tc>
        <w:tc>
          <w:tcPr>
            <w:tcW w:w="920" w:type="pct"/>
            <w:vAlign w:val="center"/>
          </w:tcPr>
          <w:p w14:paraId="39673CFE">
            <w:pPr>
              <w:jc w:val="center"/>
              <w:rPr>
                <w:rFonts w:asciiTheme="minorEastAsia" w:hAnsiTheme="minorEastAsia" w:eastAsiaTheme="minorEastAsia"/>
                <w:color w:val="auto"/>
                <w:sz w:val="24"/>
                <w:highlight w:val="none"/>
              </w:rPr>
            </w:pPr>
          </w:p>
        </w:tc>
      </w:tr>
      <w:tr w14:paraId="0BB2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CB20FDC">
            <w:pPr>
              <w:jc w:val="center"/>
              <w:rPr>
                <w:rFonts w:asciiTheme="minorEastAsia" w:hAnsiTheme="minorEastAsia" w:eastAsiaTheme="minorEastAsia"/>
                <w:color w:val="auto"/>
                <w:sz w:val="24"/>
                <w:highlight w:val="none"/>
              </w:rPr>
            </w:pPr>
          </w:p>
        </w:tc>
        <w:tc>
          <w:tcPr>
            <w:tcW w:w="1824" w:type="pct"/>
            <w:vAlign w:val="center"/>
          </w:tcPr>
          <w:p w14:paraId="0FA8603E">
            <w:pPr>
              <w:pStyle w:val="68"/>
              <w:ind w:left="-108"/>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96" w:type="pct"/>
            <w:vAlign w:val="center"/>
          </w:tcPr>
          <w:p w14:paraId="08EFB719">
            <w:pPr>
              <w:jc w:val="center"/>
              <w:rPr>
                <w:rFonts w:asciiTheme="minorEastAsia" w:hAnsiTheme="minorEastAsia" w:eastAsiaTheme="minorEastAsia"/>
                <w:color w:val="auto"/>
                <w:sz w:val="24"/>
                <w:highlight w:val="none"/>
              </w:rPr>
            </w:pPr>
          </w:p>
        </w:tc>
        <w:tc>
          <w:tcPr>
            <w:tcW w:w="995" w:type="pct"/>
            <w:vAlign w:val="center"/>
          </w:tcPr>
          <w:p w14:paraId="1F6F46D2">
            <w:pPr>
              <w:jc w:val="center"/>
              <w:rPr>
                <w:rFonts w:asciiTheme="minorEastAsia" w:hAnsiTheme="minorEastAsia" w:eastAsiaTheme="minorEastAsia"/>
                <w:color w:val="auto"/>
                <w:sz w:val="24"/>
                <w:highlight w:val="none"/>
              </w:rPr>
            </w:pPr>
          </w:p>
        </w:tc>
        <w:tc>
          <w:tcPr>
            <w:tcW w:w="920" w:type="pct"/>
            <w:vAlign w:val="center"/>
          </w:tcPr>
          <w:p w14:paraId="6EBA06EE">
            <w:pPr>
              <w:jc w:val="center"/>
              <w:rPr>
                <w:rFonts w:asciiTheme="minorEastAsia" w:hAnsiTheme="minorEastAsia" w:eastAsiaTheme="minorEastAsia"/>
                <w:color w:val="auto"/>
                <w:sz w:val="24"/>
                <w:highlight w:val="none"/>
              </w:rPr>
            </w:pPr>
          </w:p>
        </w:tc>
      </w:tr>
      <w:tr w14:paraId="0F8F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5F0B60E">
            <w:pPr>
              <w:jc w:val="center"/>
              <w:rPr>
                <w:rFonts w:asciiTheme="minorEastAsia" w:hAnsiTheme="minorEastAsia" w:eastAsiaTheme="minorEastAsia"/>
                <w:color w:val="auto"/>
                <w:sz w:val="24"/>
                <w:highlight w:val="none"/>
              </w:rPr>
            </w:pPr>
          </w:p>
        </w:tc>
        <w:tc>
          <w:tcPr>
            <w:tcW w:w="1824" w:type="pct"/>
            <w:vAlign w:val="center"/>
          </w:tcPr>
          <w:p w14:paraId="23947674">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796" w:type="pct"/>
            <w:vAlign w:val="center"/>
          </w:tcPr>
          <w:p w14:paraId="54153C97">
            <w:pPr>
              <w:jc w:val="center"/>
              <w:rPr>
                <w:rFonts w:asciiTheme="minorEastAsia" w:hAnsiTheme="minorEastAsia" w:eastAsiaTheme="minorEastAsia"/>
                <w:color w:val="auto"/>
                <w:sz w:val="24"/>
                <w:highlight w:val="none"/>
              </w:rPr>
            </w:pPr>
          </w:p>
        </w:tc>
        <w:tc>
          <w:tcPr>
            <w:tcW w:w="995" w:type="pct"/>
            <w:vAlign w:val="center"/>
          </w:tcPr>
          <w:p w14:paraId="67BFBD3A">
            <w:pPr>
              <w:jc w:val="center"/>
              <w:rPr>
                <w:rFonts w:asciiTheme="minorEastAsia" w:hAnsiTheme="minorEastAsia" w:eastAsiaTheme="minorEastAsia"/>
                <w:color w:val="auto"/>
                <w:sz w:val="24"/>
                <w:highlight w:val="none"/>
              </w:rPr>
            </w:pPr>
          </w:p>
        </w:tc>
        <w:tc>
          <w:tcPr>
            <w:tcW w:w="920" w:type="pct"/>
            <w:vAlign w:val="center"/>
          </w:tcPr>
          <w:p w14:paraId="60F20E26">
            <w:pPr>
              <w:jc w:val="center"/>
              <w:rPr>
                <w:rFonts w:asciiTheme="minorEastAsia" w:hAnsiTheme="minorEastAsia" w:eastAsiaTheme="minorEastAsia"/>
                <w:color w:val="auto"/>
                <w:sz w:val="24"/>
                <w:highlight w:val="none"/>
              </w:rPr>
            </w:pPr>
          </w:p>
        </w:tc>
      </w:tr>
      <w:tr w14:paraId="363E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65CBC255">
            <w:pPr>
              <w:jc w:val="center"/>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合计金额（元）</w:t>
            </w:r>
          </w:p>
        </w:tc>
        <w:tc>
          <w:tcPr>
            <w:tcW w:w="920" w:type="pct"/>
            <w:vAlign w:val="center"/>
          </w:tcPr>
          <w:p w14:paraId="08E84CC6">
            <w:pPr>
              <w:jc w:val="center"/>
              <w:rPr>
                <w:rFonts w:asciiTheme="minorEastAsia" w:hAnsiTheme="minorEastAsia" w:eastAsiaTheme="minorEastAsia"/>
                <w:color w:val="auto"/>
                <w:sz w:val="24"/>
                <w:highlight w:val="none"/>
              </w:rPr>
            </w:pPr>
          </w:p>
        </w:tc>
      </w:tr>
    </w:tbl>
    <w:p w14:paraId="4A61F0C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8502A05">
      <w:pPr>
        <w:tabs>
          <w:tab w:val="left" w:pos="630"/>
        </w:tabs>
        <w:spacing w:line="360" w:lineRule="auto"/>
        <w:ind w:firstLine="4800" w:firstLineChars="2000"/>
        <w:rPr>
          <w:rFonts w:asciiTheme="minorEastAsia" w:hAnsiTheme="minorEastAsia" w:eastAsiaTheme="minorEastAsia"/>
          <w:b/>
          <w:bCs/>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404ED5D6">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30A1C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09B63C3B">
      <w:pPr>
        <w:pStyle w:val="2"/>
        <w:rPr>
          <w:rFonts w:hint="eastAsia" w:asciiTheme="minorEastAsia" w:hAnsiTheme="minorEastAsia" w:eastAsiaTheme="minorEastAsia"/>
          <w:color w:val="auto"/>
          <w:sz w:val="24"/>
          <w:highlight w:val="none"/>
        </w:rPr>
      </w:pPr>
    </w:p>
    <w:p w14:paraId="254F1344">
      <w:pPr>
        <w:rPr>
          <w:rFonts w:hint="eastAsia" w:asciiTheme="minorEastAsia" w:hAnsiTheme="minorEastAsia" w:eastAsiaTheme="minorEastAsia"/>
          <w:b/>
          <w:color w:val="auto"/>
          <w:sz w:val="24"/>
          <w:highlight w:val="none"/>
        </w:rPr>
      </w:pPr>
    </w:p>
    <w:p w14:paraId="0F4FDFAA">
      <w:pPr>
        <w:spacing w:line="360" w:lineRule="auto"/>
        <w:jc w:val="center"/>
        <w:outlineLvl w:val="1"/>
        <w:rPr>
          <w:rFonts w:hint="eastAsia" w:asciiTheme="minorEastAsia" w:hAnsiTheme="minorEastAsia" w:eastAsiaTheme="minorEastAsia"/>
          <w:b/>
          <w:color w:val="auto"/>
          <w:sz w:val="24"/>
          <w:highlight w:val="none"/>
        </w:rPr>
      </w:pPr>
      <w:bookmarkStart w:id="255" w:name="_Toc27215"/>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）其他相关证明材料</w:t>
      </w:r>
      <w:bookmarkEnd w:id="255"/>
    </w:p>
    <w:p w14:paraId="048BAF6F">
      <w:pPr>
        <w:spacing w:line="360" w:lineRule="auto"/>
        <w:ind w:firstLine="435"/>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如有</w:t>
      </w:r>
      <w:r>
        <w:rPr>
          <w:rFonts w:asciiTheme="minorEastAsia" w:hAnsiTheme="minorEastAsia" w:eastAsiaTheme="minorEastAsia"/>
          <w:color w:val="auto"/>
          <w:sz w:val="24"/>
          <w:highlight w:val="none"/>
        </w:rPr>
        <w:t>。</w:t>
      </w:r>
    </w:p>
    <w:p w14:paraId="39D72437">
      <w:pPr>
        <w:spacing w:line="360" w:lineRule="auto"/>
        <w:ind w:firstLine="435"/>
        <w:rPr>
          <w:rFonts w:hint="eastAsia" w:asciiTheme="minorEastAsia" w:hAnsiTheme="minorEastAsia" w:eastAsiaTheme="minorEastAsia"/>
          <w:color w:val="auto"/>
          <w:sz w:val="24"/>
          <w:highlight w:val="none"/>
        </w:rPr>
      </w:pPr>
    </w:p>
    <w:p w14:paraId="07EA68A9">
      <w:pPr>
        <w:widowControl/>
        <w:jc w:val="left"/>
        <w:rPr>
          <w:rFonts w:hint="eastAsia" w:ascii="宋体" w:hAnsi="宋体" w:eastAsia="宋体"/>
          <w:bCs/>
          <w:color w:val="auto"/>
          <w:sz w:val="24"/>
          <w:highlight w:val="none"/>
        </w:rPr>
      </w:pPr>
      <w:r>
        <w:rPr>
          <w:rFonts w:ascii="宋体" w:hAnsi="宋体" w:eastAsia="宋体"/>
          <w:bCs/>
          <w:color w:val="auto"/>
          <w:sz w:val="24"/>
          <w:highlight w:val="none"/>
        </w:rPr>
        <w:br w:type="page"/>
      </w:r>
    </w:p>
    <w:p w14:paraId="2E531BB2">
      <w:pPr>
        <w:spacing w:line="360" w:lineRule="auto"/>
        <w:jc w:val="center"/>
        <w:outlineLvl w:val="0"/>
        <w:rPr>
          <w:rFonts w:hint="eastAsia" w:ascii="宋体" w:hAnsi="宋体" w:eastAsia="宋体"/>
          <w:b/>
          <w:bCs/>
          <w:color w:val="auto"/>
          <w:sz w:val="28"/>
          <w:highlight w:val="none"/>
        </w:rPr>
      </w:pPr>
      <w:bookmarkStart w:id="256" w:name="_Toc20872"/>
      <w:bookmarkStart w:id="257" w:name="_Toc6435"/>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56"/>
      <w:bookmarkEnd w:id="257"/>
    </w:p>
    <w:p w14:paraId="24FA3EC0">
      <w:pPr>
        <w:spacing w:line="360" w:lineRule="auto"/>
        <w:jc w:val="center"/>
        <w:outlineLvl w:val="1"/>
        <w:rPr>
          <w:rFonts w:hint="eastAsia" w:ascii="仿宋" w:hAnsi="仿宋" w:eastAsia="仿宋" w:cs="仿宋"/>
          <w:b/>
          <w:bCs/>
          <w:color w:val="auto"/>
          <w:sz w:val="32"/>
          <w:szCs w:val="44"/>
          <w:highlight w:val="none"/>
        </w:rPr>
      </w:pPr>
      <w:bookmarkStart w:id="258" w:name="_Toc27159"/>
      <w:bookmarkStart w:id="259" w:name="_Toc6955"/>
      <w:bookmarkStart w:id="260" w:name="_Toc3221"/>
      <w:r>
        <w:rPr>
          <w:rFonts w:hint="eastAsia" w:ascii="仿宋" w:hAnsi="仿宋" w:eastAsia="仿宋" w:cs="仿宋"/>
          <w:b/>
          <w:bCs/>
          <w:color w:val="auto"/>
          <w:sz w:val="32"/>
          <w:szCs w:val="44"/>
          <w:highlight w:val="none"/>
        </w:rPr>
        <w:t>询问函范本</w:t>
      </w:r>
      <w:bookmarkEnd w:id="258"/>
      <w:bookmarkEnd w:id="259"/>
      <w:bookmarkEnd w:id="260"/>
    </w:p>
    <w:p w14:paraId="09D52DA9">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7B322E57">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6BB1AAF2">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1DB9F65">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261" w:name="_Toc13899"/>
      <w:r>
        <w:rPr>
          <w:rFonts w:hint="eastAsia" w:cs="仿宋" w:asciiTheme="minorEastAsia" w:hAnsiTheme="minorEastAsia" w:eastAsiaTheme="minorEastAsia"/>
          <w:color w:val="auto"/>
          <w:sz w:val="24"/>
          <w:szCs w:val="24"/>
          <w:highlight w:val="none"/>
        </w:rPr>
        <w:t>一、(事项一)</w:t>
      </w:r>
      <w:bookmarkEnd w:id="261"/>
    </w:p>
    <w:p w14:paraId="3FCD06E6">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1A31F40C">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31A2CA3">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9BEE1B7">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262" w:name="_Toc3352"/>
      <w:r>
        <w:rPr>
          <w:rFonts w:hint="eastAsia" w:cs="仿宋" w:asciiTheme="minorEastAsia" w:hAnsiTheme="minorEastAsia" w:eastAsiaTheme="minorEastAsia"/>
          <w:color w:val="auto"/>
          <w:sz w:val="24"/>
          <w:szCs w:val="24"/>
          <w:highlight w:val="none"/>
        </w:rPr>
        <w:t>二、(事项二)</w:t>
      </w:r>
      <w:bookmarkEnd w:id="262"/>
    </w:p>
    <w:p w14:paraId="352D98EC">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C0F92E">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64FA85B">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573BE68">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709320F5">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7139832">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34EC7F7E">
      <w:pPr>
        <w:jc w:val="center"/>
        <w:outlineLvl w:val="1"/>
        <w:rPr>
          <w:rFonts w:hint="eastAsia" w:ascii="仿宋" w:hAnsi="仿宋" w:eastAsia="仿宋" w:cs="仿宋"/>
          <w:b/>
          <w:bCs/>
          <w:color w:val="auto"/>
          <w:sz w:val="32"/>
          <w:szCs w:val="44"/>
          <w:highlight w:val="none"/>
        </w:rPr>
      </w:pPr>
      <w:bookmarkStart w:id="263" w:name="_Toc9586"/>
      <w:bookmarkStart w:id="264" w:name="_Toc1575"/>
      <w:bookmarkStart w:id="265" w:name="_Toc857"/>
      <w:r>
        <w:rPr>
          <w:rFonts w:hint="eastAsia" w:ascii="仿宋" w:hAnsi="仿宋" w:eastAsia="仿宋" w:cs="仿宋"/>
          <w:b/>
          <w:bCs/>
          <w:color w:val="auto"/>
          <w:sz w:val="32"/>
          <w:szCs w:val="44"/>
          <w:highlight w:val="none"/>
        </w:rPr>
        <w:t>质疑函范本</w:t>
      </w:r>
      <w:bookmarkEnd w:id="263"/>
      <w:bookmarkEnd w:id="264"/>
      <w:bookmarkEnd w:id="265"/>
    </w:p>
    <w:p w14:paraId="37166E2B">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266" w:name="_Toc21381"/>
      <w:r>
        <w:rPr>
          <w:rFonts w:hint="eastAsia" w:cs="仿宋" w:asciiTheme="minorEastAsia" w:hAnsiTheme="minorEastAsia" w:eastAsiaTheme="minorEastAsia"/>
          <w:b/>
          <w:bCs/>
          <w:color w:val="auto"/>
          <w:sz w:val="24"/>
          <w:szCs w:val="24"/>
          <w:highlight w:val="none"/>
        </w:rPr>
        <w:t>一、质疑供应商基本信息</w:t>
      </w:r>
      <w:bookmarkEnd w:id="266"/>
    </w:p>
    <w:p w14:paraId="01A0E59E">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3BA5F145">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C689AB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979DF6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67CC4D65">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D26F373">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6E0CE20">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267" w:name="_Toc28415"/>
      <w:r>
        <w:rPr>
          <w:rFonts w:hint="eastAsia" w:cs="仿宋" w:asciiTheme="minorEastAsia" w:hAnsiTheme="minorEastAsia" w:eastAsiaTheme="minorEastAsia"/>
          <w:b/>
          <w:bCs/>
          <w:color w:val="auto"/>
          <w:sz w:val="24"/>
          <w:szCs w:val="24"/>
          <w:highlight w:val="none"/>
        </w:rPr>
        <w:t>二、质疑项目基本情况</w:t>
      </w:r>
      <w:bookmarkEnd w:id="267"/>
    </w:p>
    <w:p w14:paraId="4AA0B7DE">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1E0E066F">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122317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6857095">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9E80166">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268" w:name="_Toc19014"/>
      <w:r>
        <w:rPr>
          <w:rFonts w:hint="eastAsia" w:cs="仿宋" w:asciiTheme="minorEastAsia" w:hAnsiTheme="minorEastAsia" w:eastAsiaTheme="minorEastAsia"/>
          <w:b/>
          <w:bCs/>
          <w:color w:val="auto"/>
          <w:sz w:val="24"/>
          <w:szCs w:val="24"/>
          <w:highlight w:val="none"/>
        </w:rPr>
        <w:t>三、质疑事项具体内容</w:t>
      </w:r>
      <w:bookmarkEnd w:id="268"/>
    </w:p>
    <w:p w14:paraId="39C44C22">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D40685D">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394E4F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215F186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4091B29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66D728E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616A1E5">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C88AE44">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269" w:name="_Toc17919"/>
      <w:r>
        <w:rPr>
          <w:rFonts w:hint="eastAsia" w:cs="仿宋" w:asciiTheme="minorEastAsia" w:hAnsiTheme="minorEastAsia" w:eastAsiaTheme="minorEastAsia"/>
          <w:b/>
          <w:bCs/>
          <w:color w:val="auto"/>
          <w:sz w:val="24"/>
          <w:szCs w:val="24"/>
          <w:highlight w:val="none"/>
        </w:rPr>
        <w:t>四、与质疑事项相关的质疑请求</w:t>
      </w:r>
      <w:bookmarkEnd w:id="269"/>
    </w:p>
    <w:p w14:paraId="4AF39EB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EFE19E2">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96F3264">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2F4534F">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7F54A9F">
      <w:pPr>
        <w:outlineLvl w:val="0"/>
        <w:rPr>
          <w:rFonts w:hint="eastAsia" w:asciiTheme="minorEastAsia" w:hAnsiTheme="minorEastAsia" w:eastAsiaTheme="minorEastAsia"/>
          <w:b/>
          <w:color w:val="auto"/>
          <w:sz w:val="28"/>
          <w:szCs w:val="32"/>
          <w:highlight w:val="none"/>
        </w:rPr>
      </w:pPr>
      <w:bookmarkStart w:id="270" w:name="_Toc22239"/>
      <w:bookmarkStart w:id="271" w:name="_Toc26687"/>
      <w:bookmarkStart w:id="272" w:name="_Toc9754"/>
      <w:r>
        <w:rPr>
          <w:rFonts w:hint="eastAsia" w:asciiTheme="minorEastAsia" w:hAnsiTheme="minorEastAsia" w:eastAsiaTheme="minorEastAsia"/>
          <w:b/>
          <w:color w:val="auto"/>
          <w:sz w:val="28"/>
          <w:szCs w:val="32"/>
          <w:highlight w:val="none"/>
        </w:rPr>
        <w:t>质疑函制作说明：</w:t>
      </w:r>
      <w:bookmarkEnd w:id="270"/>
      <w:bookmarkEnd w:id="271"/>
      <w:bookmarkEnd w:id="272"/>
    </w:p>
    <w:p w14:paraId="13588F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57E037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B5A9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15A5447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5A3AB9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4348D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BB89C7">
      <w:pPr>
        <w:rPr>
          <w:rFonts w:hint="eastAsia"/>
          <w:color w:val="auto"/>
          <w:highlight w:val="none"/>
        </w:rPr>
      </w:pPr>
    </w:p>
    <w:p w14:paraId="1A3912B4">
      <w:pPr>
        <w:rPr>
          <w:rFonts w:hint="eastAsia"/>
          <w:color w:val="auto"/>
          <w:highlight w:val="none"/>
        </w:rPr>
      </w:pPr>
    </w:p>
    <w:p w14:paraId="1DAEC4F6">
      <w:pPr>
        <w:rPr>
          <w:rFonts w:hint="eastAsia"/>
          <w:color w:val="auto"/>
          <w:highlight w:val="none"/>
        </w:rPr>
      </w:pPr>
    </w:p>
    <w:p w14:paraId="6BA1823E">
      <w:pPr>
        <w:rPr>
          <w:rFonts w:hint="eastAsia"/>
          <w:color w:val="auto"/>
          <w:highlight w:val="none"/>
        </w:rPr>
      </w:pPr>
    </w:p>
    <w:p w14:paraId="57BAED9A">
      <w:pPr>
        <w:rPr>
          <w:rFonts w:hint="eastAsia"/>
          <w:color w:val="auto"/>
          <w:highlight w:val="none"/>
        </w:rPr>
      </w:pPr>
    </w:p>
    <w:p w14:paraId="4CE120E0">
      <w:pPr>
        <w:rPr>
          <w:rFonts w:hint="eastAsia"/>
          <w:color w:val="auto"/>
          <w:highlight w:val="none"/>
        </w:rPr>
      </w:pPr>
    </w:p>
    <w:p w14:paraId="188017E1">
      <w:pPr>
        <w:rPr>
          <w:rFonts w:hint="eastAsia"/>
          <w:color w:val="auto"/>
          <w:highlight w:val="none"/>
        </w:rPr>
      </w:pPr>
    </w:p>
    <w:p w14:paraId="517C95BB">
      <w:pPr>
        <w:rPr>
          <w:rFonts w:hint="eastAsia"/>
          <w:color w:val="auto"/>
          <w:highlight w:val="none"/>
        </w:rPr>
      </w:pPr>
    </w:p>
    <w:p w14:paraId="0C5F7C46">
      <w:pPr>
        <w:rPr>
          <w:rFonts w:hint="eastAsia"/>
          <w:color w:val="auto"/>
          <w:highlight w:val="none"/>
        </w:rPr>
      </w:pPr>
    </w:p>
    <w:p w14:paraId="5F39D95F">
      <w:pPr>
        <w:rPr>
          <w:rFonts w:hint="eastAsia"/>
          <w:color w:val="auto"/>
          <w:highlight w:val="none"/>
        </w:rPr>
      </w:pPr>
    </w:p>
    <w:p w14:paraId="473CB656">
      <w:pPr>
        <w:rPr>
          <w:rFonts w:hint="eastAsia"/>
          <w:color w:val="auto"/>
          <w:highlight w:val="none"/>
        </w:rPr>
      </w:pPr>
    </w:p>
    <w:p w14:paraId="71F178AC">
      <w:pPr>
        <w:rPr>
          <w:rFonts w:hint="eastAsia"/>
          <w:color w:val="auto"/>
          <w:highlight w:val="none"/>
        </w:rPr>
      </w:pPr>
    </w:p>
    <w:p w14:paraId="012A7171">
      <w:pPr>
        <w:rPr>
          <w:rFonts w:hint="eastAsia"/>
          <w:color w:val="auto"/>
          <w:highlight w:val="none"/>
        </w:rPr>
      </w:pPr>
    </w:p>
    <w:p w14:paraId="17BDAFA6">
      <w:pPr>
        <w:rPr>
          <w:rFonts w:hint="eastAsia"/>
          <w:color w:val="auto"/>
          <w:highlight w:val="none"/>
        </w:rPr>
      </w:pPr>
    </w:p>
    <w:p w14:paraId="14341999">
      <w:pPr>
        <w:rPr>
          <w:rFonts w:hint="eastAsia"/>
          <w:color w:val="auto"/>
          <w:highlight w:val="none"/>
        </w:rPr>
      </w:pPr>
    </w:p>
    <w:p w14:paraId="203E8573">
      <w:pPr>
        <w:rPr>
          <w:rFonts w:hint="eastAsia"/>
          <w:color w:val="auto"/>
          <w:highlight w:val="none"/>
        </w:rPr>
      </w:pPr>
    </w:p>
    <w:p w14:paraId="5D8BEE11">
      <w:pPr>
        <w:rPr>
          <w:rFonts w:hint="eastAsia"/>
          <w:color w:val="auto"/>
          <w:highlight w:val="none"/>
        </w:rPr>
      </w:pPr>
    </w:p>
    <w:p w14:paraId="6CEE2A2A">
      <w:pPr>
        <w:rPr>
          <w:rFonts w:hint="eastAsia"/>
          <w:color w:val="auto"/>
          <w:highlight w:val="none"/>
        </w:rPr>
      </w:pPr>
    </w:p>
    <w:p w14:paraId="5DC99042">
      <w:pPr>
        <w:rPr>
          <w:rFonts w:hint="eastAsia"/>
          <w:color w:val="auto"/>
          <w:highlight w:val="none"/>
        </w:rPr>
      </w:pPr>
    </w:p>
    <w:p w14:paraId="7079FA5A">
      <w:pPr>
        <w:rPr>
          <w:rFonts w:hint="eastAsia"/>
          <w:color w:val="auto"/>
          <w:highlight w:val="none"/>
        </w:rPr>
      </w:pPr>
    </w:p>
    <w:p w14:paraId="0B21AFC5">
      <w:pPr>
        <w:rPr>
          <w:rFonts w:hint="eastAsia"/>
          <w:color w:val="auto"/>
          <w:highlight w:val="none"/>
        </w:rPr>
      </w:pPr>
    </w:p>
    <w:p w14:paraId="24DE1B60">
      <w:pPr>
        <w:rPr>
          <w:rFonts w:hint="eastAsia"/>
          <w:color w:val="auto"/>
          <w:highlight w:val="none"/>
        </w:rPr>
      </w:pPr>
    </w:p>
    <w:p w14:paraId="0357ACF3">
      <w:pPr>
        <w:rPr>
          <w:rFonts w:hint="eastAsia"/>
          <w:color w:val="auto"/>
          <w:highlight w:val="none"/>
        </w:rPr>
      </w:pPr>
    </w:p>
    <w:p w14:paraId="63B68165">
      <w:pPr>
        <w:rPr>
          <w:rFonts w:hint="eastAsia"/>
          <w:color w:val="auto"/>
          <w:highlight w:val="none"/>
        </w:rPr>
      </w:pPr>
    </w:p>
    <w:p w14:paraId="3B7729AA">
      <w:pPr>
        <w:rPr>
          <w:rFonts w:hint="eastAsia"/>
          <w:color w:val="auto"/>
          <w:highlight w:val="none"/>
        </w:rPr>
      </w:pPr>
    </w:p>
    <w:p w14:paraId="1922ABC4">
      <w:pPr>
        <w:rPr>
          <w:rFonts w:hint="eastAsia"/>
          <w:color w:val="auto"/>
          <w:highlight w:val="none"/>
        </w:rPr>
      </w:pPr>
    </w:p>
    <w:p w14:paraId="5B5CD72A">
      <w:pPr>
        <w:rPr>
          <w:rFonts w:hint="eastAsia"/>
          <w:color w:val="auto"/>
          <w:highlight w:val="none"/>
        </w:rPr>
      </w:pPr>
    </w:p>
    <w:p w14:paraId="1CC2042D">
      <w:pP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lang w:bidi="ar"/>
        </w:rPr>
        <w:t>附件</w:t>
      </w:r>
      <w:r>
        <w:rPr>
          <w:rFonts w:ascii="Times New Roman" w:hAnsi="Times New Roman" w:eastAsia="宋体" w:cs="Times New Roman"/>
          <w:b/>
          <w:color w:val="auto"/>
          <w:sz w:val="28"/>
          <w:szCs w:val="28"/>
          <w:highlight w:val="none"/>
          <w:lang w:bidi="ar"/>
        </w:rPr>
        <w:t>1</w:t>
      </w:r>
    </w:p>
    <w:p w14:paraId="25320403">
      <w:pPr>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关于联合惩戒失信行为加强信用查询管理的通知</w:t>
      </w:r>
    </w:p>
    <w:p w14:paraId="63A89280">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一、失信行为联合惩戒的范围和查询渠道</w:t>
      </w:r>
    </w:p>
    <w:p w14:paraId="2F752BD3">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在我市公共资源交易活动中对存在下列失信行为的投标人、法定代表人及其项目经理（建造师）实施联合惩戒，禁止参与我市公共资源交易活动。</w:t>
      </w:r>
    </w:p>
    <w:p w14:paraId="734CE288">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（一）工程建设项目</w:t>
      </w:r>
    </w:p>
    <w:p w14:paraId="5D9B5082">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1、“信用中国”网站（www.creditchina.gov.cn）查询</w:t>
      </w:r>
      <w:bookmarkStart w:id="273" w:name="OLE_LINK103"/>
      <w:bookmarkStart w:id="274" w:name="OLE_LINK92"/>
      <w:bookmarkStart w:id="275" w:name="OLE_LINK91"/>
      <w:bookmarkStart w:id="276" w:name="OLE_LINK93"/>
      <w:r>
        <w:rPr>
          <w:rFonts w:hint="eastAsia" w:ascii="宋体" w:hAnsi="宋体" w:eastAsia="宋体" w:cs="宋体"/>
          <w:color w:val="auto"/>
          <w:sz w:val="24"/>
          <w:szCs w:val="24"/>
          <w:highlight w:val="none"/>
        </w:rPr>
        <w:t>投标人、法定代表人及其项目经理(建造师)</w:t>
      </w:r>
      <w:bookmarkEnd w:id="273"/>
      <w:bookmarkEnd w:id="274"/>
      <w:bookmarkEnd w:id="275"/>
      <w:bookmarkEnd w:id="276"/>
      <w:r>
        <w:rPr>
          <w:rFonts w:hint="eastAsia" w:ascii="宋体" w:hAnsi="宋体" w:eastAsia="宋体" w:cs="宋体"/>
          <w:color w:val="auto"/>
          <w:sz w:val="24"/>
          <w:szCs w:val="24"/>
          <w:highlight w:val="none"/>
        </w:rPr>
        <w:t>以下失信行为：</w:t>
      </w:r>
    </w:p>
    <w:p w14:paraId="2D99BBB2">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77" w:name="OLE_LINK119"/>
      <w:bookmarkStart w:id="278" w:name="OLE_LINK86"/>
      <w:bookmarkStart w:id="279" w:name="OLE_LINK94"/>
      <w:bookmarkStart w:id="280" w:name="OLE_LINK87"/>
      <w:bookmarkStart w:id="281" w:name="OLE_LINK3"/>
      <w:r>
        <w:rPr>
          <w:rFonts w:hint="eastAsia" w:ascii="宋体" w:hAnsi="宋体" w:eastAsia="宋体" w:cs="宋体"/>
          <w:color w:val="auto"/>
          <w:sz w:val="24"/>
          <w:szCs w:val="24"/>
          <w:highlight w:val="none"/>
        </w:rPr>
        <w:t>①被列入“失信被执行人”的;</w:t>
      </w:r>
    </w:p>
    <w:p w14:paraId="5E9DF7B2">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w:t>
      </w:r>
      <w:bookmarkStart w:id="282" w:name="OLE_LINK115"/>
      <w:bookmarkStart w:id="283" w:name="OLE_LINK116"/>
      <w:bookmarkStart w:id="284" w:name="OLE_LINK117"/>
      <w:bookmarkStart w:id="285" w:name="OLE_LINK118"/>
      <w:r>
        <w:rPr>
          <w:rFonts w:hint="eastAsia" w:ascii="宋体" w:hAnsi="宋体" w:eastAsia="宋体" w:cs="宋体"/>
          <w:color w:val="auto"/>
          <w:sz w:val="24"/>
          <w:szCs w:val="24"/>
          <w:highlight w:val="none"/>
        </w:rPr>
        <w:t>“重大税收违法失信主体”</w:t>
      </w:r>
      <w:bookmarkEnd w:id="282"/>
      <w:bookmarkEnd w:id="283"/>
      <w:bookmarkEnd w:id="284"/>
      <w:bookmarkEnd w:id="285"/>
      <w:r>
        <w:rPr>
          <w:rFonts w:hint="eastAsia" w:ascii="宋体" w:hAnsi="宋体" w:eastAsia="宋体" w:cs="宋体"/>
          <w:color w:val="auto"/>
          <w:sz w:val="24"/>
          <w:szCs w:val="24"/>
          <w:highlight w:val="none"/>
        </w:rPr>
        <w:t>的；</w:t>
      </w:r>
    </w:p>
    <w:p w14:paraId="206B1074">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86" w:name="OLE_LINK1"/>
      <w:bookmarkStart w:id="287" w:name="OLE_LINK2"/>
      <w:r>
        <w:rPr>
          <w:rFonts w:hint="eastAsia" w:ascii="宋体" w:hAnsi="宋体" w:eastAsia="宋体" w:cs="宋体"/>
          <w:color w:val="auto"/>
          <w:sz w:val="24"/>
          <w:szCs w:val="24"/>
          <w:highlight w:val="none"/>
        </w:rPr>
        <w:t>③被列入“拖欠</w:t>
      </w:r>
      <w:bookmarkStart w:id="288" w:name="OLE_LINK85"/>
      <w:bookmarkStart w:id="289" w:name="OLE_LINK84"/>
      <w:r>
        <w:rPr>
          <w:rFonts w:hint="eastAsia" w:ascii="宋体" w:hAnsi="宋体" w:eastAsia="宋体" w:cs="宋体"/>
          <w:color w:val="auto"/>
          <w:sz w:val="24"/>
          <w:szCs w:val="24"/>
          <w:highlight w:val="none"/>
        </w:rPr>
        <w:t>农民工工资失信联合惩戒对象</w:t>
      </w:r>
      <w:bookmarkEnd w:id="288"/>
      <w:bookmarkEnd w:id="289"/>
      <w:r>
        <w:rPr>
          <w:rFonts w:hint="eastAsia" w:ascii="宋体" w:hAnsi="宋体" w:eastAsia="宋体" w:cs="宋体"/>
          <w:color w:val="auto"/>
          <w:sz w:val="24"/>
          <w:szCs w:val="24"/>
          <w:highlight w:val="none"/>
        </w:rPr>
        <w:t>名单”的；</w:t>
      </w:r>
      <w:bookmarkEnd w:id="286"/>
      <w:bookmarkEnd w:id="287"/>
    </w:p>
    <w:p w14:paraId="1C5CF340">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④被列入 “严重失信主体名单”的；</w:t>
      </w:r>
    </w:p>
    <w:p w14:paraId="6C73684C">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⑤在“信用中国”网站上披露的仍在公示期的严重失信行为(具体行为类别及判定依据见附件2)的。</w:t>
      </w:r>
    </w:p>
    <w:bookmarkEnd w:id="277"/>
    <w:bookmarkEnd w:id="278"/>
    <w:bookmarkEnd w:id="279"/>
    <w:bookmarkEnd w:id="280"/>
    <w:bookmarkEnd w:id="281"/>
    <w:p w14:paraId="60B192B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90" w:name="OLE_LINK130"/>
      <w:r>
        <w:rPr>
          <w:rFonts w:hint="eastAsia" w:ascii="宋体" w:hAnsi="宋体" w:eastAsia="宋体" w:cs="宋体"/>
          <w:color w:val="auto"/>
          <w:sz w:val="24"/>
          <w:szCs w:val="24"/>
          <w:highlight w:val="none"/>
        </w:rPr>
        <w:t>国家企业信用信息公示系统网站</w:t>
      </w:r>
      <w:bookmarkEnd w:id="29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bookmarkStart w:id="291" w:name="OLE_LINK89"/>
      <w:bookmarkStart w:id="292" w:name="OLE_LINK90"/>
      <w:r>
        <w:rPr>
          <w:rStyle w:val="49"/>
          <w:rFonts w:hint="eastAsia" w:ascii="宋体" w:hAnsi="宋体" w:eastAsia="宋体" w:cs="宋体"/>
          <w:color w:val="auto"/>
          <w:sz w:val="24"/>
          <w:szCs w:val="24"/>
          <w:highlight w:val="none"/>
        </w:rPr>
        <w:t>www.gsxt.gov.cn</w:t>
      </w:r>
      <w:bookmarkEnd w:id="291"/>
      <w:bookmarkEnd w:id="292"/>
      <w:r>
        <w:rPr>
          <w:rStyle w:val="49"/>
          <w:rFonts w:hint="eastAsia" w:ascii="宋体" w:hAnsi="宋体" w:eastAsia="宋体" w:cs="宋体"/>
          <w:color w:val="auto"/>
          <w:sz w:val="24"/>
          <w:szCs w:val="24"/>
          <w:highlight w:val="none"/>
        </w:rPr>
        <w:t>）</w:t>
      </w:r>
      <w:r>
        <w:rPr>
          <w:rStyle w:val="49"/>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查询投标人以下失信行为：</w:t>
      </w:r>
    </w:p>
    <w:p w14:paraId="3040F0DE">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93" w:name="OLE_LINK122"/>
      <w:bookmarkStart w:id="294" w:name="OLE_LINK120"/>
      <w:bookmarkStart w:id="295" w:name="OLE_LINK121"/>
      <w:r>
        <w:rPr>
          <w:rFonts w:hint="eastAsia" w:ascii="宋体" w:hAnsi="宋体" w:eastAsia="宋体" w:cs="宋体"/>
          <w:color w:val="auto"/>
          <w:sz w:val="24"/>
          <w:szCs w:val="24"/>
          <w:highlight w:val="none"/>
        </w:rPr>
        <w:t>①</w:t>
      </w:r>
      <w:bookmarkStart w:id="296" w:name="OLE_LINK113"/>
      <w:bookmarkStart w:id="297" w:name="OLE_LINK114"/>
      <w:r>
        <w:rPr>
          <w:rFonts w:hint="eastAsia" w:ascii="宋体" w:hAnsi="宋体" w:eastAsia="宋体" w:cs="宋体"/>
          <w:color w:val="auto"/>
          <w:sz w:val="24"/>
          <w:szCs w:val="24"/>
          <w:highlight w:val="none"/>
        </w:rPr>
        <w:t>被列入“经营异常名录”或者“严重违法失信名单”的</w:t>
      </w:r>
      <w:bookmarkEnd w:id="296"/>
      <w:bookmarkEnd w:id="297"/>
      <w:r>
        <w:rPr>
          <w:rFonts w:hint="eastAsia" w:ascii="宋体" w:hAnsi="宋体" w:eastAsia="宋体" w:cs="宋体"/>
          <w:color w:val="auto"/>
          <w:sz w:val="24"/>
          <w:szCs w:val="24"/>
          <w:highlight w:val="none"/>
        </w:rPr>
        <w:t>。</w:t>
      </w:r>
      <w:bookmarkEnd w:id="293"/>
      <w:bookmarkEnd w:id="294"/>
      <w:bookmarkEnd w:id="295"/>
    </w:p>
    <w:p w14:paraId="1CE9C535">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w:t>
      </w:r>
      <w:r>
        <w:rPr>
          <w:rFonts w:hint="eastAsia" w:ascii="宋体" w:hAnsi="宋体" w:eastAsia="宋体" w:cs="宋体"/>
          <w:color w:val="auto"/>
          <w:kern w:val="0"/>
          <w:sz w:val="24"/>
          <w:szCs w:val="24"/>
          <w:highlight w:val="none"/>
        </w:rPr>
        <w:t>投标人、法定代表人及其项目经理(建造师)</w:t>
      </w:r>
      <w:r>
        <w:rPr>
          <w:rFonts w:hint="eastAsia" w:ascii="宋体" w:hAnsi="宋体" w:eastAsia="宋体" w:cs="宋体"/>
          <w:color w:val="auto"/>
          <w:sz w:val="24"/>
          <w:szCs w:val="24"/>
          <w:highlight w:val="none"/>
        </w:rPr>
        <w:t>进行承诺，不进行现场网上信用查询的失信行为：</w:t>
      </w:r>
    </w:p>
    <w:p w14:paraId="4407163F">
      <w:pPr>
        <w:adjustRightInd w:val="0"/>
        <w:snapToGrid w:val="0"/>
        <w:spacing w:line="560" w:lineRule="exact"/>
        <w:ind w:firstLine="480" w:firstLineChars="200"/>
        <w:rPr>
          <w:rFonts w:hint="eastAsia" w:ascii="宋体" w:hAnsi="宋体" w:eastAsia="宋体" w:cs="宋体"/>
          <w:color w:val="auto"/>
          <w:sz w:val="24"/>
          <w:szCs w:val="24"/>
          <w:highlight w:val="none"/>
        </w:rPr>
      </w:pPr>
      <w:bookmarkStart w:id="298" w:name="OLE_LINK124"/>
      <w:bookmarkStart w:id="299" w:name="OLE_LINK123"/>
      <w:r>
        <w:rPr>
          <w:rFonts w:hint="eastAsia" w:ascii="宋体" w:hAnsi="宋体" w:eastAsia="宋体" w:cs="宋体"/>
          <w:color w:val="auto"/>
          <w:sz w:val="24"/>
          <w:szCs w:val="24"/>
          <w:highlight w:val="none"/>
        </w:rPr>
        <w:t>①前三年有行贿犯罪行为的单位和个人；</w:t>
      </w:r>
    </w:p>
    <w:p w14:paraId="0F4DBF7F">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②被滁州市县两级公管部门取消在一定期限内的投标资格且在取消期限内的；</w:t>
      </w:r>
    </w:p>
    <w:p w14:paraId="5A1F836F">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③被滁州市县两级各行业主管部门取消在一定期限内的投标资格且在取消期限内的；</w:t>
      </w:r>
    </w:p>
    <w:p w14:paraId="5F927AFC">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④因拖欠农民工工资被</w:t>
      </w:r>
      <w:bookmarkStart w:id="300" w:name="OLE_LINK108"/>
      <w:bookmarkStart w:id="301" w:name="OLE_LINK107"/>
      <w:r>
        <w:rPr>
          <w:rFonts w:hint="eastAsia" w:ascii="宋体" w:hAnsi="宋体" w:eastAsia="宋体" w:cs="宋体"/>
          <w:color w:val="auto"/>
          <w:sz w:val="24"/>
          <w:szCs w:val="24"/>
          <w:highlight w:val="none"/>
        </w:rPr>
        <w:t>县级及以上有关行政主管部门限制投标资格且在限制期限内的</w:t>
      </w:r>
      <w:bookmarkEnd w:id="300"/>
      <w:bookmarkEnd w:id="301"/>
      <w:r>
        <w:rPr>
          <w:rFonts w:hint="eastAsia" w:ascii="宋体" w:hAnsi="宋体" w:eastAsia="宋体" w:cs="宋体"/>
          <w:color w:val="auto"/>
          <w:sz w:val="24"/>
          <w:szCs w:val="24"/>
          <w:highlight w:val="none"/>
        </w:rPr>
        <w:t>；</w:t>
      </w:r>
    </w:p>
    <w:p w14:paraId="04F5E5CF">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98"/>
    <w:bookmarkEnd w:id="299"/>
    <w:p w14:paraId="08C76307">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（二）政府采购项目</w:t>
      </w:r>
    </w:p>
    <w:p w14:paraId="4177A068">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1、“信用中国”网站（</w:t>
      </w:r>
      <w:r>
        <w:rPr>
          <w:rStyle w:val="49"/>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t>）查询供应商、法定代表人及其项目负责人以下失信行为：</w:t>
      </w:r>
    </w:p>
    <w:p w14:paraId="206896DE">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①被列入“失信被执行人”的;</w:t>
      </w:r>
    </w:p>
    <w:p w14:paraId="7EAA58A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②被列入“重大税收违法失信主体”的；</w:t>
      </w:r>
    </w:p>
    <w:p w14:paraId="0B176F8B">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 “严重失信主体名单”的；</w:t>
      </w:r>
    </w:p>
    <w:p w14:paraId="2F3CA15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④在“信用中国”网站上披露的仍在公示期的严重失信行为(具体行为类别及判定依据见附件2)的。</w:t>
      </w:r>
    </w:p>
    <w:p w14:paraId="6119ADFB">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2、国家企业信用信息公示系统网站（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"http://www.gsxt.gov.cn）查询"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www.gsxt.gov.cn）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查询供应商以下失信行为：</w:t>
      </w:r>
    </w:p>
    <w:p w14:paraId="3E8E746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302" w:name="OLE_LINK102"/>
      <w:bookmarkStart w:id="303" w:name="OLE_LINK101"/>
      <w:bookmarkStart w:id="304" w:name="OLE_LINK100"/>
      <w:r>
        <w:rPr>
          <w:rFonts w:hint="eastAsia" w:ascii="宋体" w:hAnsi="宋体" w:eastAsia="宋体" w:cs="宋体"/>
          <w:color w:val="auto"/>
          <w:sz w:val="24"/>
          <w:szCs w:val="24"/>
          <w:highlight w:val="none"/>
        </w:rPr>
        <w:t>被列入“经营异常名录”或者“严重违法失信名单”的</w:t>
      </w:r>
      <w:bookmarkEnd w:id="302"/>
      <w:bookmarkEnd w:id="303"/>
      <w:bookmarkEnd w:id="304"/>
      <w:r>
        <w:rPr>
          <w:rFonts w:hint="eastAsia" w:ascii="宋体" w:hAnsi="宋体" w:eastAsia="宋体" w:cs="宋体"/>
          <w:color w:val="auto"/>
          <w:sz w:val="24"/>
          <w:szCs w:val="24"/>
          <w:highlight w:val="none"/>
        </w:rPr>
        <w:t>。</w:t>
      </w:r>
    </w:p>
    <w:p w14:paraId="6227DDF7">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3、中国政府采购网站（</w:t>
      </w:r>
      <w:bookmarkStart w:id="305" w:name="OLE_LINK96"/>
      <w:bookmarkStart w:id="306" w:name="OLE_LINK95"/>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rPr>
        <w:fldChar w:fldCharType="end"/>
      </w:r>
      <w:bookmarkEnd w:id="305"/>
      <w:bookmarkEnd w:id="306"/>
      <w:r>
        <w:rPr>
          <w:rFonts w:hint="eastAsia" w:ascii="宋体" w:hAnsi="宋体" w:eastAsia="宋体" w:cs="宋体"/>
          <w:color w:val="auto"/>
          <w:sz w:val="24"/>
          <w:szCs w:val="24"/>
          <w:highlight w:val="none"/>
        </w:rPr>
        <w:t>）查询以下失信行为：</w:t>
      </w:r>
    </w:p>
    <w:p w14:paraId="3054D826">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bookmarkStart w:id="307" w:name="OLE_LINK105"/>
      <w:bookmarkStart w:id="308" w:name="OLE_LINK106"/>
      <w:bookmarkStart w:id="309" w:name="OLE_LINK104"/>
      <w:r>
        <w:rPr>
          <w:rFonts w:hint="eastAsia" w:ascii="宋体" w:hAnsi="宋体" w:eastAsia="宋体" w:cs="宋体"/>
          <w:color w:val="auto"/>
          <w:sz w:val="24"/>
          <w:szCs w:val="24"/>
          <w:highlight w:val="none"/>
        </w:rPr>
        <w:t>被列入“政府采购严重违法失信行为信息记录”的</w:t>
      </w:r>
      <w:bookmarkEnd w:id="307"/>
      <w:bookmarkEnd w:id="308"/>
      <w:bookmarkEnd w:id="309"/>
      <w:r>
        <w:rPr>
          <w:rFonts w:hint="eastAsia" w:ascii="宋体" w:hAnsi="宋体" w:eastAsia="宋体" w:cs="宋体"/>
          <w:color w:val="auto"/>
          <w:sz w:val="24"/>
          <w:szCs w:val="24"/>
          <w:highlight w:val="none"/>
        </w:rPr>
        <w:t>。</w:t>
      </w:r>
    </w:p>
    <w:p w14:paraId="67E853FD">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4、由竞争主体进行承诺，不进行现场网上信用查询的失信行为：</w:t>
      </w:r>
    </w:p>
    <w:p w14:paraId="79919222">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①前三年有行贿犯罪行为的单位和个人。</w:t>
      </w:r>
    </w:p>
    <w:p w14:paraId="0C0AB492">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二、在开评标活动中的查询程序</w:t>
      </w:r>
    </w:p>
    <w:p w14:paraId="5462A591">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FA07CA6">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2E252FE9">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3、项目单位及其委托的代理机构应当做好信用查询结果截图和记录留存。</w:t>
      </w:r>
    </w:p>
    <w:p w14:paraId="02940D18">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三、相关要求</w:t>
      </w:r>
    </w:p>
    <w:p w14:paraId="765DC20E">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32086334">
      <w:pPr>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61C73AC">
      <w:pPr>
        <w:wordWrap w:val="0"/>
        <w:adjustRightInd w:val="0"/>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"https://credit.ah.gov.cn/xinyong-fuwu/xvbahv/index.html"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https://credit.ah.gov.cn/xinyong-fuwu/xvbahv/index.html</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297551A">
      <w:pPr>
        <w:adjustRightInd w:val="0"/>
        <w:snapToGrid w:val="0"/>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2、“信用中国”查询的严重失信行为判定依据为各行业主管部门下发的联合惩戒文件中规定的行为（按附件2执行）。</w:t>
      </w:r>
    </w:p>
    <w:p w14:paraId="719DB66B">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3、资格预审的项目以递交资格预审申请文件截止时间查询为准；资格后审的项目以递交投标文件截止时间查询为准。</w:t>
      </w:r>
      <w:r>
        <w:rPr>
          <w:rFonts w:hint="eastAsia" w:ascii="宋体" w:hAnsi="宋体" w:eastAsia="宋体" w:cs="宋体"/>
          <w:b/>
          <w:color w:val="auto"/>
          <w:sz w:val="24"/>
          <w:szCs w:val="24"/>
          <w:highlight w:val="none"/>
          <w:lang w:bidi="ar"/>
        </w:rPr>
        <w:t xml:space="preserve"> </w:t>
      </w:r>
    </w:p>
    <w:p w14:paraId="4B63CB37">
      <w:pPr>
        <w:pStyle w:val="38"/>
        <w:ind w:firstLine="420"/>
        <w:rPr>
          <w:color w:val="auto"/>
          <w:highlight w:val="none"/>
        </w:rPr>
      </w:pPr>
      <w:r>
        <w:rPr>
          <w:rFonts w:hint="eastAsia"/>
          <w:color w:val="auto"/>
          <w:highlight w:val="none"/>
        </w:rPr>
        <w:t xml:space="preserve"> </w:t>
      </w:r>
    </w:p>
    <w:p w14:paraId="520E620C">
      <w:pPr>
        <w:spacing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w:t>
      </w:r>
      <w:r>
        <w:rPr>
          <w:rFonts w:ascii="Times New Roman" w:hAnsi="Times New Roman" w:eastAsia="宋体" w:cs="Times New Roman"/>
          <w:b/>
          <w:color w:val="auto"/>
          <w:sz w:val="24"/>
          <w:szCs w:val="24"/>
          <w:highlight w:val="none"/>
          <w:lang w:bidi="ar"/>
        </w:rPr>
        <w:t>2</w:t>
      </w:r>
    </w:p>
    <w:p w14:paraId="5C236DD9">
      <w:pPr>
        <w:adjustRightInd w:val="0"/>
        <w:snapToGrid w:val="0"/>
        <w:spacing w:line="560" w:lineRule="exact"/>
        <w:ind w:firstLine="645"/>
        <w:jc w:val="center"/>
        <w:rPr>
          <w:rFonts w:hint="eastAsia" w:ascii="宋体" w:hAnsi="宋体" w:eastAsia="宋体" w:cs="宋体"/>
          <w:b/>
          <w:color w:val="auto"/>
          <w:sz w:val="24"/>
          <w:szCs w:val="24"/>
          <w:highlight w:val="none"/>
          <w:lang w:eastAsia="zh-CN" w:bidi="ar"/>
        </w:rPr>
      </w:pPr>
      <w:r>
        <w:rPr>
          <w:rFonts w:hint="eastAsia" w:ascii="宋体" w:hAnsi="宋体" w:eastAsia="宋体" w:cs="宋体"/>
          <w:b/>
          <w:color w:val="auto"/>
          <w:sz w:val="24"/>
          <w:szCs w:val="24"/>
          <w:highlight w:val="none"/>
          <w:lang w:eastAsia="zh-CN" w:bidi="ar"/>
        </w:rPr>
        <w:t>“信用中国”查询的严重失信行为类别及判定依据</w:t>
      </w:r>
    </w:p>
    <w:p w14:paraId="23FE3EF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4AC6044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31B4E26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3EB124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7E8808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7959D5F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22F186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4E7177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477279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184063E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7730404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34C4FB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50809D2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702AFDA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6384031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56D5DA9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67B0A0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35C828F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3A6625C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2947677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6D632A1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0E6FE3B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77E95A6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4EE63C9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79372CC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05456C2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703EEEC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018CA7C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5AC4D9D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556884C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310" w:name="OLE_LINK9"/>
      <w:bookmarkStart w:id="311" w:name="OLE_LINK10"/>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310"/>
      <w:bookmarkEnd w:id="311"/>
      <w:r>
        <w:rPr>
          <w:rFonts w:hint="eastAsia" w:ascii="宋体" w:hAnsi="宋体" w:eastAsia="宋体" w:cs="宋体"/>
          <w:b/>
          <w:color w:val="auto"/>
          <w:sz w:val="24"/>
          <w:szCs w:val="24"/>
          <w:highlight w:val="none"/>
        </w:rPr>
        <w:t>》、《</w:t>
      </w:r>
      <w:bookmarkStart w:id="312" w:name="OLE_LINK12"/>
      <w:bookmarkStart w:id="313" w:name="OLE_LINK11"/>
      <w:r>
        <w:rPr>
          <w:rFonts w:hint="eastAsia" w:ascii="宋体" w:hAnsi="宋体" w:eastAsia="宋体" w:cs="宋体"/>
          <w:b/>
          <w:color w:val="auto"/>
          <w:sz w:val="24"/>
          <w:szCs w:val="24"/>
          <w:highlight w:val="none"/>
        </w:rPr>
        <w:t>企业环境信用评价办法（试行）</w:t>
      </w:r>
      <w:bookmarkEnd w:id="312"/>
      <w:bookmarkEnd w:id="313"/>
      <w:r>
        <w:rPr>
          <w:rFonts w:hint="eastAsia" w:ascii="宋体" w:hAnsi="宋体" w:eastAsia="宋体" w:cs="宋体"/>
          <w:b/>
          <w:color w:val="auto"/>
          <w:sz w:val="24"/>
          <w:szCs w:val="24"/>
          <w:highlight w:val="none"/>
        </w:rPr>
        <w:t>》（环发〔2013〕150号）</w:t>
      </w:r>
    </w:p>
    <w:p w14:paraId="6AF56F88">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473A205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1C2ACAE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6E9BE01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60ECE0B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7B32E9F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19E936E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5D104A2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296C2B1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FF881E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79B6527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26F424D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29525DF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1CB82FA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5866B2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ECD17D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24BCEAA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272C027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11458B3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6428584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4E57D0F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314" w:name="OLE_LINK14"/>
      <w:bookmarkStart w:id="315" w:name="OLE_LINK13"/>
      <w:r>
        <w:rPr>
          <w:rFonts w:hint="eastAsia" w:ascii="宋体" w:hAnsi="宋体" w:eastAsia="宋体" w:cs="宋体"/>
          <w:b/>
          <w:color w:val="auto"/>
          <w:sz w:val="24"/>
          <w:szCs w:val="24"/>
          <w:highlight w:val="none"/>
        </w:rPr>
        <w:t>关于对公共资源交易领域严重失信主体开展联合惩戒的备忘录</w:t>
      </w:r>
      <w:bookmarkEnd w:id="314"/>
      <w:bookmarkEnd w:id="315"/>
      <w:r>
        <w:rPr>
          <w:rFonts w:hint="eastAsia" w:ascii="宋体" w:hAnsi="宋体" w:eastAsia="宋体" w:cs="宋体"/>
          <w:b/>
          <w:color w:val="auto"/>
          <w:sz w:val="24"/>
          <w:szCs w:val="24"/>
          <w:highlight w:val="none"/>
        </w:rPr>
        <w:t>》（发改法规〔2018〕457号）</w:t>
      </w:r>
    </w:p>
    <w:p w14:paraId="3F0A2F6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02416B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3E9BFB6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2BE709A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0940D06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111E07C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0C2A480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0109A2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027B7E4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6FFBB58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5A91A76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316" w:name="OLE_LINK15"/>
      <w:bookmarkStart w:id="317" w:name="OLE_LINK16"/>
      <w:r>
        <w:rPr>
          <w:rFonts w:hint="eastAsia" w:ascii="宋体" w:hAnsi="宋体" w:eastAsia="宋体" w:cs="宋体"/>
          <w:b/>
          <w:color w:val="auto"/>
          <w:sz w:val="24"/>
          <w:szCs w:val="24"/>
          <w:highlight w:val="none"/>
        </w:rPr>
        <w:t>关于对社会保险领域严重失信企业及其有关人员实施联合惩戒的合作备忘录</w:t>
      </w:r>
      <w:bookmarkEnd w:id="316"/>
      <w:bookmarkEnd w:id="317"/>
      <w:r>
        <w:rPr>
          <w:rFonts w:hint="eastAsia" w:ascii="宋体" w:hAnsi="宋体" w:eastAsia="宋体" w:cs="宋体"/>
          <w:b/>
          <w:color w:val="auto"/>
          <w:sz w:val="24"/>
          <w:szCs w:val="24"/>
          <w:highlight w:val="none"/>
        </w:rPr>
        <w:t>》（发改财金〔2018〕1704号）</w:t>
      </w:r>
    </w:p>
    <w:p w14:paraId="6C81D82B">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33BD3B0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4ACF416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0B27344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724BB77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36AE606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065B08E5">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318" w:name="OLE_LINK17"/>
      <w:bookmarkStart w:id="319" w:name="OLE_LINK18"/>
      <w:r>
        <w:rPr>
          <w:rFonts w:hint="eastAsia" w:ascii="宋体" w:hAnsi="宋体" w:eastAsia="宋体" w:cs="宋体"/>
          <w:b/>
          <w:color w:val="auto"/>
          <w:sz w:val="24"/>
          <w:szCs w:val="24"/>
          <w:highlight w:val="none"/>
        </w:rPr>
        <w:t>建筑市场信用管理暂行办法</w:t>
      </w:r>
      <w:bookmarkEnd w:id="318"/>
      <w:bookmarkEnd w:id="319"/>
      <w:r>
        <w:rPr>
          <w:rFonts w:hint="eastAsia" w:ascii="宋体" w:hAnsi="宋体" w:eastAsia="宋体" w:cs="宋体"/>
          <w:b/>
          <w:color w:val="auto"/>
          <w:sz w:val="24"/>
          <w:szCs w:val="24"/>
          <w:highlight w:val="none"/>
        </w:rPr>
        <w:t>》（建市〔2017〕241号）</w:t>
      </w:r>
    </w:p>
    <w:p w14:paraId="2EF15A5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320" w:name="OLE_LINK19"/>
      <w:bookmarkStart w:id="321" w:name="OLE_LINK20"/>
      <w:r>
        <w:rPr>
          <w:rFonts w:hint="eastAsia" w:ascii="宋体" w:hAnsi="宋体" w:eastAsia="宋体" w:cs="宋体"/>
          <w:b/>
          <w:color w:val="auto"/>
          <w:sz w:val="24"/>
          <w:szCs w:val="24"/>
          <w:highlight w:val="none"/>
        </w:rPr>
        <w:t>政府采购严重失信行为</w:t>
      </w:r>
      <w:bookmarkEnd w:id="320"/>
      <w:bookmarkEnd w:id="321"/>
    </w:p>
    <w:p w14:paraId="5A5A290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7BE39119">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172408B8">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color w:val="auto"/>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p w14:paraId="422158AD">
      <w:pPr>
        <w:spacing w:line="360" w:lineRule="auto"/>
        <w:ind w:firstLine="435"/>
        <w:rPr>
          <w:rFonts w:hint="eastAsia" w:ascii="宋体" w:hAnsi="宋体" w:eastAsia="宋体" w:cs="宋体"/>
          <w:color w:val="auto"/>
          <w:sz w:val="24"/>
          <w:highlight w:val="none"/>
          <w:lang w:eastAsia="zh-CN"/>
        </w:rPr>
      </w:pPr>
    </w:p>
    <w:p w14:paraId="614ADD83">
      <w:pPr>
        <w:rPr>
          <w:rFonts w:hint="eastAsia"/>
          <w:color w:val="auto"/>
          <w:highlight w:val="none"/>
        </w:rPr>
      </w:pPr>
    </w:p>
    <w:sectPr>
      <w:headerReference r:id="rId5" w:type="default"/>
      <w:footerReference r:id="rId6" w:type="default"/>
      <w:pgSz w:w="11906" w:h="16838"/>
      <w:pgMar w:top="1440" w:right="1633" w:bottom="1440" w:left="163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简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00A26">
    <w:pPr>
      <w:pStyle w:val="26"/>
      <w:tabs>
        <w:tab w:val="left" w:pos="7350"/>
      </w:tabs>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AC86A">
    <w:pPr>
      <w:pStyle w:val="2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7CC51B">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37CC51B">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7BEC">
    <w:pPr>
      <w:pStyle w:val="28"/>
      <w:pBdr>
        <w:bottom w:val="none" w:color="auto" w:sz="0" w:space="1"/>
      </w:pBdr>
      <w:jc w:val="left"/>
      <w:rPr>
        <w:rFonts w:hint="eastAsia"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B129">
    <w:pPr>
      <w:pStyle w:val="28"/>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92CC8"/>
    <w:multiLevelType w:val="multilevel"/>
    <w:tmpl w:val="97792CC8"/>
    <w:lvl w:ilvl="0" w:tentative="0">
      <w:start w:val="1"/>
      <w:numFmt w:val="bullet"/>
      <w:pStyle w:val="123"/>
      <w:suff w:val="nothing"/>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
    <w:nsid w:val="977EDDC8"/>
    <w:multiLevelType w:val="singleLevel"/>
    <w:tmpl w:val="977EDDC8"/>
    <w:lvl w:ilvl="0" w:tentative="0">
      <w:start w:val="1"/>
      <w:numFmt w:val="decimal"/>
      <w:lvlText w:val="%1."/>
      <w:lvlJc w:val="left"/>
      <w:pPr>
        <w:tabs>
          <w:tab w:val="left" w:pos="312"/>
        </w:tabs>
      </w:pPr>
    </w:lvl>
  </w:abstractNum>
  <w:abstractNum w:abstractNumId="2">
    <w:nsid w:val="9EF26BF2"/>
    <w:multiLevelType w:val="singleLevel"/>
    <w:tmpl w:val="9EF26BF2"/>
    <w:lvl w:ilvl="0" w:tentative="0">
      <w:start w:val="1"/>
      <w:numFmt w:val="decimal"/>
      <w:lvlText w:val="%1."/>
      <w:lvlJc w:val="left"/>
      <w:pPr>
        <w:tabs>
          <w:tab w:val="left" w:pos="312"/>
        </w:tabs>
      </w:pPr>
    </w:lvl>
  </w:abstractNum>
  <w:abstractNum w:abstractNumId="3">
    <w:nsid w:val="A6D7DE69"/>
    <w:multiLevelType w:val="singleLevel"/>
    <w:tmpl w:val="A6D7DE69"/>
    <w:lvl w:ilvl="0" w:tentative="0">
      <w:start w:val="1"/>
      <w:numFmt w:val="decimal"/>
      <w:suff w:val="nothing"/>
      <w:lvlText w:val="（%1）"/>
      <w:lvlJc w:val="left"/>
    </w:lvl>
  </w:abstractNum>
  <w:abstractNum w:abstractNumId="4">
    <w:nsid w:val="B7FB3266"/>
    <w:multiLevelType w:val="singleLevel"/>
    <w:tmpl w:val="B7FB3266"/>
    <w:lvl w:ilvl="0" w:tentative="0">
      <w:start w:val="1"/>
      <w:numFmt w:val="decimal"/>
      <w:suff w:val="nothing"/>
      <w:lvlText w:val="（%1）"/>
      <w:lvlJc w:val="left"/>
    </w:lvl>
  </w:abstractNum>
  <w:abstractNum w:abstractNumId="5">
    <w:nsid w:val="B9BEBC23"/>
    <w:multiLevelType w:val="singleLevel"/>
    <w:tmpl w:val="B9BEBC23"/>
    <w:lvl w:ilvl="0" w:tentative="0">
      <w:start w:val="1"/>
      <w:numFmt w:val="decimal"/>
      <w:suff w:val="nothing"/>
      <w:lvlText w:val="%1）"/>
      <w:lvlJc w:val="left"/>
    </w:lvl>
  </w:abstractNum>
  <w:abstractNum w:abstractNumId="6">
    <w:nsid w:val="BDFDB04C"/>
    <w:multiLevelType w:val="singleLevel"/>
    <w:tmpl w:val="BDFDB04C"/>
    <w:lvl w:ilvl="0" w:tentative="0">
      <w:start w:val="1"/>
      <w:numFmt w:val="decimal"/>
      <w:lvlText w:val="%1."/>
      <w:lvlJc w:val="left"/>
      <w:pPr>
        <w:tabs>
          <w:tab w:val="left" w:pos="312"/>
        </w:tabs>
      </w:pPr>
    </w:lvl>
  </w:abstractNum>
  <w:abstractNum w:abstractNumId="7">
    <w:nsid w:val="C7D23ECE"/>
    <w:multiLevelType w:val="singleLevel"/>
    <w:tmpl w:val="C7D23ECE"/>
    <w:lvl w:ilvl="0" w:tentative="0">
      <w:start w:val="1"/>
      <w:numFmt w:val="decimal"/>
      <w:lvlText w:val="%1."/>
      <w:lvlJc w:val="left"/>
      <w:pPr>
        <w:tabs>
          <w:tab w:val="left" w:pos="312"/>
        </w:tabs>
      </w:pPr>
    </w:lvl>
  </w:abstractNum>
  <w:abstractNum w:abstractNumId="8">
    <w:nsid w:val="C8E9BB90"/>
    <w:multiLevelType w:val="singleLevel"/>
    <w:tmpl w:val="C8E9BB90"/>
    <w:lvl w:ilvl="0" w:tentative="0">
      <w:start w:val="1"/>
      <w:numFmt w:val="decimal"/>
      <w:lvlText w:val="%1."/>
      <w:lvlJc w:val="left"/>
      <w:pPr>
        <w:tabs>
          <w:tab w:val="left" w:pos="312"/>
        </w:tabs>
      </w:pPr>
    </w:lvl>
  </w:abstractNum>
  <w:abstractNum w:abstractNumId="9">
    <w:nsid w:val="DFB4EE49"/>
    <w:multiLevelType w:val="singleLevel"/>
    <w:tmpl w:val="DFB4EE49"/>
    <w:lvl w:ilvl="0" w:tentative="0">
      <w:start w:val="1"/>
      <w:numFmt w:val="decimal"/>
      <w:lvlText w:val="%1."/>
      <w:lvlJc w:val="left"/>
      <w:pPr>
        <w:tabs>
          <w:tab w:val="left" w:pos="312"/>
        </w:tabs>
      </w:pPr>
    </w:lvl>
  </w:abstractNum>
  <w:abstractNum w:abstractNumId="10">
    <w:nsid w:val="EFABE184"/>
    <w:multiLevelType w:val="singleLevel"/>
    <w:tmpl w:val="EFABE184"/>
    <w:lvl w:ilvl="0" w:tentative="0">
      <w:start w:val="1"/>
      <w:numFmt w:val="decimal"/>
      <w:suff w:val="nothing"/>
      <w:lvlText w:val="（%1）"/>
      <w:lvlJc w:val="left"/>
    </w:lvl>
  </w:abstractNum>
  <w:abstractNum w:abstractNumId="11">
    <w:nsid w:val="EFBB983D"/>
    <w:multiLevelType w:val="singleLevel"/>
    <w:tmpl w:val="EFBB983D"/>
    <w:lvl w:ilvl="0" w:tentative="0">
      <w:start w:val="1"/>
      <w:numFmt w:val="decimal"/>
      <w:suff w:val="nothing"/>
      <w:lvlText w:val="（%1）"/>
      <w:lvlJc w:val="left"/>
    </w:lvl>
  </w:abstractNum>
  <w:abstractNum w:abstractNumId="12">
    <w:nsid w:val="F1FF4049"/>
    <w:multiLevelType w:val="singleLevel"/>
    <w:tmpl w:val="F1FF4049"/>
    <w:lvl w:ilvl="0" w:tentative="0">
      <w:start w:val="1"/>
      <w:numFmt w:val="decimal"/>
      <w:lvlText w:val="%1."/>
      <w:lvlJc w:val="left"/>
      <w:pPr>
        <w:tabs>
          <w:tab w:val="left" w:pos="312"/>
        </w:tabs>
      </w:pPr>
    </w:lvl>
  </w:abstractNum>
  <w:abstractNum w:abstractNumId="13">
    <w:nsid w:val="FC7D9877"/>
    <w:multiLevelType w:val="singleLevel"/>
    <w:tmpl w:val="FC7D9877"/>
    <w:lvl w:ilvl="0" w:tentative="0">
      <w:start w:val="1"/>
      <w:numFmt w:val="decimal"/>
      <w:suff w:val="nothing"/>
      <w:lvlText w:val="（%1）"/>
      <w:lvlJc w:val="left"/>
    </w:lvl>
  </w:abstractNum>
  <w:abstractNum w:abstractNumId="14">
    <w:nsid w:val="FD7F4B9A"/>
    <w:multiLevelType w:val="singleLevel"/>
    <w:tmpl w:val="FD7F4B9A"/>
    <w:lvl w:ilvl="0" w:tentative="0">
      <w:start w:val="1"/>
      <w:numFmt w:val="decimal"/>
      <w:suff w:val="nothing"/>
      <w:lvlText w:val="（%1）"/>
      <w:lvlJc w:val="left"/>
    </w:lvl>
  </w:abstractNum>
  <w:abstractNum w:abstractNumId="15">
    <w:nsid w:val="FE6FA4D0"/>
    <w:multiLevelType w:val="singleLevel"/>
    <w:tmpl w:val="FE6FA4D0"/>
    <w:lvl w:ilvl="0" w:tentative="0">
      <w:start w:val="1"/>
      <w:numFmt w:val="decimal"/>
      <w:lvlText w:val="%1."/>
      <w:lvlJc w:val="left"/>
      <w:pPr>
        <w:tabs>
          <w:tab w:val="left" w:pos="312"/>
        </w:tabs>
      </w:pPr>
    </w:lvl>
  </w:abstractNum>
  <w:abstractNum w:abstractNumId="16">
    <w:nsid w:val="FF229364"/>
    <w:multiLevelType w:val="singleLevel"/>
    <w:tmpl w:val="FF229364"/>
    <w:lvl w:ilvl="0" w:tentative="0">
      <w:start w:val="1"/>
      <w:numFmt w:val="decimal"/>
      <w:suff w:val="nothing"/>
      <w:lvlText w:val="%1）"/>
      <w:lvlJc w:val="left"/>
    </w:lvl>
  </w:abstractNum>
  <w:abstractNum w:abstractNumId="17">
    <w:nsid w:val="1CE9817F"/>
    <w:multiLevelType w:val="singleLevel"/>
    <w:tmpl w:val="1CE9817F"/>
    <w:lvl w:ilvl="0" w:tentative="0">
      <w:start w:val="6"/>
      <w:numFmt w:val="chineseCounting"/>
      <w:suff w:val="space"/>
      <w:lvlText w:val="第%1章"/>
      <w:lvlJc w:val="left"/>
      <w:rPr>
        <w:rFonts w:hint="eastAsia"/>
      </w:rPr>
    </w:lvl>
  </w:abstractNum>
  <w:abstractNum w:abstractNumId="18">
    <w:nsid w:val="2A064A37"/>
    <w:multiLevelType w:val="singleLevel"/>
    <w:tmpl w:val="2A064A37"/>
    <w:lvl w:ilvl="0" w:tentative="0">
      <w:start w:val="3"/>
      <w:numFmt w:val="chineseCounting"/>
      <w:suff w:val="space"/>
      <w:lvlText w:val="第%1章"/>
      <w:lvlJc w:val="left"/>
      <w:rPr>
        <w:rFonts w:hint="eastAsia"/>
      </w:rPr>
    </w:lvl>
  </w:abstractNum>
  <w:abstractNum w:abstractNumId="19">
    <w:nsid w:val="3256FCC9"/>
    <w:multiLevelType w:val="singleLevel"/>
    <w:tmpl w:val="3256FCC9"/>
    <w:lvl w:ilvl="0" w:tentative="0">
      <w:start w:val="8"/>
      <w:numFmt w:val="decimal"/>
      <w:lvlText w:val="%1."/>
      <w:lvlJc w:val="left"/>
      <w:pPr>
        <w:tabs>
          <w:tab w:val="left" w:pos="312"/>
        </w:tabs>
      </w:pPr>
    </w:lvl>
  </w:abstractNum>
  <w:abstractNum w:abstractNumId="20">
    <w:nsid w:val="41C215E9"/>
    <w:multiLevelType w:val="singleLevel"/>
    <w:tmpl w:val="41C215E9"/>
    <w:lvl w:ilvl="0" w:tentative="0">
      <w:start w:val="2"/>
      <w:numFmt w:val="chineseCounting"/>
      <w:suff w:val="nothing"/>
      <w:lvlText w:val="（%1）"/>
      <w:lvlJc w:val="left"/>
      <w:rPr>
        <w:rFonts w:hint="eastAsia"/>
      </w:rPr>
    </w:lvl>
  </w:abstractNum>
  <w:abstractNum w:abstractNumId="21">
    <w:nsid w:val="47EE864B"/>
    <w:multiLevelType w:val="singleLevel"/>
    <w:tmpl w:val="47EE864B"/>
    <w:lvl w:ilvl="0" w:tentative="0">
      <w:start w:val="1"/>
      <w:numFmt w:val="decimal"/>
      <w:lvlText w:val="%1."/>
      <w:lvlJc w:val="left"/>
      <w:pPr>
        <w:tabs>
          <w:tab w:val="left" w:pos="312"/>
        </w:tabs>
      </w:pPr>
    </w:lvl>
  </w:abstractNum>
  <w:abstractNum w:abstractNumId="22">
    <w:nsid w:val="4D006620"/>
    <w:multiLevelType w:val="singleLevel"/>
    <w:tmpl w:val="4D006620"/>
    <w:lvl w:ilvl="0" w:tentative="0">
      <w:start w:val="2"/>
      <w:numFmt w:val="chineseCounting"/>
      <w:suff w:val="nothing"/>
      <w:lvlText w:val="%1、"/>
      <w:lvlJc w:val="left"/>
      <w:rPr>
        <w:rFonts w:hint="eastAsia"/>
      </w:rPr>
    </w:lvl>
  </w:abstractNum>
  <w:abstractNum w:abstractNumId="23">
    <w:nsid w:val="4E5AE5E9"/>
    <w:multiLevelType w:val="singleLevel"/>
    <w:tmpl w:val="4E5AE5E9"/>
    <w:lvl w:ilvl="0" w:tentative="0">
      <w:start w:val="1"/>
      <w:numFmt w:val="decimal"/>
      <w:suff w:val="nothing"/>
      <w:lvlText w:val="（%1）"/>
      <w:lvlJc w:val="left"/>
    </w:lvl>
  </w:abstractNum>
  <w:abstractNum w:abstractNumId="24">
    <w:nsid w:val="57FBA019"/>
    <w:multiLevelType w:val="singleLevel"/>
    <w:tmpl w:val="57FBA019"/>
    <w:lvl w:ilvl="0" w:tentative="0">
      <w:start w:val="1"/>
      <w:numFmt w:val="decimal"/>
      <w:suff w:val="nothing"/>
      <w:lvlText w:val="（%1）"/>
      <w:lvlJc w:val="left"/>
    </w:lvl>
  </w:abstractNum>
  <w:abstractNum w:abstractNumId="25">
    <w:nsid w:val="774FB86B"/>
    <w:multiLevelType w:val="singleLevel"/>
    <w:tmpl w:val="774FB86B"/>
    <w:lvl w:ilvl="0" w:tentative="0">
      <w:start w:val="1"/>
      <w:numFmt w:val="decimal"/>
      <w:suff w:val="nothing"/>
      <w:lvlText w:val="（%1）"/>
      <w:lvlJc w:val="left"/>
    </w:lvl>
  </w:abstractNum>
  <w:abstractNum w:abstractNumId="26">
    <w:nsid w:val="779C5A09"/>
    <w:multiLevelType w:val="singleLevel"/>
    <w:tmpl w:val="779C5A09"/>
    <w:lvl w:ilvl="0" w:tentative="0">
      <w:start w:val="1"/>
      <w:numFmt w:val="decimal"/>
      <w:suff w:val="nothing"/>
      <w:lvlText w:val="（%1）"/>
      <w:lvlJc w:val="left"/>
    </w:lvl>
  </w:abstractNum>
  <w:abstractNum w:abstractNumId="27">
    <w:nsid w:val="7CFC04E9"/>
    <w:multiLevelType w:val="singleLevel"/>
    <w:tmpl w:val="7CFC04E9"/>
    <w:lvl w:ilvl="0" w:tentative="0">
      <w:start w:val="1"/>
      <w:numFmt w:val="decimal"/>
      <w:suff w:val="nothing"/>
      <w:lvlText w:val="（%1）"/>
      <w:lvlJc w:val="left"/>
    </w:lvl>
  </w:abstractNum>
  <w:num w:numId="1">
    <w:abstractNumId w:val="0"/>
  </w:num>
  <w:num w:numId="2">
    <w:abstractNumId w:val="19"/>
  </w:num>
  <w:num w:numId="3">
    <w:abstractNumId w:val="18"/>
  </w:num>
  <w:num w:numId="4">
    <w:abstractNumId w:val="22"/>
  </w:num>
  <w:num w:numId="5">
    <w:abstractNumId w:val="12"/>
  </w:num>
  <w:num w:numId="6">
    <w:abstractNumId w:val="7"/>
  </w:num>
  <w:num w:numId="7">
    <w:abstractNumId w:val="8"/>
  </w:num>
  <w:num w:numId="8">
    <w:abstractNumId w:val="14"/>
  </w:num>
  <w:num w:numId="9">
    <w:abstractNumId w:val="27"/>
  </w:num>
  <w:num w:numId="10">
    <w:abstractNumId w:val="25"/>
  </w:num>
  <w:num w:numId="11">
    <w:abstractNumId w:val="9"/>
  </w:num>
  <w:num w:numId="12">
    <w:abstractNumId w:val="6"/>
  </w:num>
  <w:num w:numId="13">
    <w:abstractNumId w:val="21"/>
  </w:num>
  <w:num w:numId="14">
    <w:abstractNumId w:val="15"/>
  </w:num>
  <w:num w:numId="15">
    <w:abstractNumId w:val="1"/>
  </w:num>
  <w:num w:numId="16">
    <w:abstractNumId w:val="10"/>
  </w:num>
  <w:num w:numId="17">
    <w:abstractNumId w:val="20"/>
  </w:num>
  <w:num w:numId="18">
    <w:abstractNumId w:val="2"/>
  </w:num>
  <w:num w:numId="19">
    <w:abstractNumId w:val="11"/>
  </w:num>
  <w:num w:numId="20">
    <w:abstractNumId w:val="4"/>
  </w:num>
  <w:num w:numId="21">
    <w:abstractNumId w:val="24"/>
  </w:num>
  <w:num w:numId="22">
    <w:abstractNumId w:val="23"/>
  </w:num>
  <w:num w:numId="23">
    <w:abstractNumId w:val="3"/>
  </w:num>
  <w:num w:numId="24">
    <w:abstractNumId w:val="5"/>
  </w:num>
  <w:num w:numId="25">
    <w:abstractNumId w:val="16"/>
  </w:num>
  <w:num w:numId="26">
    <w:abstractNumId w:val="13"/>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TBmMTYwZTc0Zjg5OGIzYTc1NmUyYzVjNTZjOWMifQ=="/>
    <w:docVar w:name="KSO_WPS_MARK_KEY" w:val="e816610a-0a8e-4bcd-8a34-cae36f09e229"/>
  </w:docVars>
  <w:rsids>
    <w:rsidRoot w:val="00276BA1"/>
    <w:rsid w:val="0000043F"/>
    <w:rsid w:val="00003F56"/>
    <w:rsid w:val="000049DA"/>
    <w:rsid w:val="00004F40"/>
    <w:rsid w:val="000056B7"/>
    <w:rsid w:val="00012A13"/>
    <w:rsid w:val="000131F7"/>
    <w:rsid w:val="00013B38"/>
    <w:rsid w:val="00016B6C"/>
    <w:rsid w:val="00017D40"/>
    <w:rsid w:val="00017EC7"/>
    <w:rsid w:val="00020B57"/>
    <w:rsid w:val="00026768"/>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4943"/>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0F7B24"/>
    <w:rsid w:val="00100B0F"/>
    <w:rsid w:val="0010187C"/>
    <w:rsid w:val="001037E3"/>
    <w:rsid w:val="00106AE1"/>
    <w:rsid w:val="00110911"/>
    <w:rsid w:val="00113042"/>
    <w:rsid w:val="00116A70"/>
    <w:rsid w:val="0012143A"/>
    <w:rsid w:val="001222C6"/>
    <w:rsid w:val="00126A7B"/>
    <w:rsid w:val="001303BB"/>
    <w:rsid w:val="00136D80"/>
    <w:rsid w:val="00137C7C"/>
    <w:rsid w:val="00140687"/>
    <w:rsid w:val="00141707"/>
    <w:rsid w:val="00142AAF"/>
    <w:rsid w:val="00143940"/>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01E"/>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A7F45"/>
    <w:rsid w:val="001B21DF"/>
    <w:rsid w:val="001B2A54"/>
    <w:rsid w:val="001B5014"/>
    <w:rsid w:val="001B501E"/>
    <w:rsid w:val="001B7327"/>
    <w:rsid w:val="001C1409"/>
    <w:rsid w:val="001C67F2"/>
    <w:rsid w:val="001D4358"/>
    <w:rsid w:val="001D457B"/>
    <w:rsid w:val="001D53B4"/>
    <w:rsid w:val="001D7FD1"/>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67521"/>
    <w:rsid w:val="00271245"/>
    <w:rsid w:val="00272CB9"/>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93C"/>
    <w:rsid w:val="002B6D27"/>
    <w:rsid w:val="002C3776"/>
    <w:rsid w:val="002C4BA9"/>
    <w:rsid w:val="002D1258"/>
    <w:rsid w:val="002D128A"/>
    <w:rsid w:val="002D2965"/>
    <w:rsid w:val="002D3D02"/>
    <w:rsid w:val="002D4CB5"/>
    <w:rsid w:val="002D684B"/>
    <w:rsid w:val="002E3B26"/>
    <w:rsid w:val="002E4AB8"/>
    <w:rsid w:val="002F092B"/>
    <w:rsid w:val="002F298D"/>
    <w:rsid w:val="002F5981"/>
    <w:rsid w:val="002F72EE"/>
    <w:rsid w:val="00310070"/>
    <w:rsid w:val="003110EC"/>
    <w:rsid w:val="00313029"/>
    <w:rsid w:val="00324D38"/>
    <w:rsid w:val="00327C92"/>
    <w:rsid w:val="0033245B"/>
    <w:rsid w:val="00333292"/>
    <w:rsid w:val="003344E7"/>
    <w:rsid w:val="0033580B"/>
    <w:rsid w:val="0033628B"/>
    <w:rsid w:val="003365E7"/>
    <w:rsid w:val="003374F8"/>
    <w:rsid w:val="003378D5"/>
    <w:rsid w:val="003419E9"/>
    <w:rsid w:val="003447AE"/>
    <w:rsid w:val="003473D7"/>
    <w:rsid w:val="00351AC8"/>
    <w:rsid w:val="00353075"/>
    <w:rsid w:val="00363E02"/>
    <w:rsid w:val="00367834"/>
    <w:rsid w:val="00373A96"/>
    <w:rsid w:val="003826C2"/>
    <w:rsid w:val="00383728"/>
    <w:rsid w:val="00383B8D"/>
    <w:rsid w:val="00391586"/>
    <w:rsid w:val="00394128"/>
    <w:rsid w:val="003947A4"/>
    <w:rsid w:val="00395235"/>
    <w:rsid w:val="0039561A"/>
    <w:rsid w:val="00397C7D"/>
    <w:rsid w:val="003A004F"/>
    <w:rsid w:val="003A20B5"/>
    <w:rsid w:val="003B4130"/>
    <w:rsid w:val="003B65AB"/>
    <w:rsid w:val="003B67D3"/>
    <w:rsid w:val="003B6C76"/>
    <w:rsid w:val="003B715B"/>
    <w:rsid w:val="003C4630"/>
    <w:rsid w:val="003D1D14"/>
    <w:rsid w:val="003D6C7C"/>
    <w:rsid w:val="003D6EFB"/>
    <w:rsid w:val="003D7E52"/>
    <w:rsid w:val="003E1F34"/>
    <w:rsid w:val="003E25C6"/>
    <w:rsid w:val="003E6BEB"/>
    <w:rsid w:val="003F145B"/>
    <w:rsid w:val="003F2122"/>
    <w:rsid w:val="003F326A"/>
    <w:rsid w:val="004011AA"/>
    <w:rsid w:val="0040202C"/>
    <w:rsid w:val="00406508"/>
    <w:rsid w:val="0041456E"/>
    <w:rsid w:val="00414F7E"/>
    <w:rsid w:val="004164F8"/>
    <w:rsid w:val="00416830"/>
    <w:rsid w:val="00417FD0"/>
    <w:rsid w:val="00420B7F"/>
    <w:rsid w:val="004234BA"/>
    <w:rsid w:val="0042488B"/>
    <w:rsid w:val="00427732"/>
    <w:rsid w:val="004427B7"/>
    <w:rsid w:val="0044349F"/>
    <w:rsid w:val="00445F1F"/>
    <w:rsid w:val="00451F60"/>
    <w:rsid w:val="00452BB2"/>
    <w:rsid w:val="00453527"/>
    <w:rsid w:val="00455467"/>
    <w:rsid w:val="0045656D"/>
    <w:rsid w:val="004578E0"/>
    <w:rsid w:val="00462D98"/>
    <w:rsid w:val="004700D9"/>
    <w:rsid w:val="00472A44"/>
    <w:rsid w:val="00473A89"/>
    <w:rsid w:val="004745C6"/>
    <w:rsid w:val="00474D3B"/>
    <w:rsid w:val="00475899"/>
    <w:rsid w:val="004802A8"/>
    <w:rsid w:val="00482C78"/>
    <w:rsid w:val="004874AE"/>
    <w:rsid w:val="00492E2B"/>
    <w:rsid w:val="00494D24"/>
    <w:rsid w:val="004951D1"/>
    <w:rsid w:val="004A27D0"/>
    <w:rsid w:val="004A4D67"/>
    <w:rsid w:val="004A6A90"/>
    <w:rsid w:val="004A6FD2"/>
    <w:rsid w:val="004B2D4C"/>
    <w:rsid w:val="004C7378"/>
    <w:rsid w:val="004D1030"/>
    <w:rsid w:val="004D3D4B"/>
    <w:rsid w:val="004D5498"/>
    <w:rsid w:val="004D66A5"/>
    <w:rsid w:val="004D6B00"/>
    <w:rsid w:val="004D7951"/>
    <w:rsid w:val="004E0AE0"/>
    <w:rsid w:val="004E1D50"/>
    <w:rsid w:val="004E502F"/>
    <w:rsid w:val="004E6C6A"/>
    <w:rsid w:val="004F0396"/>
    <w:rsid w:val="00501382"/>
    <w:rsid w:val="00501E26"/>
    <w:rsid w:val="00503E2F"/>
    <w:rsid w:val="005054B9"/>
    <w:rsid w:val="00506E4F"/>
    <w:rsid w:val="00510798"/>
    <w:rsid w:val="005146A9"/>
    <w:rsid w:val="00514ED8"/>
    <w:rsid w:val="00515F12"/>
    <w:rsid w:val="00522B2E"/>
    <w:rsid w:val="00524A11"/>
    <w:rsid w:val="00525BEE"/>
    <w:rsid w:val="00527768"/>
    <w:rsid w:val="005327FB"/>
    <w:rsid w:val="00533FCA"/>
    <w:rsid w:val="0053524C"/>
    <w:rsid w:val="00541C0B"/>
    <w:rsid w:val="0054317E"/>
    <w:rsid w:val="00544C2A"/>
    <w:rsid w:val="00546D49"/>
    <w:rsid w:val="005512EB"/>
    <w:rsid w:val="00556D4C"/>
    <w:rsid w:val="005614B4"/>
    <w:rsid w:val="005616B5"/>
    <w:rsid w:val="00571315"/>
    <w:rsid w:val="0057573B"/>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038CC"/>
    <w:rsid w:val="00610A66"/>
    <w:rsid w:val="00613177"/>
    <w:rsid w:val="00613F7C"/>
    <w:rsid w:val="00614BF2"/>
    <w:rsid w:val="0061618E"/>
    <w:rsid w:val="00620560"/>
    <w:rsid w:val="006208CB"/>
    <w:rsid w:val="006224B8"/>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F12"/>
    <w:rsid w:val="00662EE8"/>
    <w:rsid w:val="00663813"/>
    <w:rsid w:val="00663C3B"/>
    <w:rsid w:val="00664AFD"/>
    <w:rsid w:val="00667567"/>
    <w:rsid w:val="006737B6"/>
    <w:rsid w:val="0067391A"/>
    <w:rsid w:val="00674173"/>
    <w:rsid w:val="00674602"/>
    <w:rsid w:val="0067535A"/>
    <w:rsid w:val="00683CA0"/>
    <w:rsid w:val="00690CD9"/>
    <w:rsid w:val="00690DB1"/>
    <w:rsid w:val="00693404"/>
    <w:rsid w:val="006953D9"/>
    <w:rsid w:val="00697FE9"/>
    <w:rsid w:val="006A5FEE"/>
    <w:rsid w:val="006B1242"/>
    <w:rsid w:val="006B1DBC"/>
    <w:rsid w:val="006B61B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4AD"/>
    <w:rsid w:val="00702CF1"/>
    <w:rsid w:val="00703635"/>
    <w:rsid w:val="007054AA"/>
    <w:rsid w:val="00706D4B"/>
    <w:rsid w:val="00707B8C"/>
    <w:rsid w:val="00710804"/>
    <w:rsid w:val="0071110A"/>
    <w:rsid w:val="00711FC6"/>
    <w:rsid w:val="007130B1"/>
    <w:rsid w:val="00715071"/>
    <w:rsid w:val="0072140F"/>
    <w:rsid w:val="007231E9"/>
    <w:rsid w:val="00727C59"/>
    <w:rsid w:val="00734E5D"/>
    <w:rsid w:val="00735AF1"/>
    <w:rsid w:val="00736013"/>
    <w:rsid w:val="00737661"/>
    <w:rsid w:val="00753D83"/>
    <w:rsid w:val="00755D75"/>
    <w:rsid w:val="00756245"/>
    <w:rsid w:val="0076130F"/>
    <w:rsid w:val="00761662"/>
    <w:rsid w:val="00764043"/>
    <w:rsid w:val="007757CF"/>
    <w:rsid w:val="00776FFC"/>
    <w:rsid w:val="0078128F"/>
    <w:rsid w:val="0078683C"/>
    <w:rsid w:val="00790EDB"/>
    <w:rsid w:val="00791538"/>
    <w:rsid w:val="007918F0"/>
    <w:rsid w:val="00791CD5"/>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5E4A"/>
    <w:rsid w:val="007F5C72"/>
    <w:rsid w:val="00801028"/>
    <w:rsid w:val="00802CE2"/>
    <w:rsid w:val="00803793"/>
    <w:rsid w:val="008043CA"/>
    <w:rsid w:val="0080643F"/>
    <w:rsid w:val="00814052"/>
    <w:rsid w:val="008149FD"/>
    <w:rsid w:val="00817A01"/>
    <w:rsid w:val="0082083B"/>
    <w:rsid w:val="00824F21"/>
    <w:rsid w:val="0082500C"/>
    <w:rsid w:val="00825E35"/>
    <w:rsid w:val="0083320B"/>
    <w:rsid w:val="008334F8"/>
    <w:rsid w:val="008341AA"/>
    <w:rsid w:val="00835D8E"/>
    <w:rsid w:val="008372F6"/>
    <w:rsid w:val="008377CA"/>
    <w:rsid w:val="00844D03"/>
    <w:rsid w:val="00847B0F"/>
    <w:rsid w:val="00847DBC"/>
    <w:rsid w:val="00852994"/>
    <w:rsid w:val="00873D89"/>
    <w:rsid w:val="00876659"/>
    <w:rsid w:val="00876677"/>
    <w:rsid w:val="0087734C"/>
    <w:rsid w:val="008812EE"/>
    <w:rsid w:val="00882141"/>
    <w:rsid w:val="00887E3B"/>
    <w:rsid w:val="008922A8"/>
    <w:rsid w:val="00895728"/>
    <w:rsid w:val="00895BD5"/>
    <w:rsid w:val="0089742B"/>
    <w:rsid w:val="008A16C4"/>
    <w:rsid w:val="008A6FED"/>
    <w:rsid w:val="008B39C5"/>
    <w:rsid w:val="008B51AA"/>
    <w:rsid w:val="008B5AE0"/>
    <w:rsid w:val="008B7932"/>
    <w:rsid w:val="008C4704"/>
    <w:rsid w:val="008C67F2"/>
    <w:rsid w:val="008D064A"/>
    <w:rsid w:val="008D0FDB"/>
    <w:rsid w:val="008D2B0F"/>
    <w:rsid w:val="008D30BC"/>
    <w:rsid w:val="008D4BC4"/>
    <w:rsid w:val="008E449E"/>
    <w:rsid w:val="008E7062"/>
    <w:rsid w:val="008F187F"/>
    <w:rsid w:val="008F402F"/>
    <w:rsid w:val="008F55FA"/>
    <w:rsid w:val="008F5CEE"/>
    <w:rsid w:val="008F613F"/>
    <w:rsid w:val="008F76E8"/>
    <w:rsid w:val="008F7CD0"/>
    <w:rsid w:val="00902902"/>
    <w:rsid w:val="00902A4B"/>
    <w:rsid w:val="009078A1"/>
    <w:rsid w:val="00911E9C"/>
    <w:rsid w:val="00915083"/>
    <w:rsid w:val="00917405"/>
    <w:rsid w:val="00920035"/>
    <w:rsid w:val="00920F7C"/>
    <w:rsid w:val="00922958"/>
    <w:rsid w:val="00934CAE"/>
    <w:rsid w:val="0094257D"/>
    <w:rsid w:val="00942F60"/>
    <w:rsid w:val="0095211B"/>
    <w:rsid w:val="0095467C"/>
    <w:rsid w:val="00954A61"/>
    <w:rsid w:val="00955C6F"/>
    <w:rsid w:val="00966C7B"/>
    <w:rsid w:val="009701DC"/>
    <w:rsid w:val="009715D8"/>
    <w:rsid w:val="00976F32"/>
    <w:rsid w:val="00980D0D"/>
    <w:rsid w:val="00985C4B"/>
    <w:rsid w:val="00994568"/>
    <w:rsid w:val="00995BF9"/>
    <w:rsid w:val="00997C3C"/>
    <w:rsid w:val="009A0CAF"/>
    <w:rsid w:val="009A1474"/>
    <w:rsid w:val="009A2207"/>
    <w:rsid w:val="009A5147"/>
    <w:rsid w:val="009A74C4"/>
    <w:rsid w:val="009B02D2"/>
    <w:rsid w:val="009B6C42"/>
    <w:rsid w:val="009B6CC2"/>
    <w:rsid w:val="009D31F7"/>
    <w:rsid w:val="009D32C2"/>
    <w:rsid w:val="009D50DB"/>
    <w:rsid w:val="009D72A0"/>
    <w:rsid w:val="009D7989"/>
    <w:rsid w:val="009E3A0A"/>
    <w:rsid w:val="009F26D4"/>
    <w:rsid w:val="009F3E91"/>
    <w:rsid w:val="009F6CE7"/>
    <w:rsid w:val="009F7D7D"/>
    <w:rsid w:val="00A01670"/>
    <w:rsid w:val="00A1499B"/>
    <w:rsid w:val="00A20879"/>
    <w:rsid w:val="00A20AFC"/>
    <w:rsid w:val="00A23E47"/>
    <w:rsid w:val="00A314C2"/>
    <w:rsid w:val="00A43B9C"/>
    <w:rsid w:val="00A53155"/>
    <w:rsid w:val="00A546B5"/>
    <w:rsid w:val="00A566C5"/>
    <w:rsid w:val="00A56FFA"/>
    <w:rsid w:val="00A577AE"/>
    <w:rsid w:val="00A61D4E"/>
    <w:rsid w:val="00A63E86"/>
    <w:rsid w:val="00A65A1C"/>
    <w:rsid w:val="00A757C3"/>
    <w:rsid w:val="00A75E5B"/>
    <w:rsid w:val="00A7684A"/>
    <w:rsid w:val="00A80B42"/>
    <w:rsid w:val="00A82AED"/>
    <w:rsid w:val="00A83B69"/>
    <w:rsid w:val="00A86533"/>
    <w:rsid w:val="00A9176A"/>
    <w:rsid w:val="00A91CA2"/>
    <w:rsid w:val="00A92FB8"/>
    <w:rsid w:val="00A93B2F"/>
    <w:rsid w:val="00A948F1"/>
    <w:rsid w:val="00AA1D7D"/>
    <w:rsid w:val="00AA7525"/>
    <w:rsid w:val="00AB0EA9"/>
    <w:rsid w:val="00AB139D"/>
    <w:rsid w:val="00AB2C46"/>
    <w:rsid w:val="00AB3EFB"/>
    <w:rsid w:val="00AB5EF7"/>
    <w:rsid w:val="00AB6862"/>
    <w:rsid w:val="00AC0B05"/>
    <w:rsid w:val="00AC763F"/>
    <w:rsid w:val="00AD079A"/>
    <w:rsid w:val="00AD1890"/>
    <w:rsid w:val="00AE2149"/>
    <w:rsid w:val="00AE33AE"/>
    <w:rsid w:val="00AE3785"/>
    <w:rsid w:val="00AE3F91"/>
    <w:rsid w:val="00AE452F"/>
    <w:rsid w:val="00AE76E6"/>
    <w:rsid w:val="00B00ACC"/>
    <w:rsid w:val="00B02A45"/>
    <w:rsid w:val="00B039E3"/>
    <w:rsid w:val="00B043C1"/>
    <w:rsid w:val="00B122AC"/>
    <w:rsid w:val="00B22838"/>
    <w:rsid w:val="00B27D52"/>
    <w:rsid w:val="00B32BC1"/>
    <w:rsid w:val="00B33E95"/>
    <w:rsid w:val="00B34EE1"/>
    <w:rsid w:val="00B35B5E"/>
    <w:rsid w:val="00B36871"/>
    <w:rsid w:val="00B3720B"/>
    <w:rsid w:val="00B40EE3"/>
    <w:rsid w:val="00B4535A"/>
    <w:rsid w:val="00B55271"/>
    <w:rsid w:val="00B5558A"/>
    <w:rsid w:val="00B56513"/>
    <w:rsid w:val="00B56B2E"/>
    <w:rsid w:val="00B56D57"/>
    <w:rsid w:val="00B63031"/>
    <w:rsid w:val="00B64376"/>
    <w:rsid w:val="00B71533"/>
    <w:rsid w:val="00B7157A"/>
    <w:rsid w:val="00B73B2A"/>
    <w:rsid w:val="00B7401F"/>
    <w:rsid w:val="00B806A7"/>
    <w:rsid w:val="00B806C3"/>
    <w:rsid w:val="00B838F5"/>
    <w:rsid w:val="00B84FCA"/>
    <w:rsid w:val="00B877BA"/>
    <w:rsid w:val="00B9089F"/>
    <w:rsid w:val="00B91AEE"/>
    <w:rsid w:val="00B931D5"/>
    <w:rsid w:val="00B94F71"/>
    <w:rsid w:val="00B95F5A"/>
    <w:rsid w:val="00B96EAD"/>
    <w:rsid w:val="00BA22AF"/>
    <w:rsid w:val="00BA4121"/>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6D98"/>
    <w:rsid w:val="00BE3B54"/>
    <w:rsid w:val="00BF376F"/>
    <w:rsid w:val="00BF46A6"/>
    <w:rsid w:val="00BF5AE0"/>
    <w:rsid w:val="00BF62CF"/>
    <w:rsid w:val="00BF6B98"/>
    <w:rsid w:val="00BF73D6"/>
    <w:rsid w:val="00C01467"/>
    <w:rsid w:val="00C06545"/>
    <w:rsid w:val="00C1161C"/>
    <w:rsid w:val="00C134EE"/>
    <w:rsid w:val="00C17F66"/>
    <w:rsid w:val="00C220FC"/>
    <w:rsid w:val="00C23C86"/>
    <w:rsid w:val="00C24DFA"/>
    <w:rsid w:val="00C314B9"/>
    <w:rsid w:val="00C35561"/>
    <w:rsid w:val="00C4202A"/>
    <w:rsid w:val="00C4211F"/>
    <w:rsid w:val="00C445D3"/>
    <w:rsid w:val="00C46A36"/>
    <w:rsid w:val="00C47037"/>
    <w:rsid w:val="00C53625"/>
    <w:rsid w:val="00C602C1"/>
    <w:rsid w:val="00C60C6D"/>
    <w:rsid w:val="00C61C98"/>
    <w:rsid w:val="00C63FC0"/>
    <w:rsid w:val="00C66392"/>
    <w:rsid w:val="00C74C5E"/>
    <w:rsid w:val="00C77487"/>
    <w:rsid w:val="00C77C9A"/>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0EF6"/>
    <w:rsid w:val="00CE2486"/>
    <w:rsid w:val="00CE4913"/>
    <w:rsid w:val="00CE66BD"/>
    <w:rsid w:val="00CF0671"/>
    <w:rsid w:val="00CF44AD"/>
    <w:rsid w:val="00CF4FC0"/>
    <w:rsid w:val="00CF7642"/>
    <w:rsid w:val="00D00717"/>
    <w:rsid w:val="00D03909"/>
    <w:rsid w:val="00D1072F"/>
    <w:rsid w:val="00D108A5"/>
    <w:rsid w:val="00D131F9"/>
    <w:rsid w:val="00D14585"/>
    <w:rsid w:val="00D20EFF"/>
    <w:rsid w:val="00D30F1B"/>
    <w:rsid w:val="00D30FC0"/>
    <w:rsid w:val="00D34F0D"/>
    <w:rsid w:val="00D3516E"/>
    <w:rsid w:val="00D36FE8"/>
    <w:rsid w:val="00D4064C"/>
    <w:rsid w:val="00D47F9F"/>
    <w:rsid w:val="00D50E65"/>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ADD"/>
    <w:rsid w:val="00D853B5"/>
    <w:rsid w:val="00D86779"/>
    <w:rsid w:val="00D86EE1"/>
    <w:rsid w:val="00D9120E"/>
    <w:rsid w:val="00D913B1"/>
    <w:rsid w:val="00D93793"/>
    <w:rsid w:val="00D96126"/>
    <w:rsid w:val="00DB0C4C"/>
    <w:rsid w:val="00DB3F2F"/>
    <w:rsid w:val="00DB4B1C"/>
    <w:rsid w:val="00DB5085"/>
    <w:rsid w:val="00DB7706"/>
    <w:rsid w:val="00DC1062"/>
    <w:rsid w:val="00DC132C"/>
    <w:rsid w:val="00DC774B"/>
    <w:rsid w:val="00DD0DA9"/>
    <w:rsid w:val="00DD43F0"/>
    <w:rsid w:val="00DD44DE"/>
    <w:rsid w:val="00DD4C46"/>
    <w:rsid w:val="00DE09AB"/>
    <w:rsid w:val="00DE168E"/>
    <w:rsid w:val="00DE4A3F"/>
    <w:rsid w:val="00DE4E53"/>
    <w:rsid w:val="00DE7AE9"/>
    <w:rsid w:val="00DF4367"/>
    <w:rsid w:val="00E0574A"/>
    <w:rsid w:val="00E113BD"/>
    <w:rsid w:val="00E1243D"/>
    <w:rsid w:val="00E12588"/>
    <w:rsid w:val="00E12742"/>
    <w:rsid w:val="00E12E4A"/>
    <w:rsid w:val="00E146D4"/>
    <w:rsid w:val="00E20976"/>
    <w:rsid w:val="00E22079"/>
    <w:rsid w:val="00E22B44"/>
    <w:rsid w:val="00E236D8"/>
    <w:rsid w:val="00E30ACD"/>
    <w:rsid w:val="00E3184B"/>
    <w:rsid w:val="00E32735"/>
    <w:rsid w:val="00E5391D"/>
    <w:rsid w:val="00E544E5"/>
    <w:rsid w:val="00E6033F"/>
    <w:rsid w:val="00E61364"/>
    <w:rsid w:val="00E66E36"/>
    <w:rsid w:val="00E6781E"/>
    <w:rsid w:val="00E702ED"/>
    <w:rsid w:val="00E705CC"/>
    <w:rsid w:val="00E709A4"/>
    <w:rsid w:val="00E72C29"/>
    <w:rsid w:val="00E73822"/>
    <w:rsid w:val="00E772DB"/>
    <w:rsid w:val="00E8418F"/>
    <w:rsid w:val="00E86012"/>
    <w:rsid w:val="00E86BAB"/>
    <w:rsid w:val="00E901A1"/>
    <w:rsid w:val="00E94E10"/>
    <w:rsid w:val="00E954BD"/>
    <w:rsid w:val="00E96743"/>
    <w:rsid w:val="00E96A42"/>
    <w:rsid w:val="00EA0A36"/>
    <w:rsid w:val="00EA49C5"/>
    <w:rsid w:val="00EB1C1C"/>
    <w:rsid w:val="00EB5027"/>
    <w:rsid w:val="00EB73C2"/>
    <w:rsid w:val="00EC1836"/>
    <w:rsid w:val="00EC3990"/>
    <w:rsid w:val="00EC484B"/>
    <w:rsid w:val="00ED15FA"/>
    <w:rsid w:val="00ED1E00"/>
    <w:rsid w:val="00EE228F"/>
    <w:rsid w:val="00EE238D"/>
    <w:rsid w:val="00EE6E9A"/>
    <w:rsid w:val="00EF0BF1"/>
    <w:rsid w:val="00EF27DA"/>
    <w:rsid w:val="00EF2AC4"/>
    <w:rsid w:val="00EF397E"/>
    <w:rsid w:val="00F02771"/>
    <w:rsid w:val="00F06F68"/>
    <w:rsid w:val="00F10B01"/>
    <w:rsid w:val="00F1332D"/>
    <w:rsid w:val="00F1534B"/>
    <w:rsid w:val="00F1713B"/>
    <w:rsid w:val="00F212CB"/>
    <w:rsid w:val="00F23C7D"/>
    <w:rsid w:val="00F243DB"/>
    <w:rsid w:val="00F24C2D"/>
    <w:rsid w:val="00F24F1B"/>
    <w:rsid w:val="00F253D4"/>
    <w:rsid w:val="00F27356"/>
    <w:rsid w:val="00F31A2C"/>
    <w:rsid w:val="00F32A81"/>
    <w:rsid w:val="00F40B69"/>
    <w:rsid w:val="00F46998"/>
    <w:rsid w:val="00F47100"/>
    <w:rsid w:val="00F5382D"/>
    <w:rsid w:val="00F53D9C"/>
    <w:rsid w:val="00F5462B"/>
    <w:rsid w:val="00F56073"/>
    <w:rsid w:val="00F634AD"/>
    <w:rsid w:val="00F63677"/>
    <w:rsid w:val="00F63ABE"/>
    <w:rsid w:val="00F72EE6"/>
    <w:rsid w:val="00F75B81"/>
    <w:rsid w:val="00F804C4"/>
    <w:rsid w:val="00F805CC"/>
    <w:rsid w:val="00F82F83"/>
    <w:rsid w:val="00F832E5"/>
    <w:rsid w:val="00F90F40"/>
    <w:rsid w:val="00F9187D"/>
    <w:rsid w:val="00F92B30"/>
    <w:rsid w:val="00F933B9"/>
    <w:rsid w:val="00F94674"/>
    <w:rsid w:val="00F94919"/>
    <w:rsid w:val="00F94A59"/>
    <w:rsid w:val="00FA25B6"/>
    <w:rsid w:val="00FA2FAF"/>
    <w:rsid w:val="00FA5CCF"/>
    <w:rsid w:val="00FA64B1"/>
    <w:rsid w:val="00FA70F3"/>
    <w:rsid w:val="00FA71CD"/>
    <w:rsid w:val="00FA7FC5"/>
    <w:rsid w:val="00FB0453"/>
    <w:rsid w:val="00FB0C07"/>
    <w:rsid w:val="00FB298D"/>
    <w:rsid w:val="00FC1439"/>
    <w:rsid w:val="00FC3706"/>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2F73"/>
    <w:rsid w:val="00FF44E0"/>
    <w:rsid w:val="00FF4CB6"/>
    <w:rsid w:val="00FF5834"/>
    <w:rsid w:val="00FF6C72"/>
    <w:rsid w:val="010D427B"/>
    <w:rsid w:val="017C6D0A"/>
    <w:rsid w:val="01BA73E4"/>
    <w:rsid w:val="01D6608B"/>
    <w:rsid w:val="01D84625"/>
    <w:rsid w:val="01E74ACC"/>
    <w:rsid w:val="02092C94"/>
    <w:rsid w:val="02105DD0"/>
    <w:rsid w:val="0214602E"/>
    <w:rsid w:val="022278B2"/>
    <w:rsid w:val="023A4BFB"/>
    <w:rsid w:val="02661E94"/>
    <w:rsid w:val="02810A7C"/>
    <w:rsid w:val="0288005D"/>
    <w:rsid w:val="02B20C36"/>
    <w:rsid w:val="02B50726"/>
    <w:rsid w:val="02D87D3E"/>
    <w:rsid w:val="02EC7E74"/>
    <w:rsid w:val="03327FC8"/>
    <w:rsid w:val="03466855"/>
    <w:rsid w:val="03486B27"/>
    <w:rsid w:val="035644BB"/>
    <w:rsid w:val="037C1244"/>
    <w:rsid w:val="039D18E6"/>
    <w:rsid w:val="03A10CAA"/>
    <w:rsid w:val="03A2514E"/>
    <w:rsid w:val="03B57815"/>
    <w:rsid w:val="03B72484"/>
    <w:rsid w:val="03D472D2"/>
    <w:rsid w:val="03E12B8F"/>
    <w:rsid w:val="03E272F9"/>
    <w:rsid w:val="03FB6A30"/>
    <w:rsid w:val="040A094E"/>
    <w:rsid w:val="042518DB"/>
    <w:rsid w:val="047D26D2"/>
    <w:rsid w:val="048C3708"/>
    <w:rsid w:val="049727D9"/>
    <w:rsid w:val="04B54A0D"/>
    <w:rsid w:val="04B771C9"/>
    <w:rsid w:val="04D74983"/>
    <w:rsid w:val="04DC4690"/>
    <w:rsid w:val="04DD2F90"/>
    <w:rsid w:val="04E36C96"/>
    <w:rsid w:val="04EA6DAD"/>
    <w:rsid w:val="05006DAE"/>
    <w:rsid w:val="056800F4"/>
    <w:rsid w:val="056F201D"/>
    <w:rsid w:val="05A0746B"/>
    <w:rsid w:val="05A90B68"/>
    <w:rsid w:val="05B13426"/>
    <w:rsid w:val="05B664D4"/>
    <w:rsid w:val="05C70E9C"/>
    <w:rsid w:val="05F6352F"/>
    <w:rsid w:val="06014716"/>
    <w:rsid w:val="06471FDD"/>
    <w:rsid w:val="06565D7C"/>
    <w:rsid w:val="06677F89"/>
    <w:rsid w:val="06AC1E40"/>
    <w:rsid w:val="06C90C44"/>
    <w:rsid w:val="06DE46EF"/>
    <w:rsid w:val="07076C01"/>
    <w:rsid w:val="071C12AC"/>
    <w:rsid w:val="074C09BA"/>
    <w:rsid w:val="074E231E"/>
    <w:rsid w:val="07612C2A"/>
    <w:rsid w:val="07697D31"/>
    <w:rsid w:val="07A934B3"/>
    <w:rsid w:val="08B15E54"/>
    <w:rsid w:val="08B177D1"/>
    <w:rsid w:val="08B51480"/>
    <w:rsid w:val="08BA6A96"/>
    <w:rsid w:val="08BE0866"/>
    <w:rsid w:val="08C07E24"/>
    <w:rsid w:val="08C77405"/>
    <w:rsid w:val="08DA13A0"/>
    <w:rsid w:val="091837BC"/>
    <w:rsid w:val="0972111F"/>
    <w:rsid w:val="09762B92"/>
    <w:rsid w:val="0980799C"/>
    <w:rsid w:val="099C263F"/>
    <w:rsid w:val="099F7A3A"/>
    <w:rsid w:val="09D11FA7"/>
    <w:rsid w:val="09F14739"/>
    <w:rsid w:val="09F61D50"/>
    <w:rsid w:val="0A0F6376"/>
    <w:rsid w:val="0A353CEA"/>
    <w:rsid w:val="0A5922DF"/>
    <w:rsid w:val="0A6A18DB"/>
    <w:rsid w:val="0AB94B2B"/>
    <w:rsid w:val="0ABD0ABF"/>
    <w:rsid w:val="0AD53615"/>
    <w:rsid w:val="0ADD1BA9"/>
    <w:rsid w:val="0AE07845"/>
    <w:rsid w:val="0AEF3828"/>
    <w:rsid w:val="0AF77D07"/>
    <w:rsid w:val="0B057AEF"/>
    <w:rsid w:val="0B1D50BA"/>
    <w:rsid w:val="0B2B77D7"/>
    <w:rsid w:val="0B487B78"/>
    <w:rsid w:val="0B6E5FE8"/>
    <w:rsid w:val="0B84338B"/>
    <w:rsid w:val="0BAC2AF2"/>
    <w:rsid w:val="0BB023D2"/>
    <w:rsid w:val="0BBB665B"/>
    <w:rsid w:val="0BC96ABA"/>
    <w:rsid w:val="0BD336A2"/>
    <w:rsid w:val="0BF00A21"/>
    <w:rsid w:val="0BFC01A3"/>
    <w:rsid w:val="0C05627A"/>
    <w:rsid w:val="0C0B585A"/>
    <w:rsid w:val="0C3D65CA"/>
    <w:rsid w:val="0C566AD6"/>
    <w:rsid w:val="0C590374"/>
    <w:rsid w:val="0CA37841"/>
    <w:rsid w:val="0CAC4948"/>
    <w:rsid w:val="0CB7664E"/>
    <w:rsid w:val="0CCF6888"/>
    <w:rsid w:val="0CEC11E8"/>
    <w:rsid w:val="0D154674"/>
    <w:rsid w:val="0D1C1E0B"/>
    <w:rsid w:val="0D336E17"/>
    <w:rsid w:val="0D4234FE"/>
    <w:rsid w:val="0D4E431D"/>
    <w:rsid w:val="0DA57240"/>
    <w:rsid w:val="0DAD0977"/>
    <w:rsid w:val="0DC65EDD"/>
    <w:rsid w:val="0DDB277F"/>
    <w:rsid w:val="0E042561"/>
    <w:rsid w:val="0E2826F4"/>
    <w:rsid w:val="0E55371B"/>
    <w:rsid w:val="0E5857DD"/>
    <w:rsid w:val="0E5E74D3"/>
    <w:rsid w:val="0E816EC5"/>
    <w:rsid w:val="0E864017"/>
    <w:rsid w:val="0E924011"/>
    <w:rsid w:val="0EA87391"/>
    <w:rsid w:val="0EEA6FC1"/>
    <w:rsid w:val="0EF23960"/>
    <w:rsid w:val="0EF75115"/>
    <w:rsid w:val="0EFA4090"/>
    <w:rsid w:val="0F17479B"/>
    <w:rsid w:val="0F396B78"/>
    <w:rsid w:val="0F6E6D3D"/>
    <w:rsid w:val="0F7D6A6F"/>
    <w:rsid w:val="0F841BAC"/>
    <w:rsid w:val="0F954485"/>
    <w:rsid w:val="0FB87DF5"/>
    <w:rsid w:val="0FBF344F"/>
    <w:rsid w:val="0FC621C4"/>
    <w:rsid w:val="0FDC314E"/>
    <w:rsid w:val="0FE95224"/>
    <w:rsid w:val="1004447E"/>
    <w:rsid w:val="102579CB"/>
    <w:rsid w:val="104A6951"/>
    <w:rsid w:val="10505F32"/>
    <w:rsid w:val="10522C04"/>
    <w:rsid w:val="105A27E6"/>
    <w:rsid w:val="105F0804"/>
    <w:rsid w:val="106D43EE"/>
    <w:rsid w:val="10725EA8"/>
    <w:rsid w:val="107324CB"/>
    <w:rsid w:val="10A67900"/>
    <w:rsid w:val="10B82B7E"/>
    <w:rsid w:val="10CB462E"/>
    <w:rsid w:val="10EC17B7"/>
    <w:rsid w:val="10FE7214"/>
    <w:rsid w:val="112453F4"/>
    <w:rsid w:val="112C4C4A"/>
    <w:rsid w:val="11382C4E"/>
    <w:rsid w:val="11435E26"/>
    <w:rsid w:val="115630D4"/>
    <w:rsid w:val="118E0AC0"/>
    <w:rsid w:val="119B0711"/>
    <w:rsid w:val="11B03A95"/>
    <w:rsid w:val="11D062EE"/>
    <w:rsid w:val="11D24E50"/>
    <w:rsid w:val="11F01048"/>
    <w:rsid w:val="120D2DE4"/>
    <w:rsid w:val="12197477"/>
    <w:rsid w:val="12200B5E"/>
    <w:rsid w:val="1238653B"/>
    <w:rsid w:val="12521AED"/>
    <w:rsid w:val="12665599"/>
    <w:rsid w:val="127F402B"/>
    <w:rsid w:val="12971BF6"/>
    <w:rsid w:val="12972845"/>
    <w:rsid w:val="129A7DEF"/>
    <w:rsid w:val="12A12EEA"/>
    <w:rsid w:val="12B471BD"/>
    <w:rsid w:val="12BE27B4"/>
    <w:rsid w:val="12D06EB6"/>
    <w:rsid w:val="12D50275"/>
    <w:rsid w:val="12D544CC"/>
    <w:rsid w:val="12D902AD"/>
    <w:rsid w:val="13070551"/>
    <w:rsid w:val="130D399B"/>
    <w:rsid w:val="13182D37"/>
    <w:rsid w:val="131C5AEC"/>
    <w:rsid w:val="1332191F"/>
    <w:rsid w:val="133236CD"/>
    <w:rsid w:val="13587E2C"/>
    <w:rsid w:val="135B2C24"/>
    <w:rsid w:val="13675A6C"/>
    <w:rsid w:val="13983E78"/>
    <w:rsid w:val="13B14F39"/>
    <w:rsid w:val="13C702B9"/>
    <w:rsid w:val="13DE0994"/>
    <w:rsid w:val="13F37300"/>
    <w:rsid w:val="13F84916"/>
    <w:rsid w:val="1413346E"/>
    <w:rsid w:val="141F5D3B"/>
    <w:rsid w:val="14270E79"/>
    <w:rsid w:val="142B4CEC"/>
    <w:rsid w:val="1466407E"/>
    <w:rsid w:val="146D70F1"/>
    <w:rsid w:val="147E16A4"/>
    <w:rsid w:val="14834E28"/>
    <w:rsid w:val="14887A48"/>
    <w:rsid w:val="148E7D65"/>
    <w:rsid w:val="14B46A8F"/>
    <w:rsid w:val="14BB35BA"/>
    <w:rsid w:val="14D52C06"/>
    <w:rsid w:val="14ED1FA1"/>
    <w:rsid w:val="151D4243"/>
    <w:rsid w:val="15231BF9"/>
    <w:rsid w:val="15326E68"/>
    <w:rsid w:val="153674A4"/>
    <w:rsid w:val="153D4CD7"/>
    <w:rsid w:val="15417840"/>
    <w:rsid w:val="15691286"/>
    <w:rsid w:val="1584174B"/>
    <w:rsid w:val="159643E7"/>
    <w:rsid w:val="15A46B04"/>
    <w:rsid w:val="163C6781"/>
    <w:rsid w:val="166D2F25"/>
    <w:rsid w:val="16754781"/>
    <w:rsid w:val="16A34589"/>
    <w:rsid w:val="16BF171B"/>
    <w:rsid w:val="1734012D"/>
    <w:rsid w:val="173E2BA8"/>
    <w:rsid w:val="174D5F53"/>
    <w:rsid w:val="17563169"/>
    <w:rsid w:val="17604CAC"/>
    <w:rsid w:val="176A5B87"/>
    <w:rsid w:val="177C760C"/>
    <w:rsid w:val="179F5278"/>
    <w:rsid w:val="17A728DB"/>
    <w:rsid w:val="17CF3BE0"/>
    <w:rsid w:val="17D66D1D"/>
    <w:rsid w:val="17E1094F"/>
    <w:rsid w:val="17F35B20"/>
    <w:rsid w:val="182A5CC3"/>
    <w:rsid w:val="182A7068"/>
    <w:rsid w:val="1833416F"/>
    <w:rsid w:val="184C0317"/>
    <w:rsid w:val="18702CCD"/>
    <w:rsid w:val="18797D84"/>
    <w:rsid w:val="18A24E51"/>
    <w:rsid w:val="18B23848"/>
    <w:rsid w:val="18CB084B"/>
    <w:rsid w:val="18ED08AB"/>
    <w:rsid w:val="19397834"/>
    <w:rsid w:val="1948578F"/>
    <w:rsid w:val="19666ACC"/>
    <w:rsid w:val="19BE7B35"/>
    <w:rsid w:val="19DE1DB2"/>
    <w:rsid w:val="19EA6AAF"/>
    <w:rsid w:val="19F734ED"/>
    <w:rsid w:val="1A004B69"/>
    <w:rsid w:val="1A0C2197"/>
    <w:rsid w:val="1A0E05FD"/>
    <w:rsid w:val="1A3B68AA"/>
    <w:rsid w:val="1A3E1C1E"/>
    <w:rsid w:val="1A516B2E"/>
    <w:rsid w:val="1A6C3968"/>
    <w:rsid w:val="1A840CB2"/>
    <w:rsid w:val="1A9940AD"/>
    <w:rsid w:val="1A9E3253"/>
    <w:rsid w:val="1AC07834"/>
    <w:rsid w:val="1AEB2ADF"/>
    <w:rsid w:val="1B1D634E"/>
    <w:rsid w:val="1B3721C8"/>
    <w:rsid w:val="1B544B28"/>
    <w:rsid w:val="1B747324"/>
    <w:rsid w:val="1BAD2D1F"/>
    <w:rsid w:val="1BB452D5"/>
    <w:rsid w:val="1BB90E2F"/>
    <w:rsid w:val="1BD619E1"/>
    <w:rsid w:val="1BDC3FB1"/>
    <w:rsid w:val="1BFD6F6E"/>
    <w:rsid w:val="1C141836"/>
    <w:rsid w:val="1C1E39C9"/>
    <w:rsid w:val="1C1F5136"/>
    <w:rsid w:val="1C330BE1"/>
    <w:rsid w:val="1C5841A4"/>
    <w:rsid w:val="1C705992"/>
    <w:rsid w:val="1CA76068"/>
    <w:rsid w:val="1CB25FAA"/>
    <w:rsid w:val="1CCE5013"/>
    <w:rsid w:val="1CF0262F"/>
    <w:rsid w:val="1CF33FB1"/>
    <w:rsid w:val="1CF77E61"/>
    <w:rsid w:val="1D1D719C"/>
    <w:rsid w:val="1D1E3640"/>
    <w:rsid w:val="1D216541"/>
    <w:rsid w:val="1D4330A6"/>
    <w:rsid w:val="1D4872E9"/>
    <w:rsid w:val="1D813BCE"/>
    <w:rsid w:val="1D8D6BE8"/>
    <w:rsid w:val="1DB02D9D"/>
    <w:rsid w:val="1DB47B00"/>
    <w:rsid w:val="1DC67833"/>
    <w:rsid w:val="1DD106B2"/>
    <w:rsid w:val="1DDD3AAF"/>
    <w:rsid w:val="1E203E0A"/>
    <w:rsid w:val="1E2E78B2"/>
    <w:rsid w:val="1E4A3FC0"/>
    <w:rsid w:val="1E51534F"/>
    <w:rsid w:val="1E53330A"/>
    <w:rsid w:val="1E5F5593"/>
    <w:rsid w:val="1E6B6A14"/>
    <w:rsid w:val="1E6C3F37"/>
    <w:rsid w:val="1E6F76A4"/>
    <w:rsid w:val="1E805C34"/>
    <w:rsid w:val="1E890F8D"/>
    <w:rsid w:val="1EBA6164"/>
    <w:rsid w:val="1EC32B6A"/>
    <w:rsid w:val="1EE77A61"/>
    <w:rsid w:val="1EE937D9"/>
    <w:rsid w:val="1EFC175F"/>
    <w:rsid w:val="1F0028D1"/>
    <w:rsid w:val="1F1840BF"/>
    <w:rsid w:val="1F5171D1"/>
    <w:rsid w:val="1F703EFB"/>
    <w:rsid w:val="1F7F5EEC"/>
    <w:rsid w:val="1F9129E6"/>
    <w:rsid w:val="1FA37E2C"/>
    <w:rsid w:val="1FA47700"/>
    <w:rsid w:val="1FCB7383"/>
    <w:rsid w:val="1FD75D28"/>
    <w:rsid w:val="1FEA5A5B"/>
    <w:rsid w:val="200A3A07"/>
    <w:rsid w:val="20174376"/>
    <w:rsid w:val="20550D9A"/>
    <w:rsid w:val="20B9542D"/>
    <w:rsid w:val="20DE35B2"/>
    <w:rsid w:val="20F36B91"/>
    <w:rsid w:val="212A1E87"/>
    <w:rsid w:val="21714B53"/>
    <w:rsid w:val="217F6677"/>
    <w:rsid w:val="218B028E"/>
    <w:rsid w:val="218E2416"/>
    <w:rsid w:val="2198776E"/>
    <w:rsid w:val="219D5641"/>
    <w:rsid w:val="21C33D3D"/>
    <w:rsid w:val="21CB5418"/>
    <w:rsid w:val="21E4134F"/>
    <w:rsid w:val="220628F4"/>
    <w:rsid w:val="22105521"/>
    <w:rsid w:val="22145011"/>
    <w:rsid w:val="221C3EC6"/>
    <w:rsid w:val="22390411"/>
    <w:rsid w:val="224D407F"/>
    <w:rsid w:val="224E718C"/>
    <w:rsid w:val="224F334D"/>
    <w:rsid w:val="226915FE"/>
    <w:rsid w:val="22AF0896"/>
    <w:rsid w:val="22B40B8E"/>
    <w:rsid w:val="22E14C32"/>
    <w:rsid w:val="22F03260"/>
    <w:rsid w:val="22F33859"/>
    <w:rsid w:val="23406563"/>
    <w:rsid w:val="23831FF5"/>
    <w:rsid w:val="238421E0"/>
    <w:rsid w:val="23843AD1"/>
    <w:rsid w:val="238719D6"/>
    <w:rsid w:val="23A423C5"/>
    <w:rsid w:val="23AE2087"/>
    <w:rsid w:val="23F06E26"/>
    <w:rsid w:val="24082954"/>
    <w:rsid w:val="24172B97"/>
    <w:rsid w:val="2418246B"/>
    <w:rsid w:val="242552B4"/>
    <w:rsid w:val="244A2F6C"/>
    <w:rsid w:val="24883A94"/>
    <w:rsid w:val="24967F5F"/>
    <w:rsid w:val="24B97929"/>
    <w:rsid w:val="24BA2895"/>
    <w:rsid w:val="2520252D"/>
    <w:rsid w:val="25585215"/>
    <w:rsid w:val="259811BE"/>
    <w:rsid w:val="25A74283"/>
    <w:rsid w:val="25D85F35"/>
    <w:rsid w:val="25DC7BF4"/>
    <w:rsid w:val="25DD571A"/>
    <w:rsid w:val="25E44CFA"/>
    <w:rsid w:val="25FB5532"/>
    <w:rsid w:val="260D24A3"/>
    <w:rsid w:val="26163BC1"/>
    <w:rsid w:val="26263565"/>
    <w:rsid w:val="262A4E03"/>
    <w:rsid w:val="263B66B8"/>
    <w:rsid w:val="26604277"/>
    <w:rsid w:val="267E57F4"/>
    <w:rsid w:val="26CB0BA0"/>
    <w:rsid w:val="26CD1C32"/>
    <w:rsid w:val="26D46B1D"/>
    <w:rsid w:val="26F7280B"/>
    <w:rsid w:val="270A0791"/>
    <w:rsid w:val="27221F7E"/>
    <w:rsid w:val="27886455"/>
    <w:rsid w:val="27AB1F74"/>
    <w:rsid w:val="27C44DE4"/>
    <w:rsid w:val="27C70430"/>
    <w:rsid w:val="27C941A8"/>
    <w:rsid w:val="27FC457D"/>
    <w:rsid w:val="282A31F1"/>
    <w:rsid w:val="285F40CA"/>
    <w:rsid w:val="28712CB3"/>
    <w:rsid w:val="28846321"/>
    <w:rsid w:val="28B05368"/>
    <w:rsid w:val="28C01ECB"/>
    <w:rsid w:val="28EC3ECC"/>
    <w:rsid w:val="29233D8C"/>
    <w:rsid w:val="2983667C"/>
    <w:rsid w:val="29BA46F0"/>
    <w:rsid w:val="29BF71E3"/>
    <w:rsid w:val="29D15596"/>
    <w:rsid w:val="29DA067B"/>
    <w:rsid w:val="29EC0622"/>
    <w:rsid w:val="29F31B73"/>
    <w:rsid w:val="29F51284"/>
    <w:rsid w:val="2A1262DA"/>
    <w:rsid w:val="2A127B63"/>
    <w:rsid w:val="2A3F0751"/>
    <w:rsid w:val="2A41096D"/>
    <w:rsid w:val="2A536497"/>
    <w:rsid w:val="2A720B27"/>
    <w:rsid w:val="2A7F27ED"/>
    <w:rsid w:val="2A8F792B"/>
    <w:rsid w:val="2AA8279A"/>
    <w:rsid w:val="2AAA4765"/>
    <w:rsid w:val="2AB32EED"/>
    <w:rsid w:val="2ABC48AC"/>
    <w:rsid w:val="2AC21606"/>
    <w:rsid w:val="2ADC367D"/>
    <w:rsid w:val="2AEA5FDF"/>
    <w:rsid w:val="2AEF3F25"/>
    <w:rsid w:val="2AF63C5E"/>
    <w:rsid w:val="2AFA0B1C"/>
    <w:rsid w:val="2B19248A"/>
    <w:rsid w:val="2B2C517A"/>
    <w:rsid w:val="2B2E3048"/>
    <w:rsid w:val="2B7E7608"/>
    <w:rsid w:val="2B7F04E9"/>
    <w:rsid w:val="2BB94533"/>
    <w:rsid w:val="2BBA1A67"/>
    <w:rsid w:val="2BDD46C6"/>
    <w:rsid w:val="2BE75544"/>
    <w:rsid w:val="2C02412C"/>
    <w:rsid w:val="2C1724E2"/>
    <w:rsid w:val="2C305555"/>
    <w:rsid w:val="2C406A34"/>
    <w:rsid w:val="2C477D91"/>
    <w:rsid w:val="2C66290D"/>
    <w:rsid w:val="2C6B7FFF"/>
    <w:rsid w:val="2C8F37CB"/>
    <w:rsid w:val="2C903B14"/>
    <w:rsid w:val="2C907580"/>
    <w:rsid w:val="2C9A21B9"/>
    <w:rsid w:val="2C9C00DD"/>
    <w:rsid w:val="2CA70DC9"/>
    <w:rsid w:val="2CE20523"/>
    <w:rsid w:val="2CE43832"/>
    <w:rsid w:val="2CF9080B"/>
    <w:rsid w:val="2D085772"/>
    <w:rsid w:val="2D087520"/>
    <w:rsid w:val="2D496D68"/>
    <w:rsid w:val="2D4F6EFD"/>
    <w:rsid w:val="2D7B23E8"/>
    <w:rsid w:val="2D88240F"/>
    <w:rsid w:val="2D9A7FBB"/>
    <w:rsid w:val="2D9C4911"/>
    <w:rsid w:val="2DA059AB"/>
    <w:rsid w:val="2DCE2518"/>
    <w:rsid w:val="2DFB0E33"/>
    <w:rsid w:val="2E0F48DF"/>
    <w:rsid w:val="2E19750B"/>
    <w:rsid w:val="2E6609A2"/>
    <w:rsid w:val="2E6672CB"/>
    <w:rsid w:val="2E7A48DE"/>
    <w:rsid w:val="2EDC3ED8"/>
    <w:rsid w:val="2EE67D35"/>
    <w:rsid w:val="2EE8585B"/>
    <w:rsid w:val="2EED2E72"/>
    <w:rsid w:val="2EF04710"/>
    <w:rsid w:val="2F1321AD"/>
    <w:rsid w:val="2F2D046C"/>
    <w:rsid w:val="2F5B5A43"/>
    <w:rsid w:val="2F6351B4"/>
    <w:rsid w:val="2F7B1AD6"/>
    <w:rsid w:val="2FA554FB"/>
    <w:rsid w:val="2FA63021"/>
    <w:rsid w:val="2FAA2B11"/>
    <w:rsid w:val="2FAA48BF"/>
    <w:rsid w:val="2FB92D54"/>
    <w:rsid w:val="2FCF199E"/>
    <w:rsid w:val="2FFD70E5"/>
    <w:rsid w:val="30027430"/>
    <w:rsid w:val="30422D49"/>
    <w:rsid w:val="30483E83"/>
    <w:rsid w:val="30A74659"/>
    <w:rsid w:val="30AA0E97"/>
    <w:rsid w:val="30BE080C"/>
    <w:rsid w:val="30DD6F16"/>
    <w:rsid w:val="30F71D86"/>
    <w:rsid w:val="313905F0"/>
    <w:rsid w:val="31480833"/>
    <w:rsid w:val="318D6246"/>
    <w:rsid w:val="31AF440F"/>
    <w:rsid w:val="31B9703B"/>
    <w:rsid w:val="31BB2DB3"/>
    <w:rsid w:val="31DB5204"/>
    <w:rsid w:val="31E16592"/>
    <w:rsid w:val="31EC7411"/>
    <w:rsid w:val="31FB560C"/>
    <w:rsid w:val="32193F7E"/>
    <w:rsid w:val="323679B1"/>
    <w:rsid w:val="326C3C50"/>
    <w:rsid w:val="327F64D7"/>
    <w:rsid w:val="327F7066"/>
    <w:rsid w:val="32D35509"/>
    <w:rsid w:val="33022C64"/>
    <w:rsid w:val="330A0480"/>
    <w:rsid w:val="334E4CD8"/>
    <w:rsid w:val="336B7286"/>
    <w:rsid w:val="33B95A18"/>
    <w:rsid w:val="33DC5263"/>
    <w:rsid w:val="33E32E5E"/>
    <w:rsid w:val="33EE1C04"/>
    <w:rsid w:val="343C0775"/>
    <w:rsid w:val="34762628"/>
    <w:rsid w:val="347F27BE"/>
    <w:rsid w:val="34936269"/>
    <w:rsid w:val="349F2976"/>
    <w:rsid w:val="34AA76A9"/>
    <w:rsid w:val="34C06933"/>
    <w:rsid w:val="356C50EC"/>
    <w:rsid w:val="357B08F4"/>
    <w:rsid w:val="35887450"/>
    <w:rsid w:val="35B5220F"/>
    <w:rsid w:val="35D5640E"/>
    <w:rsid w:val="35D94150"/>
    <w:rsid w:val="360D5BA8"/>
    <w:rsid w:val="361108CD"/>
    <w:rsid w:val="366E2AEA"/>
    <w:rsid w:val="36701E43"/>
    <w:rsid w:val="36721EAF"/>
    <w:rsid w:val="36A858D0"/>
    <w:rsid w:val="36A94A04"/>
    <w:rsid w:val="36E1536B"/>
    <w:rsid w:val="36FA437E"/>
    <w:rsid w:val="3700166C"/>
    <w:rsid w:val="3727617F"/>
    <w:rsid w:val="375969FE"/>
    <w:rsid w:val="377C4333"/>
    <w:rsid w:val="37B23993"/>
    <w:rsid w:val="37EF1A09"/>
    <w:rsid w:val="37FE221A"/>
    <w:rsid w:val="38694EE9"/>
    <w:rsid w:val="38735A0D"/>
    <w:rsid w:val="38883C0B"/>
    <w:rsid w:val="391D4DBE"/>
    <w:rsid w:val="391F631E"/>
    <w:rsid w:val="39205BF2"/>
    <w:rsid w:val="3930052B"/>
    <w:rsid w:val="39552058"/>
    <w:rsid w:val="395E08E9"/>
    <w:rsid w:val="39754190"/>
    <w:rsid w:val="39955296"/>
    <w:rsid w:val="39B70553"/>
    <w:rsid w:val="39CE1AF2"/>
    <w:rsid w:val="3A1C285D"/>
    <w:rsid w:val="3A451DB4"/>
    <w:rsid w:val="3A4724A4"/>
    <w:rsid w:val="3A5A5133"/>
    <w:rsid w:val="3A833CEA"/>
    <w:rsid w:val="3A8920C9"/>
    <w:rsid w:val="3B1B48C3"/>
    <w:rsid w:val="3B21605C"/>
    <w:rsid w:val="3B365CC9"/>
    <w:rsid w:val="3B384E25"/>
    <w:rsid w:val="3B7A10AA"/>
    <w:rsid w:val="3B7D37CF"/>
    <w:rsid w:val="3B8701AA"/>
    <w:rsid w:val="3B96663F"/>
    <w:rsid w:val="3B9A7B88"/>
    <w:rsid w:val="3BC114FF"/>
    <w:rsid w:val="3BFB3CDC"/>
    <w:rsid w:val="3C026805"/>
    <w:rsid w:val="3C14387D"/>
    <w:rsid w:val="3C2660C6"/>
    <w:rsid w:val="3C664263"/>
    <w:rsid w:val="3CA932D1"/>
    <w:rsid w:val="3CD948F5"/>
    <w:rsid w:val="3D0C0967"/>
    <w:rsid w:val="3D193084"/>
    <w:rsid w:val="3D2637DD"/>
    <w:rsid w:val="3D2C7AC8"/>
    <w:rsid w:val="3D3E4550"/>
    <w:rsid w:val="3D5A3DC8"/>
    <w:rsid w:val="3D657141"/>
    <w:rsid w:val="3D762955"/>
    <w:rsid w:val="3D7E2419"/>
    <w:rsid w:val="3D855D12"/>
    <w:rsid w:val="3D860968"/>
    <w:rsid w:val="3D8B42FF"/>
    <w:rsid w:val="3D8C02DD"/>
    <w:rsid w:val="3DA768E2"/>
    <w:rsid w:val="3DC20089"/>
    <w:rsid w:val="3DE47B36"/>
    <w:rsid w:val="3DE7502E"/>
    <w:rsid w:val="3DF36A6E"/>
    <w:rsid w:val="3DF40091"/>
    <w:rsid w:val="3E2C4BE1"/>
    <w:rsid w:val="3E42660A"/>
    <w:rsid w:val="3E467EA9"/>
    <w:rsid w:val="3E5C76CC"/>
    <w:rsid w:val="3E6738C1"/>
    <w:rsid w:val="3E676891"/>
    <w:rsid w:val="3EC15781"/>
    <w:rsid w:val="3EC3774B"/>
    <w:rsid w:val="3EFB0C93"/>
    <w:rsid w:val="3F1138E1"/>
    <w:rsid w:val="3F19639E"/>
    <w:rsid w:val="3F1E2BD3"/>
    <w:rsid w:val="3F217143"/>
    <w:rsid w:val="3F473ED8"/>
    <w:rsid w:val="3F620D12"/>
    <w:rsid w:val="3F792F1E"/>
    <w:rsid w:val="3F903A5F"/>
    <w:rsid w:val="3FAE3F57"/>
    <w:rsid w:val="3FE67B95"/>
    <w:rsid w:val="3FF12096"/>
    <w:rsid w:val="3FFD6C8D"/>
    <w:rsid w:val="40056037"/>
    <w:rsid w:val="400C5122"/>
    <w:rsid w:val="4012777A"/>
    <w:rsid w:val="40824826"/>
    <w:rsid w:val="40B27A77"/>
    <w:rsid w:val="40BF21D1"/>
    <w:rsid w:val="40E63923"/>
    <w:rsid w:val="40F36F47"/>
    <w:rsid w:val="40FD4018"/>
    <w:rsid w:val="41326E0A"/>
    <w:rsid w:val="4140047A"/>
    <w:rsid w:val="415C79E3"/>
    <w:rsid w:val="416A0352"/>
    <w:rsid w:val="419F7014"/>
    <w:rsid w:val="41AB7285"/>
    <w:rsid w:val="41B11ADD"/>
    <w:rsid w:val="41B617E9"/>
    <w:rsid w:val="41BF72A0"/>
    <w:rsid w:val="41D812A1"/>
    <w:rsid w:val="421B33FA"/>
    <w:rsid w:val="421E6D3F"/>
    <w:rsid w:val="423544BC"/>
    <w:rsid w:val="423A7D24"/>
    <w:rsid w:val="42861F03"/>
    <w:rsid w:val="428B4A24"/>
    <w:rsid w:val="429A4C67"/>
    <w:rsid w:val="42AE7254"/>
    <w:rsid w:val="42B443F4"/>
    <w:rsid w:val="42B54B4C"/>
    <w:rsid w:val="42B71375"/>
    <w:rsid w:val="42F43FD4"/>
    <w:rsid w:val="432509D4"/>
    <w:rsid w:val="43486471"/>
    <w:rsid w:val="435B2648"/>
    <w:rsid w:val="43884ABF"/>
    <w:rsid w:val="43A91E5B"/>
    <w:rsid w:val="43AF258B"/>
    <w:rsid w:val="43C65CEF"/>
    <w:rsid w:val="440A59C8"/>
    <w:rsid w:val="443B699C"/>
    <w:rsid w:val="44496945"/>
    <w:rsid w:val="4467501D"/>
    <w:rsid w:val="44804307"/>
    <w:rsid w:val="449776B0"/>
    <w:rsid w:val="44A17BEF"/>
    <w:rsid w:val="44BC3308"/>
    <w:rsid w:val="44C91833"/>
    <w:rsid w:val="44F87390"/>
    <w:rsid w:val="45010FCD"/>
    <w:rsid w:val="454223F1"/>
    <w:rsid w:val="4545710C"/>
    <w:rsid w:val="455A06DD"/>
    <w:rsid w:val="4562065D"/>
    <w:rsid w:val="457C0654"/>
    <w:rsid w:val="45A73923"/>
    <w:rsid w:val="45B150B1"/>
    <w:rsid w:val="45BA48DB"/>
    <w:rsid w:val="45CF64FF"/>
    <w:rsid w:val="45E05087"/>
    <w:rsid w:val="45FF375F"/>
    <w:rsid w:val="4618037D"/>
    <w:rsid w:val="46366A55"/>
    <w:rsid w:val="463A3650"/>
    <w:rsid w:val="463B050F"/>
    <w:rsid w:val="4670640B"/>
    <w:rsid w:val="46794B93"/>
    <w:rsid w:val="469F0116"/>
    <w:rsid w:val="46B502C1"/>
    <w:rsid w:val="46BA58D8"/>
    <w:rsid w:val="46BA7686"/>
    <w:rsid w:val="46E464B1"/>
    <w:rsid w:val="46F67293"/>
    <w:rsid w:val="471F127F"/>
    <w:rsid w:val="475259B7"/>
    <w:rsid w:val="475F1FDB"/>
    <w:rsid w:val="4765510B"/>
    <w:rsid w:val="4770243A"/>
    <w:rsid w:val="4786426F"/>
    <w:rsid w:val="47943513"/>
    <w:rsid w:val="47A143A2"/>
    <w:rsid w:val="47C562E2"/>
    <w:rsid w:val="47D06A35"/>
    <w:rsid w:val="47F768EB"/>
    <w:rsid w:val="483C19AD"/>
    <w:rsid w:val="484658EF"/>
    <w:rsid w:val="48831CF9"/>
    <w:rsid w:val="489E4954"/>
    <w:rsid w:val="48A074BC"/>
    <w:rsid w:val="48D553B1"/>
    <w:rsid w:val="48DA400F"/>
    <w:rsid w:val="490550F9"/>
    <w:rsid w:val="4908245F"/>
    <w:rsid w:val="493059DD"/>
    <w:rsid w:val="495B2572"/>
    <w:rsid w:val="4989333F"/>
    <w:rsid w:val="499E328F"/>
    <w:rsid w:val="49A165B8"/>
    <w:rsid w:val="49AF3823"/>
    <w:rsid w:val="49B1408D"/>
    <w:rsid w:val="49CE55E8"/>
    <w:rsid w:val="49E50BF2"/>
    <w:rsid w:val="49ED20A7"/>
    <w:rsid w:val="4A1D0657"/>
    <w:rsid w:val="4A3B3BEF"/>
    <w:rsid w:val="4A503882"/>
    <w:rsid w:val="4A642260"/>
    <w:rsid w:val="4A65516F"/>
    <w:rsid w:val="4A7D37EE"/>
    <w:rsid w:val="4A7D4FD2"/>
    <w:rsid w:val="4A913C9A"/>
    <w:rsid w:val="4AA04DE4"/>
    <w:rsid w:val="4AA46683"/>
    <w:rsid w:val="4ACC3E2B"/>
    <w:rsid w:val="4AE22D2F"/>
    <w:rsid w:val="4AE611A0"/>
    <w:rsid w:val="4AFB201B"/>
    <w:rsid w:val="4B1F5B47"/>
    <w:rsid w:val="4B1F62B5"/>
    <w:rsid w:val="4B1F70AC"/>
    <w:rsid w:val="4B240F94"/>
    <w:rsid w:val="4B386AE5"/>
    <w:rsid w:val="4B474E94"/>
    <w:rsid w:val="4B553E21"/>
    <w:rsid w:val="4B774E60"/>
    <w:rsid w:val="4B810772"/>
    <w:rsid w:val="4BA75287"/>
    <w:rsid w:val="4BD10964"/>
    <w:rsid w:val="4BD50ABE"/>
    <w:rsid w:val="4BE17463"/>
    <w:rsid w:val="4BEA27BB"/>
    <w:rsid w:val="4BED70D6"/>
    <w:rsid w:val="4C264E5A"/>
    <w:rsid w:val="4C3B3017"/>
    <w:rsid w:val="4C3C565C"/>
    <w:rsid w:val="4C475CA7"/>
    <w:rsid w:val="4C76404F"/>
    <w:rsid w:val="4C7C718B"/>
    <w:rsid w:val="4C8C247F"/>
    <w:rsid w:val="4CCC79C7"/>
    <w:rsid w:val="4CD86AB8"/>
    <w:rsid w:val="4D135D42"/>
    <w:rsid w:val="4D551EB6"/>
    <w:rsid w:val="4D7555C7"/>
    <w:rsid w:val="4D761E2D"/>
    <w:rsid w:val="4D7F0CE1"/>
    <w:rsid w:val="4D9F1383"/>
    <w:rsid w:val="4DAB41CC"/>
    <w:rsid w:val="4DB82445"/>
    <w:rsid w:val="4DC64B62"/>
    <w:rsid w:val="4DE4323A"/>
    <w:rsid w:val="4DF07E31"/>
    <w:rsid w:val="4DF53699"/>
    <w:rsid w:val="4E025E2A"/>
    <w:rsid w:val="4E3F600C"/>
    <w:rsid w:val="4E410A31"/>
    <w:rsid w:val="4E7E62F6"/>
    <w:rsid w:val="4EA824BA"/>
    <w:rsid w:val="4EAE6DA0"/>
    <w:rsid w:val="4EC45545"/>
    <w:rsid w:val="4EC46966"/>
    <w:rsid w:val="4EDC6802"/>
    <w:rsid w:val="4EFB4CDF"/>
    <w:rsid w:val="4F1418FD"/>
    <w:rsid w:val="4F4026F2"/>
    <w:rsid w:val="4F652159"/>
    <w:rsid w:val="4F754A92"/>
    <w:rsid w:val="4F934E4D"/>
    <w:rsid w:val="4FCC3F86"/>
    <w:rsid w:val="4FD037EF"/>
    <w:rsid w:val="5016514B"/>
    <w:rsid w:val="502857C7"/>
    <w:rsid w:val="502A762A"/>
    <w:rsid w:val="503264DF"/>
    <w:rsid w:val="50476D3D"/>
    <w:rsid w:val="506A3ECB"/>
    <w:rsid w:val="507408A5"/>
    <w:rsid w:val="50827466"/>
    <w:rsid w:val="508B47E9"/>
    <w:rsid w:val="50970A38"/>
    <w:rsid w:val="50A77C1A"/>
    <w:rsid w:val="50B74C36"/>
    <w:rsid w:val="50B769E4"/>
    <w:rsid w:val="50D70E34"/>
    <w:rsid w:val="50FE4613"/>
    <w:rsid w:val="511659A4"/>
    <w:rsid w:val="513242BC"/>
    <w:rsid w:val="513444D8"/>
    <w:rsid w:val="51387C20"/>
    <w:rsid w:val="51493AE0"/>
    <w:rsid w:val="516B49A4"/>
    <w:rsid w:val="51A30E13"/>
    <w:rsid w:val="51C465B9"/>
    <w:rsid w:val="51CB1C78"/>
    <w:rsid w:val="51E732F9"/>
    <w:rsid w:val="51FD6A51"/>
    <w:rsid w:val="52304CA0"/>
    <w:rsid w:val="523227C6"/>
    <w:rsid w:val="5245699D"/>
    <w:rsid w:val="52592449"/>
    <w:rsid w:val="526B680A"/>
    <w:rsid w:val="52952D55"/>
    <w:rsid w:val="52AF2069"/>
    <w:rsid w:val="52B92EE7"/>
    <w:rsid w:val="52E565D0"/>
    <w:rsid w:val="52E83790"/>
    <w:rsid w:val="52EA30A1"/>
    <w:rsid w:val="53105470"/>
    <w:rsid w:val="53150D15"/>
    <w:rsid w:val="53250E4F"/>
    <w:rsid w:val="5352083E"/>
    <w:rsid w:val="53650979"/>
    <w:rsid w:val="537D4124"/>
    <w:rsid w:val="539B3EAD"/>
    <w:rsid w:val="541A5D30"/>
    <w:rsid w:val="54817A35"/>
    <w:rsid w:val="549239F0"/>
    <w:rsid w:val="54A83213"/>
    <w:rsid w:val="54B6421E"/>
    <w:rsid w:val="54BA4CF5"/>
    <w:rsid w:val="54C45A17"/>
    <w:rsid w:val="54EA6AA5"/>
    <w:rsid w:val="54F55D2D"/>
    <w:rsid w:val="54FE4BE1"/>
    <w:rsid w:val="55110DB9"/>
    <w:rsid w:val="55287EB0"/>
    <w:rsid w:val="552B174F"/>
    <w:rsid w:val="55392A77"/>
    <w:rsid w:val="553E632F"/>
    <w:rsid w:val="55480552"/>
    <w:rsid w:val="555E7D76"/>
    <w:rsid w:val="55F068CD"/>
    <w:rsid w:val="56085F72"/>
    <w:rsid w:val="562C60AE"/>
    <w:rsid w:val="56431446"/>
    <w:rsid w:val="56442F77"/>
    <w:rsid w:val="5647080A"/>
    <w:rsid w:val="56494937"/>
    <w:rsid w:val="56576C9F"/>
    <w:rsid w:val="56635CD9"/>
    <w:rsid w:val="566C3136"/>
    <w:rsid w:val="566F4E48"/>
    <w:rsid w:val="568D04F2"/>
    <w:rsid w:val="56AD68BF"/>
    <w:rsid w:val="56BD217A"/>
    <w:rsid w:val="56EA7B13"/>
    <w:rsid w:val="57122BC6"/>
    <w:rsid w:val="571921A6"/>
    <w:rsid w:val="57201787"/>
    <w:rsid w:val="57603931"/>
    <w:rsid w:val="57770C7B"/>
    <w:rsid w:val="577E46FF"/>
    <w:rsid w:val="579637F7"/>
    <w:rsid w:val="57AF6667"/>
    <w:rsid w:val="57B3200D"/>
    <w:rsid w:val="57BB1298"/>
    <w:rsid w:val="57D42C12"/>
    <w:rsid w:val="57F87BFC"/>
    <w:rsid w:val="582708F3"/>
    <w:rsid w:val="58693734"/>
    <w:rsid w:val="588D6DD7"/>
    <w:rsid w:val="588E0972"/>
    <w:rsid w:val="58BD236E"/>
    <w:rsid w:val="5900361E"/>
    <w:rsid w:val="5919249F"/>
    <w:rsid w:val="5923464B"/>
    <w:rsid w:val="59246BE1"/>
    <w:rsid w:val="592D6A4E"/>
    <w:rsid w:val="59372DB8"/>
    <w:rsid w:val="595474C6"/>
    <w:rsid w:val="596A0A97"/>
    <w:rsid w:val="59871F22"/>
    <w:rsid w:val="598F33C1"/>
    <w:rsid w:val="59971F55"/>
    <w:rsid w:val="59FA242A"/>
    <w:rsid w:val="59FE5684"/>
    <w:rsid w:val="5A290952"/>
    <w:rsid w:val="5A3C31FC"/>
    <w:rsid w:val="5A3F0176"/>
    <w:rsid w:val="5A526582"/>
    <w:rsid w:val="5A5C6F3F"/>
    <w:rsid w:val="5A5F5C77"/>
    <w:rsid w:val="5A76346C"/>
    <w:rsid w:val="5A7A7400"/>
    <w:rsid w:val="5A801613"/>
    <w:rsid w:val="5A857090"/>
    <w:rsid w:val="5A9B264C"/>
    <w:rsid w:val="5AA61FA3"/>
    <w:rsid w:val="5AC661A1"/>
    <w:rsid w:val="5AE20B01"/>
    <w:rsid w:val="5AF400FB"/>
    <w:rsid w:val="5B5A324E"/>
    <w:rsid w:val="5B5F11CE"/>
    <w:rsid w:val="5B7A2D2A"/>
    <w:rsid w:val="5BAF30D9"/>
    <w:rsid w:val="5BBE39CD"/>
    <w:rsid w:val="5BC11A60"/>
    <w:rsid w:val="5BFE196B"/>
    <w:rsid w:val="5C142F3C"/>
    <w:rsid w:val="5C4C26D6"/>
    <w:rsid w:val="5C603AE6"/>
    <w:rsid w:val="5C6B0413"/>
    <w:rsid w:val="5C7A4D54"/>
    <w:rsid w:val="5C7D6D34"/>
    <w:rsid w:val="5CD23B73"/>
    <w:rsid w:val="5CD5091E"/>
    <w:rsid w:val="5D1F603D"/>
    <w:rsid w:val="5D3F4EC1"/>
    <w:rsid w:val="5D6121B1"/>
    <w:rsid w:val="5D69550A"/>
    <w:rsid w:val="5D9C143B"/>
    <w:rsid w:val="5DB56D8D"/>
    <w:rsid w:val="5DBD727F"/>
    <w:rsid w:val="5DC619D5"/>
    <w:rsid w:val="5DD961EC"/>
    <w:rsid w:val="5DDB01B6"/>
    <w:rsid w:val="5DDE30AB"/>
    <w:rsid w:val="5E404377"/>
    <w:rsid w:val="5E4F4700"/>
    <w:rsid w:val="5EB17168"/>
    <w:rsid w:val="5EF85ED4"/>
    <w:rsid w:val="5EFB03E4"/>
    <w:rsid w:val="5EFC4888"/>
    <w:rsid w:val="5F127819"/>
    <w:rsid w:val="5F3B334F"/>
    <w:rsid w:val="5F416AD5"/>
    <w:rsid w:val="5F443B39"/>
    <w:rsid w:val="5F63752A"/>
    <w:rsid w:val="5F78088A"/>
    <w:rsid w:val="5F84662B"/>
    <w:rsid w:val="5FA56CCD"/>
    <w:rsid w:val="5FBC3C39"/>
    <w:rsid w:val="5FBE38EB"/>
    <w:rsid w:val="5FF466EA"/>
    <w:rsid w:val="5FF72820"/>
    <w:rsid w:val="5FFE462F"/>
    <w:rsid w:val="600C3474"/>
    <w:rsid w:val="604626F7"/>
    <w:rsid w:val="6054424F"/>
    <w:rsid w:val="60956D42"/>
    <w:rsid w:val="609E54CA"/>
    <w:rsid w:val="60E25095"/>
    <w:rsid w:val="60F1503F"/>
    <w:rsid w:val="60FB3D82"/>
    <w:rsid w:val="61025188"/>
    <w:rsid w:val="61057D5F"/>
    <w:rsid w:val="611D2893"/>
    <w:rsid w:val="6137242E"/>
    <w:rsid w:val="614D4977"/>
    <w:rsid w:val="61590F21"/>
    <w:rsid w:val="617670F5"/>
    <w:rsid w:val="617F70AA"/>
    <w:rsid w:val="618A490E"/>
    <w:rsid w:val="618D7DFF"/>
    <w:rsid w:val="619964DB"/>
    <w:rsid w:val="61BD6109"/>
    <w:rsid w:val="61CB22EF"/>
    <w:rsid w:val="61CD42B9"/>
    <w:rsid w:val="623F3C58"/>
    <w:rsid w:val="62516C98"/>
    <w:rsid w:val="62571DD5"/>
    <w:rsid w:val="62685DCB"/>
    <w:rsid w:val="627B3D15"/>
    <w:rsid w:val="62A52B40"/>
    <w:rsid w:val="62C37C92"/>
    <w:rsid w:val="62D034A2"/>
    <w:rsid w:val="62D460A8"/>
    <w:rsid w:val="62D578C9"/>
    <w:rsid w:val="63057105"/>
    <w:rsid w:val="630E2DDB"/>
    <w:rsid w:val="631101D6"/>
    <w:rsid w:val="631F7BF8"/>
    <w:rsid w:val="635A392B"/>
    <w:rsid w:val="636B5B38"/>
    <w:rsid w:val="63C60FC0"/>
    <w:rsid w:val="63CF256B"/>
    <w:rsid w:val="63E61662"/>
    <w:rsid w:val="63FE2FD4"/>
    <w:rsid w:val="63FFECD2"/>
    <w:rsid w:val="6402419A"/>
    <w:rsid w:val="64033FC2"/>
    <w:rsid w:val="64117FAB"/>
    <w:rsid w:val="641461CF"/>
    <w:rsid w:val="642D55A9"/>
    <w:rsid w:val="643F0D73"/>
    <w:rsid w:val="645C36D2"/>
    <w:rsid w:val="646A2293"/>
    <w:rsid w:val="646B505F"/>
    <w:rsid w:val="647540C9"/>
    <w:rsid w:val="647803AE"/>
    <w:rsid w:val="64816785"/>
    <w:rsid w:val="648D3BB0"/>
    <w:rsid w:val="64963088"/>
    <w:rsid w:val="649E1F3D"/>
    <w:rsid w:val="64BA3D7A"/>
    <w:rsid w:val="64F179BC"/>
    <w:rsid w:val="6502545F"/>
    <w:rsid w:val="6509385A"/>
    <w:rsid w:val="65222B6E"/>
    <w:rsid w:val="65266989"/>
    <w:rsid w:val="65273CE0"/>
    <w:rsid w:val="653F54CE"/>
    <w:rsid w:val="65636E69"/>
    <w:rsid w:val="65650D00"/>
    <w:rsid w:val="65A92947"/>
    <w:rsid w:val="65C94C55"/>
    <w:rsid w:val="65CE0600"/>
    <w:rsid w:val="665704D3"/>
    <w:rsid w:val="66660838"/>
    <w:rsid w:val="6686712D"/>
    <w:rsid w:val="669E4476"/>
    <w:rsid w:val="66B33E4C"/>
    <w:rsid w:val="66BD7ED9"/>
    <w:rsid w:val="66EE1F4E"/>
    <w:rsid w:val="66F2031E"/>
    <w:rsid w:val="670B14F0"/>
    <w:rsid w:val="671E1113"/>
    <w:rsid w:val="673148E2"/>
    <w:rsid w:val="673D77EB"/>
    <w:rsid w:val="675445CD"/>
    <w:rsid w:val="67851192"/>
    <w:rsid w:val="67BD293C"/>
    <w:rsid w:val="67C065A4"/>
    <w:rsid w:val="67D04DBA"/>
    <w:rsid w:val="67D359C9"/>
    <w:rsid w:val="67F13C92"/>
    <w:rsid w:val="68242759"/>
    <w:rsid w:val="685748DD"/>
    <w:rsid w:val="68607DBB"/>
    <w:rsid w:val="6865349E"/>
    <w:rsid w:val="68BA4E6C"/>
    <w:rsid w:val="68D6231D"/>
    <w:rsid w:val="68F93BE6"/>
    <w:rsid w:val="68FE36DD"/>
    <w:rsid w:val="690129BE"/>
    <w:rsid w:val="694E60FC"/>
    <w:rsid w:val="694F7CAA"/>
    <w:rsid w:val="695D23C7"/>
    <w:rsid w:val="69672A13"/>
    <w:rsid w:val="69AD360D"/>
    <w:rsid w:val="69C81DCE"/>
    <w:rsid w:val="69CA13F4"/>
    <w:rsid w:val="69D07420"/>
    <w:rsid w:val="69E91EAC"/>
    <w:rsid w:val="69EF4042"/>
    <w:rsid w:val="6A022F6E"/>
    <w:rsid w:val="6A025EBD"/>
    <w:rsid w:val="6A1143FF"/>
    <w:rsid w:val="6A1A0F4D"/>
    <w:rsid w:val="6A2B4273"/>
    <w:rsid w:val="6A3038AE"/>
    <w:rsid w:val="6A3C1FDC"/>
    <w:rsid w:val="6A537326"/>
    <w:rsid w:val="6A5F554C"/>
    <w:rsid w:val="6A681023"/>
    <w:rsid w:val="6A7C687C"/>
    <w:rsid w:val="6A956112"/>
    <w:rsid w:val="6A9679C4"/>
    <w:rsid w:val="6AC80207"/>
    <w:rsid w:val="6AD93CCF"/>
    <w:rsid w:val="6ADF0EEB"/>
    <w:rsid w:val="6AEA4132"/>
    <w:rsid w:val="6B10467C"/>
    <w:rsid w:val="6B2D401B"/>
    <w:rsid w:val="6B482C03"/>
    <w:rsid w:val="6B773B50"/>
    <w:rsid w:val="6B99345E"/>
    <w:rsid w:val="6BC54253"/>
    <w:rsid w:val="6BC73622"/>
    <w:rsid w:val="6BF670AD"/>
    <w:rsid w:val="6C0B726A"/>
    <w:rsid w:val="6C0C59DE"/>
    <w:rsid w:val="6C133381"/>
    <w:rsid w:val="6C410A63"/>
    <w:rsid w:val="6C4A35E0"/>
    <w:rsid w:val="6C4E4249"/>
    <w:rsid w:val="6C506213"/>
    <w:rsid w:val="6C671521"/>
    <w:rsid w:val="6C675CE6"/>
    <w:rsid w:val="6C700663"/>
    <w:rsid w:val="6C7D2D3C"/>
    <w:rsid w:val="6C895281"/>
    <w:rsid w:val="6CA94E0B"/>
    <w:rsid w:val="6CE158BA"/>
    <w:rsid w:val="6CEF35AF"/>
    <w:rsid w:val="6CF272CA"/>
    <w:rsid w:val="6CF672D1"/>
    <w:rsid w:val="6CFA2A47"/>
    <w:rsid w:val="6CFE7A1D"/>
    <w:rsid w:val="6D25144D"/>
    <w:rsid w:val="6D4573FA"/>
    <w:rsid w:val="6D4F4321"/>
    <w:rsid w:val="6D54783A"/>
    <w:rsid w:val="6D793547"/>
    <w:rsid w:val="6D8F2D6B"/>
    <w:rsid w:val="6DE95E22"/>
    <w:rsid w:val="6DFF7360"/>
    <w:rsid w:val="6E1264AD"/>
    <w:rsid w:val="6E3D6323"/>
    <w:rsid w:val="6E3E3ABC"/>
    <w:rsid w:val="6E737F96"/>
    <w:rsid w:val="6E7A5F73"/>
    <w:rsid w:val="6E82467D"/>
    <w:rsid w:val="6E890338"/>
    <w:rsid w:val="6EDC453B"/>
    <w:rsid w:val="6EEF1D13"/>
    <w:rsid w:val="6F086931"/>
    <w:rsid w:val="6F1B2B08"/>
    <w:rsid w:val="6F2B0871"/>
    <w:rsid w:val="6F2E3798"/>
    <w:rsid w:val="6F5C0AC0"/>
    <w:rsid w:val="6F63625D"/>
    <w:rsid w:val="6F7044D6"/>
    <w:rsid w:val="6F857F81"/>
    <w:rsid w:val="6F8B7B20"/>
    <w:rsid w:val="6FD73643"/>
    <w:rsid w:val="6FD74228"/>
    <w:rsid w:val="7003534A"/>
    <w:rsid w:val="700A0487"/>
    <w:rsid w:val="70187047"/>
    <w:rsid w:val="701C1F22"/>
    <w:rsid w:val="702B124D"/>
    <w:rsid w:val="7055204A"/>
    <w:rsid w:val="706032E0"/>
    <w:rsid w:val="70B825D8"/>
    <w:rsid w:val="70C431ED"/>
    <w:rsid w:val="70F76C5D"/>
    <w:rsid w:val="70F829D5"/>
    <w:rsid w:val="70FE5EDF"/>
    <w:rsid w:val="71025602"/>
    <w:rsid w:val="71120675"/>
    <w:rsid w:val="711C2B67"/>
    <w:rsid w:val="711D243B"/>
    <w:rsid w:val="711D41EA"/>
    <w:rsid w:val="71213150"/>
    <w:rsid w:val="71267542"/>
    <w:rsid w:val="712A5284"/>
    <w:rsid w:val="71633091"/>
    <w:rsid w:val="71812492"/>
    <w:rsid w:val="718D75C1"/>
    <w:rsid w:val="71973F9C"/>
    <w:rsid w:val="71A60683"/>
    <w:rsid w:val="71A87F57"/>
    <w:rsid w:val="71AC18C9"/>
    <w:rsid w:val="71B5509D"/>
    <w:rsid w:val="71D00463"/>
    <w:rsid w:val="71D22FAF"/>
    <w:rsid w:val="71FE04BF"/>
    <w:rsid w:val="72077982"/>
    <w:rsid w:val="720D2950"/>
    <w:rsid w:val="72435ED2"/>
    <w:rsid w:val="725E7BFA"/>
    <w:rsid w:val="72620A4E"/>
    <w:rsid w:val="726522EC"/>
    <w:rsid w:val="72693B8A"/>
    <w:rsid w:val="72B64083"/>
    <w:rsid w:val="72F35B4A"/>
    <w:rsid w:val="72F5541E"/>
    <w:rsid w:val="72FE4FC5"/>
    <w:rsid w:val="73081CA5"/>
    <w:rsid w:val="73306456"/>
    <w:rsid w:val="736305DA"/>
    <w:rsid w:val="737F73DD"/>
    <w:rsid w:val="73832A2A"/>
    <w:rsid w:val="73B15AAE"/>
    <w:rsid w:val="73CB43D1"/>
    <w:rsid w:val="73CC1052"/>
    <w:rsid w:val="73EF00BF"/>
    <w:rsid w:val="73F2195D"/>
    <w:rsid w:val="73F676A0"/>
    <w:rsid w:val="740873D3"/>
    <w:rsid w:val="7420471D"/>
    <w:rsid w:val="744C72C0"/>
    <w:rsid w:val="74545B7C"/>
    <w:rsid w:val="747D56CB"/>
    <w:rsid w:val="7487762D"/>
    <w:rsid w:val="749F2380"/>
    <w:rsid w:val="74A52E74"/>
    <w:rsid w:val="74C0380A"/>
    <w:rsid w:val="75385498"/>
    <w:rsid w:val="75596138"/>
    <w:rsid w:val="75C37A55"/>
    <w:rsid w:val="762027B2"/>
    <w:rsid w:val="7662296E"/>
    <w:rsid w:val="766D79C1"/>
    <w:rsid w:val="766F5B43"/>
    <w:rsid w:val="768014A2"/>
    <w:rsid w:val="769962BD"/>
    <w:rsid w:val="76A71125"/>
    <w:rsid w:val="76B92C06"/>
    <w:rsid w:val="76BC207F"/>
    <w:rsid w:val="76DB492B"/>
    <w:rsid w:val="76EB4904"/>
    <w:rsid w:val="76F64FFD"/>
    <w:rsid w:val="76FD0D45"/>
    <w:rsid w:val="77212C85"/>
    <w:rsid w:val="775D17E4"/>
    <w:rsid w:val="775D3592"/>
    <w:rsid w:val="77664B3C"/>
    <w:rsid w:val="777378F5"/>
    <w:rsid w:val="777A2D3C"/>
    <w:rsid w:val="778F2F2F"/>
    <w:rsid w:val="779A2A38"/>
    <w:rsid w:val="77A47C68"/>
    <w:rsid w:val="77D01FB6"/>
    <w:rsid w:val="77D7644A"/>
    <w:rsid w:val="77F9150C"/>
    <w:rsid w:val="780B56E4"/>
    <w:rsid w:val="781E78C9"/>
    <w:rsid w:val="783562BD"/>
    <w:rsid w:val="7851759A"/>
    <w:rsid w:val="785250C1"/>
    <w:rsid w:val="78537BEA"/>
    <w:rsid w:val="78586E35"/>
    <w:rsid w:val="78713799"/>
    <w:rsid w:val="787B0173"/>
    <w:rsid w:val="788D4A83"/>
    <w:rsid w:val="78B11DE7"/>
    <w:rsid w:val="78B123B4"/>
    <w:rsid w:val="78C0202A"/>
    <w:rsid w:val="78D43D28"/>
    <w:rsid w:val="78DB6E64"/>
    <w:rsid w:val="78FB12B4"/>
    <w:rsid w:val="79074B81"/>
    <w:rsid w:val="794F0939"/>
    <w:rsid w:val="79504B59"/>
    <w:rsid w:val="7955459F"/>
    <w:rsid w:val="79AF0FCA"/>
    <w:rsid w:val="79B853F7"/>
    <w:rsid w:val="79EF2560"/>
    <w:rsid w:val="7A011EB7"/>
    <w:rsid w:val="7A272363"/>
    <w:rsid w:val="7A3F7BFB"/>
    <w:rsid w:val="7A5B64AE"/>
    <w:rsid w:val="7A5F20A1"/>
    <w:rsid w:val="7A772BBC"/>
    <w:rsid w:val="7A903C7E"/>
    <w:rsid w:val="7AE2272C"/>
    <w:rsid w:val="7AEC5358"/>
    <w:rsid w:val="7AF9279C"/>
    <w:rsid w:val="7B226FCC"/>
    <w:rsid w:val="7B7F441F"/>
    <w:rsid w:val="7B98103C"/>
    <w:rsid w:val="7BB776A4"/>
    <w:rsid w:val="7BB840B1"/>
    <w:rsid w:val="7BC9569A"/>
    <w:rsid w:val="7BE20A85"/>
    <w:rsid w:val="7BE67FFA"/>
    <w:rsid w:val="7BF0147A"/>
    <w:rsid w:val="7C147BB8"/>
    <w:rsid w:val="7C2823C0"/>
    <w:rsid w:val="7C333FF5"/>
    <w:rsid w:val="7C39281F"/>
    <w:rsid w:val="7C4804C1"/>
    <w:rsid w:val="7C4C3414"/>
    <w:rsid w:val="7C653614"/>
    <w:rsid w:val="7C6F7FEF"/>
    <w:rsid w:val="7C7171B7"/>
    <w:rsid w:val="7C9E2682"/>
    <w:rsid w:val="7CA63DDC"/>
    <w:rsid w:val="7CAE3B15"/>
    <w:rsid w:val="7CBA3A3F"/>
    <w:rsid w:val="7CBB3234"/>
    <w:rsid w:val="7CC51958"/>
    <w:rsid w:val="7CCA189C"/>
    <w:rsid w:val="7CE00EED"/>
    <w:rsid w:val="7CEC40B6"/>
    <w:rsid w:val="7D2E5047"/>
    <w:rsid w:val="7D2E7EAA"/>
    <w:rsid w:val="7D4D49B8"/>
    <w:rsid w:val="7D666903"/>
    <w:rsid w:val="7D726BC1"/>
    <w:rsid w:val="7DC51E91"/>
    <w:rsid w:val="7DCF4ABD"/>
    <w:rsid w:val="7DD30A52"/>
    <w:rsid w:val="7DDF2F52"/>
    <w:rsid w:val="7DE247F1"/>
    <w:rsid w:val="7DF612B7"/>
    <w:rsid w:val="7E064983"/>
    <w:rsid w:val="7E0675C3"/>
    <w:rsid w:val="7E156974"/>
    <w:rsid w:val="7E181FDE"/>
    <w:rsid w:val="7E2936C3"/>
    <w:rsid w:val="7E2E365C"/>
    <w:rsid w:val="7E3037AE"/>
    <w:rsid w:val="7E4234E1"/>
    <w:rsid w:val="7E6411B9"/>
    <w:rsid w:val="7E6C330C"/>
    <w:rsid w:val="7E751B09"/>
    <w:rsid w:val="7E8D29AE"/>
    <w:rsid w:val="7EBA4B37"/>
    <w:rsid w:val="7EC42148"/>
    <w:rsid w:val="7F0569E9"/>
    <w:rsid w:val="7F453289"/>
    <w:rsid w:val="7F58348A"/>
    <w:rsid w:val="7F721BA4"/>
    <w:rsid w:val="7F7973D7"/>
    <w:rsid w:val="7F9F0D72"/>
    <w:rsid w:val="7FBA5A25"/>
    <w:rsid w:val="7FC06DB4"/>
    <w:rsid w:val="7FD23434"/>
    <w:rsid w:val="7FE26D2A"/>
    <w:rsid w:val="7FE8721A"/>
    <w:rsid w:val="7FE934FA"/>
    <w:rsid w:val="7FF6217A"/>
    <w:rsid w:val="CECB489F"/>
    <w:rsid w:val="DBFF616F"/>
    <w:rsid w:val="F8EF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qFormat="1" w:unhideWhenUsed="0" w:uiPriority="39"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9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02"/>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7"/>
    <w:next w:val="7"/>
    <w:link w:val="77"/>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82"/>
    <w:qFormat/>
    <w:uiPriority w:val="0"/>
    <w:pPr>
      <w:keepNext/>
      <w:keepLines/>
      <w:spacing w:before="280" w:after="290" w:line="376" w:lineRule="auto"/>
      <w:outlineLvl w:val="3"/>
    </w:pPr>
    <w:rPr>
      <w:b/>
      <w:bCs/>
      <w:sz w:val="28"/>
      <w:szCs w:val="28"/>
    </w:rPr>
  </w:style>
  <w:style w:type="paragraph" w:styleId="10">
    <w:name w:val="heading 5"/>
    <w:basedOn w:val="1"/>
    <w:next w:val="1"/>
    <w:unhideWhenUsed/>
    <w:qFormat/>
    <w:uiPriority w:val="0"/>
    <w:pPr>
      <w:keepNext/>
      <w:keepLines/>
      <w:spacing w:before="280" w:after="290" w:line="376" w:lineRule="auto"/>
      <w:outlineLvl w:val="4"/>
    </w:pPr>
    <w:rPr>
      <w:b/>
      <w:bCs/>
      <w:sz w:val="28"/>
      <w:szCs w:val="28"/>
    </w:rPr>
  </w:style>
  <w:style w:type="paragraph" w:styleId="11">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微软简标宋" w:hAnsi="@微软简标宋" w:eastAsia="@微软简标宋" w:cs="@微软简标宋"/>
      <w:szCs w:val="24"/>
      <w:lang w:val="zh-CN"/>
    </w:rPr>
  </w:style>
  <w:style w:type="paragraph" w:styleId="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customStyle="1" w:styleId="7">
    <w:name w:val="章标题"/>
    <w:next w:val="8"/>
    <w:qFormat/>
    <w:uiPriority w:val="0"/>
    <w:pPr>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8">
    <w:name w:val="段"/>
    <w:qFormat/>
    <w:uiPriority w:val="0"/>
    <w:pPr>
      <w:autoSpaceDE w:val="0"/>
      <w:autoSpaceDN w:val="0"/>
      <w:spacing w:before="260" w:after="260" w:line="360" w:lineRule="auto"/>
      <w:ind w:firstLine="200" w:firstLineChars="200"/>
      <w:jc w:val="both"/>
    </w:pPr>
    <w:rPr>
      <w:rFonts w:ascii="宋体" w:hAnsi="Times New Roman" w:eastAsia="宋体" w:cs="Times New Roman"/>
      <w:sz w:val="21"/>
      <w:lang w:val="en-US" w:eastAsia="zh-CN" w:bidi="ar-SA"/>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4">
    <w:name w:val="caption"/>
    <w:basedOn w:val="1"/>
    <w:next w:val="1"/>
    <w:qFormat/>
    <w:uiPriority w:val="99"/>
    <w:pPr>
      <w:spacing w:after="120"/>
      <w:ind w:firstLine="0" w:firstLineChars="0"/>
      <w:jc w:val="center"/>
    </w:pPr>
    <w:rPr>
      <w:rFonts w:ascii="Times New Roman" w:hAnsi="Times New Roman" w:eastAsia="黑体"/>
      <w:b/>
      <w:sz w:val="24"/>
      <w:szCs w:val="20"/>
    </w:rPr>
  </w:style>
  <w:style w:type="paragraph" w:styleId="15">
    <w:name w:val="Document Map"/>
    <w:basedOn w:val="1"/>
    <w:next w:val="1"/>
    <w:qFormat/>
    <w:uiPriority w:val="0"/>
    <w:rPr>
      <w:rFonts w:ascii="宋体" w:hAnsi="Times New Roman" w:eastAsia="宋体" w:cs="Times New Roman"/>
      <w:sz w:val="18"/>
      <w:szCs w:val="18"/>
    </w:rPr>
  </w:style>
  <w:style w:type="paragraph" w:styleId="16">
    <w:name w:val="annotation text"/>
    <w:basedOn w:val="1"/>
    <w:link w:val="74"/>
    <w:qFormat/>
    <w:uiPriority w:val="0"/>
    <w:pPr>
      <w:jc w:val="left"/>
    </w:pPr>
    <w:rPr>
      <w:rFonts w:ascii="Arial" w:hAnsi="Arial" w:eastAsia="黑体" w:cs="Arial"/>
    </w:rPr>
  </w:style>
  <w:style w:type="paragraph" w:styleId="17">
    <w:name w:val="Body Text Indent"/>
    <w:basedOn w:val="1"/>
    <w:qFormat/>
    <w:uiPriority w:val="0"/>
    <w:pPr>
      <w:spacing w:after="120"/>
      <w:ind w:left="200" w:leftChars="200"/>
    </w:pPr>
  </w:style>
  <w:style w:type="paragraph" w:styleId="18">
    <w:name w:val="List 2"/>
    <w:basedOn w:val="1"/>
    <w:qFormat/>
    <w:uiPriority w:val="0"/>
    <w:pPr>
      <w:ind w:left="100" w:leftChars="200" w:hanging="200" w:hangingChars="200"/>
    </w:pPr>
  </w:style>
  <w:style w:type="paragraph" w:styleId="19">
    <w:name w:val="Block Text"/>
    <w:basedOn w:val="1"/>
    <w:qFormat/>
    <w:uiPriority w:val="0"/>
    <w:rPr>
      <w:rFonts w:eastAsia="宋体"/>
    </w:rPr>
  </w:style>
  <w:style w:type="paragraph" w:styleId="2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21">
    <w:name w:val="Plain Text"/>
    <w:basedOn w:val="1"/>
    <w:link w:val="64"/>
    <w:qFormat/>
    <w:uiPriority w:val="99"/>
    <w:rPr>
      <w:rFonts w:ascii="宋体" w:hAnsi="Courier New" w:eastAsiaTheme="minorEastAsia" w:cstheme="minorBidi"/>
      <w:szCs w:val="22"/>
    </w:rPr>
  </w:style>
  <w:style w:type="paragraph" w:styleId="22">
    <w:name w:val="toc 8"/>
    <w:basedOn w:val="1"/>
    <w:next w:val="1"/>
    <w:qFormat/>
    <w:uiPriority w:val="39"/>
    <w:pPr>
      <w:ind w:left="1470"/>
      <w:jc w:val="left"/>
    </w:pPr>
    <w:rPr>
      <w:rFonts w:ascii="Times New Roman" w:hAnsi="Times New Roman"/>
      <w:sz w:val="18"/>
      <w:szCs w:val="18"/>
    </w:rPr>
  </w:style>
  <w:style w:type="paragraph" w:styleId="23">
    <w:name w:val="Date"/>
    <w:basedOn w:val="1"/>
    <w:next w:val="1"/>
    <w:link w:val="71"/>
    <w:qFormat/>
    <w:uiPriority w:val="0"/>
    <w:rPr>
      <w:rFonts w:ascii="Arial" w:hAnsi="Arial" w:eastAsia="宋体" w:cs="Arial"/>
      <w:b/>
      <w:sz w:val="28"/>
    </w:rPr>
  </w:style>
  <w:style w:type="paragraph" w:styleId="24">
    <w:name w:val="Body Text Indent 2"/>
    <w:basedOn w:val="1"/>
    <w:next w:val="1"/>
    <w:qFormat/>
    <w:uiPriority w:val="0"/>
    <w:pPr>
      <w:spacing w:after="120" w:line="480" w:lineRule="auto"/>
      <w:ind w:left="200" w:leftChars="200" w:firstLine="0" w:firstLineChars="0"/>
    </w:pPr>
    <w:rPr>
      <w:rFonts w:ascii="Times New Roman" w:hAnsi="Times New Roman"/>
      <w:sz w:val="21"/>
      <w:szCs w:val="28"/>
    </w:rPr>
  </w:style>
  <w:style w:type="paragraph" w:styleId="25">
    <w:name w:val="Balloon Text"/>
    <w:basedOn w:val="1"/>
    <w:link w:val="58"/>
    <w:semiHidden/>
    <w:unhideWhenUsed/>
    <w:qFormat/>
    <w:uiPriority w:val="99"/>
    <w:rPr>
      <w:sz w:val="18"/>
      <w:szCs w:val="18"/>
    </w:rPr>
  </w:style>
  <w:style w:type="paragraph" w:styleId="26">
    <w:name w:val="footer"/>
    <w:basedOn w:val="1"/>
    <w:link w:val="63"/>
    <w:unhideWhenUsed/>
    <w:qFormat/>
    <w:uiPriority w:val="99"/>
    <w:pPr>
      <w:tabs>
        <w:tab w:val="center" w:pos="4153"/>
        <w:tab w:val="right" w:pos="8306"/>
      </w:tabs>
      <w:snapToGrid w:val="0"/>
      <w:jc w:val="left"/>
    </w:pPr>
    <w:rPr>
      <w:sz w:val="18"/>
      <w:szCs w:val="18"/>
    </w:rPr>
  </w:style>
  <w:style w:type="paragraph" w:styleId="27">
    <w:name w:val="envelope return"/>
    <w:basedOn w:val="1"/>
    <w:next w:val="12"/>
    <w:qFormat/>
    <w:uiPriority w:val="0"/>
    <w:pPr>
      <w:snapToGrid w:val="0"/>
    </w:pPr>
    <w:rPr>
      <w:rFonts w:ascii="Arial" w:hAnsi="Arial"/>
    </w:rPr>
  </w:style>
  <w:style w:type="paragraph" w:styleId="2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30">
    <w:name w:val="Subtitle"/>
    <w:basedOn w:val="1"/>
    <w:qFormat/>
    <w:uiPriority w:val="0"/>
    <w:pPr>
      <w:spacing w:before="120" w:after="120"/>
      <w:ind w:firstLine="0" w:firstLineChars="0"/>
      <w:jc w:val="center"/>
      <w:outlineLvl w:val="1"/>
    </w:pPr>
    <w:rPr>
      <w:rFonts w:ascii="Times New Roman" w:hAnsi="Times New Roman" w:cs="Times New Roman"/>
      <w:b/>
      <w:bCs/>
      <w:kern w:val="28"/>
      <w:sz w:val="32"/>
      <w:szCs w:val="32"/>
    </w:rPr>
  </w:style>
  <w:style w:type="paragraph" w:styleId="31">
    <w:name w:val="List"/>
    <w:basedOn w:val="1"/>
    <w:next w:val="1"/>
    <w:qFormat/>
    <w:uiPriority w:val="0"/>
    <w:pPr>
      <w:spacing w:line="240" w:lineRule="auto"/>
      <w:ind w:left="200" w:hanging="200" w:hangingChars="200"/>
    </w:pPr>
    <w:rPr>
      <w:rFonts w:eastAsia="PMingLiU"/>
      <w:szCs w:val="20"/>
      <w:lang w:val="en-GB" w:eastAsia="zh-TW"/>
    </w:rPr>
  </w:style>
  <w:style w:type="paragraph" w:styleId="32">
    <w:name w:val="Body Text 2"/>
    <w:basedOn w:val="1"/>
    <w:unhideWhenUsed/>
    <w:qFormat/>
    <w:uiPriority w:val="99"/>
    <w:pPr>
      <w:spacing w:after="120" w:line="480" w:lineRule="auto"/>
    </w:pPr>
  </w:style>
  <w:style w:type="paragraph" w:styleId="33">
    <w:name w:val="Normal (Web)"/>
    <w:basedOn w:val="1"/>
    <w:qFormat/>
    <w:uiPriority w:val="0"/>
    <w:pPr>
      <w:spacing w:before="100" w:beforeAutospacing="1" w:after="100" w:afterAutospacing="1"/>
      <w:jc w:val="left"/>
    </w:pPr>
    <w:rPr>
      <w:rFonts w:cs="Times New Roman"/>
      <w:kern w:val="0"/>
      <w:sz w:val="24"/>
    </w:rPr>
  </w:style>
  <w:style w:type="paragraph" w:styleId="34">
    <w:name w:val="index 1"/>
    <w:basedOn w:val="1"/>
    <w:next w:val="1"/>
    <w:qFormat/>
    <w:uiPriority w:val="0"/>
    <w:pPr>
      <w:jc w:val="center"/>
    </w:pPr>
    <w:rPr>
      <w:rFonts w:ascii="Arial" w:hAnsi="Arial" w:eastAsia="Arial" w:cs="Arial"/>
      <w:b/>
      <w:bCs/>
      <w:sz w:val="28"/>
    </w:rPr>
  </w:style>
  <w:style w:type="paragraph" w:styleId="35">
    <w:name w:val="Title"/>
    <w:basedOn w:val="1"/>
    <w:next w:val="30"/>
    <w:qFormat/>
    <w:uiPriority w:val="0"/>
    <w:pPr>
      <w:spacing w:before="120" w:after="120"/>
      <w:ind w:firstLine="0" w:firstLineChars="0"/>
      <w:jc w:val="center"/>
      <w:outlineLvl w:val="0"/>
    </w:pPr>
    <w:rPr>
      <w:rFonts w:ascii="Times New Roman" w:hAnsi="Times New Roman" w:cs="Times New Roman"/>
      <w:b/>
      <w:bCs/>
      <w:sz w:val="44"/>
      <w:szCs w:val="32"/>
    </w:rPr>
  </w:style>
  <w:style w:type="paragraph" w:styleId="36">
    <w:name w:val="annotation subject"/>
    <w:basedOn w:val="16"/>
    <w:next w:val="16"/>
    <w:link w:val="85"/>
    <w:semiHidden/>
    <w:unhideWhenUsed/>
    <w:qFormat/>
    <w:uiPriority w:val="99"/>
    <w:rPr>
      <w:rFonts w:ascii="@仿宋_GB2312" w:hAnsi="@仿宋_GB2312" w:eastAsia="@仿宋_GB2312" w:cs="@仿宋_GB2312"/>
      <w:b/>
      <w:bCs/>
    </w:rPr>
  </w:style>
  <w:style w:type="paragraph" w:styleId="37">
    <w:name w:val="Body Text First Indent"/>
    <w:basedOn w:val="2"/>
    <w:unhideWhenUsed/>
    <w:qFormat/>
    <w:uiPriority w:val="99"/>
    <w:pPr>
      <w:ind w:firstLine="420" w:firstLineChars="100"/>
    </w:pPr>
  </w:style>
  <w:style w:type="paragraph" w:styleId="38">
    <w:name w:val="Body Text First Indent 2"/>
    <w:basedOn w:val="17"/>
    <w:next w:val="1"/>
    <w:qFormat/>
    <w:uiPriority w:val="0"/>
    <w:pPr>
      <w:ind w:left="0" w:leftChars="0" w:firstLine="420" w:firstLineChars="200"/>
    </w:pPr>
  </w:style>
  <w:style w:type="table" w:styleId="40">
    <w:name w:val="Table Grid"/>
    <w:basedOn w:val="3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FollowedHyperlink"/>
    <w:basedOn w:val="41"/>
    <w:semiHidden/>
    <w:unhideWhenUsed/>
    <w:qFormat/>
    <w:uiPriority w:val="99"/>
    <w:rPr>
      <w:color w:val="5C5C5C"/>
      <w:u w:val="none"/>
    </w:rPr>
  </w:style>
  <w:style w:type="character" w:styleId="44">
    <w:name w:val="Emphasis"/>
    <w:basedOn w:val="41"/>
    <w:qFormat/>
    <w:uiPriority w:val="20"/>
    <w:rPr>
      <w:b/>
      <w:bCs/>
    </w:rPr>
  </w:style>
  <w:style w:type="character" w:styleId="45">
    <w:name w:val="HTML Definition"/>
    <w:basedOn w:val="41"/>
    <w:semiHidden/>
    <w:unhideWhenUsed/>
    <w:qFormat/>
    <w:uiPriority w:val="99"/>
  </w:style>
  <w:style w:type="character" w:styleId="46">
    <w:name w:val="HTML Typewriter"/>
    <w:basedOn w:val="41"/>
    <w:semiHidden/>
    <w:unhideWhenUsed/>
    <w:qFormat/>
    <w:uiPriority w:val="99"/>
    <w:rPr>
      <w:rFonts w:hint="default" w:ascii="monospace" w:hAnsi="monospace" w:eastAsia="monospace" w:cs="monospace"/>
      <w:sz w:val="20"/>
    </w:rPr>
  </w:style>
  <w:style w:type="character" w:styleId="47">
    <w:name w:val="HTML Acronym"/>
    <w:basedOn w:val="41"/>
    <w:semiHidden/>
    <w:unhideWhenUsed/>
    <w:qFormat/>
    <w:uiPriority w:val="99"/>
    <w:rPr>
      <w:rFonts w:ascii="ActionIcon ! important" w:hAnsi="ActionIcon ! important" w:eastAsia="ActionIcon ! important" w:cs="ActionIcon ! important"/>
      <w:color w:val="D6D6D6"/>
      <w:sz w:val="24"/>
      <w:szCs w:val="24"/>
    </w:rPr>
  </w:style>
  <w:style w:type="character" w:styleId="48">
    <w:name w:val="HTML Variable"/>
    <w:basedOn w:val="41"/>
    <w:semiHidden/>
    <w:unhideWhenUsed/>
    <w:qFormat/>
    <w:uiPriority w:val="99"/>
  </w:style>
  <w:style w:type="character" w:styleId="49">
    <w:name w:val="Hyperlink"/>
    <w:basedOn w:val="41"/>
    <w:unhideWhenUsed/>
    <w:qFormat/>
    <w:uiPriority w:val="99"/>
    <w:rPr>
      <w:color w:val="0000FF" w:themeColor="hyperlink"/>
      <w:u w:val="single"/>
      <w14:textFill>
        <w14:solidFill>
          <w14:schemeClr w14:val="hlink"/>
        </w14:solidFill>
      </w14:textFill>
    </w:rPr>
  </w:style>
  <w:style w:type="character" w:styleId="50">
    <w:name w:val="HTML Code"/>
    <w:basedOn w:val="41"/>
    <w:semiHidden/>
    <w:unhideWhenUsed/>
    <w:qFormat/>
    <w:uiPriority w:val="99"/>
    <w:rPr>
      <w:rFonts w:hint="default" w:ascii="monospace" w:hAnsi="monospace" w:eastAsia="monospace" w:cs="monospace"/>
      <w:sz w:val="20"/>
    </w:rPr>
  </w:style>
  <w:style w:type="character" w:styleId="51">
    <w:name w:val="annotation reference"/>
    <w:basedOn w:val="41"/>
    <w:semiHidden/>
    <w:unhideWhenUsed/>
    <w:qFormat/>
    <w:uiPriority w:val="99"/>
    <w:rPr>
      <w:sz w:val="21"/>
      <w:szCs w:val="21"/>
    </w:rPr>
  </w:style>
  <w:style w:type="character" w:styleId="52">
    <w:name w:val="HTML Cite"/>
    <w:basedOn w:val="41"/>
    <w:semiHidden/>
    <w:unhideWhenUsed/>
    <w:qFormat/>
    <w:uiPriority w:val="99"/>
  </w:style>
  <w:style w:type="character" w:styleId="53">
    <w:name w:val="HTML Keyboard"/>
    <w:basedOn w:val="41"/>
    <w:semiHidden/>
    <w:unhideWhenUsed/>
    <w:qFormat/>
    <w:uiPriority w:val="99"/>
    <w:rPr>
      <w:rFonts w:ascii="monospace" w:hAnsi="monospace" w:eastAsia="monospace" w:cs="monospace"/>
      <w:sz w:val="20"/>
    </w:rPr>
  </w:style>
  <w:style w:type="character" w:styleId="54">
    <w:name w:val="HTML Sample"/>
    <w:basedOn w:val="41"/>
    <w:semiHidden/>
    <w:unhideWhenUsed/>
    <w:qFormat/>
    <w:uiPriority w:val="99"/>
    <w:rPr>
      <w:rFonts w:hint="default" w:ascii="monospace" w:hAnsi="monospace" w:eastAsia="monospace" w:cs="monospace"/>
    </w:rPr>
  </w:style>
  <w:style w:type="paragraph" w:customStyle="1" w:styleId="55">
    <w:name w:val="段落"/>
    <w:qFormat/>
    <w:uiPriority w:val="0"/>
    <w:pPr>
      <w:adjustRightInd w:val="0"/>
      <w:snapToGrid w:val="0"/>
      <w:spacing w:before="120" w:after="120" w:line="360" w:lineRule="auto"/>
    </w:pPr>
    <w:rPr>
      <w:rFonts w:ascii="Times New Roman" w:hAnsi="Times New Roman" w:eastAsia="仿宋_GB2312" w:cs="Times New Roman"/>
      <w:b/>
      <w:kern w:val="2"/>
      <w:sz w:val="28"/>
      <w:szCs w:val="24"/>
      <w:lang w:val="en-US" w:eastAsia="zh-CN" w:bidi="ar-SA"/>
    </w:rPr>
  </w:style>
  <w:style w:type="paragraph" w:customStyle="1" w:styleId="56">
    <w:name w:val="_Style 2"/>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57">
    <w:name w:val="正文文字 8"/>
    <w:basedOn w:val="1"/>
    <w:next w:val="1"/>
    <w:qFormat/>
    <w:uiPriority w:val="0"/>
    <w:pPr>
      <w:ind w:left="240"/>
    </w:pPr>
    <w:rPr>
      <w:sz w:val="16"/>
    </w:rPr>
  </w:style>
  <w:style w:type="character" w:customStyle="1" w:styleId="58">
    <w:name w:val="批注框文本 字符"/>
    <w:basedOn w:val="41"/>
    <w:link w:val="25"/>
    <w:semiHidden/>
    <w:qFormat/>
    <w:uiPriority w:val="99"/>
    <w:rPr>
      <w:rFonts w:ascii="@仿宋_GB2312" w:hAnsi="@仿宋_GB2312" w:eastAsia="@仿宋_GB2312" w:cs="@仿宋_GB2312"/>
      <w:sz w:val="18"/>
      <w:szCs w:val="18"/>
    </w:rPr>
  </w:style>
  <w:style w:type="paragraph" w:customStyle="1" w:styleId="59">
    <w:name w:val="正文（缩进）"/>
    <w:basedOn w:val="1"/>
    <w:qFormat/>
    <w:uiPriority w:val="0"/>
    <w:pPr>
      <w:widowControl/>
      <w:spacing w:before="156" w:after="156"/>
      <w:ind w:firstLine="480" w:firstLineChars="200"/>
      <w:jc w:val="left"/>
    </w:pPr>
    <w:rPr>
      <w:kern w:val="0"/>
      <w:sz w:val="24"/>
      <w:szCs w:val="24"/>
    </w:rPr>
  </w:style>
  <w:style w:type="paragraph" w:customStyle="1" w:styleId="60">
    <w:name w:val="xl31"/>
    <w:basedOn w:val="1"/>
    <w:qFormat/>
    <w:uiPriority w:val="0"/>
    <w:pPr>
      <w:widowControl/>
      <w:spacing w:before="100" w:beforeAutospacing="1" w:after="100" w:afterAutospacing="1"/>
      <w:jc w:val="center"/>
    </w:pPr>
    <w:rPr>
      <w:b/>
      <w:bCs/>
      <w:kern w:val="0"/>
      <w:sz w:val="28"/>
      <w:szCs w:val="28"/>
    </w:rPr>
  </w:style>
  <w:style w:type="paragraph" w:customStyle="1" w:styleId="61">
    <w:name w:val="D&amp;L"/>
    <w:basedOn w:val="2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62">
    <w:name w:val="页眉 字符"/>
    <w:basedOn w:val="41"/>
    <w:link w:val="28"/>
    <w:qFormat/>
    <w:uiPriority w:val="99"/>
    <w:rPr>
      <w:rFonts w:ascii="@仿宋_GB2312" w:hAnsi="@仿宋_GB2312" w:eastAsia="@仿宋_GB2312" w:cs="@仿宋_GB2312"/>
      <w:sz w:val="18"/>
      <w:szCs w:val="18"/>
    </w:rPr>
  </w:style>
  <w:style w:type="character" w:customStyle="1" w:styleId="63">
    <w:name w:val="页脚 字符"/>
    <w:basedOn w:val="41"/>
    <w:link w:val="26"/>
    <w:qFormat/>
    <w:uiPriority w:val="99"/>
    <w:rPr>
      <w:rFonts w:ascii="@仿宋_GB2312" w:hAnsi="@仿宋_GB2312" w:eastAsia="@仿宋_GB2312" w:cs="@仿宋_GB2312"/>
      <w:sz w:val="18"/>
      <w:szCs w:val="18"/>
    </w:rPr>
  </w:style>
  <w:style w:type="character" w:customStyle="1" w:styleId="64">
    <w:name w:val="纯文本 字符"/>
    <w:link w:val="21"/>
    <w:qFormat/>
    <w:uiPriority w:val="0"/>
    <w:rPr>
      <w:rFonts w:ascii="宋体" w:hAnsi="Courier New"/>
    </w:rPr>
  </w:style>
  <w:style w:type="character" w:customStyle="1" w:styleId="65">
    <w:name w:val="纯文本 字符1"/>
    <w:basedOn w:val="41"/>
    <w:semiHidden/>
    <w:qFormat/>
    <w:uiPriority w:val="99"/>
    <w:rPr>
      <w:rFonts w:hAnsi="Courier New" w:cs="Courier New" w:asciiTheme="minorEastAsia"/>
      <w:szCs w:val="20"/>
    </w:rPr>
  </w:style>
  <w:style w:type="character" w:customStyle="1" w:styleId="66">
    <w:name w:val="未处理的提及1"/>
    <w:basedOn w:val="41"/>
    <w:semiHidden/>
    <w:unhideWhenUsed/>
    <w:qFormat/>
    <w:uiPriority w:val="99"/>
    <w:rPr>
      <w:color w:val="605E5C"/>
      <w:shd w:val="clear" w:color="auto" w:fill="E1DFDD"/>
    </w:rPr>
  </w:style>
  <w:style w:type="paragraph" w:styleId="67">
    <w:name w:val="List Paragraph"/>
    <w:basedOn w:val="1"/>
    <w:qFormat/>
    <w:uiPriority w:val="34"/>
    <w:pPr>
      <w:ind w:firstLine="420" w:firstLineChars="200"/>
    </w:pPr>
  </w:style>
  <w:style w:type="paragraph" w:customStyle="1" w:styleId="68">
    <w:name w:val="Char Char Char Char Char Char Char1 Char"/>
    <w:basedOn w:val="1"/>
    <w:qFormat/>
    <w:uiPriority w:val="0"/>
    <w:rPr>
      <w:rFonts w:ascii="Arial" w:hAnsi="Arial" w:eastAsia="宋体" w:cs="Arial"/>
      <w:sz w:val="24"/>
    </w:rPr>
  </w:style>
  <w:style w:type="table" w:customStyle="1" w:styleId="69">
    <w:name w:val="网格表 1 浅色1"/>
    <w:basedOn w:val="3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0">
    <w:name w:val="日期 字符"/>
    <w:basedOn w:val="41"/>
    <w:semiHidden/>
    <w:qFormat/>
    <w:uiPriority w:val="99"/>
    <w:rPr>
      <w:rFonts w:ascii="@仿宋_GB2312" w:hAnsi="@仿宋_GB2312" w:eastAsia="@仿宋_GB2312" w:cs="@仿宋_GB2312"/>
      <w:szCs w:val="20"/>
    </w:rPr>
  </w:style>
  <w:style w:type="character" w:customStyle="1" w:styleId="71">
    <w:name w:val="日期 字符1"/>
    <w:link w:val="23"/>
    <w:qFormat/>
    <w:uiPriority w:val="0"/>
    <w:rPr>
      <w:rFonts w:ascii="Arial" w:hAnsi="Arial" w:eastAsia="宋体" w:cs="Arial"/>
      <w:b/>
      <w:sz w:val="28"/>
      <w:szCs w:val="20"/>
    </w:rPr>
  </w:style>
  <w:style w:type="character" w:customStyle="1" w:styleId="72">
    <w:name w:val="纯文本 Char1"/>
    <w:qFormat/>
    <w:locked/>
    <w:uiPriority w:val="99"/>
    <w:rPr>
      <w:rFonts w:ascii="Arial" w:hAnsi="Arial" w:eastAsia="Arial"/>
      <w:kern w:val="2"/>
      <w:sz w:val="21"/>
      <w:lang w:val="en-US" w:eastAsia="zh-CN" w:bidi="ar-SA"/>
    </w:rPr>
  </w:style>
  <w:style w:type="character" w:customStyle="1" w:styleId="73">
    <w:name w:val="批注文字 Char"/>
    <w:basedOn w:val="41"/>
    <w:semiHidden/>
    <w:qFormat/>
    <w:uiPriority w:val="99"/>
    <w:rPr>
      <w:rFonts w:ascii="@仿宋_GB2312" w:hAnsi="@仿宋_GB2312" w:eastAsia="@仿宋_GB2312" w:cs="@仿宋_GB2312"/>
      <w:szCs w:val="20"/>
    </w:rPr>
  </w:style>
  <w:style w:type="character" w:customStyle="1" w:styleId="74">
    <w:name w:val="批注文字 字符"/>
    <w:link w:val="16"/>
    <w:qFormat/>
    <w:uiPriority w:val="0"/>
    <w:rPr>
      <w:rFonts w:ascii="Arial" w:hAnsi="Arial" w:eastAsia="黑体" w:cs="Arial"/>
      <w:szCs w:val="20"/>
    </w:rPr>
  </w:style>
  <w:style w:type="character" w:customStyle="1" w:styleId="75">
    <w:name w:val="标题 1 Char"/>
    <w:basedOn w:val="41"/>
    <w:qFormat/>
    <w:uiPriority w:val="9"/>
    <w:rPr>
      <w:rFonts w:ascii="@仿宋_GB2312" w:hAnsi="@仿宋_GB2312" w:eastAsia="@仿宋_GB2312" w:cs="@仿宋_GB2312"/>
      <w:b/>
      <w:bCs/>
      <w:kern w:val="44"/>
      <w:sz w:val="44"/>
      <w:szCs w:val="44"/>
    </w:rPr>
  </w:style>
  <w:style w:type="paragraph" w:customStyle="1" w:styleId="7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7">
    <w:name w:val="标题 3 字符"/>
    <w:basedOn w:val="41"/>
    <w:link w:val="6"/>
    <w:semiHidden/>
    <w:qFormat/>
    <w:uiPriority w:val="9"/>
    <w:rPr>
      <w:rFonts w:ascii="@仿宋_GB2312" w:hAnsi="@仿宋_GB2312" w:eastAsia="@仿宋_GB2312" w:cs="@仿宋_GB2312"/>
      <w:b/>
      <w:bCs/>
      <w:sz w:val="32"/>
      <w:szCs w:val="32"/>
    </w:rPr>
  </w:style>
  <w:style w:type="character" w:customStyle="1" w:styleId="78">
    <w:name w:val="fontstyle01"/>
    <w:basedOn w:val="41"/>
    <w:qFormat/>
    <w:uiPriority w:val="0"/>
    <w:rPr>
      <w:rFonts w:hint="eastAsia" w:ascii="宋体" w:hAnsi="宋体" w:eastAsia="宋体"/>
      <w:color w:val="000000"/>
      <w:sz w:val="22"/>
      <w:szCs w:val="22"/>
    </w:rPr>
  </w:style>
  <w:style w:type="character" w:customStyle="1" w:styleId="79">
    <w:name w:val="fontstyle21"/>
    <w:basedOn w:val="41"/>
    <w:qFormat/>
    <w:uiPriority w:val="0"/>
    <w:rPr>
      <w:rFonts w:hint="default" w:ascii="TimesNewRomanPSMT" w:hAnsi="TimesNewRomanPSMT"/>
      <w:color w:val="000000"/>
      <w:sz w:val="22"/>
      <w:szCs w:val="22"/>
    </w:rPr>
  </w:style>
  <w:style w:type="character" w:customStyle="1" w:styleId="8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1">
    <w:name w:val="标题 4 字符"/>
    <w:basedOn w:val="41"/>
    <w:semiHidden/>
    <w:qFormat/>
    <w:uiPriority w:val="9"/>
    <w:rPr>
      <w:rFonts w:asciiTheme="majorHAnsi" w:hAnsiTheme="majorHAnsi" w:eastAsiaTheme="majorEastAsia" w:cstheme="majorBidi"/>
      <w:b/>
      <w:bCs/>
      <w:sz w:val="28"/>
      <w:szCs w:val="28"/>
    </w:rPr>
  </w:style>
  <w:style w:type="character" w:customStyle="1" w:styleId="82">
    <w:name w:val="标题 4 字符1"/>
    <w:link w:val="9"/>
    <w:qFormat/>
    <w:uiPriority w:val="0"/>
    <w:rPr>
      <w:rFonts w:ascii="@仿宋_GB2312" w:hAnsi="@仿宋_GB2312" w:eastAsia="@仿宋_GB2312" w:cs="@仿宋_GB2312"/>
      <w:b/>
      <w:bCs/>
      <w:sz w:val="28"/>
      <w:szCs w:val="28"/>
    </w:rPr>
  </w:style>
  <w:style w:type="character" w:customStyle="1" w:styleId="83">
    <w:name w:val="标题 4 Char"/>
    <w:qFormat/>
    <w:uiPriority w:val="0"/>
    <w:rPr>
      <w:rFonts w:ascii="Arial" w:hAnsi="Arial" w:eastAsia="Arial"/>
      <w:b/>
      <w:bCs/>
      <w:kern w:val="2"/>
      <w:sz w:val="28"/>
      <w:szCs w:val="28"/>
      <w:lang w:val="en-US" w:eastAsia="zh-CN" w:bidi="ar-SA"/>
    </w:rPr>
  </w:style>
  <w:style w:type="table" w:customStyle="1" w:styleId="84">
    <w:name w:val="网格型1"/>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批注主题 字符"/>
    <w:basedOn w:val="74"/>
    <w:link w:val="36"/>
    <w:semiHidden/>
    <w:qFormat/>
    <w:uiPriority w:val="99"/>
    <w:rPr>
      <w:rFonts w:ascii="@仿宋_GB2312" w:hAnsi="@仿宋_GB2312" w:eastAsia="@仿宋_GB2312" w:cs="@仿宋_GB2312"/>
      <w:b/>
      <w:bCs/>
      <w:szCs w:val="20"/>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Table Text"/>
    <w:basedOn w:val="1"/>
    <w:semiHidden/>
    <w:qFormat/>
    <w:uiPriority w:val="0"/>
    <w:rPr>
      <w:rFonts w:ascii="Arial" w:hAnsi="Arial" w:eastAsia="Arial" w:cs="Arial"/>
      <w:szCs w:val="21"/>
      <w:lang w:eastAsia="en-US"/>
    </w:rPr>
  </w:style>
  <w:style w:type="paragraph" w:customStyle="1" w:styleId="88">
    <w:name w:val="Table Paragraph"/>
    <w:basedOn w:val="1"/>
    <w:qFormat/>
    <w:uiPriority w:val="0"/>
    <w:rPr>
      <w:rFonts w:ascii="宋体" w:hAnsi="宋体" w:eastAsia="宋体" w:cs="宋体"/>
      <w:lang w:val="zh-CN" w:bidi="zh-CN"/>
    </w:rPr>
  </w:style>
  <w:style w:type="character" w:customStyle="1" w:styleId="89">
    <w:name w:val="font31"/>
    <w:basedOn w:val="41"/>
    <w:qFormat/>
    <w:uiPriority w:val="0"/>
    <w:rPr>
      <w:rFonts w:ascii="微软雅黑" w:hAnsi="微软雅黑" w:eastAsia="微软雅黑" w:cs="微软雅黑"/>
      <w:color w:val="000000"/>
      <w:sz w:val="24"/>
      <w:szCs w:val="24"/>
      <w:u w:val="none"/>
    </w:rPr>
  </w:style>
  <w:style w:type="character" w:customStyle="1" w:styleId="90">
    <w:name w:val="font41"/>
    <w:basedOn w:val="41"/>
    <w:qFormat/>
    <w:uiPriority w:val="0"/>
    <w:rPr>
      <w:rFonts w:ascii="Calibri" w:hAnsi="Calibri" w:cs="Calibri"/>
      <w:color w:val="000000"/>
      <w:sz w:val="24"/>
      <w:szCs w:val="24"/>
      <w:u w:val="none"/>
    </w:rPr>
  </w:style>
  <w:style w:type="character" w:customStyle="1" w:styleId="91">
    <w:name w:val="标题 1 字符"/>
    <w:link w:val="4"/>
    <w:qFormat/>
    <w:uiPriority w:val="9"/>
    <w:rPr>
      <w:b/>
      <w:bCs/>
      <w:kern w:val="44"/>
      <w:sz w:val="44"/>
      <w:szCs w:val="44"/>
    </w:rPr>
  </w:style>
  <w:style w:type="paragraph" w:customStyle="1" w:styleId="92">
    <w:name w:val="Other|1"/>
    <w:basedOn w:val="1"/>
    <w:qFormat/>
    <w:uiPriority w:val="0"/>
    <w:rPr>
      <w:rFonts w:ascii="宋体" w:hAnsi="宋体" w:eastAsia="宋体" w:cs="宋体"/>
      <w:sz w:val="19"/>
      <w:szCs w:val="19"/>
      <w:lang w:val="zh-TW" w:eastAsia="zh-TW" w:bidi="zh-TW"/>
    </w:rPr>
  </w:style>
  <w:style w:type="paragraph" w:customStyle="1" w:styleId="93">
    <w:name w:val="纯文本1"/>
    <w:basedOn w:val="1"/>
    <w:qFormat/>
    <w:uiPriority w:val="0"/>
    <w:pPr>
      <w:adjustRightInd w:val="0"/>
    </w:pPr>
    <w:rPr>
      <w:rFonts w:ascii="宋体" w:hAnsi="Courier New" w:eastAsia="楷体_GB2312"/>
      <w:sz w:val="26"/>
    </w:rPr>
  </w:style>
  <w:style w:type="paragraph" w:customStyle="1" w:styleId="94">
    <w:name w:val="正文 New"/>
    <w:next w:val="95"/>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95">
    <w:name w:val="正文缩进1"/>
    <w:basedOn w:val="1"/>
    <w:next w:val="15"/>
    <w:qFormat/>
    <w:uiPriority w:val="0"/>
    <w:pPr>
      <w:spacing w:line="360" w:lineRule="atLeast"/>
      <w:ind w:firstLine="482"/>
    </w:pPr>
    <w:rPr>
      <w:rFonts w:ascii="Times New Roman" w:eastAsia="宋体"/>
      <w:sz w:val="24"/>
    </w:rPr>
  </w:style>
  <w:style w:type="paragraph" w:customStyle="1" w:styleId="96">
    <w:name w:val="_Style 3"/>
    <w:basedOn w:val="1"/>
    <w:qFormat/>
    <w:uiPriority w:val="0"/>
    <w:pPr>
      <w:ind w:firstLine="420" w:firstLineChars="200"/>
    </w:pPr>
    <w:rPr>
      <w:sz w:val="20"/>
    </w:rPr>
  </w:style>
  <w:style w:type="paragraph" w:customStyle="1" w:styleId="97">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character" w:customStyle="1" w:styleId="98">
    <w:name w:val="hover"/>
    <w:basedOn w:val="41"/>
    <w:qFormat/>
    <w:uiPriority w:val="0"/>
    <w:rPr>
      <w:color w:val="2590EB"/>
      <w:shd w:val="clear" w:color="auto" w:fill="E9F4FD"/>
    </w:rPr>
  </w:style>
  <w:style w:type="character" w:customStyle="1" w:styleId="99">
    <w:name w:val="hover1"/>
    <w:basedOn w:val="41"/>
    <w:qFormat/>
    <w:uiPriority w:val="0"/>
    <w:rPr>
      <w:color w:val="2590EB"/>
    </w:rPr>
  </w:style>
  <w:style w:type="character" w:customStyle="1" w:styleId="100">
    <w:name w:val="hover2"/>
    <w:basedOn w:val="41"/>
    <w:qFormat/>
    <w:uiPriority w:val="0"/>
    <w:rPr>
      <w:color w:val="2590EB"/>
    </w:rPr>
  </w:style>
  <w:style w:type="character" w:customStyle="1" w:styleId="101">
    <w:name w:val="hover3"/>
    <w:basedOn w:val="41"/>
    <w:qFormat/>
    <w:uiPriority w:val="0"/>
  </w:style>
  <w:style w:type="character" w:customStyle="1" w:styleId="102">
    <w:name w:val="标题 2 字符"/>
    <w:basedOn w:val="41"/>
    <w:link w:val="5"/>
    <w:qFormat/>
    <w:uiPriority w:val="0"/>
    <w:rPr>
      <w:rFonts w:ascii="等线 Light" w:hAnsi="等线 Light" w:eastAsia="等线 Light" w:cs="Times New Roman"/>
      <w:b/>
      <w:bCs/>
      <w:kern w:val="2"/>
      <w:sz w:val="32"/>
      <w:szCs w:val="32"/>
    </w:rPr>
  </w:style>
  <w:style w:type="character" w:customStyle="1" w:styleId="103">
    <w:name w:val="hover4"/>
    <w:basedOn w:val="41"/>
    <w:qFormat/>
    <w:uiPriority w:val="0"/>
  </w:style>
  <w:style w:type="character" w:customStyle="1" w:styleId="104">
    <w:name w:val="font21"/>
    <w:basedOn w:val="41"/>
    <w:qFormat/>
    <w:uiPriority w:val="0"/>
    <w:rPr>
      <w:rFonts w:hint="default" w:ascii="Times New Roman" w:hAnsi="Times New Roman" w:cs="Times New Roman"/>
      <w:color w:val="000000"/>
      <w:sz w:val="24"/>
      <w:szCs w:val="24"/>
      <w:u w:val="none"/>
    </w:rPr>
  </w:style>
  <w:style w:type="character" w:customStyle="1" w:styleId="105">
    <w:name w:val="font11"/>
    <w:basedOn w:val="41"/>
    <w:qFormat/>
    <w:uiPriority w:val="0"/>
    <w:rPr>
      <w:rFonts w:hint="eastAsia" w:ascii="宋体" w:hAnsi="宋体" w:eastAsia="宋体" w:cs="宋体"/>
      <w:color w:val="000000"/>
      <w:sz w:val="24"/>
      <w:szCs w:val="24"/>
      <w:u w:val="none"/>
    </w:rPr>
  </w:style>
  <w:style w:type="character" w:customStyle="1" w:styleId="106">
    <w:name w:val="font01"/>
    <w:basedOn w:val="41"/>
    <w:qFormat/>
    <w:uiPriority w:val="0"/>
    <w:rPr>
      <w:rFonts w:hint="eastAsia" w:ascii="宋体" w:hAnsi="宋体" w:eastAsia="宋体" w:cs="宋体"/>
      <w:color w:val="000000"/>
      <w:sz w:val="22"/>
      <w:szCs w:val="22"/>
      <w:u w:val="none"/>
    </w:rPr>
  </w:style>
  <w:style w:type="character" w:customStyle="1" w:styleId="107">
    <w:name w:val="font71"/>
    <w:basedOn w:val="41"/>
    <w:qFormat/>
    <w:uiPriority w:val="0"/>
    <w:rPr>
      <w:rFonts w:hint="default" w:ascii="Times New Roman" w:hAnsi="Times New Roman" w:cs="Times New Roman"/>
      <w:color w:val="000000"/>
      <w:sz w:val="22"/>
      <w:szCs w:val="22"/>
      <w:u w:val="none"/>
    </w:rPr>
  </w:style>
  <w:style w:type="character" w:customStyle="1" w:styleId="108">
    <w:name w:val="font51"/>
    <w:basedOn w:val="41"/>
    <w:qFormat/>
    <w:uiPriority w:val="0"/>
    <w:rPr>
      <w:rFonts w:ascii="黑体" w:hAnsi="宋体" w:eastAsia="黑体" w:cs="黑体"/>
      <w:color w:val="000000"/>
      <w:sz w:val="21"/>
      <w:szCs w:val="21"/>
      <w:u w:val="none"/>
    </w:rPr>
  </w:style>
  <w:style w:type="paragraph" w:customStyle="1" w:styleId="109">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110">
    <w:name w:val="focus4"/>
    <w:basedOn w:val="41"/>
    <w:qFormat/>
    <w:uiPriority w:val="0"/>
  </w:style>
  <w:style w:type="character" w:customStyle="1" w:styleId="111">
    <w:name w:val="tmpztreemove_arrow"/>
    <w:basedOn w:val="41"/>
    <w:qFormat/>
    <w:uiPriority w:val="0"/>
  </w:style>
  <w:style w:type="character" w:customStyle="1" w:styleId="112">
    <w:name w:val="button"/>
    <w:basedOn w:val="41"/>
    <w:qFormat/>
    <w:uiPriority w:val="0"/>
  </w:style>
  <w:style w:type="character" w:customStyle="1" w:styleId="113">
    <w:name w:val="txt15"/>
    <w:basedOn w:val="41"/>
    <w:qFormat/>
    <w:uiPriority w:val="0"/>
    <w:rPr>
      <w:color w:val="C0C0C0"/>
    </w:rPr>
  </w:style>
  <w:style w:type="character" w:customStyle="1" w:styleId="114">
    <w:name w:val="first-child1"/>
    <w:basedOn w:val="41"/>
    <w:qFormat/>
    <w:uiPriority w:val="0"/>
  </w:style>
  <w:style w:type="character" w:customStyle="1" w:styleId="115">
    <w:name w:val="split11"/>
    <w:basedOn w:val="41"/>
    <w:qFormat/>
    <w:uiPriority w:val="0"/>
    <w:rPr>
      <w:color w:val="C50001"/>
      <w:sz w:val="21"/>
      <w:szCs w:val="21"/>
    </w:rPr>
  </w:style>
  <w:style w:type="character" w:customStyle="1" w:styleId="116">
    <w:name w:val="focus"/>
    <w:basedOn w:val="41"/>
    <w:qFormat/>
    <w:uiPriority w:val="0"/>
  </w:style>
  <w:style w:type="character" w:customStyle="1" w:styleId="117">
    <w:name w:val="txt17"/>
    <w:basedOn w:val="41"/>
    <w:qFormat/>
    <w:uiPriority w:val="0"/>
    <w:rPr>
      <w:color w:val="C0C0C0"/>
    </w:rPr>
  </w:style>
  <w:style w:type="paragraph" w:customStyle="1" w:styleId="118">
    <w:name w:val="表格文字"/>
    <w:basedOn w:val="1"/>
    <w:qFormat/>
    <w:uiPriority w:val="0"/>
    <w:pPr>
      <w:spacing w:before="25" w:after="25"/>
      <w:jc w:val="left"/>
    </w:pPr>
    <w:rPr>
      <w:bCs/>
      <w:spacing w:val="10"/>
      <w:kern w:val="0"/>
      <w:sz w:val="24"/>
      <w:szCs w:val="20"/>
    </w:rPr>
  </w:style>
  <w:style w:type="paragraph" w:customStyle="1" w:styleId="119">
    <w:name w:val="my正文"/>
    <w:basedOn w:val="1"/>
    <w:qFormat/>
    <w:uiPriority w:val="0"/>
    <w:pPr>
      <w:ind w:firstLine="200"/>
    </w:pPr>
    <w:rPr>
      <w:rFonts w:ascii="仿宋_GB2312" w:hAnsiTheme="minorHAnsi" w:cstheme="minorBidi"/>
      <w:kern w:val="0"/>
      <w:szCs w:val="24"/>
    </w:rPr>
  </w:style>
  <w:style w:type="character" w:customStyle="1" w:styleId="120">
    <w:name w:val="NormalCharacter"/>
    <w:semiHidden/>
    <w:qFormat/>
    <w:uiPriority w:val="0"/>
  </w:style>
  <w:style w:type="paragraph" w:customStyle="1" w:styleId="121">
    <w:name w:val="*正文"/>
    <w:basedOn w:val="1"/>
    <w:qFormat/>
    <w:uiPriority w:val="0"/>
    <w:pPr>
      <w:widowControl/>
      <w:snapToGrid w:val="0"/>
      <w:ind w:firstLine="560"/>
      <w:jc w:val="left"/>
    </w:pPr>
    <w:rPr>
      <w:rFonts w:ascii="仿宋_GB2312"/>
      <w:color w:val="191919"/>
      <w:sz w:val="28"/>
      <w:szCs w:val="28"/>
    </w:rPr>
  </w:style>
  <w:style w:type="paragraph" w:customStyle="1" w:styleId="122">
    <w:name w:val="!正文"/>
    <w:basedOn w:val="1"/>
    <w:qFormat/>
    <w:uiPriority w:val="0"/>
    <w:pPr>
      <w:jc w:val="center"/>
    </w:pPr>
    <w:rPr>
      <w:rFonts w:ascii="宋体" w:eastAsia="宋体"/>
      <w:sz w:val="21"/>
      <w:szCs w:val="28"/>
    </w:rPr>
  </w:style>
  <w:style w:type="paragraph" w:customStyle="1" w:styleId="123">
    <w:name w:val="why箭头"/>
    <w:basedOn w:val="124"/>
    <w:qFormat/>
    <w:uiPriority w:val="0"/>
    <w:pPr>
      <w:numPr>
        <w:ilvl w:val="0"/>
        <w:numId w:val="1"/>
      </w:numPr>
      <w:ind w:firstLineChars="0"/>
    </w:pPr>
  </w:style>
  <w:style w:type="paragraph" w:customStyle="1" w:styleId="124">
    <w:name w:val="why正文不缩进"/>
    <w:basedOn w:val="1"/>
    <w:qFormat/>
    <w:uiPriority w:val="0"/>
  </w:style>
  <w:style w:type="paragraph" w:customStyle="1" w:styleId="125">
    <w:name w:val="why正文缩进"/>
    <w:basedOn w:val="126"/>
    <w:qFormat/>
    <w:uiPriority w:val="0"/>
    <w:rPr>
      <w:rFonts w:eastAsia="等线"/>
    </w:rPr>
  </w:style>
  <w:style w:type="paragraph" w:customStyle="1" w:styleId="126">
    <w:name w:val="正文小四宋体1.25行距"/>
    <w:basedOn w:val="1"/>
    <w:qFormat/>
    <w:uiPriority w:val="0"/>
  </w:style>
  <w:style w:type="paragraph" w:customStyle="1" w:styleId="127">
    <w:name w:val="Body Text Indent 21"/>
    <w:qFormat/>
    <w:uiPriority w:val="0"/>
    <w:pPr>
      <w:widowControl w:val="0"/>
      <w:spacing w:after="160" w:line="590" w:lineRule="exact"/>
      <w:ind w:firstLine="200" w:firstLineChars="200"/>
      <w:jc w:val="both"/>
    </w:pPr>
    <w:rPr>
      <w:rFonts w:ascii="Times New Roman" w:hAnsi="Times New Roman" w:eastAsia="方正仿宋_GBK" w:cs="黑体"/>
      <w:kern w:val="2"/>
      <w:sz w:val="32"/>
      <w:szCs w:val="32"/>
      <w:lang w:val="en-US" w:eastAsia="zh-CN" w:bidi="ar-SA"/>
    </w:rPr>
  </w:style>
  <w:style w:type="paragraph" w:customStyle="1" w:styleId="128">
    <w:name w:val="样式 首行缩进:  0 字符"/>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97</Pages>
  <Words>5238</Words>
  <Characters>5736</Characters>
  <Lines>304</Lines>
  <Paragraphs>85</Paragraphs>
  <TotalTime>2</TotalTime>
  <ScaleCrop>false</ScaleCrop>
  <LinksUpToDate>false</LinksUpToDate>
  <CharactersWithSpaces>5816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Pim Pom丶</cp:lastModifiedBy>
  <cp:lastPrinted>2025-02-27T06:35:00Z</cp:lastPrinted>
  <dcterms:modified xsi:type="dcterms:W3CDTF">2025-09-24T05:49:48Z</dcterms:modified>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DFFBACEC8D2664839CB1B768E29CCC6B_43</vt:lpwstr>
  </property>
  <property fmtid="{D5CDD505-2E9C-101B-9397-08002B2CF9AE}" pid="4" name="KSOTemplateDocerSaveRecord">
    <vt:lpwstr>eyJoZGlkIjoiYTIwYWRmYzhhOTE3YjUzYjEwMzQ0YzA4OWMwMDBlNzYiLCJ1c2VySWQiOiI0MDkyMjI1MTkifQ==</vt:lpwstr>
  </property>
</Properties>
</file>