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6F24D">
      <w:pPr>
        <w:tabs>
          <w:tab w:val="left" w:pos="315"/>
          <w:tab w:val="left" w:pos="8820"/>
        </w:tabs>
        <w:spacing w:before="240" w:beforeLines="100" w:after="120" w:afterLines="50" w:line="500" w:lineRule="exact"/>
        <w:ind w:right="267" w:rightChars="127"/>
        <w:jc w:val="center"/>
        <w:rPr>
          <w:rFonts w:hint="eastAsia" w:ascii="华文仿宋" w:hAnsi="华文仿宋" w:eastAsia="华文仿宋" w:cs="华文仿宋"/>
          <w:b/>
          <w:bCs/>
          <w:color w:val="auto"/>
          <w:sz w:val="52"/>
          <w:szCs w:val="52"/>
          <w:highlight w:val="none"/>
        </w:rPr>
      </w:pPr>
    </w:p>
    <w:p w14:paraId="2EF11C86">
      <w:pPr>
        <w:tabs>
          <w:tab w:val="left" w:pos="315"/>
          <w:tab w:val="left" w:pos="8820"/>
        </w:tabs>
        <w:spacing w:before="240" w:beforeLines="100" w:after="120" w:afterLines="50" w:line="500" w:lineRule="exact"/>
        <w:ind w:right="267" w:rightChars="127"/>
        <w:jc w:val="center"/>
        <w:rPr>
          <w:rFonts w:hint="eastAsia" w:ascii="华文仿宋" w:hAnsi="华文仿宋" w:eastAsia="华文仿宋" w:cs="华文仿宋"/>
          <w:b/>
          <w:bCs/>
          <w:color w:val="auto"/>
          <w:sz w:val="52"/>
          <w:szCs w:val="52"/>
          <w:highlight w:val="none"/>
        </w:rPr>
      </w:pPr>
    </w:p>
    <w:p w14:paraId="70C7BDF5">
      <w:pPr>
        <w:keepNext w:val="0"/>
        <w:keepLines w:val="0"/>
        <w:pageBreakBefore w:val="0"/>
        <w:widowControl w:val="0"/>
        <w:tabs>
          <w:tab w:val="left" w:pos="315"/>
          <w:tab w:val="left" w:pos="8820"/>
        </w:tabs>
        <w:kinsoku/>
        <w:wordWrap/>
        <w:overflowPunct/>
        <w:topLinePunct w:val="0"/>
        <w:autoSpaceDE/>
        <w:autoSpaceDN/>
        <w:bidi w:val="0"/>
        <w:adjustRightInd/>
        <w:snapToGrid/>
        <w:spacing w:before="240" w:beforeLines="100" w:after="120" w:afterLines="50" w:line="360" w:lineRule="auto"/>
        <w:ind w:right="267" w:rightChars="127"/>
        <w:jc w:val="center"/>
        <w:textAlignment w:val="auto"/>
        <w:rPr>
          <w:rFonts w:hint="eastAsia" w:ascii="华文仿宋" w:hAnsi="华文仿宋" w:eastAsia="华文仿宋" w:cs="华文仿宋"/>
          <w:bCs/>
          <w:color w:val="auto"/>
          <w:sz w:val="44"/>
          <w:szCs w:val="44"/>
          <w:highlight w:val="none"/>
        </w:rPr>
      </w:pPr>
      <w:bookmarkStart w:id="0" w:name="_Hlk9544796"/>
      <w:r>
        <w:rPr>
          <w:rFonts w:hint="eastAsia" w:ascii="华文仿宋" w:hAnsi="华文仿宋" w:eastAsia="华文仿宋" w:cs="华文仿宋"/>
          <w:b/>
          <w:bCs/>
          <w:color w:val="auto"/>
          <w:sz w:val="52"/>
          <w:szCs w:val="52"/>
          <w:highlight w:val="none"/>
          <w:lang w:eastAsia="zh-CN"/>
        </w:rPr>
        <w:t>滁州市劳动人事争议“智慧仲裁”信息系统年度维保项目</w:t>
      </w:r>
      <w:r>
        <w:rPr>
          <w:rFonts w:hint="eastAsia" w:ascii="华文仿宋" w:hAnsi="华文仿宋" w:eastAsia="华文仿宋" w:cs="华文仿宋"/>
          <w:b/>
          <w:bCs/>
          <w:color w:val="auto"/>
          <w:sz w:val="52"/>
          <w:szCs w:val="52"/>
          <w:highlight w:val="none"/>
        </w:rPr>
        <w:t>竞争性磋商文件</w:t>
      </w:r>
      <w:bookmarkEnd w:id="0"/>
    </w:p>
    <w:p w14:paraId="3E6FC067">
      <w:pPr>
        <w:keepNext w:val="0"/>
        <w:keepLines w:val="0"/>
        <w:pageBreakBefore w:val="0"/>
        <w:widowControl w:val="0"/>
        <w:tabs>
          <w:tab w:val="left" w:pos="315"/>
          <w:tab w:val="left" w:pos="8820"/>
        </w:tabs>
        <w:kinsoku/>
        <w:wordWrap/>
        <w:overflowPunct/>
        <w:topLinePunct w:val="0"/>
        <w:autoSpaceDE/>
        <w:autoSpaceDN/>
        <w:bidi w:val="0"/>
        <w:adjustRightInd/>
        <w:snapToGrid/>
        <w:spacing w:before="240" w:beforeLines="100" w:after="120" w:afterLines="50" w:line="360" w:lineRule="auto"/>
        <w:ind w:right="267" w:rightChars="127"/>
        <w:jc w:val="center"/>
        <w:textAlignment w:val="auto"/>
        <w:rPr>
          <w:rFonts w:hint="eastAsia" w:ascii="华文仿宋" w:hAnsi="华文仿宋" w:eastAsia="华文仿宋" w:cs="华文仿宋"/>
          <w:b/>
          <w:bCs/>
          <w:color w:val="auto"/>
          <w:sz w:val="44"/>
          <w:szCs w:val="44"/>
          <w:highlight w:val="none"/>
        </w:rPr>
      </w:pPr>
    </w:p>
    <w:p w14:paraId="233C4F85">
      <w:pPr>
        <w:tabs>
          <w:tab w:val="left" w:pos="315"/>
          <w:tab w:val="left" w:pos="8820"/>
        </w:tabs>
        <w:spacing w:before="240" w:beforeLines="100" w:after="120" w:afterLines="50" w:line="500" w:lineRule="exact"/>
        <w:ind w:right="267" w:rightChars="127"/>
        <w:jc w:val="center"/>
        <w:rPr>
          <w:rFonts w:hint="eastAsia" w:ascii="华文仿宋" w:hAnsi="华文仿宋" w:eastAsia="华文仿宋" w:cs="华文仿宋"/>
          <w:b/>
          <w:bCs/>
          <w:color w:val="auto"/>
          <w:sz w:val="44"/>
          <w:szCs w:val="44"/>
          <w:highlight w:val="none"/>
        </w:rPr>
      </w:pPr>
    </w:p>
    <w:p w14:paraId="7D0DDFCA">
      <w:pPr>
        <w:pStyle w:val="9"/>
        <w:rPr>
          <w:rFonts w:hint="eastAsia" w:ascii="华文仿宋" w:hAnsi="华文仿宋" w:eastAsia="华文仿宋" w:cs="华文仿宋"/>
          <w:b/>
          <w:bCs/>
          <w:color w:val="auto"/>
          <w:sz w:val="44"/>
          <w:szCs w:val="44"/>
          <w:highlight w:val="none"/>
        </w:rPr>
      </w:pPr>
    </w:p>
    <w:p w14:paraId="20CB004C">
      <w:pPr>
        <w:tabs>
          <w:tab w:val="left" w:pos="2410"/>
        </w:tabs>
        <w:autoSpaceDE w:val="0"/>
        <w:autoSpaceDN w:val="0"/>
        <w:adjustRightInd w:val="0"/>
        <w:snapToGrid w:val="0"/>
        <w:spacing w:line="360" w:lineRule="auto"/>
        <w:ind w:firstLine="723" w:firstLineChars="200"/>
        <w:rPr>
          <w:rFonts w:hint="eastAsia" w:ascii="华文仿宋" w:hAnsi="华文仿宋" w:eastAsia="华文仿宋" w:cs="华文仿宋"/>
          <w:b/>
          <w:color w:val="auto"/>
          <w:spacing w:val="20"/>
          <w:kern w:val="0"/>
          <w:sz w:val="32"/>
          <w:szCs w:val="32"/>
          <w:highlight w:val="none"/>
          <w:lang w:val="en-US" w:eastAsia="zh-CN"/>
        </w:rPr>
      </w:pPr>
      <w:r>
        <w:rPr>
          <w:rFonts w:hint="eastAsia" w:ascii="华文仿宋" w:hAnsi="华文仿宋" w:eastAsia="华文仿宋" w:cs="华文仿宋"/>
          <w:b/>
          <w:color w:val="auto"/>
          <w:spacing w:val="20"/>
          <w:kern w:val="0"/>
          <w:sz w:val="32"/>
          <w:szCs w:val="32"/>
          <w:highlight w:val="none"/>
        </w:rPr>
        <w:t>项目名称：</w:t>
      </w:r>
      <w:r>
        <w:rPr>
          <w:rFonts w:hint="eastAsia" w:ascii="华文仿宋" w:hAnsi="华文仿宋" w:eastAsia="华文仿宋" w:cs="华文仿宋"/>
          <w:b/>
          <w:color w:val="auto"/>
          <w:spacing w:val="20"/>
          <w:kern w:val="0"/>
          <w:sz w:val="32"/>
          <w:szCs w:val="32"/>
          <w:highlight w:val="none"/>
          <w:u w:val="single"/>
          <w:lang w:val="en-US" w:eastAsia="zh-CN"/>
        </w:rPr>
        <w:t>滁州市劳动人事争议“智慧仲裁”信息系统年度维保项目</w:t>
      </w:r>
    </w:p>
    <w:p w14:paraId="619BC2DA">
      <w:pPr>
        <w:tabs>
          <w:tab w:val="left" w:pos="2410"/>
        </w:tabs>
        <w:autoSpaceDE w:val="0"/>
        <w:autoSpaceDN w:val="0"/>
        <w:adjustRightInd w:val="0"/>
        <w:snapToGrid w:val="0"/>
        <w:spacing w:line="360" w:lineRule="auto"/>
        <w:ind w:firstLine="723" w:firstLineChars="200"/>
        <w:rPr>
          <w:rFonts w:hint="eastAsia" w:ascii="华文仿宋" w:hAnsi="华文仿宋" w:eastAsia="华文仿宋" w:cs="华文仿宋"/>
          <w:b/>
          <w:color w:val="auto"/>
          <w:spacing w:val="20"/>
          <w:kern w:val="0"/>
          <w:sz w:val="32"/>
          <w:szCs w:val="32"/>
          <w:highlight w:val="none"/>
        </w:rPr>
      </w:pPr>
      <w:r>
        <w:rPr>
          <w:rFonts w:hint="eastAsia" w:ascii="华文仿宋" w:hAnsi="华文仿宋" w:eastAsia="华文仿宋" w:cs="华文仿宋"/>
          <w:b/>
          <w:color w:val="auto"/>
          <w:spacing w:val="20"/>
          <w:kern w:val="0"/>
          <w:sz w:val="32"/>
          <w:szCs w:val="32"/>
          <w:highlight w:val="none"/>
        </w:rPr>
        <w:t>采购人：</w:t>
      </w:r>
      <w:r>
        <w:rPr>
          <w:rFonts w:hint="eastAsia" w:ascii="华文仿宋" w:hAnsi="华文仿宋" w:eastAsia="华文仿宋" w:cs="华文仿宋"/>
          <w:b/>
          <w:color w:val="auto"/>
          <w:spacing w:val="20"/>
          <w:kern w:val="0"/>
          <w:sz w:val="32"/>
          <w:szCs w:val="32"/>
          <w:highlight w:val="none"/>
          <w:u w:val="single"/>
          <w:lang w:val="en-US" w:eastAsia="zh-CN"/>
        </w:rPr>
        <w:t>滁州市人力资源和社会保障局</w:t>
      </w:r>
    </w:p>
    <w:p w14:paraId="7809B58D">
      <w:pPr>
        <w:tabs>
          <w:tab w:val="left" w:pos="2410"/>
        </w:tabs>
        <w:autoSpaceDE w:val="0"/>
        <w:autoSpaceDN w:val="0"/>
        <w:adjustRightInd w:val="0"/>
        <w:snapToGrid w:val="0"/>
        <w:spacing w:line="360" w:lineRule="auto"/>
        <w:ind w:firstLine="723" w:firstLineChars="200"/>
        <w:rPr>
          <w:rFonts w:hint="eastAsia" w:ascii="华文仿宋" w:hAnsi="华文仿宋" w:eastAsia="华文仿宋" w:cs="华文仿宋"/>
          <w:b/>
          <w:color w:val="auto"/>
          <w:spacing w:val="20"/>
          <w:kern w:val="0"/>
          <w:sz w:val="32"/>
          <w:szCs w:val="32"/>
          <w:highlight w:val="none"/>
          <w:lang w:val="en-US"/>
        </w:rPr>
      </w:pPr>
      <w:r>
        <w:rPr>
          <w:rFonts w:hint="eastAsia" w:ascii="华文仿宋" w:hAnsi="华文仿宋" w:eastAsia="华文仿宋" w:cs="华文仿宋"/>
          <w:b/>
          <w:color w:val="auto"/>
          <w:spacing w:val="20"/>
          <w:kern w:val="0"/>
          <w:sz w:val="32"/>
          <w:szCs w:val="32"/>
          <w:highlight w:val="none"/>
        </w:rPr>
        <w:t>采购代理机构：</w:t>
      </w:r>
      <w:r>
        <w:rPr>
          <w:rFonts w:hint="eastAsia" w:ascii="华文仿宋" w:hAnsi="华文仿宋" w:eastAsia="华文仿宋" w:cs="华文仿宋"/>
          <w:b/>
          <w:color w:val="auto"/>
          <w:spacing w:val="20"/>
          <w:kern w:val="0"/>
          <w:sz w:val="32"/>
          <w:szCs w:val="32"/>
          <w:highlight w:val="none"/>
          <w:u w:val="single"/>
          <w:lang w:val="en-US" w:eastAsia="zh-CN"/>
        </w:rPr>
        <w:t>滁州市城投工程咨询管理有限公司</w:t>
      </w:r>
    </w:p>
    <w:p w14:paraId="0563848E">
      <w:pPr>
        <w:tabs>
          <w:tab w:val="left" w:pos="315"/>
          <w:tab w:val="left" w:pos="8820"/>
        </w:tabs>
        <w:spacing w:before="240" w:beforeLines="100" w:after="120" w:afterLines="50" w:line="500" w:lineRule="exact"/>
        <w:ind w:right="267" w:rightChars="127"/>
        <w:jc w:val="center"/>
        <w:rPr>
          <w:rFonts w:hint="eastAsia" w:ascii="华文仿宋" w:hAnsi="华文仿宋" w:eastAsia="华文仿宋" w:cs="华文仿宋"/>
          <w:b/>
          <w:bCs/>
          <w:color w:val="auto"/>
          <w:sz w:val="44"/>
          <w:szCs w:val="44"/>
          <w:highlight w:val="none"/>
        </w:rPr>
      </w:pPr>
    </w:p>
    <w:p w14:paraId="3D5E8804">
      <w:pPr>
        <w:tabs>
          <w:tab w:val="left" w:pos="2410"/>
        </w:tabs>
        <w:autoSpaceDE w:val="0"/>
        <w:autoSpaceDN w:val="0"/>
        <w:adjustRightInd w:val="0"/>
        <w:snapToGrid w:val="0"/>
        <w:spacing w:line="360" w:lineRule="auto"/>
        <w:jc w:val="center"/>
        <w:rPr>
          <w:rFonts w:hint="eastAsia" w:ascii="华文仿宋" w:hAnsi="华文仿宋" w:eastAsia="华文仿宋" w:cs="华文仿宋"/>
          <w:b/>
          <w:color w:val="auto"/>
          <w:sz w:val="36"/>
          <w:highlight w:val="none"/>
        </w:rPr>
      </w:pPr>
      <w:r>
        <w:rPr>
          <w:rFonts w:hint="eastAsia" w:ascii="华文仿宋" w:hAnsi="华文仿宋" w:eastAsia="华文仿宋" w:cs="华文仿宋"/>
          <w:b/>
          <w:color w:val="auto"/>
          <w:sz w:val="36"/>
          <w:highlight w:val="none"/>
          <w:u w:val="single"/>
          <w:lang w:val="en-US" w:eastAsia="zh-CN"/>
        </w:rPr>
        <w:t>2026</w:t>
      </w:r>
      <w:r>
        <w:rPr>
          <w:rFonts w:hint="eastAsia" w:ascii="华文仿宋" w:hAnsi="华文仿宋" w:eastAsia="华文仿宋" w:cs="华文仿宋"/>
          <w:b/>
          <w:color w:val="auto"/>
          <w:sz w:val="36"/>
          <w:highlight w:val="none"/>
        </w:rPr>
        <w:t>年</w:t>
      </w:r>
      <w:r>
        <w:rPr>
          <w:rFonts w:hint="eastAsia" w:ascii="华文仿宋" w:hAnsi="华文仿宋" w:eastAsia="华文仿宋" w:cs="华文仿宋"/>
          <w:b/>
          <w:color w:val="auto"/>
          <w:sz w:val="36"/>
          <w:highlight w:val="none"/>
          <w:u w:val="single"/>
          <w:lang w:val="en-US" w:eastAsia="zh-CN"/>
        </w:rPr>
        <w:t>11</w:t>
      </w:r>
      <w:r>
        <w:rPr>
          <w:rFonts w:hint="eastAsia" w:ascii="华文仿宋" w:hAnsi="华文仿宋" w:eastAsia="华文仿宋" w:cs="华文仿宋"/>
          <w:b/>
          <w:color w:val="auto"/>
          <w:sz w:val="36"/>
          <w:highlight w:val="none"/>
        </w:rPr>
        <w:t>月</w:t>
      </w:r>
    </w:p>
    <w:p w14:paraId="50FE7C7B">
      <w:pPr>
        <w:tabs>
          <w:tab w:val="left" w:pos="2410"/>
        </w:tabs>
        <w:autoSpaceDE w:val="0"/>
        <w:autoSpaceDN w:val="0"/>
        <w:adjustRightInd w:val="0"/>
        <w:snapToGrid w:val="0"/>
        <w:spacing w:line="360" w:lineRule="auto"/>
        <w:jc w:val="center"/>
        <w:rPr>
          <w:rFonts w:hint="eastAsia" w:ascii="华文仿宋" w:hAnsi="华文仿宋" w:eastAsia="华文仿宋" w:cs="华文仿宋"/>
          <w:b/>
          <w:color w:val="auto"/>
          <w:sz w:val="36"/>
          <w:highlight w:val="none"/>
        </w:rPr>
      </w:pPr>
      <w:r>
        <w:rPr>
          <w:rFonts w:hint="eastAsia" w:ascii="华文仿宋" w:hAnsi="华文仿宋" w:eastAsia="华文仿宋" w:cs="华文仿宋"/>
          <w:b/>
          <w:color w:val="auto"/>
          <w:sz w:val="36"/>
          <w:highlight w:val="none"/>
        </w:rPr>
        <w:br w:type="page"/>
      </w:r>
    </w:p>
    <w:p w14:paraId="775B0170">
      <w:pPr>
        <w:tabs>
          <w:tab w:val="left" w:pos="2410"/>
        </w:tabs>
        <w:autoSpaceDE w:val="0"/>
        <w:autoSpaceDN w:val="0"/>
        <w:adjustRightInd w:val="0"/>
        <w:snapToGrid w:val="0"/>
        <w:spacing w:line="360" w:lineRule="auto"/>
        <w:jc w:val="center"/>
        <w:rPr>
          <w:rFonts w:hint="eastAsia" w:ascii="华文仿宋" w:hAnsi="华文仿宋" w:eastAsia="华文仿宋" w:cs="华文仿宋"/>
          <w:b/>
          <w:color w:val="auto"/>
          <w:sz w:val="28"/>
          <w:highlight w:val="none"/>
        </w:rPr>
      </w:pPr>
      <w:r>
        <w:rPr>
          <w:rFonts w:hint="eastAsia" w:ascii="华文仿宋" w:hAnsi="华文仿宋" w:eastAsia="华文仿宋" w:cs="华文仿宋"/>
          <w:b/>
          <w:color w:val="auto"/>
          <w:sz w:val="28"/>
          <w:highlight w:val="none"/>
        </w:rPr>
        <w:t>目录</w:t>
      </w:r>
    </w:p>
    <w:p w14:paraId="50CD3D5E">
      <w:pPr>
        <w:tabs>
          <w:tab w:val="left" w:pos="2410"/>
        </w:tabs>
        <w:autoSpaceDE w:val="0"/>
        <w:autoSpaceDN w:val="0"/>
        <w:adjustRightInd w:val="0"/>
        <w:snapToGrid w:val="0"/>
        <w:spacing w:line="360" w:lineRule="auto"/>
        <w:jc w:val="center"/>
        <w:rPr>
          <w:rFonts w:hint="eastAsia" w:ascii="华文仿宋" w:hAnsi="华文仿宋" w:eastAsia="华文仿宋" w:cs="华文仿宋"/>
          <w:b/>
          <w:color w:val="auto"/>
          <w:sz w:val="28"/>
          <w:highlight w:val="none"/>
        </w:rPr>
      </w:pPr>
    </w:p>
    <w:p w14:paraId="3951C126">
      <w:pPr>
        <w:pStyle w:val="17"/>
        <w:tabs>
          <w:tab w:val="right" w:leader="dot" w:pos="8279"/>
        </w:tabs>
        <w:rPr>
          <w:rFonts w:hint="eastAsia" w:ascii="华文仿宋" w:hAnsi="华文仿宋" w:eastAsia="华文仿宋" w:cs="华文仿宋"/>
          <w:color w:val="auto"/>
          <w:highlight w:val="none"/>
        </w:rPr>
      </w:pPr>
      <w:r>
        <w:rPr>
          <w:rFonts w:hint="eastAsia" w:ascii="华文仿宋" w:hAnsi="华文仿宋" w:eastAsia="华文仿宋" w:cs="华文仿宋"/>
          <w:b/>
          <w:bCs/>
          <w:color w:val="auto"/>
          <w:sz w:val="24"/>
          <w:szCs w:val="24"/>
          <w:highlight w:val="none"/>
        </w:rPr>
        <w:fldChar w:fldCharType="begin"/>
      </w:r>
      <w:r>
        <w:rPr>
          <w:rFonts w:hint="eastAsia" w:ascii="华文仿宋" w:hAnsi="华文仿宋" w:eastAsia="华文仿宋" w:cs="华文仿宋"/>
          <w:b/>
          <w:bCs/>
          <w:color w:val="auto"/>
          <w:sz w:val="24"/>
          <w:szCs w:val="24"/>
          <w:highlight w:val="none"/>
        </w:rPr>
        <w:instrText xml:space="preserve"> TOC \o "1-2" \h \z \u </w:instrText>
      </w:r>
      <w:r>
        <w:rPr>
          <w:rFonts w:hint="eastAsia" w:ascii="华文仿宋" w:hAnsi="华文仿宋" w:eastAsia="华文仿宋" w:cs="华文仿宋"/>
          <w:b/>
          <w:bCs/>
          <w:color w:val="auto"/>
          <w:sz w:val="24"/>
          <w:szCs w:val="24"/>
          <w:highlight w:val="none"/>
        </w:rPr>
        <w:fldChar w:fldCharType="separate"/>
      </w:r>
      <w:r>
        <w:rPr>
          <w:rFonts w:hint="eastAsia" w:ascii="华文仿宋" w:hAnsi="华文仿宋" w:eastAsia="华文仿宋" w:cs="华文仿宋"/>
          <w:bCs/>
          <w:color w:val="auto"/>
          <w:szCs w:val="24"/>
          <w:highlight w:val="none"/>
        </w:rPr>
        <w:fldChar w:fldCharType="begin"/>
      </w:r>
      <w:r>
        <w:rPr>
          <w:rFonts w:hint="eastAsia" w:ascii="华文仿宋" w:hAnsi="华文仿宋" w:eastAsia="华文仿宋" w:cs="华文仿宋"/>
          <w:bCs/>
          <w:color w:val="auto"/>
          <w:szCs w:val="24"/>
          <w:highlight w:val="none"/>
        </w:rPr>
        <w:instrText xml:space="preserve"> HYPERLINK \l _Toc19988 </w:instrText>
      </w:r>
      <w:r>
        <w:rPr>
          <w:rFonts w:hint="eastAsia" w:ascii="华文仿宋" w:hAnsi="华文仿宋" w:eastAsia="华文仿宋" w:cs="华文仿宋"/>
          <w:bCs/>
          <w:color w:val="auto"/>
          <w:szCs w:val="24"/>
          <w:highlight w:val="none"/>
        </w:rPr>
        <w:fldChar w:fldCharType="separate"/>
      </w:r>
      <w:r>
        <w:rPr>
          <w:rFonts w:hint="eastAsia" w:ascii="华文仿宋" w:hAnsi="华文仿宋" w:eastAsia="华文仿宋" w:cs="华文仿宋"/>
          <w:color w:val="auto"/>
          <w:highlight w:val="none"/>
        </w:rPr>
        <w:t>第一章磋商</w:t>
      </w:r>
      <w:r>
        <w:rPr>
          <w:rFonts w:hint="eastAsia" w:ascii="华文仿宋" w:hAnsi="华文仿宋" w:eastAsia="华文仿宋" w:cs="华文仿宋"/>
          <w:color w:val="auto"/>
          <w:highlight w:val="none"/>
          <w:lang w:val="en-US" w:eastAsia="zh-CN"/>
        </w:rPr>
        <w:t>公告</w:t>
      </w:r>
      <w:r>
        <w:rPr>
          <w:rFonts w:hint="eastAsia" w:ascii="华文仿宋" w:hAnsi="华文仿宋" w:eastAsia="华文仿宋" w:cs="华文仿宋"/>
          <w:color w:val="auto"/>
          <w:highlight w:val="none"/>
        </w:rPr>
        <w:tab/>
      </w:r>
      <w:r>
        <w:rPr>
          <w:rFonts w:hint="eastAsia" w:ascii="华文仿宋" w:hAnsi="华文仿宋" w:eastAsia="华文仿宋" w:cs="华文仿宋"/>
          <w:color w:val="auto"/>
          <w:highlight w:val="none"/>
        </w:rPr>
        <w:fldChar w:fldCharType="begin"/>
      </w:r>
      <w:r>
        <w:rPr>
          <w:rFonts w:hint="eastAsia" w:ascii="华文仿宋" w:hAnsi="华文仿宋" w:eastAsia="华文仿宋" w:cs="华文仿宋"/>
          <w:color w:val="auto"/>
          <w:highlight w:val="none"/>
        </w:rPr>
        <w:instrText xml:space="preserve"> PAGEREF _Toc19988 \h </w:instrText>
      </w:r>
      <w:r>
        <w:rPr>
          <w:rFonts w:hint="eastAsia" w:ascii="华文仿宋" w:hAnsi="华文仿宋" w:eastAsia="华文仿宋" w:cs="华文仿宋"/>
          <w:color w:val="auto"/>
          <w:highlight w:val="none"/>
        </w:rPr>
        <w:fldChar w:fldCharType="separate"/>
      </w:r>
      <w:r>
        <w:rPr>
          <w:rFonts w:hint="eastAsia" w:ascii="华文仿宋" w:hAnsi="华文仿宋" w:eastAsia="华文仿宋" w:cs="华文仿宋"/>
          <w:color w:val="auto"/>
          <w:highlight w:val="none"/>
        </w:rPr>
        <w:t>1</w:t>
      </w:r>
      <w:r>
        <w:rPr>
          <w:rFonts w:hint="eastAsia" w:ascii="华文仿宋" w:hAnsi="华文仿宋" w:eastAsia="华文仿宋" w:cs="华文仿宋"/>
          <w:color w:val="auto"/>
          <w:highlight w:val="none"/>
        </w:rPr>
        <w:fldChar w:fldCharType="end"/>
      </w:r>
      <w:r>
        <w:rPr>
          <w:rFonts w:hint="eastAsia" w:ascii="华文仿宋" w:hAnsi="华文仿宋" w:eastAsia="华文仿宋" w:cs="华文仿宋"/>
          <w:bCs/>
          <w:color w:val="auto"/>
          <w:szCs w:val="24"/>
          <w:highlight w:val="none"/>
        </w:rPr>
        <w:fldChar w:fldCharType="end"/>
      </w:r>
    </w:p>
    <w:p w14:paraId="4CECC31D">
      <w:pPr>
        <w:pStyle w:val="17"/>
        <w:tabs>
          <w:tab w:val="right" w:leader="dot" w:pos="8279"/>
        </w:tabs>
        <w:rPr>
          <w:rFonts w:hint="eastAsia" w:ascii="华文仿宋" w:hAnsi="华文仿宋" w:eastAsia="华文仿宋" w:cs="华文仿宋"/>
          <w:color w:val="auto"/>
          <w:highlight w:val="none"/>
        </w:rPr>
      </w:pPr>
      <w:r>
        <w:rPr>
          <w:rFonts w:hint="eastAsia" w:ascii="华文仿宋" w:hAnsi="华文仿宋" w:eastAsia="华文仿宋" w:cs="华文仿宋"/>
          <w:bCs/>
          <w:color w:val="auto"/>
          <w:szCs w:val="24"/>
          <w:highlight w:val="none"/>
        </w:rPr>
        <w:fldChar w:fldCharType="begin"/>
      </w:r>
      <w:r>
        <w:rPr>
          <w:rFonts w:hint="eastAsia" w:ascii="华文仿宋" w:hAnsi="华文仿宋" w:eastAsia="华文仿宋" w:cs="华文仿宋"/>
          <w:bCs/>
          <w:color w:val="auto"/>
          <w:szCs w:val="24"/>
          <w:highlight w:val="none"/>
        </w:rPr>
        <w:instrText xml:space="preserve"> HYPERLINK \l _Toc7162 </w:instrText>
      </w:r>
      <w:r>
        <w:rPr>
          <w:rFonts w:hint="eastAsia" w:ascii="华文仿宋" w:hAnsi="华文仿宋" w:eastAsia="华文仿宋" w:cs="华文仿宋"/>
          <w:bCs/>
          <w:color w:val="auto"/>
          <w:szCs w:val="24"/>
          <w:highlight w:val="none"/>
        </w:rPr>
        <w:fldChar w:fldCharType="separate"/>
      </w:r>
      <w:r>
        <w:rPr>
          <w:rFonts w:hint="eastAsia" w:ascii="华文仿宋" w:hAnsi="华文仿宋" w:eastAsia="华文仿宋" w:cs="华文仿宋"/>
          <w:color w:val="auto"/>
          <w:highlight w:val="none"/>
        </w:rPr>
        <w:t>第二章供应商须知</w:t>
      </w:r>
      <w:r>
        <w:rPr>
          <w:rFonts w:hint="eastAsia" w:ascii="华文仿宋" w:hAnsi="华文仿宋" w:eastAsia="华文仿宋" w:cs="华文仿宋"/>
          <w:color w:val="auto"/>
          <w:highlight w:val="none"/>
        </w:rPr>
        <w:tab/>
      </w:r>
      <w:r>
        <w:rPr>
          <w:rFonts w:hint="eastAsia" w:ascii="华文仿宋" w:hAnsi="华文仿宋" w:eastAsia="华文仿宋" w:cs="华文仿宋"/>
          <w:color w:val="auto"/>
          <w:highlight w:val="none"/>
        </w:rPr>
        <w:fldChar w:fldCharType="begin"/>
      </w:r>
      <w:r>
        <w:rPr>
          <w:rFonts w:hint="eastAsia" w:ascii="华文仿宋" w:hAnsi="华文仿宋" w:eastAsia="华文仿宋" w:cs="华文仿宋"/>
          <w:color w:val="auto"/>
          <w:highlight w:val="none"/>
        </w:rPr>
        <w:instrText xml:space="preserve"> PAGEREF _Toc7162 \h </w:instrText>
      </w:r>
      <w:r>
        <w:rPr>
          <w:rFonts w:hint="eastAsia" w:ascii="华文仿宋" w:hAnsi="华文仿宋" w:eastAsia="华文仿宋" w:cs="华文仿宋"/>
          <w:color w:val="auto"/>
          <w:highlight w:val="none"/>
        </w:rPr>
        <w:fldChar w:fldCharType="separate"/>
      </w:r>
      <w:r>
        <w:rPr>
          <w:rFonts w:hint="eastAsia" w:ascii="华文仿宋" w:hAnsi="华文仿宋" w:eastAsia="华文仿宋" w:cs="华文仿宋"/>
          <w:color w:val="auto"/>
          <w:highlight w:val="none"/>
        </w:rPr>
        <w:t>3</w:t>
      </w:r>
      <w:r>
        <w:rPr>
          <w:rFonts w:hint="eastAsia" w:ascii="华文仿宋" w:hAnsi="华文仿宋" w:eastAsia="华文仿宋" w:cs="华文仿宋"/>
          <w:color w:val="auto"/>
          <w:highlight w:val="none"/>
        </w:rPr>
        <w:fldChar w:fldCharType="end"/>
      </w:r>
      <w:r>
        <w:rPr>
          <w:rFonts w:hint="eastAsia" w:ascii="华文仿宋" w:hAnsi="华文仿宋" w:eastAsia="华文仿宋" w:cs="华文仿宋"/>
          <w:bCs/>
          <w:color w:val="auto"/>
          <w:szCs w:val="24"/>
          <w:highlight w:val="none"/>
        </w:rPr>
        <w:fldChar w:fldCharType="end"/>
      </w:r>
    </w:p>
    <w:p w14:paraId="50758992">
      <w:pPr>
        <w:pStyle w:val="17"/>
        <w:tabs>
          <w:tab w:val="right" w:leader="dot" w:pos="8279"/>
        </w:tabs>
        <w:rPr>
          <w:rFonts w:hint="eastAsia" w:ascii="华文仿宋" w:hAnsi="华文仿宋" w:eastAsia="华文仿宋" w:cs="华文仿宋"/>
          <w:color w:val="auto"/>
          <w:highlight w:val="none"/>
        </w:rPr>
      </w:pPr>
      <w:r>
        <w:rPr>
          <w:rFonts w:hint="eastAsia" w:ascii="华文仿宋" w:hAnsi="华文仿宋" w:eastAsia="华文仿宋" w:cs="华文仿宋"/>
          <w:bCs/>
          <w:color w:val="auto"/>
          <w:szCs w:val="24"/>
          <w:highlight w:val="none"/>
        </w:rPr>
        <w:fldChar w:fldCharType="begin"/>
      </w:r>
      <w:r>
        <w:rPr>
          <w:rFonts w:hint="eastAsia" w:ascii="华文仿宋" w:hAnsi="华文仿宋" w:eastAsia="华文仿宋" w:cs="华文仿宋"/>
          <w:bCs/>
          <w:color w:val="auto"/>
          <w:szCs w:val="24"/>
          <w:highlight w:val="none"/>
        </w:rPr>
        <w:instrText xml:space="preserve"> HYPERLINK \l _Toc19440 </w:instrText>
      </w:r>
      <w:r>
        <w:rPr>
          <w:rFonts w:hint="eastAsia" w:ascii="华文仿宋" w:hAnsi="华文仿宋" w:eastAsia="华文仿宋" w:cs="华文仿宋"/>
          <w:bCs/>
          <w:color w:val="auto"/>
          <w:szCs w:val="24"/>
          <w:highlight w:val="none"/>
        </w:rPr>
        <w:fldChar w:fldCharType="separate"/>
      </w:r>
      <w:r>
        <w:rPr>
          <w:rFonts w:hint="eastAsia" w:ascii="华文仿宋" w:hAnsi="华文仿宋" w:eastAsia="华文仿宋" w:cs="华文仿宋"/>
          <w:color w:val="auto"/>
          <w:highlight w:val="none"/>
        </w:rPr>
        <w:t>第三章采购需求</w:t>
      </w:r>
      <w:r>
        <w:rPr>
          <w:rFonts w:hint="eastAsia" w:ascii="华文仿宋" w:hAnsi="华文仿宋" w:eastAsia="华文仿宋" w:cs="华文仿宋"/>
          <w:color w:val="auto"/>
          <w:highlight w:val="none"/>
        </w:rPr>
        <w:tab/>
      </w:r>
      <w:r>
        <w:rPr>
          <w:rFonts w:hint="eastAsia" w:ascii="华文仿宋" w:hAnsi="华文仿宋" w:eastAsia="华文仿宋" w:cs="华文仿宋"/>
          <w:color w:val="auto"/>
          <w:highlight w:val="none"/>
        </w:rPr>
        <w:fldChar w:fldCharType="begin"/>
      </w:r>
      <w:r>
        <w:rPr>
          <w:rFonts w:hint="eastAsia" w:ascii="华文仿宋" w:hAnsi="华文仿宋" w:eastAsia="华文仿宋" w:cs="华文仿宋"/>
          <w:color w:val="auto"/>
          <w:highlight w:val="none"/>
        </w:rPr>
        <w:instrText xml:space="preserve"> PAGEREF _Toc19440 \h </w:instrText>
      </w:r>
      <w:r>
        <w:rPr>
          <w:rFonts w:hint="eastAsia" w:ascii="华文仿宋" w:hAnsi="华文仿宋" w:eastAsia="华文仿宋" w:cs="华文仿宋"/>
          <w:color w:val="auto"/>
          <w:highlight w:val="none"/>
        </w:rPr>
        <w:fldChar w:fldCharType="separate"/>
      </w:r>
      <w:r>
        <w:rPr>
          <w:rFonts w:hint="eastAsia" w:ascii="华文仿宋" w:hAnsi="华文仿宋" w:eastAsia="华文仿宋" w:cs="华文仿宋"/>
          <w:color w:val="auto"/>
          <w:highlight w:val="none"/>
        </w:rPr>
        <w:t>17</w:t>
      </w:r>
      <w:r>
        <w:rPr>
          <w:rFonts w:hint="eastAsia" w:ascii="华文仿宋" w:hAnsi="华文仿宋" w:eastAsia="华文仿宋" w:cs="华文仿宋"/>
          <w:color w:val="auto"/>
          <w:highlight w:val="none"/>
        </w:rPr>
        <w:fldChar w:fldCharType="end"/>
      </w:r>
      <w:r>
        <w:rPr>
          <w:rFonts w:hint="eastAsia" w:ascii="华文仿宋" w:hAnsi="华文仿宋" w:eastAsia="华文仿宋" w:cs="华文仿宋"/>
          <w:bCs/>
          <w:color w:val="auto"/>
          <w:szCs w:val="24"/>
          <w:highlight w:val="none"/>
        </w:rPr>
        <w:fldChar w:fldCharType="end"/>
      </w:r>
    </w:p>
    <w:p w14:paraId="0CB7E330">
      <w:pPr>
        <w:pStyle w:val="17"/>
        <w:tabs>
          <w:tab w:val="right" w:leader="dot" w:pos="8279"/>
        </w:tabs>
        <w:rPr>
          <w:rFonts w:hint="eastAsia" w:ascii="华文仿宋" w:hAnsi="华文仿宋" w:eastAsia="华文仿宋" w:cs="华文仿宋"/>
          <w:color w:val="auto"/>
          <w:highlight w:val="none"/>
        </w:rPr>
      </w:pPr>
      <w:r>
        <w:rPr>
          <w:rFonts w:hint="eastAsia" w:ascii="华文仿宋" w:hAnsi="华文仿宋" w:eastAsia="华文仿宋" w:cs="华文仿宋"/>
          <w:bCs/>
          <w:color w:val="auto"/>
          <w:szCs w:val="24"/>
          <w:highlight w:val="none"/>
        </w:rPr>
        <w:fldChar w:fldCharType="begin"/>
      </w:r>
      <w:r>
        <w:rPr>
          <w:rFonts w:hint="eastAsia" w:ascii="华文仿宋" w:hAnsi="华文仿宋" w:eastAsia="华文仿宋" w:cs="华文仿宋"/>
          <w:bCs/>
          <w:color w:val="auto"/>
          <w:szCs w:val="24"/>
          <w:highlight w:val="none"/>
        </w:rPr>
        <w:instrText xml:space="preserve"> HYPERLINK \l _Toc8668 </w:instrText>
      </w:r>
      <w:r>
        <w:rPr>
          <w:rFonts w:hint="eastAsia" w:ascii="华文仿宋" w:hAnsi="华文仿宋" w:eastAsia="华文仿宋" w:cs="华文仿宋"/>
          <w:bCs/>
          <w:color w:val="auto"/>
          <w:szCs w:val="24"/>
          <w:highlight w:val="none"/>
        </w:rPr>
        <w:fldChar w:fldCharType="separate"/>
      </w:r>
      <w:r>
        <w:rPr>
          <w:rFonts w:hint="eastAsia" w:ascii="华文仿宋" w:hAnsi="华文仿宋" w:eastAsia="华文仿宋" w:cs="华文仿宋"/>
          <w:color w:val="auto"/>
          <w:highlight w:val="none"/>
        </w:rPr>
        <w:t>第四章评审方法和标准</w:t>
      </w:r>
      <w:r>
        <w:rPr>
          <w:rFonts w:hint="eastAsia" w:ascii="华文仿宋" w:hAnsi="华文仿宋" w:eastAsia="华文仿宋" w:cs="华文仿宋"/>
          <w:color w:val="auto"/>
          <w:highlight w:val="none"/>
        </w:rPr>
        <w:tab/>
      </w:r>
      <w:r>
        <w:rPr>
          <w:rFonts w:hint="eastAsia" w:ascii="华文仿宋" w:hAnsi="华文仿宋" w:eastAsia="华文仿宋" w:cs="华文仿宋"/>
          <w:color w:val="auto"/>
          <w:highlight w:val="none"/>
        </w:rPr>
        <w:fldChar w:fldCharType="begin"/>
      </w:r>
      <w:r>
        <w:rPr>
          <w:rFonts w:hint="eastAsia" w:ascii="华文仿宋" w:hAnsi="华文仿宋" w:eastAsia="华文仿宋" w:cs="华文仿宋"/>
          <w:color w:val="auto"/>
          <w:highlight w:val="none"/>
        </w:rPr>
        <w:instrText xml:space="preserve"> PAGEREF _Toc8668 \h </w:instrText>
      </w:r>
      <w:r>
        <w:rPr>
          <w:rFonts w:hint="eastAsia" w:ascii="华文仿宋" w:hAnsi="华文仿宋" w:eastAsia="华文仿宋" w:cs="华文仿宋"/>
          <w:color w:val="auto"/>
          <w:highlight w:val="none"/>
        </w:rPr>
        <w:fldChar w:fldCharType="separate"/>
      </w:r>
      <w:r>
        <w:rPr>
          <w:rFonts w:hint="eastAsia" w:ascii="华文仿宋" w:hAnsi="华文仿宋" w:eastAsia="华文仿宋" w:cs="华文仿宋"/>
          <w:color w:val="auto"/>
          <w:highlight w:val="none"/>
        </w:rPr>
        <w:t>19</w:t>
      </w:r>
      <w:r>
        <w:rPr>
          <w:rFonts w:hint="eastAsia" w:ascii="华文仿宋" w:hAnsi="华文仿宋" w:eastAsia="华文仿宋" w:cs="华文仿宋"/>
          <w:color w:val="auto"/>
          <w:highlight w:val="none"/>
        </w:rPr>
        <w:fldChar w:fldCharType="end"/>
      </w:r>
      <w:r>
        <w:rPr>
          <w:rFonts w:hint="eastAsia" w:ascii="华文仿宋" w:hAnsi="华文仿宋" w:eastAsia="华文仿宋" w:cs="华文仿宋"/>
          <w:bCs/>
          <w:color w:val="auto"/>
          <w:szCs w:val="24"/>
          <w:highlight w:val="none"/>
        </w:rPr>
        <w:fldChar w:fldCharType="end"/>
      </w:r>
    </w:p>
    <w:p w14:paraId="3FC1BBEB">
      <w:pPr>
        <w:pStyle w:val="17"/>
        <w:tabs>
          <w:tab w:val="right" w:leader="dot" w:pos="8279"/>
        </w:tabs>
        <w:rPr>
          <w:rFonts w:hint="eastAsia" w:ascii="华文仿宋" w:hAnsi="华文仿宋" w:eastAsia="华文仿宋" w:cs="华文仿宋"/>
          <w:color w:val="auto"/>
          <w:highlight w:val="none"/>
          <w:lang w:val="en-US" w:eastAsia="zh-CN"/>
        </w:rPr>
      </w:pPr>
      <w:r>
        <w:rPr>
          <w:rFonts w:hint="eastAsia" w:ascii="华文仿宋" w:hAnsi="华文仿宋" w:eastAsia="华文仿宋" w:cs="华文仿宋"/>
          <w:bCs/>
          <w:color w:val="auto"/>
          <w:szCs w:val="24"/>
          <w:highlight w:val="none"/>
        </w:rPr>
        <w:fldChar w:fldCharType="begin"/>
      </w:r>
      <w:r>
        <w:rPr>
          <w:rFonts w:hint="eastAsia" w:ascii="华文仿宋" w:hAnsi="华文仿宋" w:eastAsia="华文仿宋" w:cs="华文仿宋"/>
          <w:bCs/>
          <w:color w:val="auto"/>
          <w:szCs w:val="24"/>
          <w:highlight w:val="none"/>
        </w:rPr>
        <w:instrText xml:space="preserve"> HYPERLINK \l _Toc17167 </w:instrText>
      </w:r>
      <w:r>
        <w:rPr>
          <w:rFonts w:hint="eastAsia" w:ascii="华文仿宋" w:hAnsi="华文仿宋" w:eastAsia="华文仿宋" w:cs="华文仿宋"/>
          <w:bCs/>
          <w:color w:val="auto"/>
          <w:szCs w:val="24"/>
          <w:highlight w:val="none"/>
        </w:rPr>
        <w:fldChar w:fldCharType="separate"/>
      </w:r>
      <w:r>
        <w:rPr>
          <w:rFonts w:hint="eastAsia" w:ascii="华文仿宋" w:hAnsi="华文仿宋" w:eastAsia="华文仿宋" w:cs="华文仿宋"/>
          <w:color w:val="auto"/>
          <w:highlight w:val="none"/>
        </w:rPr>
        <w:t>第五章政府采购合同</w:t>
      </w:r>
      <w:r>
        <w:rPr>
          <w:rFonts w:hint="eastAsia" w:ascii="华文仿宋" w:hAnsi="华文仿宋" w:eastAsia="华文仿宋" w:cs="华文仿宋"/>
          <w:color w:val="auto"/>
          <w:highlight w:val="none"/>
        </w:rPr>
        <w:tab/>
      </w:r>
      <w:r>
        <w:rPr>
          <w:rFonts w:hint="eastAsia" w:ascii="华文仿宋" w:hAnsi="华文仿宋" w:eastAsia="华文仿宋" w:cs="华文仿宋"/>
          <w:color w:val="auto"/>
          <w:highlight w:val="none"/>
          <w:lang w:val="en-US" w:eastAsia="zh-CN"/>
        </w:rPr>
        <w:t>2</w:t>
      </w:r>
      <w:r>
        <w:rPr>
          <w:rFonts w:hint="eastAsia" w:ascii="华文仿宋" w:hAnsi="华文仿宋" w:eastAsia="华文仿宋" w:cs="华文仿宋"/>
          <w:bCs/>
          <w:color w:val="auto"/>
          <w:szCs w:val="24"/>
          <w:highlight w:val="none"/>
        </w:rPr>
        <w:fldChar w:fldCharType="end"/>
      </w:r>
      <w:r>
        <w:rPr>
          <w:rFonts w:hint="eastAsia" w:ascii="华文仿宋" w:hAnsi="华文仿宋" w:eastAsia="华文仿宋" w:cs="华文仿宋"/>
          <w:bCs/>
          <w:color w:val="auto"/>
          <w:szCs w:val="24"/>
          <w:highlight w:val="none"/>
          <w:lang w:val="en-US" w:eastAsia="zh-CN"/>
        </w:rPr>
        <w:t>4</w:t>
      </w:r>
    </w:p>
    <w:p w14:paraId="7A09F34C">
      <w:pPr>
        <w:pStyle w:val="17"/>
        <w:tabs>
          <w:tab w:val="right" w:leader="dot" w:pos="8279"/>
        </w:tabs>
        <w:rPr>
          <w:rFonts w:hint="eastAsia" w:ascii="华文仿宋" w:hAnsi="华文仿宋" w:eastAsia="华文仿宋" w:cs="华文仿宋"/>
          <w:color w:val="auto"/>
          <w:highlight w:val="none"/>
        </w:rPr>
      </w:pPr>
      <w:r>
        <w:rPr>
          <w:rFonts w:hint="eastAsia" w:ascii="华文仿宋" w:hAnsi="华文仿宋" w:eastAsia="华文仿宋" w:cs="华文仿宋"/>
          <w:bCs/>
          <w:color w:val="auto"/>
          <w:szCs w:val="24"/>
          <w:highlight w:val="none"/>
        </w:rPr>
        <w:fldChar w:fldCharType="begin"/>
      </w:r>
      <w:r>
        <w:rPr>
          <w:rFonts w:hint="eastAsia" w:ascii="华文仿宋" w:hAnsi="华文仿宋" w:eastAsia="华文仿宋" w:cs="华文仿宋"/>
          <w:bCs/>
          <w:color w:val="auto"/>
          <w:szCs w:val="24"/>
          <w:highlight w:val="none"/>
        </w:rPr>
        <w:instrText xml:space="preserve"> HYPERLINK \l _Toc25148 </w:instrText>
      </w:r>
      <w:r>
        <w:rPr>
          <w:rFonts w:hint="eastAsia" w:ascii="华文仿宋" w:hAnsi="华文仿宋" w:eastAsia="华文仿宋" w:cs="华文仿宋"/>
          <w:bCs/>
          <w:color w:val="auto"/>
          <w:szCs w:val="24"/>
          <w:highlight w:val="none"/>
        </w:rPr>
        <w:fldChar w:fldCharType="separate"/>
      </w:r>
      <w:r>
        <w:rPr>
          <w:rFonts w:hint="eastAsia" w:ascii="华文仿宋" w:hAnsi="华文仿宋" w:eastAsia="华文仿宋" w:cs="华文仿宋"/>
          <w:color w:val="auto"/>
          <w:highlight w:val="none"/>
        </w:rPr>
        <w:t>第六章响应文件格式</w:t>
      </w:r>
      <w:r>
        <w:rPr>
          <w:rFonts w:hint="eastAsia" w:ascii="华文仿宋" w:hAnsi="华文仿宋" w:eastAsia="华文仿宋" w:cs="华文仿宋"/>
          <w:color w:val="auto"/>
          <w:highlight w:val="none"/>
        </w:rPr>
        <w:tab/>
      </w:r>
      <w:r>
        <w:rPr>
          <w:rFonts w:hint="eastAsia" w:ascii="华文仿宋" w:hAnsi="华文仿宋" w:eastAsia="华文仿宋" w:cs="华文仿宋"/>
          <w:color w:val="auto"/>
          <w:highlight w:val="none"/>
        </w:rPr>
        <w:fldChar w:fldCharType="begin"/>
      </w:r>
      <w:r>
        <w:rPr>
          <w:rFonts w:hint="eastAsia" w:ascii="华文仿宋" w:hAnsi="华文仿宋" w:eastAsia="华文仿宋" w:cs="华文仿宋"/>
          <w:color w:val="auto"/>
          <w:highlight w:val="none"/>
        </w:rPr>
        <w:instrText xml:space="preserve"> PAGEREF _Toc25148 \h </w:instrText>
      </w:r>
      <w:r>
        <w:rPr>
          <w:rFonts w:hint="eastAsia" w:ascii="华文仿宋" w:hAnsi="华文仿宋" w:eastAsia="华文仿宋" w:cs="华文仿宋"/>
          <w:color w:val="auto"/>
          <w:highlight w:val="none"/>
        </w:rPr>
        <w:fldChar w:fldCharType="separate"/>
      </w:r>
      <w:r>
        <w:rPr>
          <w:rFonts w:hint="eastAsia" w:ascii="华文仿宋" w:hAnsi="华文仿宋" w:eastAsia="华文仿宋" w:cs="华文仿宋"/>
          <w:color w:val="auto"/>
          <w:highlight w:val="none"/>
        </w:rPr>
        <w:t>33</w:t>
      </w:r>
      <w:r>
        <w:rPr>
          <w:rFonts w:hint="eastAsia" w:ascii="华文仿宋" w:hAnsi="华文仿宋" w:eastAsia="华文仿宋" w:cs="华文仿宋"/>
          <w:color w:val="auto"/>
          <w:highlight w:val="none"/>
        </w:rPr>
        <w:fldChar w:fldCharType="end"/>
      </w:r>
      <w:r>
        <w:rPr>
          <w:rFonts w:hint="eastAsia" w:ascii="华文仿宋" w:hAnsi="华文仿宋" w:eastAsia="华文仿宋" w:cs="华文仿宋"/>
          <w:bCs/>
          <w:color w:val="auto"/>
          <w:szCs w:val="24"/>
          <w:highlight w:val="none"/>
        </w:rPr>
        <w:fldChar w:fldCharType="end"/>
      </w:r>
    </w:p>
    <w:p w14:paraId="66983CE8">
      <w:pPr>
        <w:pStyle w:val="17"/>
        <w:tabs>
          <w:tab w:val="right" w:leader="dot" w:pos="8279"/>
        </w:tabs>
        <w:rPr>
          <w:rFonts w:hint="eastAsia" w:ascii="华文仿宋" w:hAnsi="华文仿宋" w:eastAsia="华文仿宋" w:cs="华文仿宋"/>
          <w:color w:val="auto"/>
          <w:highlight w:val="none"/>
        </w:rPr>
      </w:pPr>
      <w:r>
        <w:rPr>
          <w:rFonts w:hint="eastAsia" w:ascii="华文仿宋" w:hAnsi="华文仿宋" w:eastAsia="华文仿宋" w:cs="华文仿宋"/>
          <w:bCs/>
          <w:color w:val="auto"/>
          <w:szCs w:val="24"/>
          <w:highlight w:val="none"/>
        </w:rPr>
        <w:fldChar w:fldCharType="begin"/>
      </w:r>
      <w:r>
        <w:rPr>
          <w:rFonts w:hint="eastAsia" w:ascii="华文仿宋" w:hAnsi="华文仿宋" w:eastAsia="华文仿宋" w:cs="华文仿宋"/>
          <w:bCs/>
          <w:color w:val="auto"/>
          <w:szCs w:val="24"/>
          <w:highlight w:val="none"/>
        </w:rPr>
        <w:instrText xml:space="preserve"> HYPERLINK \l _Toc19418 </w:instrText>
      </w:r>
      <w:r>
        <w:rPr>
          <w:rFonts w:hint="eastAsia" w:ascii="华文仿宋" w:hAnsi="华文仿宋" w:eastAsia="华文仿宋" w:cs="华文仿宋"/>
          <w:bCs/>
          <w:color w:val="auto"/>
          <w:szCs w:val="24"/>
          <w:highlight w:val="none"/>
        </w:rPr>
        <w:fldChar w:fldCharType="separate"/>
      </w:r>
      <w:r>
        <w:rPr>
          <w:rFonts w:hint="eastAsia" w:ascii="华文仿宋" w:hAnsi="华文仿宋" w:eastAsia="华文仿宋" w:cs="华文仿宋"/>
          <w:bCs/>
          <w:color w:val="auto"/>
          <w:highlight w:val="none"/>
        </w:rPr>
        <w:t>第</w:t>
      </w:r>
      <w:r>
        <w:rPr>
          <w:rFonts w:hint="eastAsia" w:ascii="华文仿宋" w:hAnsi="华文仿宋" w:eastAsia="华文仿宋" w:cs="华文仿宋"/>
          <w:bCs/>
          <w:color w:val="auto"/>
          <w:highlight w:val="none"/>
          <w:lang w:val="en-US" w:eastAsia="zh-CN"/>
        </w:rPr>
        <w:t>七</w:t>
      </w:r>
      <w:r>
        <w:rPr>
          <w:rFonts w:hint="eastAsia" w:ascii="华文仿宋" w:hAnsi="华文仿宋" w:eastAsia="华文仿宋" w:cs="华文仿宋"/>
          <w:bCs/>
          <w:color w:val="auto"/>
          <w:highlight w:val="none"/>
        </w:rPr>
        <w:t>章政府采购</w:t>
      </w:r>
      <w:r>
        <w:rPr>
          <w:rFonts w:hint="eastAsia" w:ascii="华文仿宋" w:hAnsi="华文仿宋" w:eastAsia="华文仿宋" w:cs="华文仿宋"/>
          <w:color w:val="auto"/>
          <w:highlight w:val="none"/>
        </w:rPr>
        <w:t>供应</w:t>
      </w:r>
      <w:r>
        <w:rPr>
          <w:rFonts w:hint="eastAsia" w:ascii="华文仿宋" w:hAnsi="华文仿宋" w:eastAsia="华文仿宋" w:cs="华文仿宋"/>
          <w:bCs/>
          <w:color w:val="auto"/>
          <w:highlight w:val="none"/>
        </w:rPr>
        <w:t>商询问函和质疑函范本</w:t>
      </w:r>
      <w:r>
        <w:rPr>
          <w:rFonts w:hint="eastAsia" w:ascii="华文仿宋" w:hAnsi="华文仿宋" w:eastAsia="华文仿宋" w:cs="华文仿宋"/>
          <w:color w:val="auto"/>
          <w:highlight w:val="none"/>
        </w:rPr>
        <w:tab/>
      </w:r>
      <w:r>
        <w:rPr>
          <w:rFonts w:hint="eastAsia" w:ascii="华文仿宋" w:hAnsi="华文仿宋" w:eastAsia="华文仿宋" w:cs="华文仿宋"/>
          <w:color w:val="auto"/>
          <w:highlight w:val="none"/>
        </w:rPr>
        <w:fldChar w:fldCharType="begin"/>
      </w:r>
      <w:r>
        <w:rPr>
          <w:rFonts w:hint="eastAsia" w:ascii="华文仿宋" w:hAnsi="华文仿宋" w:eastAsia="华文仿宋" w:cs="华文仿宋"/>
          <w:color w:val="auto"/>
          <w:highlight w:val="none"/>
        </w:rPr>
        <w:instrText xml:space="preserve"> PAGEREF _Toc19418 \h </w:instrText>
      </w:r>
      <w:r>
        <w:rPr>
          <w:rFonts w:hint="eastAsia" w:ascii="华文仿宋" w:hAnsi="华文仿宋" w:eastAsia="华文仿宋" w:cs="华文仿宋"/>
          <w:color w:val="auto"/>
          <w:highlight w:val="none"/>
        </w:rPr>
        <w:fldChar w:fldCharType="separate"/>
      </w:r>
      <w:r>
        <w:rPr>
          <w:rFonts w:hint="eastAsia" w:ascii="华文仿宋" w:hAnsi="华文仿宋" w:eastAsia="华文仿宋" w:cs="华文仿宋"/>
          <w:color w:val="auto"/>
          <w:highlight w:val="none"/>
        </w:rPr>
        <w:t>53</w:t>
      </w:r>
      <w:r>
        <w:rPr>
          <w:rFonts w:hint="eastAsia" w:ascii="华文仿宋" w:hAnsi="华文仿宋" w:eastAsia="华文仿宋" w:cs="华文仿宋"/>
          <w:color w:val="auto"/>
          <w:highlight w:val="none"/>
        </w:rPr>
        <w:fldChar w:fldCharType="end"/>
      </w:r>
      <w:r>
        <w:rPr>
          <w:rFonts w:hint="eastAsia" w:ascii="华文仿宋" w:hAnsi="华文仿宋" w:eastAsia="华文仿宋" w:cs="华文仿宋"/>
          <w:bCs/>
          <w:color w:val="auto"/>
          <w:szCs w:val="24"/>
          <w:highlight w:val="none"/>
        </w:rPr>
        <w:fldChar w:fldCharType="end"/>
      </w:r>
    </w:p>
    <w:p w14:paraId="786569D2">
      <w:pPr>
        <w:pStyle w:val="18"/>
        <w:tabs>
          <w:tab w:val="right" w:leader="dot" w:pos="8296"/>
        </w:tabs>
        <w:rPr>
          <w:rFonts w:hint="eastAsia" w:ascii="华文仿宋" w:hAnsi="华文仿宋" w:eastAsia="华文仿宋" w:cs="华文仿宋"/>
          <w:b/>
          <w:color w:val="auto"/>
          <w:sz w:val="32"/>
          <w:highlight w:val="none"/>
        </w:rPr>
      </w:pPr>
      <w:r>
        <w:rPr>
          <w:rFonts w:hint="eastAsia" w:ascii="华文仿宋" w:hAnsi="华文仿宋" w:eastAsia="华文仿宋" w:cs="华文仿宋"/>
          <w:bCs/>
          <w:color w:val="auto"/>
          <w:szCs w:val="24"/>
          <w:highlight w:val="none"/>
        </w:rPr>
        <w:fldChar w:fldCharType="end"/>
      </w:r>
    </w:p>
    <w:p w14:paraId="0C14D605">
      <w:pPr>
        <w:spacing w:line="360" w:lineRule="auto"/>
        <w:jc w:val="center"/>
        <w:outlineLvl w:val="1"/>
        <w:rPr>
          <w:rFonts w:hint="eastAsia" w:ascii="华文仿宋" w:hAnsi="华文仿宋" w:eastAsia="华文仿宋" w:cs="华文仿宋"/>
          <w:b/>
          <w:color w:val="auto"/>
          <w:sz w:val="28"/>
          <w:highlight w:val="none"/>
        </w:rPr>
        <w:sectPr>
          <w:headerReference r:id="rId3" w:type="default"/>
          <w:footerReference r:id="rId4" w:type="default"/>
          <w:pgSz w:w="11907" w:h="16840"/>
          <w:pgMar w:top="1474" w:right="1814" w:bottom="1474" w:left="1814" w:header="851" w:footer="992" w:gutter="0"/>
          <w:cols w:space="720" w:num="1"/>
          <w:docGrid w:linePitch="462" w:charSpace="0"/>
        </w:sectPr>
      </w:pPr>
    </w:p>
    <w:p w14:paraId="0C51B83E">
      <w:pPr>
        <w:spacing w:line="360" w:lineRule="auto"/>
        <w:jc w:val="center"/>
        <w:outlineLvl w:val="0"/>
        <w:rPr>
          <w:rFonts w:hint="eastAsia" w:ascii="华文仿宋" w:hAnsi="华文仿宋" w:eastAsia="华文仿宋" w:cs="华文仿宋"/>
          <w:b/>
          <w:color w:val="auto"/>
          <w:sz w:val="28"/>
          <w:highlight w:val="none"/>
          <w:lang w:eastAsia="zh-CN"/>
        </w:rPr>
      </w:pPr>
      <w:bookmarkStart w:id="1" w:name="_Toc501"/>
      <w:bookmarkStart w:id="2" w:name="_Toc19988"/>
      <w:r>
        <w:rPr>
          <w:rFonts w:hint="eastAsia" w:ascii="华文仿宋" w:hAnsi="华文仿宋" w:eastAsia="华文仿宋" w:cs="华文仿宋"/>
          <w:b/>
          <w:color w:val="auto"/>
          <w:sz w:val="28"/>
          <w:highlight w:val="none"/>
        </w:rPr>
        <w:t>第一章磋商</w:t>
      </w:r>
      <w:bookmarkEnd w:id="1"/>
      <w:bookmarkEnd w:id="2"/>
      <w:r>
        <w:rPr>
          <w:rFonts w:hint="eastAsia" w:ascii="华文仿宋" w:hAnsi="华文仿宋" w:eastAsia="华文仿宋" w:cs="华文仿宋"/>
          <w:b/>
          <w:color w:val="auto"/>
          <w:sz w:val="28"/>
          <w:highlight w:val="none"/>
          <w:lang w:val="en-US" w:eastAsia="zh-CN"/>
        </w:rPr>
        <w:t>公告</w:t>
      </w:r>
    </w:p>
    <w:p w14:paraId="4E0BF2B1">
      <w:pPr>
        <w:spacing w:line="440" w:lineRule="exact"/>
        <w:ind w:firstLine="420" w:firstLineChars="200"/>
        <w:jc w:val="left"/>
        <w:textAlignment w:val="auto"/>
        <w:rPr>
          <w:rFonts w:hint="eastAsia" w:ascii="华文仿宋" w:hAnsi="华文仿宋" w:eastAsia="华文仿宋" w:cs="华文仿宋"/>
          <w:color w:val="auto"/>
          <w:szCs w:val="21"/>
          <w:highlight w:val="none"/>
        </w:rPr>
      </w:pPr>
      <w:bookmarkStart w:id="3" w:name="_Toc28359012"/>
      <w:bookmarkStart w:id="4" w:name="_Toc35393798"/>
      <w:bookmarkStart w:id="5" w:name="_Toc35393629"/>
      <w:bookmarkStart w:id="6" w:name="_Toc28359089"/>
      <w:r>
        <w:rPr>
          <w:rFonts w:hint="eastAsia" w:ascii="华文仿宋" w:hAnsi="华文仿宋" w:eastAsia="华文仿宋" w:cs="华文仿宋"/>
          <w:color w:val="auto"/>
          <w:szCs w:val="21"/>
          <w:highlight w:val="none"/>
        </w:rPr>
        <w:t>项目概况</w:t>
      </w:r>
    </w:p>
    <w:p w14:paraId="3A81AA6E">
      <w:pPr>
        <w:wordWrap w:val="0"/>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u w:val="single" w:color="auto"/>
          <w:lang w:eastAsia="zh-CN"/>
        </w:rPr>
        <w:t>滁州市劳动人事争议“智慧仲裁”信息系统年度维保项目</w:t>
      </w:r>
      <w:r>
        <w:rPr>
          <w:rFonts w:hint="eastAsia" w:ascii="华文仿宋" w:hAnsi="华文仿宋" w:eastAsia="华文仿宋" w:cs="华文仿宋"/>
          <w:color w:val="auto"/>
          <w:szCs w:val="21"/>
          <w:highlight w:val="none"/>
        </w:rPr>
        <w:t>的潜在供应商应在</w:t>
      </w:r>
      <w:bookmarkStart w:id="7" w:name="OLE_LINK18"/>
      <w:r>
        <w:rPr>
          <w:rFonts w:hint="eastAsia" w:ascii="华文仿宋" w:hAnsi="华文仿宋" w:eastAsia="华文仿宋" w:cs="华文仿宋"/>
          <w:color w:val="auto"/>
          <w:szCs w:val="21"/>
          <w:highlight w:val="none"/>
          <w:u w:val="single" w:color="auto"/>
        </w:rPr>
        <w:t>滁州市城投工程咨询管理有限公司官网（https://www.czctgczx.com/）</w:t>
      </w:r>
      <w:r>
        <w:rPr>
          <w:rFonts w:hint="eastAsia" w:ascii="华文仿宋" w:hAnsi="华文仿宋" w:eastAsia="华文仿宋" w:cs="华文仿宋"/>
          <w:color w:val="auto"/>
          <w:szCs w:val="21"/>
          <w:highlight w:val="none"/>
        </w:rPr>
        <w:t>获</w:t>
      </w:r>
      <w:bookmarkEnd w:id="7"/>
      <w:r>
        <w:rPr>
          <w:rFonts w:hint="eastAsia" w:ascii="华文仿宋" w:hAnsi="华文仿宋" w:eastAsia="华文仿宋" w:cs="华文仿宋"/>
          <w:color w:val="auto"/>
          <w:szCs w:val="21"/>
          <w:highlight w:val="none"/>
        </w:rPr>
        <w:t>取采购文件，并于</w:t>
      </w:r>
      <w:r>
        <w:rPr>
          <w:rFonts w:hint="eastAsia" w:ascii="华文仿宋" w:hAnsi="华文仿宋" w:eastAsia="华文仿宋" w:cs="华文仿宋"/>
          <w:color w:val="auto"/>
          <w:szCs w:val="21"/>
          <w:highlight w:val="none"/>
          <w:u w:val="single" w:color="auto"/>
        </w:rPr>
        <w:t>202</w:t>
      </w:r>
      <w:r>
        <w:rPr>
          <w:rFonts w:hint="eastAsia" w:ascii="华文仿宋" w:hAnsi="华文仿宋" w:eastAsia="华文仿宋" w:cs="华文仿宋"/>
          <w:color w:val="auto"/>
          <w:szCs w:val="21"/>
          <w:highlight w:val="none"/>
          <w:u w:val="single" w:color="auto"/>
          <w:lang w:val="en-US" w:eastAsia="zh-CN"/>
        </w:rPr>
        <w:t>6</w:t>
      </w:r>
      <w:r>
        <w:rPr>
          <w:rFonts w:hint="eastAsia" w:ascii="华文仿宋" w:hAnsi="华文仿宋" w:eastAsia="华文仿宋" w:cs="华文仿宋"/>
          <w:color w:val="auto"/>
          <w:szCs w:val="21"/>
          <w:highlight w:val="none"/>
          <w:u w:val="single" w:color="auto"/>
        </w:rPr>
        <w:t>年</w:t>
      </w:r>
      <w:r>
        <w:rPr>
          <w:rFonts w:hint="eastAsia" w:ascii="华文仿宋" w:hAnsi="华文仿宋" w:eastAsia="华文仿宋" w:cs="华文仿宋"/>
          <w:color w:val="auto"/>
          <w:szCs w:val="21"/>
          <w:highlight w:val="none"/>
          <w:u w:val="single" w:color="auto"/>
          <w:lang w:val="en-US" w:eastAsia="zh-CN"/>
        </w:rPr>
        <w:t>11</w:t>
      </w:r>
      <w:r>
        <w:rPr>
          <w:rFonts w:hint="eastAsia" w:ascii="华文仿宋" w:hAnsi="华文仿宋" w:eastAsia="华文仿宋" w:cs="华文仿宋"/>
          <w:color w:val="auto"/>
          <w:szCs w:val="21"/>
          <w:highlight w:val="none"/>
          <w:u w:val="single" w:color="auto"/>
        </w:rPr>
        <w:t>月</w:t>
      </w:r>
      <w:r>
        <w:rPr>
          <w:rFonts w:hint="eastAsia" w:ascii="华文仿宋" w:hAnsi="华文仿宋" w:eastAsia="华文仿宋" w:cs="华文仿宋"/>
          <w:color w:val="auto"/>
          <w:szCs w:val="21"/>
          <w:highlight w:val="none"/>
          <w:u w:val="single" w:color="auto"/>
          <w:lang w:val="en-US" w:eastAsia="zh-CN"/>
        </w:rPr>
        <w:t>12</w:t>
      </w:r>
      <w:r>
        <w:rPr>
          <w:rFonts w:hint="eastAsia" w:ascii="华文仿宋" w:hAnsi="华文仿宋" w:eastAsia="华文仿宋" w:cs="华文仿宋"/>
          <w:color w:val="auto"/>
          <w:szCs w:val="21"/>
          <w:highlight w:val="none"/>
          <w:u w:val="single" w:color="auto"/>
        </w:rPr>
        <w:t>日15点00分</w:t>
      </w:r>
      <w:r>
        <w:rPr>
          <w:rFonts w:hint="eastAsia" w:ascii="华文仿宋" w:hAnsi="华文仿宋" w:eastAsia="华文仿宋" w:cs="华文仿宋"/>
          <w:color w:val="auto"/>
          <w:szCs w:val="21"/>
          <w:highlight w:val="none"/>
        </w:rPr>
        <w:t>（北京时间）前提交响应文件。</w:t>
      </w:r>
    </w:p>
    <w:p w14:paraId="0D784891">
      <w:pPr>
        <w:spacing w:line="440" w:lineRule="exact"/>
        <w:ind w:firstLine="422" w:firstLineChars="200"/>
        <w:jc w:val="left"/>
        <w:textAlignment w:val="auto"/>
        <w:rPr>
          <w:rFonts w:hint="eastAsia" w:ascii="华文仿宋" w:hAnsi="华文仿宋" w:eastAsia="华文仿宋" w:cs="华文仿宋"/>
          <w:b/>
          <w:bCs/>
          <w:color w:val="auto"/>
          <w:szCs w:val="21"/>
          <w:highlight w:val="none"/>
        </w:rPr>
      </w:pPr>
      <w:r>
        <w:rPr>
          <w:rFonts w:hint="eastAsia" w:ascii="华文仿宋" w:hAnsi="华文仿宋" w:eastAsia="华文仿宋" w:cs="华文仿宋"/>
          <w:b/>
          <w:bCs/>
          <w:color w:val="auto"/>
          <w:szCs w:val="21"/>
          <w:highlight w:val="none"/>
        </w:rPr>
        <w:t>一、项目基本情况</w:t>
      </w:r>
      <w:bookmarkEnd w:id="3"/>
      <w:bookmarkEnd w:id="4"/>
      <w:bookmarkEnd w:id="5"/>
      <w:bookmarkEnd w:id="6"/>
    </w:p>
    <w:p w14:paraId="26EB76E8">
      <w:pPr>
        <w:spacing w:line="440" w:lineRule="exact"/>
        <w:ind w:firstLine="420" w:firstLineChars="200"/>
        <w:jc w:val="left"/>
        <w:textAlignment w:val="auto"/>
        <w:rPr>
          <w:rFonts w:hint="eastAsia" w:ascii="华文仿宋" w:hAnsi="华文仿宋" w:eastAsia="华文仿宋" w:cs="华文仿宋"/>
          <w:color w:val="auto"/>
          <w:szCs w:val="21"/>
          <w:highlight w:val="none"/>
          <w:lang w:eastAsia="zh-CN"/>
        </w:rPr>
      </w:pPr>
      <w:bookmarkStart w:id="8" w:name="_Toc28359013"/>
      <w:bookmarkStart w:id="9" w:name="_Toc28359090"/>
      <w:bookmarkStart w:id="10" w:name="_Toc35393799"/>
      <w:bookmarkStart w:id="11" w:name="_Toc35393630"/>
      <w:r>
        <w:rPr>
          <w:rFonts w:hint="eastAsia" w:ascii="华文仿宋" w:hAnsi="华文仿宋" w:eastAsia="华文仿宋" w:cs="华文仿宋"/>
          <w:color w:val="auto"/>
          <w:szCs w:val="21"/>
          <w:highlight w:val="none"/>
        </w:rPr>
        <w:t>项目名称：</w:t>
      </w:r>
      <w:r>
        <w:rPr>
          <w:rFonts w:hint="eastAsia" w:ascii="华文仿宋" w:hAnsi="华文仿宋" w:eastAsia="华文仿宋" w:cs="华文仿宋"/>
          <w:color w:val="auto"/>
          <w:szCs w:val="21"/>
          <w:highlight w:val="none"/>
          <w:lang w:eastAsia="zh-CN"/>
        </w:rPr>
        <w:t>滁州市劳动人事争议“智慧仲裁”信息系统年度维保项目</w:t>
      </w:r>
    </w:p>
    <w:p w14:paraId="110020E6">
      <w:pPr>
        <w:spacing w:line="440" w:lineRule="exact"/>
        <w:ind w:firstLine="420" w:firstLineChars="200"/>
        <w:jc w:val="left"/>
        <w:textAlignment w:val="auto"/>
        <w:rPr>
          <w:rFonts w:hint="eastAsia" w:ascii="华文仿宋" w:hAnsi="华文仿宋" w:eastAsia="华文仿宋" w:cs="华文仿宋"/>
          <w:color w:val="auto"/>
          <w:szCs w:val="21"/>
          <w:highlight w:val="none"/>
          <w:lang w:eastAsia="zh-CN"/>
        </w:rPr>
      </w:pPr>
      <w:r>
        <w:rPr>
          <w:rFonts w:hint="eastAsia" w:ascii="华文仿宋" w:hAnsi="华文仿宋" w:eastAsia="华文仿宋" w:cs="华文仿宋"/>
          <w:color w:val="auto"/>
          <w:szCs w:val="21"/>
          <w:highlight w:val="none"/>
        </w:rPr>
        <w:t>采购方式：竞争性</w:t>
      </w:r>
      <w:r>
        <w:rPr>
          <w:rFonts w:hint="eastAsia" w:ascii="华文仿宋" w:hAnsi="华文仿宋" w:eastAsia="华文仿宋" w:cs="华文仿宋"/>
          <w:color w:val="auto"/>
          <w:szCs w:val="21"/>
          <w:highlight w:val="none"/>
          <w:lang w:val="en-US" w:eastAsia="zh-CN"/>
        </w:rPr>
        <w:t>磋商</w:t>
      </w:r>
    </w:p>
    <w:p w14:paraId="5ED57356">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最高限价：</w:t>
      </w:r>
      <w:r>
        <w:rPr>
          <w:rFonts w:hint="eastAsia" w:ascii="华文仿宋" w:hAnsi="华文仿宋" w:eastAsia="华文仿宋" w:cs="华文仿宋"/>
          <w:color w:val="auto"/>
          <w:szCs w:val="21"/>
          <w:highlight w:val="none"/>
          <w:lang w:val="en-US" w:eastAsia="zh-CN"/>
        </w:rPr>
        <w:t>100000元/年</w:t>
      </w:r>
      <w:r>
        <w:rPr>
          <w:rFonts w:hint="eastAsia" w:ascii="华文仿宋" w:hAnsi="华文仿宋" w:eastAsia="华文仿宋" w:cs="华文仿宋"/>
          <w:color w:val="auto"/>
          <w:szCs w:val="21"/>
          <w:highlight w:val="none"/>
        </w:rPr>
        <w:t>；响应报价不得高于最高限价，否则按无效响应处理。</w:t>
      </w:r>
    </w:p>
    <w:p w14:paraId="4E04B4A1">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采购需求：滁州市劳动人事争议“智慧仲裁”信息系统年度维保项目</w:t>
      </w:r>
      <w:r>
        <w:rPr>
          <w:rFonts w:hint="eastAsia" w:ascii="华文仿宋" w:hAnsi="华文仿宋" w:eastAsia="华文仿宋" w:cs="华文仿宋"/>
          <w:color w:val="auto"/>
          <w:szCs w:val="21"/>
          <w:highlight w:val="none"/>
          <w:lang w:eastAsia="zh-CN"/>
        </w:rPr>
        <w:t>，</w:t>
      </w:r>
      <w:r>
        <w:rPr>
          <w:rFonts w:hint="eastAsia" w:ascii="华文仿宋" w:hAnsi="华文仿宋" w:eastAsia="华文仿宋" w:cs="华文仿宋"/>
          <w:color w:val="auto"/>
          <w:szCs w:val="21"/>
          <w:highlight w:val="none"/>
          <w:lang w:val="en-US" w:eastAsia="zh-CN"/>
        </w:rPr>
        <w:t>针对信息系统进行软件维保、硬件维保</w:t>
      </w:r>
      <w:r>
        <w:rPr>
          <w:rFonts w:hint="eastAsia" w:ascii="华文仿宋" w:hAnsi="华文仿宋" w:eastAsia="华文仿宋" w:cs="华文仿宋"/>
          <w:color w:val="auto"/>
          <w:szCs w:val="21"/>
          <w:highlight w:val="none"/>
        </w:rPr>
        <w:t>，具体详见采购文件。</w:t>
      </w:r>
    </w:p>
    <w:p w14:paraId="51DA0F82">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合同履行期限：服务期三年，合同一年一签，经考核后满足要求的，可续签下一年合同。</w:t>
      </w:r>
    </w:p>
    <w:p w14:paraId="286C1AAD">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本项目不接受联合体。</w:t>
      </w:r>
    </w:p>
    <w:p w14:paraId="798928C1">
      <w:pPr>
        <w:spacing w:line="440" w:lineRule="exact"/>
        <w:ind w:firstLine="422" w:firstLineChars="200"/>
        <w:jc w:val="left"/>
        <w:textAlignment w:val="auto"/>
        <w:rPr>
          <w:rFonts w:hint="eastAsia" w:ascii="华文仿宋" w:hAnsi="华文仿宋" w:eastAsia="华文仿宋" w:cs="华文仿宋"/>
          <w:b/>
          <w:bCs/>
          <w:color w:val="auto"/>
          <w:szCs w:val="21"/>
          <w:highlight w:val="none"/>
        </w:rPr>
      </w:pPr>
      <w:r>
        <w:rPr>
          <w:rFonts w:hint="eastAsia" w:ascii="华文仿宋" w:hAnsi="华文仿宋" w:eastAsia="华文仿宋" w:cs="华文仿宋"/>
          <w:b/>
          <w:bCs/>
          <w:color w:val="auto"/>
          <w:szCs w:val="21"/>
          <w:highlight w:val="none"/>
        </w:rPr>
        <w:t>二、申请人的资格要求：</w:t>
      </w:r>
      <w:bookmarkEnd w:id="8"/>
      <w:bookmarkEnd w:id="9"/>
      <w:bookmarkEnd w:id="10"/>
      <w:bookmarkEnd w:id="11"/>
    </w:p>
    <w:p w14:paraId="18F20772">
      <w:pPr>
        <w:spacing w:line="440" w:lineRule="exact"/>
        <w:ind w:firstLine="420" w:firstLineChars="200"/>
        <w:jc w:val="left"/>
        <w:textAlignment w:val="auto"/>
        <w:rPr>
          <w:rFonts w:hint="eastAsia" w:ascii="华文仿宋" w:hAnsi="华文仿宋" w:eastAsia="华文仿宋" w:cs="华文仿宋"/>
          <w:color w:val="auto"/>
          <w:szCs w:val="21"/>
          <w:highlight w:val="none"/>
        </w:rPr>
      </w:pPr>
      <w:bookmarkStart w:id="12" w:name="_Toc28359014"/>
      <w:bookmarkStart w:id="13" w:name="_Toc28359091"/>
      <w:bookmarkStart w:id="14" w:name="_Toc35393631"/>
      <w:bookmarkStart w:id="15" w:name="_Toc35393800"/>
      <w:r>
        <w:rPr>
          <w:rFonts w:hint="eastAsia" w:ascii="华文仿宋" w:hAnsi="华文仿宋" w:eastAsia="华文仿宋" w:cs="华文仿宋"/>
          <w:color w:val="auto"/>
          <w:szCs w:val="21"/>
          <w:highlight w:val="none"/>
        </w:rPr>
        <w:t>1.满足《中华人民共和国政府采购法》第二十二条规定；</w:t>
      </w:r>
    </w:p>
    <w:p w14:paraId="4F70C76D">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2.落实政府采购政策需满足的资格要求：按照财政部、工业和信息化部制定的《政府采购促进中小企业发展管理办法》，本项目为专门面向中小企业采购项目。企业划型标准按照《关于印发中小企业划型标准规定的通知》（工信部联企业〔2011〕300号）规定执行；</w:t>
      </w:r>
    </w:p>
    <w:p w14:paraId="706D37BB">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3.本项目的特定资格要求：/；</w:t>
      </w:r>
    </w:p>
    <w:bookmarkEnd w:id="12"/>
    <w:bookmarkEnd w:id="13"/>
    <w:bookmarkEnd w:id="14"/>
    <w:bookmarkEnd w:id="15"/>
    <w:p w14:paraId="74D03366">
      <w:pPr>
        <w:spacing w:line="440" w:lineRule="exact"/>
        <w:ind w:firstLine="422" w:firstLineChars="200"/>
        <w:jc w:val="left"/>
        <w:textAlignment w:val="auto"/>
        <w:rPr>
          <w:rFonts w:hint="eastAsia" w:ascii="华文仿宋" w:hAnsi="华文仿宋" w:eastAsia="华文仿宋" w:cs="华文仿宋"/>
          <w:b/>
          <w:bCs/>
          <w:color w:val="auto"/>
          <w:szCs w:val="21"/>
          <w:highlight w:val="none"/>
        </w:rPr>
      </w:pPr>
      <w:r>
        <w:rPr>
          <w:rFonts w:hint="eastAsia" w:ascii="华文仿宋" w:hAnsi="华文仿宋" w:eastAsia="华文仿宋" w:cs="华文仿宋"/>
          <w:b/>
          <w:bCs/>
          <w:color w:val="auto"/>
          <w:szCs w:val="21"/>
          <w:highlight w:val="none"/>
        </w:rPr>
        <w:t>三、获取采购文件</w:t>
      </w:r>
    </w:p>
    <w:p w14:paraId="35BC388D">
      <w:pPr>
        <w:spacing w:line="440" w:lineRule="exact"/>
        <w:ind w:firstLine="420" w:firstLineChars="200"/>
        <w:jc w:val="left"/>
        <w:textAlignment w:val="auto"/>
        <w:rPr>
          <w:rFonts w:hint="eastAsia" w:ascii="华文仿宋" w:hAnsi="华文仿宋" w:eastAsia="华文仿宋" w:cs="华文仿宋"/>
          <w:color w:val="auto"/>
          <w:szCs w:val="21"/>
          <w:highlight w:val="none"/>
        </w:rPr>
      </w:pPr>
      <w:bookmarkStart w:id="16" w:name="_Toc28359092"/>
      <w:bookmarkStart w:id="17" w:name="_Toc35393632"/>
      <w:bookmarkStart w:id="18" w:name="_Toc28359015"/>
      <w:bookmarkStart w:id="19" w:name="_Toc35393801"/>
      <w:r>
        <w:rPr>
          <w:rFonts w:hint="eastAsia" w:ascii="华文仿宋" w:hAnsi="华文仿宋" w:eastAsia="华文仿宋" w:cs="华文仿宋"/>
          <w:color w:val="auto"/>
          <w:szCs w:val="21"/>
          <w:highlight w:val="none"/>
        </w:rPr>
        <w:t>时间：202</w:t>
      </w:r>
      <w:r>
        <w:rPr>
          <w:rFonts w:hint="eastAsia" w:ascii="华文仿宋" w:hAnsi="华文仿宋" w:eastAsia="华文仿宋" w:cs="华文仿宋"/>
          <w:color w:val="auto"/>
          <w:szCs w:val="21"/>
          <w:highlight w:val="none"/>
          <w:lang w:val="en-US" w:eastAsia="zh-CN"/>
        </w:rPr>
        <w:t>6</w:t>
      </w:r>
      <w:r>
        <w:rPr>
          <w:rFonts w:hint="eastAsia" w:ascii="华文仿宋" w:hAnsi="华文仿宋" w:eastAsia="华文仿宋" w:cs="华文仿宋"/>
          <w:color w:val="auto"/>
          <w:szCs w:val="21"/>
          <w:highlight w:val="none"/>
        </w:rPr>
        <w:t>年</w:t>
      </w:r>
      <w:r>
        <w:rPr>
          <w:rFonts w:hint="eastAsia" w:ascii="华文仿宋" w:hAnsi="华文仿宋" w:eastAsia="华文仿宋" w:cs="华文仿宋"/>
          <w:color w:val="auto"/>
          <w:szCs w:val="21"/>
          <w:highlight w:val="none"/>
          <w:lang w:val="en-US" w:eastAsia="zh-CN"/>
        </w:rPr>
        <w:t>11</w:t>
      </w:r>
      <w:r>
        <w:rPr>
          <w:rFonts w:hint="eastAsia" w:ascii="华文仿宋" w:hAnsi="华文仿宋" w:eastAsia="华文仿宋" w:cs="华文仿宋"/>
          <w:color w:val="auto"/>
          <w:szCs w:val="21"/>
          <w:highlight w:val="none"/>
        </w:rPr>
        <w:t>月</w:t>
      </w:r>
      <w:r>
        <w:rPr>
          <w:rFonts w:hint="eastAsia" w:ascii="华文仿宋" w:hAnsi="华文仿宋" w:eastAsia="华文仿宋" w:cs="华文仿宋"/>
          <w:color w:val="auto"/>
          <w:szCs w:val="21"/>
          <w:highlight w:val="none"/>
          <w:lang w:val="en-US" w:eastAsia="zh-CN"/>
        </w:rPr>
        <w:t>02</w:t>
      </w:r>
      <w:r>
        <w:rPr>
          <w:rFonts w:hint="eastAsia" w:ascii="华文仿宋" w:hAnsi="华文仿宋" w:eastAsia="华文仿宋" w:cs="华文仿宋"/>
          <w:color w:val="auto"/>
          <w:szCs w:val="21"/>
          <w:highlight w:val="none"/>
        </w:rPr>
        <w:t>日至202</w:t>
      </w:r>
      <w:r>
        <w:rPr>
          <w:rFonts w:hint="eastAsia" w:ascii="华文仿宋" w:hAnsi="华文仿宋" w:eastAsia="华文仿宋" w:cs="华文仿宋"/>
          <w:color w:val="auto"/>
          <w:szCs w:val="21"/>
          <w:highlight w:val="none"/>
          <w:lang w:val="en-US" w:eastAsia="zh-CN"/>
        </w:rPr>
        <w:t>6</w:t>
      </w:r>
      <w:r>
        <w:rPr>
          <w:rFonts w:hint="eastAsia" w:ascii="华文仿宋" w:hAnsi="华文仿宋" w:eastAsia="华文仿宋" w:cs="华文仿宋"/>
          <w:color w:val="auto"/>
          <w:szCs w:val="21"/>
          <w:highlight w:val="none"/>
        </w:rPr>
        <w:t>年</w:t>
      </w:r>
      <w:r>
        <w:rPr>
          <w:rFonts w:hint="eastAsia" w:ascii="华文仿宋" w:hAnsi="华文仿宋" w:eastAsia="华文仿宋" w:cs="华文仿宋"/>
          <w:color w:val="auto"/>
          <w:szCs w:val="21"/>
          <w:highlight w:val="none"/>
          <w:lang w:val="en-US" w:eastAsia="zh-CN"/>
        </w:rPr>
        <w:t>11</w:t>
      </w:r>
      <w:r>
        <w:rPr>
          <w:rFonts w:hint="eastAsia" w:ascii="华文仿宋" w:hAnsi="华文仿宋" w:eastAsia="华文仿宋" w:cs="华文仿宋"/>
          <w:color w:val="auto"/>
          <w:szCs w:val="21"/>
          <w:highlight w:val="none"/>
        </w:rPr>
        <w:t>月</w:t>
      </w:r>
      <w:r>
        <w:rPr>
          <w:rFonts w:hint="eastAsia" w:ascii="华文仿宋" w:hAnsi="华文仿宋" w:eastAsia="华文仿宋" w:cs="华文仿宋"/>
          <w:color w:val="auto"/>
          <w:szCs w:val="21"/>
          <w:highlight w:val="none"/>
          <w:lang w:val="en-US" w:eastAsia="zh-CN"/>
        </w:rPr>
        <w:t>12</w:t>
      </w:r>
      <w:r>
        <w:rPr>
          <w:rFonts w:hint="eastAsia" w:ascii="华文仿宋" w:hAnsi="华文仿宋" w:eastAsia="华文仿宋" w:cs="华文仿宋"/>
          <w:color w:val="auto"/>
          <w:szCs w:val="21"/>
          <w:highlight w:val="none"/>
        </w:rPr>
        <w:t>日</w:t>
      </w:r>
    </w:p>
    <w:p w14:paraId="5947BB52">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地点：滁州市城投工程咨询管理有限公司官网（https://www.czctgczx.com/）</w:t>
      </w:r>
    </w:p>
    <w:p w14:paraId="75C4A201">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方式：网上下载</w:t>
      </w:r>
    </w:p>
    <w:p w14:paraId="109BB601">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售价：0元</w:t>
      </w:r>
    </w:p>
    <w:p w14:paraId="5D5E7D74">
      <w:pPr>
        <w:spacing w:line="440" w:lineRule="exact"/>
        <w:ind w:firstLine="422" w:firstLineChars="200"/>
        <w:jc w:val="left"/>
        <w:textAlignment w:val="auto"/>
        <w:rPr>
          <w:rFonts w:hint="eastAsia" w:ascii="华文仿宋" w:hAnsi="华文仿宋" w:eastAsia="华文仿宋" w:cs="华文仿宋"/>
          <w:b/>
          <w:bCs/>
          <w:color w:val="auto"/>
          <w:szCs w:val="21"/>
          <w:highlight w:val="none"/>
        </w:rPr>
      </w:pPr>
      <w:r>
        <w:rPr>
          <w:rFonts w:hint="eastAsia" w:ascii="华文仿宋" w:hAnsi="华文仿宋" w:eastAsia="华文仿宋" w:cs="华文仿宋"/>
          <w:b/>
          <w:bCs/>
          <w:color w:val="auto"/>
          <w:szCs w:val="21"/>
          <w:highlight w:val="none"/>
        </w:rPr>
        <w:t>四、响应文件提交</w:t>
      </w:r>
      <w:bookmarkEnd w:id="16"/>
      <w:bookmarkEnd w:id="17"/>
      <w:bookmarkEnd w:id="18"/>
      <w:bookmarkEnd w:id="19"/>
    </w:p>
    <w:p w14:paraId="595AC963">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截止时间：202</w:t>
      </w:r>
      <w:r>
        <w:rPr>
          <w:rFonts w:hint="eastAsia" w:ascii="华文仿宋" w:hAnsi="华文仿宋" w:eastAsia="华文仿宋" w:cs="华文仿宋"/>
          <w:color w:val="auto"/>
          <w:szCs w:val="21"/>
          <w:highlight w:val="none"/>
          <w:lang w:val="en-US" w:eastAsia="zh-CN"/>
        </w:rPr>
        <w:t>6</w:t>
      </w:r>
      <w:r>
        <w:rPr>
          <w:rFonts w:hint="eastAsia" w:ascii="华文仿宋" w:hAnsi="华文仿宋" w:eastAsia="华文仿宋" w:cs="华文仿宋"/>
          <w:color w:val="auto"/>
          <w:szCs w:val="21"/>
          <w:highlight w:val="none"/>
        </w:rPr>
        <w:t>年</w:t>
      </w:r>
      <w:r>
        <w:rPr>
          <w:rFonts w:hint="eastAsia" w:ascii="华文仿宋" w:hAnsi="华文仿宋" w:eastAsia="华文仿宋" w:cs="华文仿宋"/>
          <w:color w:val="auto"/>
          <w:szCs w:val="21"/>
          <w:highlight w:val="none"/>
          <w:lang w:val="en-US" w:eastAsia="zh-CN"/>
        </w:rPr>
        <w:t>11</w:t>
      </w:r>
      <w:r>
        <w:rPr>
          <w:rFonts w:hint="eastAsia" w:ascii="华文仿宋" w:hAnsi="华文仿宋" w:eastAsia="华文仿宋" w:cs="华文仿宋"/>
          <w:color w:val="auto"/>
          <w:szCs w:val="21"/>
          <w:highlight w:val="none"/>
        </w:rPr>
        <w:t>月</w:t>
      </w:r>
      <w:r>
        <w:rPr>
          <w:rFonts w:hint="eastAsia" w:ascii="华文仿宋" w:hAnsi="华文仿宋" w:eastAsia="华文仿宋" w:cs="华文仿宋"/>
          <w:color w:val="auto"/>
          <w:szCs w:val="21"/>
          <w:highlight w:val="none"/>
          <w:lang w:val="en-US" w:eastAsia="zh-CN"/>
        </w:rPr>
        <w:t>12</w:t>
      </w:r>
      <w:r>
        <w:rPr>
          <w:rFonts w:hint="eastAsia" w:ascii="华文仿宋" w:hAnsi="华文仿宋" w:eastAsia="华文仿宋" w:cs="华文仿宋"/>
          <w:color w:val="auto"/>
          <w:szCs w:val="21"/>
          <w:highlight w:val="none"/>
        </w:rPr>
        <w:t>日15点00分（北京时间）；</w:t>
      </w:r>
    </w:p>
    <w:p w14:paraId="57D2AA07">
      <w:pPr>
        <w:spacing w:line="440" w:lineRule="exact"/>
        <w:ind w:firstLine="422" w:firstLineChars="200"/>
        <w:jc w:val="left"/>
        <w:textAlignment w:val="auto"/>
        <w:rPr>
          <w:rFonts w:hint="eastAsia" w:ascii="华文仿宋" w:hAnsi="华文仿宋" w:eastAsia="华文仿宋" w:cs="华文仿宋"/>
          <w:b/>
          <w:bCs/>
          <w:color w:val="auto"/>
          <w:szCs w:val="21"/>
          <w:highlight w:val="none"/>
          <w:lang w:eastAsia="zh-CN"/>
        </w:rPr>
      </w:pPr>
      <w:bookmarkStart w:id="20" w:name="_Toc28359016"/>
      <w:bookmarkStart w:id="21" w:name="_Toc35393633"/>
      <w:bookmarkStart w:id="22" w:name="_Toc35393802"/>
      <w:bookmarkStart w:id="23" w:name="_Toc28359093"/>
      <w:r>
        <w:rPr>
          <w:rFonts w:hint="eastAsia" w:ascii="华文仿宋" w:hAnsi="华文仿宋" w:eastAsia="华文仿宋" w:cs="华文仿宋"/>
          <w:b/>
          <w:bCs/>
          <w:color w:val="auto"/>
          <w:szCs w:val="21"/>
          <w:highlight w:val="none"/>
        </w:rPr>
        <w:t>五、开启</w:t>
      </w:r>
      <w:bookmarkEnd w:id="20"/>
      <w:bookmarkEnd w:id="21"/>
      <w:bookmarkEnd w:id="22"/>
      <w:bookmarkEnd w:id="23"/>
    </w:p>
    <w:p w14:paraId="3DC6DFAF">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时间：202</w:t>
      </w:r>
      <w:r>
        <w:rPr>
          <w:rFonts w:hint="eastAsia" w:ascii="华文仿宋" w:hAnsi="华文仿宋" w:eastAsia="华文仿宋" w:cs="华文仿宋"/>
          <w:color w:val="auto"/>
          <w:szCs w:val="21"/>
          <w:highlight w:val="none"/>
          <w:lang w:val="en-US" w:eastAsia="zh-CN"/>
        </w:rPr>
        <w:t>6</w:t>
      </w:r>
      <w:r>
        <w:rPr>
          <w:rFonts w:hint="eastAsia" w:ascii="华文仿宋" w:hAnsi="华文仿宋" w:eastAsia="华文仿宋" w:cs="华文仿宋"/>
          <w:color w:val="auto"/>
          <w:szCs w:val="21"/>
          <w:highlight w:val="none"/>
        </w:rPr>
        <w:t>年</w:t>
      </w:r>
      <w:r>
        <w:rPr>
          <w:rFonts w:hint="eastAsia" w:ascii="华文仿宋" w:hAnsi="华文仿宋" w:eastAsia="华文仿宋" w:cs="华文仿宋"/>
          <w:color w:val="auto"/>
          <w:szCs w:val="21"/>
          <w:highlight w:val="none"/>
          <w:lang w:val="en-US" w:eastAsia="zh-CN"/>
        </w:rPr>
        <w:t>11</w:t>
      </w:r>
      <w:r>
        <w:rPr>
          <w:rFonts w:hint="eastAsia" w:ascii="华文仿宋" w:hAnsi="华文仿宋" w:eastAsia="华文仿宋" w:cs="华文仿宋"/>
          <w:color w:val="auto"/>
          <w:szCs w:val="21"/>
          <w:highlight w:val="none"/>
        </w:rPr>
        <w:t>月</w:t>
      </w:r>
      <w:r>
        <w:rPr>
          <w:rFonts w:hint="eastAsia" w:ascii="华文仿宋" w:hAnsi="华文仿宋" w:eastAsia="华文仿宋" w:cs="华文仿宋"/>
          <w:color w:val="auto"/>
          <w:szCs w:val="21"/>
          <w:highlight w:val="none"/>
          <w:lang w:val="en-US" w:eastAsia="zh-CN"/>
        </w:rPr>
        <w:t>12</w:t>
      </w:r>
      <w:r>
        <w:rPr>
          <w:rFonts w:hint="eastAsia" w:ascii="华文仿宋" w:hAnsi="华文仿宋" w:eastAsia="华文仿宋" w:cs="华文仿宋"/>
          <w:color w:val="auto"/>
          <w:szCs w:val="21"/>
          <w:highlight w:val="none"/>
        </w:rPr>
        <w:t>日15点00分（北京时间）</w:t>
      </w:r>
    </w:p>
    <w:p w14:paraId="133B574F">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地点：滁州市南谯区房产商务大厦6楼622会议室</w:t>
      </w:r>
    </w:p>
    <w:p w14:paraId="3E9B799E">
      <w:pPr>
        <w:spacing w:line="440" w:lineRule="exact"/>
        <w:ind w:firstLine="422" w:firstLineChars="200"/>
        <w:jc w:val="left"/>
        <w:textAlignment w:val="auto"/>
        <w:rPr>
          <w:rFonts w:hint="eastAsia" w:ascii="华文仿宋" w:hAnsi="华文仿宋" w:eastAsia="华文仿宋" w:cs="华文仿宋"/>
          <w:b/>
          <w:bCs/>
          <w:color w:val="auto"/>
          <w:szCs w:val="21"/>
          <w:highlight w:val="none"/>
        </w:rPr>
      </w:pPr>
      <w:r>
        <w:rPr>
          <w:rFonts w:hint="eastAsia" w:ascii="华文仿宋" w:hAnsi="华文仿宋" w:eastAsia="华文仿宋" w:cs="华文仿宋"/>
          <w:b/>
          <w:bCs/>
          <w:color w:val="auto"/>
          <w:szCs w:val="21"/>
          <w:highlight w:val="none"/>
        </w:rPr>
        <w:t>六、公告期限</w:t>
      </w:r>
    </w:p>
    <w:p w14:paraId="03387796">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自本公告发布之日起3个工作日。</w:t>
      </w:r>
    </w:p>
    <w:p w14:paraId="3D4A67E0">
      <w:pPr>
        <w:spacing w:line="440" w:lineRule="exact"/>
        <w:ind w:firstLine="422" w:firstLineChars="200"/>
        <w:jc w:val="left"/>
        <w:textAlignment w:val="auto"/>
        <w:rPr>
          <w:rFonts w:hint="eastAsia" w:ascii="华文仿宋" w:hAnsi="华文仿宋" w:eastAsia="华文仿宋" w:cs="华文仿宋"/>
          <w:b/>
          <w:bCs/>
          <w:color w:val="auto"/>
          <w:szCs w:val="21"/>
          <w:highlight w:val="none"/>
        </w:rPr>
      </w:pPr>
      <w:r>
        <w:rPr>
          <w:rFonts w:hint="eastAsia" w:ascii="华文仿宋" w:hAnsi="华文仿宋" w:eastAsia="华文仿宋" w:cs="华文仿宋"/>
          <w:b/>
          <w:bCs/>
          <w:color w:val="auto"/>
          <w:szCs w:val="21"/>
          <w:highlight w:val="none"/>
        </w:rPr>
        <w:t>七、</w:t>
      </w:r>
      <w:bookmarkStart w:id="24" w:name="_Toc25425"/>
      <w:r>
        <w:rPr>
          <w:rFonts w:hint="eastAsia" w:ascii="华文仿宋" w:hAnsi="华文仿宋" w:eastAsia="华文仿宋" w:cs="华文仿宋"/>
          <w:b/>
          <w:bCs/>
          <w:color w:val="auto"/>
          <w:szCs w:val="21"/>
          <w:highlight w:val="none"/>
        </w:rPr>
        <w:t>保证金金额及缴纳账户</w:t>
      </w:r>
    </w:p>
    <w:p w14:paraId="2D164508">
      <w:pPr>
        <w:spacing w:line="440" w:lineRule="exact"/>
        <w:ind w:firstLine="420" w:firstLineChars="200"/>
        <w:jc w:val="left"/>
        <w:textAlignment w:val="auto"/>
        <w:rPr>
          <w:rFonts w:hint="eastAsia" w:ascii="华文仿宋" w:hAnsi="华文仿宋" w:eastAsia="华文仿宋" w:cs="华文仿宋"/>
          <w:color w:val="auto"/>
          <w:szCs w:val="21"/>
          <w:highlight w:val="none"/>
        </w:rPr>
      </w:pPr>
      <w:r>
        <w:rPr>
          <w:rFonts w:hint="eastAsia" w:ascii="华文仿宋" w:hAnsi="华文仿宋" w:eastAsia="华文仿宋" w:cs="华文仿宋"/>
          <w:color w:val="auto"/>
          <w:szCs w:val="21"/>
          <w:highlight w:val="none"/>
        </w:rPr>
        <w:t>是否要求供应商提交保证金：不要求。</w:t>
      </w:r>
    </w:p>
    <w:p w14:paraId="2ABBA4EE">
      <w:pPr>
        <w:spacing w:line="440" w:lineRule="exact"/>
        <w:ind w:firstLine="422" w:firstLineChars="200"/>
        <w:jc w:val="left"/>
        <w:textAlignment w:val="auto"/>
        <w:rPr>
          <w:rFonts w:hint="eastAsia" w:ascii="华文仿宋" w:hAnsi="华文仿宋" w:eastAsia="华文仿宋" w:cs="华文仿宋"/>
          <w:b/>
          <w:bCs/>
          <w:color w:val="auto"/>
          <w:szCs w:val="21"/>
          <w:highlight w:val="none"/>
        </w:rPr>
      </w:pPr>
      <w:r>
        <w:rPr>
          <w:rFonts w:hint="eastAsia" w:ascii="华文仿宋" w:hAnsi="华文仿宋" w:eastAsia="华文仿宋" w:cs="华文仿宋"/>
          <w:b/>
          <w:bCs/>
          <w:color w:val="auto"/>
          <w:szCs w:val="21"/>
          <w:highlight w:val="none"/>
        </w:rPr>
        <w:t>八、</w:t>
      </w:r>
      <w:bookmarkEnd w:id="24"/>
      <w:r>
        <w:rPr>
          <w:rFonts w:hint="eastAsia" w:ascii="华文仿宋" w:hAnsi="华文仿宋" w:eastAsia="华文仿宋" w:cs="华文仿宋"/>
          <w:b/>
          <w:bCs/>
          <w:color w:val="auto"/>
          <w:szCs w:val="21"/>
          <w:highlight w:val="none"/>
        </w:rPr>
        <w:t>凡对本次采购提出询问，请按以下方式联系</w:t>
      </w:r>
    </w:p>
    <w:p w14:paraId="644F821B">
      <w:pPr>
        <w:spacing w:line="440" w:lineRule="exact"/>
        <w:ind w:firstLine="420" w:firstLineChars="200"/>
        <w:jc w:val="left"/>
        <w:textAlignment w:val="auto"/>
        <w:rPr>
          <w:rFonts w:hint="eastAsia" w:ascii="华文仿宋" w:hAnsi="华文仿宋" w:eastAsia="华文仿宋" w:cs="华文仿宋"/>
          <w:bCs/>
          <w:color w:val="auto"/>
          <w:szCs w:val="21"/>
          <w:highlight w:val="none"/>
        </w:rPr>
      </w:pPr>
      <w:r>
        <w:rPr>
          <w:rFonts w:hint="eastAsia" w:ascii="华文仿宋" w:hAnsi="华文仿宋" w:eastAsia="华文仿宋" w:cs="华文仿宋"/>
          <w:bCs/>
          <w:color w:val="auto"/>
          <w:szCs w:val="21"/>
          <w:highlight w:val="none"/>
        </w:rPr>
        <w:t>1.采购人信息</w:t>
      </w:r>
    </w:p>
    <w:p w14:paraId="7330474F">
      <w:pPr>
        <w:spacing w:line="440" w:lineRule="exact"/>
        <w:ind w:firstLine="420" w:firstLineChars="200"/>
        <w:jc w:val="left"/>
        <w:textAlignment w:val="auto"/>
        <w:rPr>
          <w:rFonts w:hint="eastAsia" w:ascii="华文仿宋" w:hAnsi="华文仿宋" w:eastAsia="华文仿宋" w:cs="华文仿宋"/>
          <w:bCs/>
          <w:color w:val="auto"/>
          <w:szCs w:val="21"/>
          <w:highlight w:val="none"/>
          <w:u w:val="single" w:color="auto"/>
          <w:lang w:eastAsia="zh-CN"/>
        </w:rPr>
      </w:pPr>
      <w:r>
        <w:rPr>
          <w:rFonts w:hint="eastAsia" w:ascii="华文仿宋" w:hAnsi="华文仿宋" w:eastAsia="华文仿宋" w:cs="华文仿宋"/>
          <w:bCs/>
          <w:color w:val="auto"/>
          <w:szCs w:val="21"/>
          <w:highlight w:val="none"/>
        </w:rPr>
        <w:t>名称：</w:t>
      </w:r>
      <w:r>
        <w:rPr>
          <w:rFonts w:hint="eastAsia" w:ascii="华文仿宋" w:hAnsi="华文仿宋" w:eastAsia="华文仿宋" w:cs="华文仿宋"/>
          <w:bCs/>
          <w:color w:val="auto"/>
          <w:szCs w:val="21"/>
          <w:highlight w:val="none"/>
          <w:u w:val="single" w:color="auto"/>
          <w:lang w:eastAsia="zh-CN"/>
        </w:rPr>
        <w:t>滁州市人力资源和社会保障局</w:t>
      </w:r>
    </w:p>
    <w:p w14:paraId="45B34D0E">
      <w:pPr>
        <w:spacing w:line="440" w:lineRule="exact"/>
        <w:ind w:firstLine="420" w:firstLineChars="200"/>
        <w:jc w:val="left"/>
        <w:textAlignment w:val="auto"/>
        <w:rPr>
          <w:rFonts w:hint="eastAsia" w:ascii="华文仿宋" w:hAnsi="华文仿宋" w:eastAsia="华文仿宋" w:cs="华文仿宋"/>
          <w:bCs/>
          <w:color w:val="auto"/>
          <w:szCs w:val="21"/>
          <w:highlight w:val="none"/>
          <w:u w:val="single" w:color="auto"/>
          <w:lang w:eastAsia="zh-CN"/>
        </w:rPr>
      </w:pPr>
      <w:r>
        <w:rPr>
          <w:rFonts w:hint="eastAsia" w:ascii="华文仿宋" w:hAnsi="华文仿宋" w:eastAsia="华文仿宋" w:cs="华文仿宋"/>
          <w:bCs/>
          <w:color w:val="auto"/>
          <w:szCs w:val="21"/>
          <w:highlight w:val="none"/>
        </w:rPr>
        <w:t>地址：</w:t>
      </w:r>
      <w:r>
        <w:rPr>
          <w:rFonts w:hint="eastAsia" w:ascii="华文仿宋" w:hAnsi="华文仿宋" w:eastAsia="华文仿宋" w:cs="华文仿宋"/>
          <w:bCs/>
          <w:color w:val="auto"/>
          <w:szCs w:val="21"/>
          <w:highlight w:val="none"/>
          <w:u w:val="single" w:color="auto"/>
          <w:lang w:eastAsia="zh-CN"/>
        </w:rPr>
        <w:t>滁州市龙蟠大道99号西楼8楼</w:t>
      </w:r>
    </w:p>
    <w:p w14:paraId="4E8B22A5">
      <w:pPr>
        <w:spacing w:line="440" w:lineRule="exact"/>
        <w:ind w:firstLine="420" w:firstLineChars="200"/>
        <w:jc w:val="left"/>
        <w:textAlignment w:val="auto"/>
        <w:rPr>
          <w:rFonts w:hint="eastAsia" w:ascii="华文仿宋" w:hAnsi="华文仿宋" w:eastAsia="华文仿宋" w:cs="华文仿宋"/>
          <w:bCs/>
          <w:color w:val="auto"/>
          <w:szCs w:val="21"/>
          <w:highlight w:val="none"/>
        </w:rPr>
      </w:pPr>
      <w:r>
        <w:rPr>
          <w:rFonts w:hint="eastAsia" w:ascii="华文仿宋" w:hAnsi="华文仿宋" w:eastAsia="华文仿宋" w:cs="华文仿宋"/>
          <w:bCs/>
          <w:color w:val="auto"/>
          <w:szCs w:val="21"/>
          <w:highlight w:val="none"/>
        </w:rPr>
        <w:t>联系方式：</w:t>
      </w:r>
      <w:r>
        <w:rPr>
          <w:rFonts w:hint="eastAsia" w:ascii="华文仿宋" w:hAnsi="华文仿宋" w:eastAsia="华文仿宋" w:cs="华文仿宋"/>
          <w:bCs/>
          <w:color w:val="auto"/>
          <w:szCs w:val="21"/>
          <w:highlight w:val="none"/>
          <w:u w:val="single"/>
        </w:rPr>
        <w:t>陆启超</w:t>
      </w:r>
      <w:r>
        <w:rPr>
          <w:rFonts w:hint="eastAsia" w:ascii="华文仿宋" w:hAnsi="华文仿宋" w:eastAsia="华文仿宋" w:cs="华文仿宋"/>
          <w:bCs/>
          <w:color w:val="auto"/>
          <w:szCs w:val="21"/>
          <w:highlight w:val="none"/>
          <w:u w:val="single"/>
          <w:lang w:val="en-US" w:eastAsia="zh-CN"/>
        </w:rPr>
        <w:t xml:space="preserve"> </w:t>
      </w:r>
      <w:r>
        <w:rPr>
          <w:rFonts w:hint="eastAsia" w:ascii="华文仿宋" w:hAnsi="华文仿宋" w:eastAsia="华文仿宋" w:cs="华文仿宋"/>
          <w:bCs/>
          <w:color w:val="auto"/>
          <w:szCs w:val="21"/>
          <w:highlight w:val="none"/>
          <w:u w:val="single"/>
        </w:rPr>
        <w:t>0550-3025080</w:t>
      </w:r>
    </w:p>
    <w:p w14:paraId="29835A34">
      <w:pPr>
        <w:spacing w:line="440" w:lineRule="exact"/>
        <w:ind w:firstLine="420" w:firstLineChars="200"/>
        <w:jc w:val="left"/>
        <w:textAlignment w:val="auto"/>
        <w:rPr>
          <w:rFonts w:hint="eastAsia" w:ascii="华文仿宋" w:hAnsi="华文仿宋" w:eastAsia="华文仿宋" w:cs="华文仿宋"/>
          <w:bCs/>
          <w:color w:val="auto"/>
          <w:szCs w:val="21"/>
          <w:highlight w:val="none"/>
        </w:rPr>
      </w:pPr>
      <w:r>
        <w:rPr>
          <w:rFonts w:hint="eastAsia" w:ascii="华文仿宋" w:hAnsi="华文仿宋" w:eastAsia="华文仿宋" w:cs="华文仿宋"/>
          <w:bCs/>
          <w:color w:val="auto"/>
          <w:szCs w:val="21"/>
          <w:highlight w:val="none"/>
        </w:rPr>
        <w:t>2.采购代理机构信息</w:t>
      </w:r>
    </w:p>
    <w:p w14:paraId="60426F85">
      <w:pPr>
        <w:spacing w:line="440" w:lineRule="exact"/>
        <w:ind w:firstLine="420" w:firstLineChars="200"/>
        <w:jc w:val="left"/>
        <w:textAlignment w:val="auto"/>
        <w:rPr>
          <w:rFonts w:hint="eastAsia" w:ascii="华文仿宋" w:hAnsi="华文仿宋" w:eastAsia="华文仿宋" w:cs="华文仿宋"/>
          <w:bCs/>
          <w:color w:val="auto"/>
          <w:szCs w:val="21"/>
          <w:highlight w:val="none"/>
        </w:rPr>
      </w:pPr>
      <w:r>
        <w:rPr>
          <w:rFonts w:hint="eastAsia" w:ascii="华文仿宋" w:hAnsi="华文仿宋" w:eastAsia="华文仿宋" w:cs="华文仿宋"/>
          <w:bCs/>
          <w:color w:val="auto"/>
          <w:szCs w:val="21"/>
          <w:highlight w:val="none"/>
        </w:rPr>
        <w:t>名称：</w:t>
      </w:r>
      <w:r>
        <w:rPr>
          <w:rFonts w:hint="eastAsia" w:ascii="华文仿宋" w:hAnsi="华文仿宋" w:eastAsia="华文仿宋" w:cs="华文仿宋"/>
          <w:bCs/>
          <w:color w:val="auto"/>
          <w:szCs w:val="21"/>
          <w:highlight w:val="none"/>
          <w:u w:val="single" w:color="auto"/>
        </w:rPr>
        <w:t>滁州市城投工程咨询管理有限公司　　</w:t>
      </w:r>
    </w:p>
    <w:p w14:paraId="7F3AD020">
      <w:pPr>
        <w:spacing w:line="440" w:lineRule="exact"/>
        <w:ind w:firstLine="420" w:firstLineChars="200"/>
        <w:jc w:val="left"/>
        <w:textAlignment w:val="auto"/>
        <w:rPr>
          <w:rFonts w:hint="eastAsia" w:ascii="华文仿宋" w:hAnsi="华文仿宋" w:eastAsia="华文仿宋" w:cs="华文仿宋"/>
          <w:bCs/>
          <w:color w:val="auto"/>
          <w:szCs w:val="21"/>
          <w:highlight w:val="none"/>
          <w:u w:val="single" w:color="auto"/>
          <w:lang w:eastAsia="zh-CN"/>
        </w:rPr>
      </w:pPr>
      <w:r>
        <w:rPr>
          <w:rFonts w:hint="eastAsia" w:ascii="华文仿宋" w:hAnsi="华文仿宋" w:eastAsia="华文仿宋" w:cs="华文仿宋"/>
          <w:bCs/>
          <w:color w:val="auto"/>
          <w:szCs w:val="21"/>
          <w:highlight w:val="none"/>
        </w:rPr>
        <w:t>地　　址：</w:t>
      </w:r>
      <w:r>
        <w:rPr>
          <w:rFonts w:hint="eastAsia" w:ascii="华文仿宋" w:hAnsi="华文仿宋" w:eastAsia="华文仿宋" w:cs="华文仿宋"/>
          <w:color w:val="auto"/>
          <w:szCs w:val="21"/>
          <w:highlight w:val="none"/>
          <w:u w:val="single" w:color="auto"/>
        </w:rPr>
        <w:t>滁州市龙蟠大道109号房产商务大厦6楼</w:t>
      </w:r>
    </w:p>
    <w:p w14:paraId="68894C4B">
      <w:pPr>
        <w:spacing w:line="440" w:lineRule="exact"/>
        <w:ind w:firstLine="420" w:firstLineChars="200"/>
        <w:jc w:val="left"/>
        <w:textAlignment w:val="auto"/>
        <w:rPr>
          <w:rFonts w:hint="eastAsia" w:ascii="华文仿宋" w:hAnsi="华文仿宋" w:eastAsia="华文仿宋" w:cs="华文仿宋"/>
          <w:bCs/>
          <w:color w:val="auto"/>
          <w:szCs w:val="21"/>
          <w:highlight w:val="none"/>
          <w:u w:val="single" w:color="auto"/>
          <w:lang w:eastAsia="zh-CN"/>
        </w:rPr>
      </w:pPr>
      <w:r>
        <w:rPr>
          <w:rFonts w:hint="eastAsia" w:ascii="华文仿宋" w:hAnsi="华文仿宋" w:eastAsia="华文仿宋" w:cs="华文仿宋"/>
          <w:bCs/>
          <w:color w:val="auto"/>
          <w:szCs w:val="21"/>
          <w:highlight w:val="none"/>
        </w:rPr>
        <w:t>联系方式：</w:t>
      </w:r>
      <w:r>
        <w:rPr>
          <w:rFonts w:hint="eastAsia" w:ascii="华文仿宋" w:hAnsi="华文仿宋" w:eastAsia="华文仿宋" w:cs="华文仿宋"/>
          <w:color w:val="auto"/>
          <w:szCs w:val="21"/>
          <w:highlight w:val="none"/>
          <w:u w:val="single" w:color="auto"/>
        </w:rPr>
        <w:t>　0550-3519598、15385506369</w:t>
      </w:r>
      <w:r>
        <w:rPr>
          <w:rFonts w:hint="eastAsia" w:ascii="华文仿宋" w:hAnsi="华文仿宋" w:eastAsia="华文仿宋" w:cs="华文仿宋"/>
          <w:bCs/>
          <w:color w:val="auto"/>
          <w:szCs w:val="21"/>
          <w:highlight w:val="none"/>
          <w:u w:val="single" w:color="auto"/>
        </w:rPr>
        <w:t>　　</w:t>
      </w:r>
    </w:p>
    <w:p w14:paraId="6F62F628">
      <w:pPr>
        <w:spacing w:line="440" w:lineRule="exact"/>
        <w:ind w:firstLine="420" w:firstLineChars="200"/>
        <w:jc w:val="left"/>
        <w:textAlignment w:val="auto"/>
        <w:rPr>
          <w:rFonts w:hint="eastAsia" w:ascii="华文仿宋" w:hAnsi="华文仿宋" w:eastAsia="华文仿宋" w:cs="华文仿宋"/>
          <w:bCs/>
          <w:color w:val="auto"/>
          <w:szCs w:val="21"/>
          <w:highlight w:val="none"/>
        </w:rPr>
      </w:pPr>
      <w:r>
        <w:rPr>
          <w:rFonts w:hint="eastAsia" w:ascii="华文仿宋" w:hAnsi="华文仿宋" w:eastAsia="华文仿宋" w:cs="华文仿宋"/>
          <w:bCs/>
          <w:color w:val="auto"/>
          <w:szCs w:val="21"/>
          <w:highlight w:val="none"/>
        </w:rPr>
        <w:t>3.项目联系方式</w:t>
      </w:r>
    </w:p>
    <w:p w14:paraId="6430EE05">
      <w:pPr>
        <w:spacing w:line="440" w:lineRule="exact"/>
        <w:ind w:firstLine="420" w:firstLineChars="200"/>
        <w:jc w:val="left"/>
        <w:textAlignment w:val="auto"/>
        <w:rPr>
          <w:rFonts w:hint="eastAsia" w:ascii="华文仿宋" w:hAnsi="华文仿宋" w:eastAsia="华文仿宋" w:cs="华文仿宋"/>
          <w:bCs/>
          <w:color w:val="auto"/>
          <w:szCs w:val="21"/>
          <w:highlight w:val="none"/>
          <w:lang w:eastAsia="zh-CN"/>
        </w:rPr>
      </w:pPr>
      <w:r>
        <w:rPr>
          <w:rFonts w:hint="eastAsia" w:ascii="华文仿宋" w:hAnsi="华文仿宋" w:eastAsia="华文仿宋" w:cs="华文仿宋"/>
          <w:bCs/>
          <w:color w:val="auto"/>
          <w:szCs w:val="21"/>
          <w:highlight w:val="none"/>
        </w:rPr>
        <w:t>项目联系人：</w:t>
      </w:r>
      <w:r>
        <w:rPr>
          <w:rFonts w:hint="eastAsia" w:ascii="华文仿宋" w:hAnsi="华文仿宋" w:eastAsia="华文仿宋" w:cs="华文仿宋"/>
          <w:bCs/>
          <w:color w:val="auto"/>
          <w:szCs w:val="21"/>
          <w:highlight w:val="none"/>
          <w:u w:val="single" w:color="auto"/>
        </w:rPr>
        <w:t>毕玉</w:t>
      </w:r>
    </w:p>
    <w:p w14:paraId="0F5D65EC">
      <w:pPr>
        <w:spacing w:line="440" w:lineRule="exact"/>
        <w:ind w:firstLine="420" w:firstLineChars="200"/>
        <w:jc w:val="left"/>
        <w:textAlignment w:val="auto"/>
        <w:rPr>
          <w:rFonts w:hint="eastAsia" w:ascii="华文仿宋" w:hAnsi="华文仿宋" w:eastAsia="华文仿宋" w:cs="华文仿宋"/>
          <w:bCs/>
          <w:color w:val="auto"/>
          <w:szCs w:val="21"/>
          <w:highlight w:val="none"/>
          <w:lang w:eastAsia="zh-CN"/>
        </w:rPr>
      </w:pPr>
      <w:r>
        <w:rPr>
          <w:rFonts w:hint="eastAsia" w:ascii="华文仿宋" w:hAnsi="华文仿宋" w:eastAsia="华文仿宋" w:cs="华文仿宋"/>
          <w:bCs/>
          <w:color w:val="auto"/>
          <w:szCs w:val="21"/>
          <w:highlight w:val="none"/>
        </w:rPr>
        <w:t>电　　话：</w:t>
      </w:r>
      <w:r>
        <w:rPr>
          <w:rFonts w:hint="eastAsia" w:ascii="华文仿宋" w:hAnsi="华文仿宋" w:eastAsia="华文仿宋" w:cs="华文仿宋"/>
          <w:color w:val="auto"/>
          <w:szCs w:val="21"/>
          <w:highlight w:val="none"/>
          <w:u w:val="single" w:color="auto"/>
        </w:rPr>
        <w:t>0550-3519598、15385506369</w:t>
      </w:r>
    </w:p>
    <w:p w14:paraId="112FED51">
      <w:pPr>
        <w:spacing w:line="360" w:lineRule="auto"/>
        <w:ind w:firstLine="435"/>
        <w:rPr>
          <w:rFonts w:hint="eastAsia" w:ascii="华文仿宋" w:hAnsi="华文仿宋" w:eastAsia="华文仿宋" w:cs="华文仿宋"/>
          <w:color w:val="auto"/>
          <w:sz w:val="24"/>
          <w:szCs w:val="18"/>
          <w:highlight w:val="none"/>
        </w:rPr>
      </w:pPr>
      <w:r>
        <w:rPr>
          <w:rFonts w:hint="eastAsia" w:ascii="华文仿宋" w:hAnsi="华文仿宋" w:eastAsia="华文仿宋" w:cs="华文仿宋"/>
          <w:color w:val="auto"/>
          <w:sz w:val="24"/>
          <w:szCs w:val="18"/>
          <w:highlight w:val="none"/>
        </w:rPr>
        <w:br w:type="page"/>
      </w:r>
    </w:p>
    <w:p w14:paraId="5E13C9C1">
      <w:pPr>
        <w:spacing w:line="360" w:lineRule="auto"/>
        <w:jc w:val="center"/>
        <w:outlineLvl w:val="0"/>
        <w:rPr>
          <w:rFonts w:hint="eastAsia" w:ascii="华文仿宋" w:hAnsi="华文仿宋" w:eastAsia="华文仿宋" w:cs="华文仿宋"/>
          <w:b/>
          <w:color w:val="auto"/>
          <w:sz w:val="28"/>
          <w:highlight w:val="none"/>
        </w:rPr>
      </w:pPr>
      <w:bookmarkStart w:id="25" w:name="_Toc7162"/>
      <w:r>
        <w:rPr>
          <w:rFonts w:hint="eastAsia" w:ascii="华文仿宋" w:hAnsi="华文仿宋" w:eastAsia="华文仿宋" w:cs="华文仿宋"/>
          <w:b/>
          <w:color w:val="auto"/>
          <w:sz w:val="28"/>
          <w:highlight w:val="none"/>
        </w:rPr>
        <w:t>第二章供应商须知</w:t>
      </w:r>
      <w:bookmarkEnd w:id="25"/>
    </w:p>
    <w:p w14:paraId="2EAFA8A5">
      <w:pPr>
        <w:spacing w:line="360" w:lineRule="auto"/>
        <w:jc w:val="center"/>
        <w:outlineLvl w:val="1"/>
        <w:rPr>
          <w:rFonts w:hint="eastAsia" w:ascii="华文仿宋" w:hAnsi="华文仿宋" w:eastAsia="华文仿宋" w:cs="华文仿宋"/>
          <w:b/>
          <w:color w:val="auto"/>
          <w:sz w:val="24"/>
          <w:highlight w:val="none"/>
        </w:rPr>
      </w:pPr>
      <w:bookmarkStart w:id="26" w:name="_Toc11709"/>
      <w:bookmarkStart w:id="27" w:name="_Toc11383"/>
      <w:r>
        <w:rPr>
          <w:rFonts w:hint="eastAsia" w:ascii="华文仿宋" w:hAnsi="华文仿宋" w:eastAsia="华文仿宋" w:cs="华文仿宋"/>
          <w:b/>
          <w:color w:val="auto"/>
          <w:sz w:val="24"/>
          <w:highlight w:val="none"/>
        </w:rPr>
        <w:t>一、供应商须知前附表</w:t>
      </w:r>
      <w:bookmarkEnd w:id="26"/>
      <w:bookmarkEnd w:id="27"/>
    </w:p>
    <w:p w14:paraId="373AC660">
      <w:pPr>
        <w:spacing w:line="360" w:lineRule="auto"/>
        <w:ind w:firstLine="435"/>
        <w:rPr>
          <w:rFonts w:hint="eastAsia" w:ascii="华文仿宋" w:hAnsi="华文仿宋" w:eastAsia="华文仿宋" w:cs="华文仿宋"/>
          <w:color w:val="auto"/>
          <w:sz w:val="24"/>
          <w:szCs w:val="18"/>
          <w:highlight w:val="none"/>
        </w:rPr>
      </w:pPr>
      <w:r>
        <w:rPr>
          <w:rFonts w:hint="eastAsia" w:ascii="华文仿宋" w:hAnsi="华文仿宋" w:eastAsia="华文仿宋" w:cs="华文仿宋"/>
          <w:b/>
          <w:bCs/>
          <w:color w:val="auto"/>
          <w:sz w:val="24"/>
          <w:szCs w:val="18"/>
          <w:highlight w:val="none"/>
        </w:rPr>
        <w:t>注：</w:t>
      </w:r>
      <w:r>
        <w:rPr>
          <w:rFonts w:hint="eastAsia" w:ascii="华文仿宋" w:hAnsi="华文仿宋" w:eastAsia="华文仿宋" w:cs="华文仿宋"/>
          <w:color w:val="auto"/>
          <w:sz w:val="24"/>
          <w:szCs w:val="18"/>
          <w:highlight w:val="none"/>
        </w:rPr>
        <w:t>本表是本项目的具体要求，是对供应商须知的具体补充和修改，如有不一致，以本表为准。</w:t>
      </w:r>
    </w:p>
    <w:tbl>
      <w:tblPr>
        <w:tblStyle w:val="22"/>
        <w:tblW w:w="51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2031"/>
        <w:gridCol w:w="5722"/>
      </w:tblGrid>
      <w:tr w14:paraId="0522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1AE35DC0">
            <w:pPr>
              <w:pStyle w:val="39"/>
              <w:widowControl w:val="0"/>
              <w:spacing w:before="0" w:beforeAutospacing="0" w:after="0" w:afterAutospacing="0" w:line="360" w:lineRule="auto"/>
              <w:rPr>
                <w:rFonts w:hint="eastAsia" w:ascii="华文仿宋" w:hAnsi="华文仿宋" w:eastAsia="华文仿宋" w:cs="华文仿宋"/>
                <w:bCs w:val="0"/>
                <w:color w:val="auto"/>
                <w:kern w:val="2"/>
                <w:sz w:val="24"/>
                <w:szCs w:val="20"/>
                <w:highlight w:val="none"/>
              </w:rPr>
            </w:pPr>
            <w:r>
              <w:rPr>
                <w:rFonts w:hint="eastAsia" w:ascii="华文仿宋" w:hAnsi="华文仿宋" w:eastAsia="华文仿宋" w:cs="华文仿宋"/>
                <w:bCs w:val="0"/>
                <w:color w:val="auto"/>
                <w:kern w:val="2"/>
                <w:sz w:val="24"/>
                <w:szCs w:val="20"/>
                <w:highlight w:val="none"/>
              </w:rPr>
              <w:t>条款号</w:t>
            </w:r>
          </w:p>
        </w:tc>
        <w:tc>
          <w:tcPr>
            <w:tcW w:w="1160" w:type="pct"/>
            <w:vAlign w:val="center"/>
          </w:tcPr>
          <w:p w14:paraId="59B8172E">
            <w:pPr>
              <w:pStyle w:val="39"/>
              <w:widowControl w:val="0"/>
              <w:spacing w:before="0" w:beforeAutospacing="0" w:after="0" w:afterAutospacing="0" w:line="360" w:lineRule="auto"/>
              <w:rPr>
                <w:rFonts w:hint="eastAsia" w:ascii="华文仿宋" w:hAnsi="华文仿宋" w:eastAsia="华文仿宋" w:cs="华文仿宋"/>
                <w:bCs w:val="0"/>
                <w:color w:val="auto"/>
                <w:kern w:val="2"/>
                <w:sz w:val="24"/>
                <w:szCs w:val="20"/>
                <w:highlight w:val="none"/>
              </w:rPr>
            </w:pPr>
            <w:r>
              <w:rPr>
                <w:rFonts w:hint="eastAsia" w:ascii="华文仿宋" w:hAnsi="华文仿宋" w:eastAsia="华文仿宋" w:cs="华文仿宋"/>
                <w:bCs w:val="0"/>
                <w:color w:val="auto"/>
                <w:kern w:val="2"/>
                <w:sz w:val="24"/>
                <w:szCs w:val="20"/>
                <w:highlight w:val="none"/>
              </w:rPr>
              <w:t>条款名称</w:t>
            </w:r>
          </w:p>
        </w:tc>
        <w:tc>
          <w:tcPr>
            <w:tcW w:w="3267" w:type="pct"/>
            <w:vAlign w:val="center"/>
          </w:tcPr>
          <w:p w14:paraId="1047C88E">
            <w:pPr>
              <w:pStyle w:val="39"/>
              <w:widowControl w:val="0"/>
              <w:spacing w:before="0" w:beforeAutospacing="0" w:after="0" w:afterAutospacing="0" w:line="360" w:lineRule="auto"/>
              <w:rPr>
                <w:rFonts w:hint="eastAsia" w:ascii="华文仿宋" w:hAnsi="华文仿宋" w:eastAsia="华文仿宋" w:cs="华文仿宋"/>
                <w:bCs w:val="0"/>
                <w:color w:val="auto"/>
                <w:kern w:val="2"/>
                <w:sz w:val="24"/>
                <w:szCs w:val="20"/>
                <w:highlight w:val="none"/>
              </w:rPr>
            </w:pPr>
            <w:r>
              <w:rPr>
                <w:rFonts w:hint="eastAsia" w:ascii="华文仿宋" w:hAnsi="华文仿宋" w:eastAsia="华文仿宋" w:cs="华文仿宋"/>
                <w:bCs w:val="0"/>
                <w:color w:val="auto"/>
                <w:kern w:val="2"/>
                <w:sz w:val="24"/>
                <w:szCs w:val="20"/>
                <w:highlight w:val="none"/>
              </w:rPr>
              <w:t>内容、说明与要求</w:t>
            </w:r>
          </w:p>
        </w:tc>
      </w:tr>
      <w:tr w14:paraId="4FA9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01474987">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lang w:eastAsia="zh-CN"/>
              </w:rPr>
            </w:pPr>
            <w:r>
              <w:rPr>
                <w:rFonts w:hint="eastAsia" w:ascii="华文仿宋" w:hAnsi="华文仿宋" w:eastAsia="华文仿宋" w:cs="华文仿宋"/>
                <w:bCs/>
                <w:color w:val="auto"/>
                <w:kern w:val="2"/>
                <w:highlight w:val="none"/>
                <w:lang w:val="en-US" w:eastAsia="zh-CN"/>
              </w:rPr>
              <w:t>5</w:t>
            </w:r>
            <w:r>
              <w:rPr>
                <w:rFonts w:hint="eastAsia" w:ascii="华文仿宋" w:hAnsi="华文仿宋" w:eastAsia="华文仿宋" w:cs="华文仿宋"/>
                <w:bCs/>
                <w:color w:val="auto"/>
                <w:kern w:val="2"/>
                <w:highlight w:val="none"/>
              </w:rPr>
              <w:t>.</w:t>
            </w:r>
            <w:r>
              <w:rPr>
                <w:rFonts w:hint="eastAsia" w:ascii="华文仿宋" w:hAnsi="华文仿宋" w:eastAsia="华文仿宋" w:cs="华文仿宋"/>
                <w:bCs/>
                <w:color w:val="auto"/>
                <w:kern w:val="2"/>
                <w:highlight w:val="none"/>
                <w:lang w:val="en-US" w:eastAsia="zh-CN"/>
              </w:rPr>
              <w:t>2</w:t>
            </w:r>
          </w:p>
        </w:tc>
        <w:tc>
          <w:tcPr>
            <w:tcW w:w="1160" w:type="pct"/>
            <w:vAlign w:val="center"/>
          </w:tcPr>
          <w:p w14:paraId="07287CCD">
            <w:pPr>
              <w:pStyle w:val="39"/>
              <w:widowControl w:val="0"/>
              <w:spacing w:before="0" w:beforeAutospacing="0" w:after="0" w:afterAutospacing="0" w:line="360" w:lineRule="auto"/>
              <w:jc w:val="left"/>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bCs/>
                <w:color w:val="auto"/>
                <w:kern w:val="2"/>
                <w:sz w:val="24"/>
                <w:szCs w:val="22"/>
                <w:highlight w:val="none"/>
                <w:lang w:val="en-US" w:eastAsia="zh-CN" w:bidi="ar-SA"/>
              </w:rPr>
              <w:t>现场考察或标前答疑会</w:t>
            </w:r>
          </w:p>
        </w:tc>
        <w:tc>
          <w:tcPr>
            <w:tcW w:w="3267" w:type="pct"/>
            <w:vAlign w:val="center"/>
          </w:tcPr>
          <w:p w14:paraId="1F52D945">
            <w:pPr>
              <w:spacing w:line="360" w:lineRule="auto"/>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szCs w:val="24"/>
                <w:highlight w:val="none"/>
                <w:lang w:eastAsia="zh-CN"/>
              </w:rPr>
              <w:t>☑</w:t>
            </w:r>
            <w:r>
              <w:rPr>
                <w:rFonts w:hint="eastAsia" w:ascii="华文仿宋" w:hAnsi="华文仿宋" w:eastAsia="华文仿宋" w:cs="华文仿宋"/>
                <w:color w:val="auto"/>
                <w:sz w:val="24"/>
                <w:highlight w:val="none"/>
              </w:rPr>
              <w:t>不组织</w:t>
            </w:r>
            <w:r>
              <w:rPr>
                <w:rFonts w:hint="eastAsia" w:ascii="华文仿宋" w:hAnsi="华文仿宋" w:eastAsia="华文仿宋" w:cs="华文仿宋"/>
                <w:color w:val="auto"/>
                <w:sz w:val="24"/>
                <w:highlight w:val="none"/>
                <w:lang w:val="en-US" w:eastAsia="zh-CN"/>
              </w:rPr>
              <w:t>或不召开</w:t>
            </w:r>
          </w:p>
          <w:p w14:paraId="0579EA86">
            <w:pPr>
              <w:spacing w:line="360" w:lineRule="auto"/>
              <w:rPr>
                <w:rFonts w:hint="eastAsia" w:ascii="华文仿宋" w:hAnsi="华文仿宋" w:eastAsia="华文仿宋" w:cs="华文仿宋"/>
                <w:bCs/>
                <w:color w:val="auto"/>
                <w:sz w:val="24"/>
                <w:highlight w:val="none"/>
              </w:rPr>
            </w:pPr>
            <w:r>
              <w:rPr>
                <w:rFonts w:hint="eastAsia" w:ascii="华文仿宋" w:hAnsi="华文仿宋" w:eastAsia="华文仿宋" w:cs="华文仿宋"/>
                <w:color w:val="auto"/>
                <w:sz w:val="24"/>
                <w:highlight w:val="none"/>
              </w:rPr>
              <w:t>□</w:t>
            </w:r>
            <w:r>
              <w:rPr>
                <w:rFonts w:hint="eastAsia" w:ascii="华文仿宋" w:hAnsi="华文仿宋" w:eastAsia="华文仿宋" w:cs="华文仿宋"/>
                <w:bCs/>
                <w:color w:val="auto"/>
                <w:sz w:val="24"/>
                <w:highlight w:val="none"/>
              </w:rPr>
              <w:t>统一组织</w:t>
            </w:r>
          </w:p>
          <w:p w14:paraId="77468458">
            <w:pPr>
              <w:spacing w:line="360" w:lineRule="auto"/>
              <w:rPr>
                <w:rFonts w:hint="eastAsia" w:ascii="华文仿宋" w:hAnsi="华文仿宋" w:eastAsia="华文仿宋" w:cs="华文仿宋"/>
                <w:bCs/>
                <w:color w:val="auto"/>
                <w:sz w:val="24"/>
                <w:highlight w:val="none"/>
                <w:u w:val="single"/>
              </w:rPr>
            </w:pPr>
            <w:r>
              <w:rPr>
                <w:rFonts w:hint="eastAsia" w:ascii="华文仿宋" w:hAnsi="华文仿宋" w:eastAsia="华文仿宋" w:cs="华文仿宋"/>
                <w:bCs/>
                <w:color w:val="auto"/>
                <w:sz w:val="24"/>
                <w:highlight w:val="none"/>
              </w:rPr>
              <w:t>时间：年月日时分</w:t>
            </w:r>
          </w:p>
          <w:p w14:paraId="5F06E43B">
            <w:pPr>
              <w:spacing w:line="360" w:lineRule="auto"/>
              <w:rPr>
                <w:rFonts w:hint="eastAsia" w:ascii="华文仿宋" w:hAnsi="华文仿宋" w:eastAsia="华文仿宋" w:cs="华文仿宋"/>
                <w:bCs/>
                <w:color w:val="auto"/>
                <w:sz w:val="24"/>
                <w:highlight w:val="none"/>
                <w:u w:val="single"/>
                <w:lang w:eastAsia="zh-CN"/>
              </w:rPr>
            </w:pPr>
            <w:r>
              <w:rPr>
                <w:rFonts w:hint="eastAsia" w:ascii="华文仿宋" w:hAnsi="华文仿宋" w:eastAsia="华文仿宋" w:cs="华文仿宋"/>
                <w:bCs/>
                <w:color w:val="auto"/>
                <w:sz w:val="24"/>
                <w:highlight w:val="none"/>
              </w:rPr>
              <w:t>地点：</w:t>
            </w:r>
          </w:p>
          <w:p w14:paraId="79FEC003">
            <w:pPr>
              <w:spacing w:line="360" w:lineRule="auto"/>
              <w:rPr>
                <w:rFonts w:hint="eastAsia" w:ascii="华文仿宋" w:hAnsi="华文仿宋" w:eastAsia="华文仿宋" w:cs="华文仿宋"/>
                <w:bCs/>
                <w:color w:val="auto"/>
                <w:sz w:val="24"/>
                <w:highlight w:val="none"/>
                <w:u w:val="single"/>
                <w:lang w:eastAsia="zh-CN"/>
              </w:rPr>
            </w:pPr>
            <w:r>
              <w:rPr>
                <w:rFonts w:hint="eastAsia" w:ascii="华文仿宋" w:hAnsi="华文仿宋" w:eastAsia="华文仿宋" w:cs="华文仿宋"/>
                <w:bCs/>
                <w:color w:val="auto"/>
                <w:sz w:val="24"/>
                <w:highlight w:val="none"/>
              </w:rPr>
              <w:t>联系人及联系电话：</w:t>
            </w:r>
          </w:p>
          <w:p w14:paraId="3A89C23E">
            <w:pPr>
              <w:pStyle w:val="39"/>
              <w:widowControl w:val="0"/>
              <w:spacing w:before="0" w:beforeAutospacing="0" w:after="0" w:afterAutospacing="0" w:line="360" w:lineRule="auto"/>
              <w:jc w:val="both"/>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Cs w:val="0"/>
                <w:color w:val="auto"/>
                <w:sz w:val="24"/>
                <w:highlight w:val="none"/>
                <w:lang w:eastAsia="zh-CN"/>
              </w:rPr>
              <w:t>注：</w:t>
            </w:r>
            <w:r>
              <w:rPr>
                <w:rFonts w:hint="eastAsia" w:ascii="华文仿宋" w:hAnsi="华文仿宋" w:eastAsia="华文仿宋" w:cs="华文仿宋"/>
                <w:bCs w:val="0"/>
                <w:color w:val="auto"/>
                <w:sz w:val="24"/>
                <w:highlight w:val="none"/>
              </w:rPr>
              <w:t>如供应商未参加采购人统一组织的现场考察</w:t>
            </w:r>
            <w:r>
              <w:rPr>
                <w:rFonts w:hint="eastAsia" w:ascii="华文仿宋" w:hAnsi="华文仿宋" w:eastAsia="华文仿宋" w:cs="华文仿宋"/>
                <w:bCs w:val="0"/>
                <w:color w:val="auto"/>
                <w:sz w:val="24"/>
                <w:highlight w:val="none"/>
                <w:lang w:val="en-US" w:eastAsia="zh-CN"/>
              </w:rPr>
              <w:t>或采购人统一召开的标前答疑会</w:t>
            </w:r>
            <w:r>
              <w:rPr>
                <w:rFonts w:hint="eastAsia" w:ascii="华文仿宋" w:hAnsi="华文仿宋" w:eastAsia="华文仿宋" w:cs="华文仿宋"/>
                <w:bCs w:val="0"/>
                <w:color w:val="auto"/>
                <w:sz w:val="24"/>
                <w:highlight w:val="none"/>
              </w:rPr>
              <w:t>，视同放弃现场考察</w:t>
            </w:r>
            <w:r>
              <w:rPr>
                <w:rFonts w:hint="eastAsia" w:ascii="华文仿宋" w:hAnsi="华文仿宋" w:eastAsia="华文仿宋" w:cs="华文仿宋"/>
                <w:bCs w:val="0"/>
                <w:color w:val="auto"/>
                <w:sz w:val="24"/>
                <w:highlight w:val="none"/>
                <w:lang w:val="en-US" w:eastAsia="zh-CN"/>
              </w:rPr>
              <w:t>或标前答疑会</w:t>
            </w:r>
            <w:r>
              <w:rPr>
                <w:rFonts w:hint="eastAsia" w:ascii="华文仿宋" w:hAnsi="华文仿宋" w:eastAsia="华文仿宋" w:cs="华文仿宋"/>
                <w:bCs w:val="0"/>
                <w:color w:val="auto"/>
                <w:sz w:val="24"/>
                <w:highlight w:val="none"/>
              </w:rPr>
              <w:t>，由此引起的一切责任由供应商自行承担。</w:t>
            </w:r>
          </w:p>
        </w:tc>
      </w:tr>
      <w:tr w14:paraId="451E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158B1913">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6</w:t>
            </w:r>
            <w:r>
              <w:rPr>
                <w:rFonts w:hint="eastAsia" w:ascii="华文仿宋" w:hAnsi="华文仿宋" w:eastAsia="华文仿宋" w:cs="华文仿宋"/>
                <w:bCs/>
                <w:color w:val="auto"/>
                <w:kern w:val="2"/>
                <w:highlight w:val="none"/>
              </w:rPr>
              <w:t>.1</w:t>
            </w:r>
          </w:p>
        </w:tc>
        <w:tc>
          <w:tcPr>
            <w:tcW w:w="1160" w:type="pct"/>
            <w:vAlign w:val="center"/>
          </w:tcPr>
          <w:p w14:paraId="2C1661BC">
            <w:pPr>
              <w:pStyle w:val="39"/>
              <w:widowControl w:val="0"/>
              <w:spacing w:before="0" w:beforeAutospacing="0" w:after="0" w:afterAutospacing="0" w:line="360" w:lineRule="auto"/>
              <w:jc w:val="left"/>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询问截止时间</w:t>
            </w:r>
          </w:p>
        </w:tc>
        <w:tc>
          <w:tcPr>
            <w:tcW w:w="3267" w:type="pct"/>
            <w:vAlign w:val="center"/>
          </w:tcPr>
          <w:p w14:paraId="32A94582">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u w:val="single"/>
                <w:lang w:val="en-US" w:eastAsia="zh-CN"/>
              </w:rPr>
              <w:t>2026</w:t>
            </w:r>
            <w:r>
              <w:rPr>
                <w:rFonts w:hint="eastAsia" w:ascii="华文仿宋" w:hAnsi="华文仿宋" w:eastAsia="华文仿宋" w:cs="华文仿宋"/>
                <w:b w:val="0"/>
                <w:color w:val="auto"/>
                <w:sz w:val="24"/>
                <w:highlight w:val="none"/>
              </w:rPr>
              <w:t>年</w:t>
            </w:r>
            <w:r>
              <w:rPr>
                <w:rFonts w:hint="eastAsia" w:ascii="华文仿宋" w:hAnsi="华文仿宋" w:eastAsia="华文仿宋" w:cs="华文仿宋"/>
                <w:b w:val="0"/>
                <w:color w:val="auto"/>
                <w:sz w:val="24"/>
                <w:highlight w:val="none"/>
                <w:lang w:val="en-US" w:eastAsia="zh-CN"/>
              </w:rPr>
              <w:t>11</w:t>
            </w:r>
            <w:r>
              <w:rPr>
                <w:rFonts w:hint="eastAsia" w:ascii="华文仿宋" w:hAnsi="华文仿宋" w:eastAsia="华文仿宋" w:cs="华文仿宋"/>
                <w:b w:val="0"/>
                <w:color w:val="auto"/>
                <w:sz w:val="24"/>
                <w:highlight w:val="none"/>
              </w:rPr>
              <w:t>月</w:t>
            </w:r>
            <w:r>
              <w:rPr>
                <w:rFonts w:hint="eastAsia" w:ascii="华文仿宋" w:hAnsi="华文仿宋" w:eastAsia="华文仿宋" w:cs="华文仿宋"/>
                <w:b w:val="0"/>
                <w:color w:val="auto"/>
                <w:sz w:val="24"/>
                <w:highlight w:val="none"/>
                <w:lang w:val="en-US" w:eastAsia="zh-CN"/>
              </w:rPr>
              <w:t>05</w:t>
            </w:r>
            <w:r>
              <w:rPr>
                <w:rFonts w:hint="eastAsia" w:ascii="华文仿宋" w:hAnsi="华文仿宋" w:eastAsia="华文仿宋" w:cs="华文仿宋"/>
                <w:b w:val="0"/>
                <w:color w:val="auto"/>
                <w:sz w:val="24"/>
                <w:highlight w:val="none"/>
              </w:rPr>
              <w:t>日</w:t>
            </w:r>
            <w:r>
              <w:rPr>
                <w:rFonts w:hint="eastAsia" w:ascii="华文仿宋" w:hAnsi="华文仿宋" w:eastAsia="华文仿宋" w:cs="华文仿宋"/>
                <w:b w:val="0"/>
                <w:color w:val="auto"/>
                <w:sz w:val="24"/>
                <w:highlight w:val="none"/>
                <w:u w:val="single"/>
                <w:lang w:val="en-US" w:eastAsia="zh-CN"/>
              </w:rPr>
              <w:t>17</w:t>
            </w:r>
            <w:r>
              <w:rPr>
                <w:rFonts w:hint="eastAsia" w:ascii="华文仿宋" w:hAnsi="华文仿宋" w:eastAsia="华文仿宋" w:cs="华文仿宋"/>
                <w:b w:val="0"/>
                <w:color w:val="auto"/>
                <w:sz w:val="24"/>
                <w:highlight w:val="none"/>
              </w:rPr>
              <w:t>时</w:t>
            </w:r>
            <w:r>
              <w:rPr>
                <w:rFonts w:hint="eastAsia" w:ascii="华文仿宋" w:hAnsi="华文仿宋" w:eastAsia="华文仿宋" w:cs="华文仿宋"/>
                <w:b w:val="0"/>
                <w:color w:val="auto"/>
                <w:sz w:val="24"/>
                <w:highlight w:val="none"/>
                <w:u w:val="single"/>
                <w:lang w:val="en-US" w:eastAsia="zh-CN"/>
              </w:rPr>
              <w:t>30</w:t>
            </w:r>
            <w:r>
              <w:rPr>
                <w:rFonts w:hint="eastAsia" w:ascii="华文仿宋" w:hAnsi="华文仿宋" w:eastAsia="华文仿宋" w:cs="华文仿宋"/>
                <w:b w:val="0"/>
                <w:color w:val="auto"/>
                <w:sz w:val="24"/>
                <w:highlight w:val="none"/>
              </w:rPr>
              <w:t>分</w:t>
            </w:r>
          </w:p>
        </w:tc>
      </w:tr>
      <w:tr w14:paraId="1CAF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1002" w:type="dxa"/>
            <w:vAlign w:val="center"/>
          </w:tcPr>
          <w:p w14:paraId="3E22C62C">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7.1</w:t>
            </w:r>
          </w:p>
        </w:tc>
        <w:tc>
          <w:tcPr>
            <w:tcW w:w="1160" w:type="pct"/>
            <w:vAlign w:val="center"/>
          </w:tcPr>
          <w:p w14:paraId="25B9FFCA">
            <w:pPr>
              <w:pStyle w:val="39"/>
              <w:widowControl w:val="0"/>
              <w:spacing w:before="0" w:beforeAutospacing="0" w:after="0" w:afterAutospacing="0" w:line="360" w:lineRule="auto"/>
              <w:jc w:val="left"/>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包别划分</w:t>
            </w:r>
          </w:p>
        </w:tc>
        <w:tc>
          <w:tcPr>
            <w:tcW w:w="3267" w:type="pct"/>
            <w:vAlign w:val="center"/>
          </w:tcPr>
          <w:p w14:paraId="361C011A">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bCs w:val="0"/>
                <w:color w:val="auto"/>
                <w:sz w:val="24"/>
                <w:szCs w:val="24"/>
                <w:highlight w:val="none"/>
              </w:rPr>
              <w:t>□</w:t>
            </w:r>
            <w:r>
              <w:rPr>
                <w:rFonts w:hint="eastAsia" w:ascii="华文仿宋" w:hAnsi="华文仿宋" w:eastAsia="华文仿宋" w:cs="华文仿宋"/>
                <w:b w:val="0"/>
                <w:color w:val="auto"/>
                <w:sz w:val="24"/>
                <w:highlight w:val="none"/>
              </w:rPr>
              <w:t>不分包□分为个包</w:t>
            </w:r>
          </w:p>
          <w:p w14:paraId="10D60873">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lang w:eastAsia="zh-CN"/>
              </w:rPr>
            </w:pPr>
            <w:r>
              <w:rPr>
                <w:rFonts w:hint="eastAsia" w:ascii="华文仿宋" w:hAnsi="华文仿宋" w:eastAsia="华文仿宋" w:cs="华文仿宋"/>
                <w:b w:val="0"/>
                <w:bCs w:val="0"/>
                <w:color w:val="auto"/>
                <w:sz w:val="24"/>
                <w:szCs w:val="24"/>
                <w:highlight w:val="none"/>
              </w:rPr>
              <w:t>供应商参加多个包磋商的成交包数规定：</w:t>
            </w:r>
            <w:r>
              <w:rPr>
                <w:rFonts w:hint="eastAsia" w:ascii="华文仿宋" w:hAnsi="华文仿宋" w:eastAsia="华文仿宋" w:cs="华文仿宋"/>
                <w:b w:val="0"/>
                <w:bCs w:val="0"/>
                <w:color w:val="auto"/>
                <w:sz w:val="24"/>
                <w:szCs w:val="18"/>
                <w:highlight w:val="none"/>
                <w:u w:val="single"/>
                <w:lang w:val="en-US" w:eastAsia="zh-CN"/>
              </w:rPr>
              <w:t>/</w:t>
            </w:r>
          </w:p>
        </w:tc>
      </w:tr>
      <w:tr w14:paraId="6363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02" w:type="dxa"/>
            <w:vAlign w:val="center"/>
          </w:tcPr>
          <w:p w14:paraId="643DDE6F">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10.1</w:t>
            </w:r>
          </w:p>
        </w:tc>
        <w:tc>
          <w:tcPr>
            <w:tcW w:w="1160" w:type="pct"/>
            <w:vAlign w:val="center"/>
          </w:tcPr>
          <w:p w14:paraId="43338678">
            <w:pPr>
              <w:pStyle w:val="39"/>
              <w:widowControl w:val="0"/>
              <w:spacing w:before="0" w:beforeAutospacing="0" w:after="0" w:afterAutospacing="0" w:line="360" w:lineRule="auto"/>
              <w:jc w:val="left"/>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磋商保证金</w:t>
            </w:r>
          </w:p>
        </w:tc>
        <w:tc>
          <w:tcPr>
            <w:tcW w:w="3267" w:type="pct"/>
            <w:vAlign w:val="center"/>
          </w:tcPr>
          <w:p w14:paraId="1F8F5347">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不收取</w:t>
            </w:r>
          </w:p>
        </w:tc>
      </w:tr>
      <w:tr w14:paraId="7889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6305B93B">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11</w:t>
            </w:r>
            <w:r>
              <w:rPr>
                <w:rFonts w:hint="eastAsia" w:ascii="华文仿宋" w:hAnsi="华文仿宋" w:eastAsia="华文仿宋" w:cs="华文仿宋"/>
                <w:bCs/>
                <w:color w:val="auto"/>
                <w:kern w:val="2"/>
                <w:highlight w:val="none"/>
              </w:rPr>
              <w:t>.1</w:t>
            </w:r>
          </w:p>
        </w:tc>
        <w:tc>
          <w:tcPr>
            <w:tcW w:w="1160" w:type="pct"/>
            <w:vAlign w:val="center"/>
          </w:tcPr>
          <w:p w14:paraId="486F82D2">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磋商有效期</w:t>
            </w:r>
          </w:p>
        </w:tc>
        <w:tc>
          <w:tcPr>
            <w:tcW w:w="3267" w:type="pct"/>
            <w:vAlign w:val="center"/>
          </w:tcPr>
          <w:p w14:paraId="14D6AEB0">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u w:val="single"/>
                <w:lang w:val="en-US" w:eastAsia="zh-CN"/>
              </w:rPr>
              <w:t>90</w:t>
            </w:r>
            <w:r>
              <w:rPr>
                <w:rFonts w:hint="eastAsia" w:ascii="华文仿宋" w:hAnsi="华文仿宋" w:eastAsia="华文仿宋" w:cs="华文仿宋"/>
                <w:b w:val="0"/>
                <w:color w:val="auto"/>
                <w:sz w:val="24"/>
                <w:highlight w:val="none"/>
              </w:rPr>
              <w:t>日历日</w:t>
            </w:r>
          </w:p>
        </w:tc>
      </w:tr>
      <w:tr w14:paraId="60C5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60EA7A1A">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lang w:val="en-US" w:eastAsia="zh-CN"/>
              </w:rPr>
            </w:pPr>
            <w:r>
              <w:rPr>
                <w:rFonts w:hint="eastAsia" w:ascii="华文仿宋" w:hAnsi="华文仿宋" w:eastAsia="华文仿宋" w:cs="华文仿宋"/>
                <w:bCs/>
                <w:color w:val="auto"/>
                <w:kern w:val="2"/>
                <w:highlight w:val="none"/>
                <w:lang w:val="en-US" w:eastAsia="zh-CN"/>
              </w:rPr>
              <w:t>12.1</w:t>
            </w:r>
          </w:p>
        </w:tc>
        <w:tc>
          <w:tcPr>
            <w:tcW w:w="2227" w:type="dxa"/>
            <w:vAlign w:val="center"/>
          </w:tcPr>
          <w:p w14:paraId="103F2718">
            <w:pPr>
              <w:spacing w:line="360" w:lineRule="exact"/>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 w:val="0"/>
                <w:bCs/>
                <w:color w:val="auto"/>
                <w:kern w:val="0"/>
                <w:sz w:val="24"/>
                <w:szCs w:val="28"/>
                <w:highlight w:val="none"/>
                <w:lang w:val="en-US" w:eastAsia="zh-CN" w:bidi="ar-SA"/>
              </w:rPr>
              <w:t>响应文件首次提交截止时间</w:t>
            </w:r>
          </w:p>
        </w:tc>
        <w:tc>
          <w:tcPr>
            <w:tcW w:w="6274" w:type="dxa"/>
            <w:vAlign w:val="center"/>
          </w:tcPr>
          <w:p w14:paraId="5990B62E">
            <w:pPr>
              <w:spacing w:line="440" w:lineRule="exact"/>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 w:val="0"/>
                <w:bCs/>
                <w:color w:val="auto"/>
                <w:kern w:val="0"/>
                <w:sz w:val="24"/>
                <w:szCs w:val="28"/>
                <w:highlight w:val="none"/>
                <w:lang w:val="en-US" w:eastAsia="zh-CN" w:bidi="ar-SA"/>
              </w:rPr>
              <w:t>2026年11月12日15时00分（北京时间）</w:t>
            </w:r>
          </w:p>
        </w:tc>
      </w:tr>
      <w:tr w14:paraId="1409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3A72B483">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lang w:val="en-US" w:eastAsia="zh-CN"/>
              </w:rPr>
            </w:pPr>
            <w:r>
              <w:rPr>
                <w:rFonts w:hint="eastAsia" w:ascii="华文仿宋" w:hAnsi="华文仿宋" w:eastAsia="华文仿宋" w:cs="华文仿宋"/>
                <w:bCs/>
                <w:color w:val="auto"/>
                <w:kern w:val="2"/>
                <w:highlight w:val="none"/>
                <w:lang w:val="en-US" w:eastAsia="zh-CN"/>
              </w:rPr>
              <w:t>12.2</w:t>
            </w:r>
          </w:p>
        </w:tc>
        <w:tc>
          <w:tcPr>
            <w:tcW w:w="2227" w:type="dxa"/>
            <w:vAlign w:val="center"/>
          </w:tcPr>
          <w:p w14:paraId="7649B9E4">
            <w:pPr>
              <w:spacing w:line="360" w:lineRule="exact"/>
              <w:jc w:val="left"/>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 w:val="0"/>
                <w:bCs/>
                <w:color w:val="auto"/>
                <w:kern w:val="0"/>
                <w:sz w:val="24"/>
                <w:szCs w:val="28"/>
                <w:highlight w:val="none"/>
                <w:lang w:val="en-US" w:eastAsia="zh-CN" w:bidi="ar-SA"/>
              </w:rPr>
              <w:t>响应文件开启时间及地点</w:t>
            </w:r>
          </w:p>
        </w:tc>
        <w:tc>
          <w:tcPr>
            <w:tcW w:w="6274" w:type="dxa"/>
            <w:vAlign w:val="center"/>
          </w:tcPr>
          <w:p w14:paraId="157D8EFF">
            <w:pPr>
              <w:spacing w:line="440" w:lineRule="exact"/>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 w:val="0"/>
                <w:bCs/>
                <w:color w:val="auto"/>
                <w:kern w:val="0"/>
                <w:sz w:val="24"/>
                <w:szCs w:val="28"/>
                <w:highlight w:val="none"/>
                <w:lang w:val="en-US" w:eastAsia="zh-CN" w:bidi="ar-SA"/>
              </w:rPr>
              <w:t>响应文件开启时间：同提交首次响应文件截止时间</w:t>
            </w:r>
          </w:p>
          <w:p w14:paraId="3E56EFBC">
            <w:pPr>
              <w:spacing w:line="440" w:lineRule="exact"/>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 w:val="0"/>
                <w:bCs/>
                <w:color w:val="auto"/>
                <w:kern w:val="0"/>
                <w:sz w:val="24"/>
                <w:szCs w:val="28"/>
                <w:highlight w:val="none"/>
                <w:lang w:val="en-US" w:eastAsia="zh-CN" w:bidi="ar-SA"/>
              </w:rPr>
              <w:t>响应文件开启地点：滁州市南谯区房产商务大厦6楼622会议室</w:t>
            </w:r>
          </w:p>
        </w:tc>
      </w:tr>
      <w:tr w14:paraId="4126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23ADA665">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12</w:t>
            </w:r>
            <w:r>
              <w:rPr>
                <w:rFonts w:hint="eastAsia" w:ascii="华文仿宋" w:hAnsi="华文仿宋" w:eastAsia="华文仿宋" w:cs="华文仿宋"/>
                <w:bCs/>
                <w:color w:val="auto"/>
                <w:kern w:val="2"/>
                <w:highlight w:val="none"/>
              </w:rPr>
              <w:t>.</w:t>
            </w:r>
            <w:r>
              <w:rPr>
                <w:rFonts w:hint="eastAsia" w:ascii="华文仿宋" w:hAnsi="华文仿宋" w:eastAsia="华文仿宋" w:cs="华文仿宋"/>
                <w:bCs/>
                <w:color w:val="auto"/>
                <w:kern w:val="2"/>
                <w:highlight w:val="none"/>
                <w:lang w:val="en-US" w:eastAsia="zh-CN"/>
              </w:rPr>
              <w:t>3</w:t>
            </w:r>
          </w:p>
        </w:tc>
        <w:tc>
          <w:tcPr>
            <w:tcW w:w="1160" w:type="pct"/>
            <w:vAlign w:val="center"/>
          </w:tcPr>
          <w:p w14:paraId="288A06B2">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响应文件解密时间</w:t>
            </w:r>
          </w:p>
        </w:tc>
        <w:tc>
          <w:tcPr>
            <w:tcW w:w="3267" w:type="pct"/>
            <w:vAlign w:val="center"/>
          </w:tcPr>
          <w:p w14:paraId="14B1F630">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u w:val="single"/>
                <w:lang w:val="en-US" w:eastAsia="zh-CN"/>
              </w:rPr>
            </w:pPr>
            <w:r>
              <w:rPr>
                <w:rFonts w:hint="eastAsia" w:ascii="华文仿宋" w:hAnsi="华文仿宋" w:eastAsia="华文仿宋" w:cs="华文仿宋"/>
                <w:b w:val="0"/>
                <w:color w:val="auto"/>
                <w:sz w:val="24"/>
                <w:highlight w:val="none"/>
                <w:u w:val="none"/>
                <w:lang w:val="en-US" w:eastAsia="zh-CN"/>
              </w:rPr>
              <w:t>本项目为现场递交投标文件，现场拆封并唱标项目。无需解密。</w:t>
            </w:r>
          </w:p>
        </w:tc>
      </w:tr>
      <w:tr w14:paraId="0D39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692B5F20">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14.2</w:t>
            </w:r>
          </w:p>
        </w:tc>
        <w:tc>
          <w:tcPr>
            <w:tcW w:w="1160" w:type="pct"/>
            <w:vAlign w:val="center"/>
          </w:tcPr>
          <w:p w14:paraId="47BA5F7D">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评审方法</w:t>
            </w:r>
          </w:p>
        </w:tc>
        <w:tc>
          <w:tcPr>
            <w:tcW w:w="3267" w:type="pct"/>
            <w:vAlign w:val="center"/>
          </w:tcPr>
          <w:p w14:paraId="4082CFC5">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u w:val="none"/>
              </w:rPr>
              <w:t>综合评分法</w:t>
            </w:r>
          </w:p>
        </w:tc>
      </w:tr>
      <w:tr w14:paraId="4842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55978F69">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17.4</w:t>
            </w:r>
          </w:p>
        </w:tc>
        <w:tc>
          <w:tcPr>
            <w:tcW w:w="1160" w:type="pct"/>
            <w:vAlign w:val="center"/>
          </w:tcPr>
          <w:p w14:paraId="761703E8">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最后报价扣除</w:t>
            </w:r>
          </w:p>
          <w:p w14:paraId="1EB213D6">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i/>
                <w:color w:val="auto"/>
                <w:sz w:val="24"/>
                <w:highlight w:val="none"/>
              </w:rPr>
              <w:t>（非专门面向中小企业采购项目适用）</w:t>
            </w:r>
          </w:p>
        </w:tc>
        <w:tc>
          <w:tcPr>
            <w:tcW w:w="3267" w:type="pct"/>
            <w:vAlign w:val="center"/>
          </w:tcPr>
          <w:p w14:paraId="103D737E">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（1）小型和微型企业价格扣除：</w:t>
            </w:r>
            <w:r>
              <w:rPr>
                <w:rFonts w:hint="eastAsia" w:ascii="华文仿宋" w:hAnsi="华文仿宋" w:eastAsia="华文仿宋" w:cs="华文仿宋"/>
                <w:b w:val="0"/>
                <w:color w:val="auto"/>
                <w:sz w:val="24"/>
                <w:highlight w:val="none"/>
                <w:u w:val="single"/>
                <w:lang w:val="en-US" w:eastAsia="zh-CN"/>
              </w:rPr>
              <w:t>/</w:t>
            </w:r>
            <w:r>
              <w:rPr>
                <w:rFonts w:hint="eastAsia" w:ascii="华文仿宋" w:hAnsi="华文仿宋" w:eastAsia="华文仿宋" w:cs="华文仿宋"/>
                <w:b w:val="0"/>
                <w:color w:val="auto"/>
                <w:sz w:val="24"/>
                <w:highlight w:val="none"/>
              </w:rPr>
              <w:t>。</w:t>
            </w:r>
          </w:p>
          <w:p w14:paraId="7F440B2E">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（2）监狱企业价格扣除：</w:t>
            </w:r>
            <w:r>
              <w:rPr>
                <w:rFonts w:hint="eastAsia" w:ascii="华文仿宋" w:hAnsi="华文仿宋" w:eastAsia="华文仿宋" w:cs="华文仿宋"/>
                <w:b w:val="0"/>
                <w:color w:val="auto"/>
                <w:sz w:val="24"/>
                <w:highlight w:val="none"/>
                <w:u w:val="none"/>
              </w:rPr>
              <w:t>同小型和微型企业</w:t>
            </w:r>
            <w:r>
              <w:rPr>
                <w:rFonts w:hint="eastAsia" w:ascii="华文仿宋" w:hAnsi="华文仿宋" w:eastAsia="华文仿宋" w:cs="华文仿宋"/>
                <w:b w:val="0"/>
                <w:color w:val="auto"/>
                <w:sz w:val="24"/>
                <w:highlight w:val="none"/>
              </w:rPr>
              <w:t>。</w:t>
            </w:r>
          </w:p>
          <w:p w14:paraId="31AD3BEB">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（3）残疾人福利性单位价格扣除：</w:t>
            </w:r>
            <w:r>
              <w:rPr>
                <w:rFonts w:hint="eastAsia" w:ascii="华文仿宋" w:hAnsi="华文仿宋" w:eastAsia="华文仿宋" w:cs="华文仿宋"/>
                <w:b w:val="0"/>
                <w:color w:val="auto"/>
                <w:sz w:val="24"/>
                <w:highlight w:val="none"/>
                <w:u w:val="none"/>
              </w:rPr>
              <w:t>同小型和微型企业</w:t>
            </w:r>
            <w:r>
              <w:rPr>
                <w:rFonts w:hint="eastAsia" w:ascii="华文仿宋" w:hAnsi="华文仿宋" w:eastAsia="华文仿宋" w:cs="华文仿宋"/>
                <w:b w:val="0"/>
                <w:color w:val="auto"/>
                <w:sz w:val="24"/>
                <w:highlight w:val="none"/>
              </w:rPr>
              <w:t>。</w:t>
            </w:r>
          </w:p>
          <w:p w14:paraId="0F66B58D">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（4）符合条件的联合体价格扣除：</w:t>
            </w:r>
            <w:r>
              <w:rPr>
                <w:rFonts w:hint="eastAsia" w:ascii="华文仿宋" w:hAnsi="华文仿宋" w:eastAsia="华文仿宋" w:cs="华文仿宋"/>
                <w:b w:val="0"/>
                <w:color w:val="auto"/>
                <w:sz w:val="24"/>
                <w:highlight w:val="none"/>
                <w:u w:val="single"/>
                <w:lang w:val="en-US" w:eastAsia="zh-CN"/>
              </w:rPr>
              <w:t>/</w:t>
            </w:r>
            <w:r>
              <w:rPr>
                <w:rFonts w:hint="eastAsia" w:ascii="华文仿宋" w:hAnsi="华文仿宋" w:eastAsia="华文仿宋" w:cs="华文仿宋"/>
                <w:b w:val="0"/>
                <w:color w:val="auto"/>
                <w:sz w:val="24"/>
                <w:highlight w:val="none"/>
              </w:rPr>
              <w:t>。</w:t>
            </w:r>
          </w:p>
          <w:p w14:paraId="749ADFE7">
            <w:pPr>
              <w:pStyle w:val="39"/>
              <w:widowControl w:val="0"/>
              <w:spacing w:before="0" w:beforeAutospacing="0" w:after="0" w:afterAutospacing="0" w:line="360" w:lineRule="auto"/>
              <w:jc w:val="both"/>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 w:val="0"/>
                <w:color w:val="auto"/>
                <w:sz w:val="24"/>
                <w:highlight w:val="none"/>
              </w:rPr>
              <w:t>（5）符合条件的向小微企业分包的大中型企业价格扣除：</w:t>
            </w:r>
            <w:r>
              <w:rPr>
                <w:rFonts w:hint="eastAsia" w:ascii="华文仿宋" w:hAnsi="华文仿宋" w:eastAsia="华文仿宋" w:cs="华文仿宋"/>
                <w:b w:val="0"/>
                <w:color w:val="auto"/>
                <w:sz w:val="24"/>
                <w:highlight w:val="none"/>
                <w:u w:val="single"/>
                <w:lang w:val="en-US" w:eastAsia="zh-CN"/>
              </w:rPr>
              <w:t>/</w:t>
            </w:r>
            <w:r>
              <w:rPr>
                <w:rFonts w:hint="eastAsia" w:ascii="华文仿宋" w:hAnsi="华文仿宋" w:eastAsia="华文仿宋" w:cs="华文仿宋"/>
                <w:b w:val="0"/>
                <w:color w:val="auto"/>
                <w:sz w:val="24"/>
                <w:highlight w:val="none"/>
              </w:rPr>
              <w:t>。</w:t>
            </w:r>
          </w:p>
        </w:tc>
      </w:tr>
      <w:tr w14:paraId="7B52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0899CF8B">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lang w:val="en-US" w:eastAsia="zh-CN"/>
              </w:rPr>
            </w:pPr>
            <w:r>
              <w:rPr>
                <w:rFonts w:hint="eastAsia" w:ascii="华文仿宋" w:hAnsi="华文仿宋" w:eastAsia="华文仿宋" w:cs="华文仿宋"/>
                <w:bCs/>
                <w:color w:val="auto"/>
                <w:kern w:val="2"/>
                <w:highlight w:val="none"/>
                <w:lang w:val="en-US" w:eastAsia="zh-CN"/>
              </w:rPr>
              <w:t>17.5</w:t>
            </w:r>
          </w:p>
        </w:tc>
        <w:tc>
          <w:tcPr>
            <w:tcW w:w="2227" w:type="dxa"/>
            <w:vAlign w:val="center"/>
          </w:tcPr>
          <w:p w14:paraId="218FA58D">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华文仿宋" w:hAnsi="华文仿宋" w:eastAsia="华文仿宋" w:cs="华文仿宋"/>
                <w:b w:val="0"/>
                <w:i/>
                <w:color w:val="auto"/>
                <w:sz w:val="24"/>
                <w:highlight w:val="none"/>
                <w:lang w:val="en-US"/>
              </w:rPr>
            </w:pPr>
            <w:r>
              <w:rPr>
                <w:rFonts w:hint="eastAsia" w:ascii="华文仿宋" w:hAnsi="华文仿宋" w:eastAsia="华文仿宋" w:cs="华文仿宋"/>
                <w:b w:val="0"/>
                <w:i w:val="0"/>
                <w:iCs w:val="0"/>
                <w:color w:val="auto"/>
                <w:sz w:val="24"/>
                <w:highlight w:val="none"/>
                <w:lang w:val="en-US" w:eastAsia="zh-CN"/>
              </w:rPr>
              <w:t>本国产品价格扣除</w:t>
            </w:r>
            <w:r>
              <w:rPr>
                <w:rFonts w:hint="eastAsia" w:ascii="华文仿宋" w:hAnsi="华文仿宋" w:eastAsia="华文仿宋" w:cs="华文仿宋"/>
                <w:b w:val="0"/>
                <w:bCs w:val="0"/>
                <w:i w:val="0"/>
                <w:iCs w:val="0"/>
                <w:color w:val="auto"/>
                <w:sz w:val="24"/>
                <w:highlight w:val="none"/>
                <w:lang w:val="en-US" w:eastAsia="zh-CN"/>
              </w:rPr>
              <w:t>（适用于</w:t>
            </w:r>
            <w:r>
              <w:rPr>
                <w:rFonts w:hint="eastAsia" w:ascii="华文仿宋" w:hAnsi="华文仿宋" w:eastAsia="华文仿宋" w:cs="华文仿宋"/>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华文仿宋" w:hAnsi="华文仿宋" w:eastAsia="华文仿宋" w:cs="华文仿宋"/>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华文仿宋" w:hAnsi="华文仿宋" w:eastAsia="华文仿宋" w:cs="华文仿宋"/>
                <w:b w:val="0"/>
                <w:bCs w:val="0"/>
                <w:i w:val="0"/>
                <w:iCs w:val="0"/>
                <w:caps w:val="0"/>
                <w:color w:val="auto"/>
                <w:spacing w:val="0"/>
                <w:sz w:val="24"/>
                <w:szCs w:val="24"/>
                <w:highlight w:val="none"/>
                <w:u w:val="none"/>
                <w:shd w:val="clear" w:color="auto" w:fill="FFFFFF"/>
                <w:vertAlign w:val="baseline"/>
              </w:rPr>
              <w:t>货物</w:t>
            </w:r>
            <w:r>
              <w:rPr>
                <w:rFonts w:hint="eastAsia" w:ascii="华文仿宋" w:hAnsi="华文仿宋" w:eastAsia="华文仿宋" w:cs="华文仿宋"/>
                <w:b w:val="0"/>
                <w:bCs w:val="0"/>
                <w:i w:val="0"/>
                <w:iCs w:val="0"/>
                <w:color w:val="auto"/>
                <w:sz w:val="24"/>
                <w:highlight w:val="none"/>
                <w:lang w:val="en-US" w:eastAsia="zh-CN"/>
              </w:rPr>
              <w:t>）</w:t>
            </w:r>
            <w:r>
              <w:rPr>
                <w:rFonts w:hint="eastAsia" w:ascii="华文仿宋" w:hAnsi="华文仿宋" w:eastAsia="华文仿宋" w:cs="华文仿宋"/>
                <w:b/>
                <w:bCs/>
                <w:i w:val="0"/>
                <w:iCs w:val="0"/>
                <w:color w:val="auto"/>
                <w:sz w:val="24"/>
                <w:highlight w:val="none"/>
                <w:lang w:val="en-US" w:eastAsia="zh-CN"/>
              </w:rPr>
              <w:t>-本项目不适用</w:t>
            </w:r>
          </w:p>
        </w:tc>
        <w:tc>
          <w:tcPr>
            <w:tcW w:w="6274" w:type="dxa"/>
            <w:vAlign w:val="center"/>
          </w:tcPr>
          <w:p w14:paraId="5E6E37CE">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华文仿宋" w:hAnsi="华文仿宋" w:eastAsia="华文仿宋" w:cs="华文仿宋"/>
                <w:b w:val="0"/>
                <w:i w:val="0"/>
                <w:iCs w:val="0"/>
                <w:color w:val="auto"/>
                <w:sz w:val="24"/>
                <w:highlight w:val="none"/>
                <w:lang w:val="en-US" w:eastAsia="zh-CN"/>
              </w:rPr>
            </w:pPr>
            <w:r>
              <w:rPr>
                <w:rFonts w:hint="eastAsia" w:ascii="华文仿宋" w:hAnsi="华文仿宋" w:eastAsia="华文仿宋" w:cs="华文仿宋"/>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华文仿宋" w:hAnsi="华文仿宋" w:eastAsia="华文仿宋" w:cs="华文仿宋"/>
                <w:b w:val="0"/>
                <w:i w:val="0"/>
                <w:iCs w:val="0"/>
                <w:color w:val="auto"/>
                <w:sz w:val="24"/>
                <w:highlight w:val="none"/>
                <w:u w:val="single"/>
                <w:lang w:val="en-US" w:eastAsia="zh-CN"/>
              </w:rPr>
              <w:t>20%</w:t>
            </w:r>
            <w:r>
              <w:rPr>
                <w:rFonts w:hint="eastAsia" w:ascii="华文仿宋" w:hAnsi="华文仿宋" w:eastAsia="华文仿宋" w:cs="华文仿宋"/>
                <w:b w:val="0"/>
                <w:i w:val="0"/>
                <w:iCs w:val="0"/>
                <w:color w:val="auto"/>
                <w:sz w:val="24"/>
                <w:highlight w:val="none"/>
                <w:lang w:val="en-US" w:eastAsia="zh-CN"/>
              </w:rPr>
              <w:t>。</w:t>
            </w:r>
          </w:p>
          <w:p w14:paraId="2C0CC5A4">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i w:val="0"/>
                <w:iCs w:val="0"/>
                <w:color w:val="auto"/>
                <w:sz w:val="24"/>
                <w:highlight w:val="none"/>
                <w:lang w:val="en-US" w:eastAsia="zh-CN"/>
              </w:rPr>
              <w:t>（2）项目或者采购包中含有多种产品的，符合本国产品标准的产品成本之和占该供应商提供的全部产品成本之和的比例≥80%，所有产品价格扣除</w:t>
            </w:r>
            <w:r>
              <w:rPr>
                <w:rFonts w:hint="eastAsia" w:ascii="华文仿宋" w:hAnsi="华文仿宋" w:eastAsia="华文仿宋" w:cs="华文仿宋"/>
                <w:b w:val="0"/>
                <w:i w:val="0"/>
                <w:iCs w:val="0"/>
                <w:color w:val="auto"/>
                <w:sz w:val="24"/>
                <w:highlight w:val="none"/>
                <w:u w:val="single"/>
                <w:lang w:val="en-US" w:eastAsia="zh-CN"/>
              </w:rPr>
              <w:t>20%</w:t>
            </w:r>
            <w:r>
              <w:rPr>
                <w:rFonts w:hint="eastAsia" w:ascii="华文仿宋" w:hAnsi="华文仿宋" w:eastAsia="华文仿宋" w:cs="华文仿宋"/>
                <w:b w:val="0"/>
                <w:i w:val="0"/>
                <w:iCs w:val="0"/>
                <w:color w:val="auto"/>
                <w:sz w:val="24"/>
                <w:highlight w:val="none"/>
                <w:u w:val="none"/>
                <w:lang w:val="en-US" w:eastAsia="zh-CN"/>
              </w:rPr>
              <w:t>。</w:t>
            </w:r>
          </w:p>
        </w:tc>
      </w:tr>
      <w:tr w14:paraId="09BD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Merge w:val="restart"/>
            <w:vAlign w:val="center"/>
          </w:tcPr>
          <w:p w14:paraId="69026597">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19</w:t>
            </w:r>
            <w:r>
              <w:rPr>
                <w:rFonts w:hint="eastAsia" w:ascii="华文仿宋" w:hAnsi="华文仿宋" w:eastAsia="华文仿宋" w:cs="华文仿宋"/>
                <w:bCs/>
                <w:color w:val="auto"/>
                <w:kern w:val="2"/>
                <w:highlight w:val="none"/>
              </w:rPr>
              <w:t>.</w:t>
            </w:r>
            <w:r>
              <w:rPr>
                <w:rFonts w:hint="eastAsia" w:ascii="华文仿宋" w:hAnsi="华文仿宋" w:eastAsia="华文仿宋" w:cs="华文仿宋"/>
                <w:bCs/>
                <w:color w:val="auto"/>
                <w:kern w:val="2"/>
                <w:highlight w:val="none"/>
                <w:lang w:val="en-US" w:eastAsia="zh-CN"/>
              </w:rPr>
              <w:t>1</w:t>
            </w:r>
          </w:p>
        </w:tc>
        <w:tc>
          <w:tcPr>
            <w:tcW w:w="1160" w:type="pct"/>
            <w:vMerge w:val="restart"/>
            <w:vAlign w:val="center"/>
          </w:tcPr>
          <w:p w14:paraId="4270E6D2">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确定成交候选供应商和成交供应商</w:t>
            </w:r>
          </w:p>
        </w:tc>
        <w:tc>
          <w:tcPr>
            <w:tcW w:w="3267" w:type="pct"/>
            <w:vAlign w:val="center"/>
          </w:tcPr>
          <w:p w14:paraId="5CA36B9D">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lang w:val="en-US" w:eastAsia="zh-CN"/>
              </w:rPr>
            </w:pPr>
            <w:r>
              <w:rPr>
                <w:rFonts w:hint="eastAsia" w:ascii="华文仿宋" w:hAnsi="华文仿宋" w:eastAsia="华文仿宋" w:cs="华文仿宋"/>
                <w:b w:val="0"/>
                <w:color w:val="auto"/>
                <w:sz w:val="24"/>
                <w:highlight w:val="none"/>
              </w:rPr>
              <w:t>磋商小组推荐成交候选供应商的数量：3家</w:t>
            </w:r>
          </w:p>
          <w:p w14:paraId="185BEB55">
            <w:pPr>
              <w:pStyle w:val="39"/>
              <w:widowControl w:val="0"/>
              <w:spacing w:before="0" w:beforeAutospacing="0" w:after="0" w:afterAutospacing="0" w:line="360" w:lineRule="auto"/>
              <w:jc w:val="both"/>
              <w:rPr>
                <w:rFonts w:hint="eastAsia" w:ascii="华文仿宋" w:hAnsi="华文仿宋" w:eastAsia="华文仿宋" w:cs="华文仿宋"/>
                <w:b w:val="0"/>
                <w:bCs/>
                <w:color w:val="auto"/>
                <w:kern w:val="0"/>
                <w:sz w:val="24"/>
                <w:szCs w:val="28"/>
                <w:highlight w:val="none"/>
                <w:u w:val="single"/>
                <w:lang w:val="en-US" w:eastAsia="zh-CN" w:bidi="ar-SA"/>
              </w:rPr>
            </w:pPr>
            <w:r>
              <w:rPr>
                <w:rFonts w:hint="eastAsia" w:ascii="华文仿宋" w:hAnsi="华文仿宋" w:eastAsia="华文仿宋" w:cs="华文仿宋"/>
                <w:b w:val="0"/>
                <w:color w:val="auto"/>
                <w:sz w:val="24"/>
                <w:highlight w:val="none"/>
                <w:lang w:val="en-US" w:eastAsia="zh-CN"/>
              </w:rPr>
              <w:t>注：法律、法规另有规定的，从其规定</w:t>
            </w:r>
          </w:p>
        </w:tc>
      </w:tr>
      <w:tr w14:paraId="5CC3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2" w:type="pct"/>
            <w:vMerge w:val="continue"/>
            <w:vAlign w:val="center"/>
          </w:tcPr>
          <w:p w14:paraId="332AB5C2">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p>
        </w:tc>
        <w:tc>
          <w:tcPr>
            <w:tcW w:w="1160" w:type="pct"/>
            <w:vMerge w:val="continue"/>
            <w:vAlign w:val="center"/>
          </w:tcPr>
          <w:p w14:paraId="383FFB3E">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p>
        </w:tc>
        <w:tc>
          <w:tcPr>
            <w:tcW w:w="3267" w:type="pct"/>
            <w:vAlign w:val="center"/>
          </w:tcPr>
          <w:p w14:paraId="088274BB">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确定成交供应商：</w:t>
            </w:r>
          </w:p>
          <w:p w14:paraId="7370FADA">
            <w:pPr>
              <w:pStyle w:val="39"/>
              <w:widowControl w:val="0"/>
              <w:spacing w:before="0" w:beforeAutospacing="0" w:after="0" w:afterAutospacing="0" w:line="360" w:lineRule="auto"/>
              <w:jc w:val="both"/>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 w:val="0"/>
                <w:bCs/>
                <w:color w:val="auto"/>
                <w:sz w:val="24"/>
                <w:highlight w:val="none"/>
              </w:rPr>
              <w:sym w:font="Wingdings" w:char="00A8"/>
            </w:r>
            <w:r>
              <w:rPr>
                <w:rFonts w:hint="eastAsia" w:ascii="华文仿宋" w:hAnsi="华文仿宋" w:eastAsia="华文仿宋" w:cs="华文仿宋"/>
                <w:b w:val="0"/>
                <w:color w:val="auto"/>
                <w:sz w:val="24"/>
                <w:highlight w:val="none"/>
              </w:rPr>
              <w:t>采购人委托磋商小组确定</w:t>
            </w:r>
            <w:r>
              <w:rPr>
                <w:rFonts w:hint="eastAsia" w:ascii="华文仿宋" w:hAnsi="华文仿宋" w:eastAsia="华文仿宋" w:cs="华文仿宋"/>
                <w:b w:val="0"/>
                <w:color w:val="auto"/>
                <w:sz w:val="24"/>
                <w:highlight w:val="none"/>
                <w:lang w:eastAsia="zh-CN"/>
              </w:rPr>
              <w:t>☑</w:t>
            </w:r>
            <w:r>
              <w:rPr>
                <w:rFonts w:hint="eastAsia" w:ascii="华文仿宋" w:hAnsi="华文仿宋" w:eastAsia="华文仿宋" w:cs="华文仿宋"/>
                <w:b w:val="0"/>
                <w:color w:val="auto"/>
                <w:sz w:val="24"/>
                <w:highlight w:val="none"/>
              </w:rPr>
              <w:t>采购人确定</w:t>
            </w:r>
          </w:p>
        </w:tc>
      </w:tr>
      <w:tr w14:paraId="218F0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48B16408">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22</w:t>
            </w:r>
            <w:r>
              <w:rPr>
                <w:rFonts w:hint="eastAsia" w:ascii="华文仿宋" w:hAnsi="华文仿宋" w:eastAsia="华文仿宋" w:cs="华文仿宋"/>
                <w:bCs/>
                <w:color w:val="auto"/>
                <w:kern w:val="2"/>
                <w:highlight w:val="none"/>
              </w:rPr>
              <w:t>.2</w:t>
            </w:r>
          </w:p>
        </w:tc>
        <w:tc>
          <w:tcPr>
            <w:tcW w:w="1160" w:type="pct"/>
            <w:vAlign w:val="center"/>
          </w:tcPr>
          <w:p w14:paraId="45E43D63">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随成交结果公告同时公告的内容</w:t>
            </w:r>
          </w:p>
        </w:tc>
        <w:tc>
          <w:tcPr>
            <w:tcW w:w="3267" w:type="pct"/>
            <w:vAlign w:val="center"/>
          </w:tcPr>
          <w:p w14:paraId="01D43AC5">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u w:val="none"/>
              </w:rPr>
            </w:pPr>
            <w:r>
              <w:rPr>
                <w:rFonts w:hint="eastAsia" w:ascii="华文仿宋" w:hAnsi="华文仿宋" w:eastAsia="华文仿宋" w:cs="华文仿宋"/>
                <w:b w:val="0"/>
                <w:color w:val="auto"/>
                <w:sz w:val="24"/>
                <w:highlight w:val="none"/>
                <w:u w:val="none"/>
              </w:rPr>
              <w:t>（</w:t>
            </w:r>
            <w:r>
              <w:rPr>
                <w:rFonts w:hint="eastAsia" w:ascii="华文仿宋" w:hAnsi="华文仿宋" w:eastAsia="华文仿宋" w:cs="华文仿宋"/>
                <w:b w:val="0"/>
                <w:color w:val="auto"/>
                <w:sz w:val="24"/>
                <w:highlight w:val="none"/>
                <w:u w:val="none"/>
                <w:lang w:val="en-US" w:eastAsia="zh-CN"/>
              </w:rPr>
              <w:t>1</w:t>
            </w:r>
            <w:r>
              <w:rPr>
                <w:rFonts w:hint="eastAsia" w:ascii="华文仿宋" w:hAnsi="华文仿宋" w:eastAsia="华文仿宋" w:cs="华文仿宋"/>
                <w:b w:val="0"/>
                <w:color w:val="auto"/>
                <w:sz w:val="24"/>
                <w:highlight w:val="none"/>
                <w:u w:val="none"/>
              </w:rPr>
              <w:t>）中小企业声明函；</w:t>
            </w:r>
          </w:p>
          <w:p w14:paraId="04DCDAD3">
            <w:pPr>
              <w:pStyle w:val="39"/>
              <w:widowControl w:val="0"/>
              <w:spacing w:before="0" w:beforeAutospacing="0" w:after="0" w:afterAutospacing="0" w:line="360" w:lineRule="auto"/>
              <w:jc w:val="both"/>
              <w:rPr>
                <w:rFonts w:hint="eastAsia" w:ascii="华文仿宋" w:hAnsi="华文仿宋" w:eastAsia="华文仿宋" w:cs="华文仿宋"/>
                <w:b w:val="0"/>
                <w:i/>
                <w:color w:val="auto"/>
                <w:sz w:val="24"/>
                <w:highlight w:val="none"/>
                <w:u w:val="none"/>
              </w:rPr>
            </w:pPr>
            <w:r>
              <w:rPr>
                <w:rFonts w:hint="eastAsia" w:ascii="华文仿宋" w:hAnsi="华文仿宋" w:eastAsia="华文仿宋" w:cs="华文仿宋"/>
                <w:b w:val="0"/>
                <w:color w:val="auto"/>
                <w:sz w:val="24"/>
                <w:highlight w:val="none"/>
                <w:u w:val="none"/>
              </w:rPr>
              <w:t>（</w:t>
            </w:r>
            <w:r>
              <w:rPr>
                <w:rFonts w:hint="eastAsia" w:ascii="华文仿宋" w:hAnsi="华文仿宋" w:eastAsia="华文仿宋" w:cs="华文仿宋"/>
                <w:b w:val="0"/>
                <w:color w:val="auto"/>
                <w:sz w:val="24"/>
                <w:highlight w:val="none"/>
                <w:u w:val="none"/>
                <w:lang w:val="en-US" w:eastAsia="zh-CN"/>
              </w:rPr>
              <w:t>2）</w:t>
            </w:r>
            <w:r>
              <w:rPr>
                <w:rFonts w:hint="eastAsia" w:ascii="华文仿宋" w:hAnsi="华文仿宋" w:eastAsia="华文仿宋" w:cs="华文仿宋"/>
                <w:b w:val="0"/>
                <w:color w:val="auto"/>
                <w:sz w:val="24"/>
                <w:highlight w:val="none"/>
                <w:u w:val="none"/>
              </w:rPr>
              <w:t>残疾人福利性单位声明函；</w:t>
            </w:r>
            <w:r>
              <w:rPr>
                <w:rFonts w:hint="eastAsia" w:ascii="华文仿宋" w:hAnsi="华文仿宋" w:eastAsia="华文仿宋" w:cs="华文仿宋"/>
                <w:b w:val="0"/>
                <w:i/>
                <w:iCs/>
                <w:color w:val="auto"/>
                <w:sz w:val="24"/>
                <w:highlight w:val="none"/>
                <w:u w:val="none"/>
              </w:rPr>
              <w:t>（如有）</w:t>
            </w:r>
          </w:p>
          <w:p w14:paraId="4C545F96">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u w:val="none"/>
                <w:lang w:eastAsia="zh-CN"/>
              </w:rPr>
            </w:pPr>
            <w:r>
              <w:rPr>
                <w:rFonts w:hint="eastAsia" w:ascii="华文仿宋" w:hAnsi="华文仿宋" w:eastAsia="华文仿宋" w:cs="华文仿宋"/>
                <w:b w:val="0"/>
                <w:color w:val="auto"/>
                <w:sz w:val="24"/>
                <w:highlight w:val="none"/>
                <w:u w:val="none"/>
                <w:lang w:eastAsia="zh-CN"/>
              </w:rPr>
              <w:t>（</w:t>
            </w:r>
            <w:r>
              <w:rPr>
                <w:rFonts w:hint="eastAsia" w:ascii="华文仿宋" w:hAnsi="华文仿宋" w:eastAsia="华文仿宋" w:cs="华文仿宋"/>
                <w:b w:val="0"/>
                <w:color w:val="auto"/>
                <w:sz w:val="24"/>
                <w:highlight w:val="none"/>
                <w:u w:val="none"/>
                <w:lang w:val="en-US" w:eastAsia="zh-CN"/>
              </w:rPr>
              <w:t>3</w:t>
            </w:r>
            <w:r>
              <w:rPr>
                <w:rFonts w:hint="eastAsia" w:ascii="华文仿宋" w:hAnsi="华文仿宋" w:eastAsia="华文仿宋" w:cs="华文仿宋"/>
                <w:b w:val="0"/>
                <w:color w:val="auto"/>
                <w:sz w:val="24"/>
                <w:highlight w:val="none"/>
                <w:u w:val="none"/>
                <w:lang w:eastAsia="zh-CN"/>
              </w:rPr>
              <w:t>）</w:t>
            </w:r>
            <w:r>
              <w:rPr>
                <w:rFonts w:hint="eastAsia" w:ascii="华文仿宋" w:hAnsi="华文仿宋" w:eastAsia="华文仿宋" w:cs="华文仿宋"/>
                <w:b w:val="0"/>
                <w:color w:val="auto"/>
                <w:sz w:val="24"/>
                <w:highlight w:val="none"/>
                <w:u w:val="none"/>
              </w:rPr>
              <w:t>中标</w:t>
            </w:r>
            <w:r>
              <w:rPr>
                <w:rFonts w:hint="eastAsia" w:ascii="华文仿宋" w:hAnsi="华文仿宋" w:eastAsia="华文仿宋" w:cs="华文仿宋"/>
                <w:b w:val="0"/>
                <w:color w:val="auto"/>
                <w:sz w:val="24"/>
                <w:highlight w:val="none"/>
                <w:u w:val="none"/>
                <w:lang w:eastAsia="zh-CN"/>
              </w:rPr>
              <w:t>（</w:t>
            </w:r>
            <w:r>
              <w:rPr>
                <w:rFonts w:hint="eastAsia" w:ascii="华文仿宋" w:hAnsi="华文仿宋" w:eastAsia="华文仿宋" w:cs="华文仿宋"/>
                <w:b w:val="0"/>
                <w:color w:val="auto"/>
                <w:sz w:val="24"/>
                <w:highlight w:val="none"/>
                <w:u w:val="none"/>
              </w:rPr>
              <w:t>成交</w:t>
            </w:r>
            <w:r>
              <w:rPr>
                <w:rFonts w:hint="eastAsia" w:ascii="华文仿宋" w:hAnsi="华文仿宋" w:eastAsia="华文仿宋" w:cs="华文仿宋"/>
                <w:b w:val="0"/>
                <w:color w:val="auto"/>
                <w:sz w:val="24"/>
                <w:highlight w:val="none"/>
                <w:u w:val="none"/>
                <w:lang w:eastAsia="zh-CN"/>
              </w:rPr>
              <w:t>）</w:t>
            </w:r>
            <w:r>
              <w:rPr>
                <w:rFonts w:hint="eastAsia" w:ascii="华文仿宋" w:hAnsi="华文仿宋" w:eastAsia="华文仿宋" w:cs="华文仿宋"/>
                <w:b w:val="0"/>
                <w:color w:val="auto"/>
                <w:sz w:val="24"/>
                <w:highlight w:val="none"/>
                <w:u w:val="none"/>
              </w:rPr>
              <w:t>供应商的评审总得分</w:t>
            </w:r>
            <w:r>
              <w:rPr>
                <w:rFonts w:hint="eastAsia" w:ascii="华文仿宋" w:hAnsi="华文仿宋" w:eastAsia="华文仿宋" w:cs="华文仿宋"/>
                <w:b w:val="0"/>
                <w:color w:val="auto"/>
                <w:sz w:val="24"/>
                <w:highlight w:val="none"/>
                <w:u w:val="none"/>
                <w:lang w:eastAsia="zh-CN"/>
              </w:rPr>
              <w:t>；</w:t>
            </w:r>
          </w:p>
          <w:p w14:paraId="4D521483">
            <w:pPr>
              <w:pStyle w:val="39"/>
              <w:widowControl w:val="0"/>
              <w:spacing w:before="0" w:beforeAutospacing="0" w:after="0" w:afterAutospacing="0" w:line="360" w:lineRule="auto"/>
              <w:jc w:val="both"/>
              <w:rPr>
                <w:rFonts w:hint="eastAsia" w:ascii="华文仿宋" w:hAnsi="华文仿宋" w:eastAsia="华文仿宋" w:cs="华文仿宋"/>
                <w:b w:val="0"/>
                <w:bCs w:val="0"/>
                <w:color w:val="auto"/>
                <w:kern w:val="0"/>
                <w:sz w:val="24"/>
                <w:szCs w:val="24"/>
                <w:highlight w:val="none"/>
                <w:lang w:val="en-US" w:eastAsia="zh-CN" w:bidi="ar-SA"/>
              </w:rPr>
            </w:pPr>
            <w:r>
              <w:rPr>
                <w:rFonts w:hint="eastAsia" w:ascii="华文仿宋" w:hAnsi="华文仿宋" w:eastAsia="华文仿宋" w:cs="华文仿宋"/>
                <w:b w:val="0"/>
                <w:color w:val="auto"/>
                <w:sz w:val="24"/>
                <w:highlight w:val="none"/>
                <w:u w:val="none"/>
                <w:lang w:eastAsia="zh-CN"/>
              </w:rPr>
              <w:t>（</w:t>
            </w:r>
            <w:r>
              <w:rPr>
                <w:rFonts w:hint="eastAsia" w:ascii="华文仿宋" w:hAnsi="华文仿宋" w:eastAsia="华文仿宋" w:cs="华文仿宋"/>
                <w:b w:val="0"/>
                <w:color w:val="auto"/>
                <w:sz w:val="24"/>
                <w:highlight w:val="none"/>
                <w:u w:val="none"/>
                <w:lang w:val="en-US" w:eastAsia="zh-CN"/>
              </w:rPr>
              <w:t>4</w:t>
            </w:r>
            <w:r>
              <w:rPr>
                <w:rFonts w:hint="eastAsia" w:ascii="华文仿宋" w:hAnsi="华文仿宋" w:eastAsia="华文仿宋" w:cs="华文仿宋"/>
                <w:b w:val="0"/>
                <w:color w:val="auto"/>
                <w:sz w:val="24"/>
                <w:highlight w:val="none"/>
                <w:u w:val="none"/>
                <w:lang w:eastAsia="zh-CN"/>
              </w:rPr>
              <w:t>）</w:t>
            </w:r>
            <w:r>
              <w:rPr>
                <w:rFonts w:hint="eastAsia" w:ascii="华文仿宋" w:hAnsi="华文仿宋" w:eastAsia="华文仿宋" w:cs="华文仿宋"/>
                <w:b w:val="0"/>
                <w:bCs w:val="0"/>
                <w:color w:val="auto"/>
                <w:sz w:val="24"/>
                <w:szCs w:val="20"/>
                <w:highlight w:val="none"/>
                <w:u w:val="single"/>
                <w:lang w:val="en-US" w:eastAsia="zh-CN"/>
              </w:rPr>
              <w:t>/</w:t>
            </w:r>
            <w:r>
              <w:rPr>
                <w:rFonts w:hint="eastAsia" w:ascii="华文仿宋" w:hAnsi="华文仿宋" w:eastAsia="华文仿宋" w:cs="华文仿宋"/>
                <w:b w:val="0"/>
                <w:bCs w:val="0"/>
                <w:color w:val="auto"/>
                <w:sz w:val="24"/>
                <w:szCs w:val="20"/>
                <w:highlight w:val="none"/>
                <w:u w:val="none"/>
                <w:lang w:eastAsia="zh-CN"/>
              </w:rPr>
              <w:t>；</w:t>
            </w:r>
          </w:p>
        </w:tc>
      </w:tr>
      <w:tr w14:paraId="5F7A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4BCAC121">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rPr>
              <w:t>2</w:t>
            </w:r>
            <w:r>
              <w:rPr>
                <w:rFonts w:hint="eastAsia" w:ascii="华文仿宋" w:hAnsi="华文仿宋" w:eastAsia="华文仿宋" w:cs="华文仿宋"/>
                <w:bCs/>
                <w:color w:val="auto"/>
                <w:kern w:val="2"/>
                <w:highlight w:val="none"/>
                <w:lang w:val="en-US" w:eastAsia="zh-CN"/>
              </w:rPr>
              <w:t>3</w:t>
            </w:r>
            <w:r>
              <w:rPr>
                <w:rFonts w:hint="eastAsia" w:ascii="华文仿宋" w:hAnsi="华文仿宋" w:eastAsia="华文仿宋" w:cs="华文仿宋"/>
                <w:bCs/>
                <w:color w:val="auto"/>
                <w:kern w:val="2"/>
                <w:highlight w:val="none"/>
              </w:rPr>
              <w:t>.1</w:t>
            </w:r>
          </w:p>
        </w:tc>
        <w:tc>
          <w:tcPr>
            <w:tcW w:w="1160" w:type="pct"/>
            <w:vAlign w:val="center"/>
          </w:tcPr>
          <w:p w14:paraId="39F6AA52">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成交通知书发出的形式</w:t>
            </w:r>
          </w:p>
        </w:tc>
        <w:tc>
          <w:tcPr>
            <w:tcW w:w="3267" w:type="pct"/>
            <w:vAlign w:val="center"/>
          </w:tcPr>
          <w:p w14:paraId="03C4F9F4">
            <w:pPr>
              <w:pStyle w:val="39"/>
              <w:widowControl w:val="0"/>
              <w:spacing w:before="0" w:beforeAutospacing="0" w:after="0" w:afterAutospacing="0" w:line="360" w:lineRule="auto"/>
              <w:jc w:val="both"/>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 w:val="0"/>
                <w:color w:val="auto"/>
                <w:sz w:val="24"/>
                <w:highlight w:val="none"/>
                <w:lang w:eastAsia="zh-CN"/>
              </w:rPr>
              <w:t>☑</w:t>
            </w:r>
            <w:r>
              <w:rPr>
                <w:rFonts w:hint="eastAsia" w:ascii="华文仿宋" w:hAnsi="华文仿宋" w:eastAsia="华文仿宋" w:cs="华文仿宋"/>
                <w:b w:val="0"/>
                <w:color w:val="auto"/>
                <w:sz w:val="24"/>
                <w:highlight w:val="none"/>
              </w:rPr>
              <w:t>书面</w:t>
            </w:r>
            <w:r>
              <w:rPr>
                <w:rFonts w:hint="eastAsia" w:ascii="华文仿宋" w:hAnsi="华文仿宋" w:eastAsia="华文仿宋" w:cs="华文仿宋"/>
                <w:b w:val="0"/>
                <w:bCs w:val="0"/>
                <w:color w:val="auto"/>
                <w:sz w:val="24"/>
                <w:szCs w:val="24"/>
                <w:highlight w:val="none"/>
              </w:rPr>
              <w:sym w:font="Wingdings" w:char="00A8"/>
            </w:r>
            <w:r>
              <w:rPr>
                <w:rFonts w:hint="eastAsia" w:ascii="华文仿宋" w:hAnsi="华文仿宋" w:eastAsia="华文仿宋" w:cs="华文仿宋"/>
                <w:b w:val="0"/>
                <w:color w:val="auto"/>
                <w:sz w:val="24"/>
                <w:highlight w:val="none"/>
              </w:rPr>
              <w:t>数据电文</w:t>
            </w:r>
          </w:p>
        </w:tc>
      </w:tr>
      <w:tr w14:paraId="50BE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16F04BD2">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24</w:t>
            </w:r>
            <w:r>
              <w:rPr>
                <w:rFonts w:hint="eastAsia" w:ascii="华文仿宋" w:hAnsi="华文仿宋" w:eastAsia="华文仿宋" w:cs="华文仿宋"/>
                <w:bCs/>
                <w:color w:val="auto"/>
                <w:kern w:val="2"/>
                <w:highlight w:val="none"/>
              </w:rPr>
              <w:t>.1</w:t>
            </w:r>
          </w:p>
        </w:tc>
        <w:tc>
          <w:tcPr>
            <w:tcW w:w="1160" w:type="pct"/>
            <w:vAlign w:val="center"/>
          </w:tcPr>
          <w:p w14:paraId="7CC346C4">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告知磋商结果的形式</w:t>
            </w:r>
          </w:p>
        </w:tc>
        <w:tc>
          <w:tcPr>
            <w:tcW w:w="3267" w:type="pct"/>
            <w:vAlign w:val="center"/>
          </w:tcPr>
          <w:p w14:paraId="0F820CD2">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lang w:eastAsia="zh-CN"/>
              </w:rPr>
              <w:t>☑</w:t>
            </w:r>
            <w:r>
              <w:rPr>
                <w:rFonts w:hint="eastAsia" w:ascii="华文仿宋" w:hAnsi="华文仿宋" w:eastAsia="华文仿宋" w:cs="华文仿宋"/>
                <w:b w:val="0"/>
                <w:color w:val="auto"/>
                <w:sz w:val="24"/>
                <w:highlight w:val="none"/>
              </w:rPr>
              <w:t>磋商现场告知</w:t>
            </w:r>
          </w:p>
          <w:p w14:paraId="757C62F5">
            <w:pPr>
              <w:pStyle w:val="39"/>
              <w:widowControl w:val="0"/>
              <w:spacing w:before="0" w:beforeAutospacing="0" w:after="0" w:afterAutospacing="0" w:line="360" w:lineRule="auto"/>
              <w:jc w:val="both"/>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 w:val="0"/>
                <w:bCs w:val="0"/>
                <w:color w:val="auto"/>
                <w:kern w:val="2"/>
                <w:sz w:val="24"/>
                <w:szCs w:val="24"/>
                <w:highlight w:val="none"/>
                <w:lang w:eastAsia="zh-CN"/>
              </w:rPr>
              <w:t>☑</w:t>
            </w:r>
            <w:r>
              <w:rPr>
                <w:rFonts w:hint="eastAsia" w:ascii="华文仿宋" w:hAnsi="华文仿宋" w:eastAsia="华文仿宋" w:cs="华文仿宋"/>
                <w:b w:val="0"/>
                <w:bCs w:val="0"/>
                <w:color w:val="auto"/>
                <w:kern w:val="2"/>
                <w:sz w:val="24"/>
                <w:szCs w:val="24"/>
                <w:highlight w:val="none"/>
                <w:u w:val="single"/>
                <w:lang w:val="en-US" w:eastAsia="zh-CN"/>
              </w:rPr>
              <w:t>在竞争性磋商公告发布的网站同步发布结果公告</w:t>
            </w:r>
          </w:p>
        </w:tc>
      </w:tr>
      <w:tr w14:paraId="4D91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5DDAFEFB">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25</w:t>
            </w:r>
            <w:r>
              <w:rPr>
                <w:rFonts w:hint="eastAsia" w:ascii="华文仿宋" w:hAnsi="华文仿宋" w:eastAsia="华文仿宋" w:cs="华文仿宋"/>
                <w:bCs/>
                <w:color w:val="auto"/>
                <w:kern w:val="2"/>
                <w:highlight w:val="none"/>
              </w:rPr>
              <w:t>.1</w:t>
            </w:r>
          </w:p>
        </w:tc>
        <w:tc>
          <w:tcPr>
            <w:tcW w:w="1160" w:type="pct"/>
            <w:vAlign w:val="center"/>
          </w:tcPr>
          <w:p w14:paraId="52B44E3B">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履约保证金</w:t>
            </w:r>
          </w:p>
        </w:tc>
        <w:tc>
          <w:tcPr>
            <w:tcW w:w="3267" w:type="pct"/>
            <w:vAlign w:val="top"/>
          </w:tcPr>
          <w:p w14:paraId="7B8A77F9">
            <w:pPr>
              <w:spacing w:line="360" w:lineRule="auto"/>
              <w:rPr>
                <w:rFonts w:hint="eastAsia" w:ascii="华文仿宋" w:hAnsi="华文仿宋" w:eastAsia="华文仿宋" w:cs="华文仿宋"/>
                <w:bCs/>
                <w:color w:val="auto"/>
                <w:kern w:val="0"/>
                <w:sz w:val="24"/>
                <w:szCs w:val="28"/>
                <w:highlight w:val="none"/>
              </w:rPr>
            </w:pPr>
            <w:r>
              <w:rPr>
                <w:rFonts w:hint="eastAsia" w:ascii="华文仿宋" w:hAnsi="华文仿宋" w:eastAsia="华文仿宋" w:cs="华文仿宋"/>
                <w:bCs/>
                <w:color w:val="auto"/>
                <w:kern w:val="0"/>
                <w:sz w:val="24"/>
                <w:szCs w:val="28"/>
                <w:highlight w:val="none"/>
              </w:rPr>
              <w:t>（1）金额：</w:t>
            </w:r>
          </w:p>
          <w:p w14:paraId="2A2F1BF2">
            <w:pPr>
              <w:spacing w:line="360" w:lineRule="auto"/>
              <w:rPr>
                <w:rFonts w:hint="eastAsia" w:ascii="华文仿宋" w:hAnsi="华文仿宋" w:eastAsia="华文仿宋" w:cs="华文仿宋"/>
                <w:b/>
                <w:bCs/>
                <w:color w:val="auto"/>
                <w:kern w:val="0"/>
                <w:sz w:val="24"/>
                <w:szCs w:val="28"/>
                <w:highlight w:val="none"/>
                <w:lang w:val="en-US" w:eastAsia="zh-CN" w:bidi="ar-SA"/>
              </w:rPr>
            </w:pPr>
            <w:r>
              <w:rPr>
                <w:rFonts w:hint="eastAsia" w:ascii="华文仿宋" w:hAnsi="华文仿宋" w:eastAsia="华文仿宋" w:cs="华文仿宋"/>
                <w:bCs/>
                <w:color w:val="auto"/>
                <w:kern w:val="0"/>
                <w:sz w:val="24"/>
                <w:szCs w:val="28"/>
                <w:highlight w:val="none"/>
                <w:lang w:eastAsia="zh-CN"/>
              </w:rPr>
              <w:t>☑</w:t>
            </w:r>
            <w:r>
              <w:rPr>
                <w:rFonts w:hint="eastAsia" w:ascii="华文仿宋" w:hAnsi="华文仿宋" w:eastAsia="华文仿宋" w:cs="华文仿宋"/>
                <w:bCs/>
                <w:color w:val="auto"/>
                <w:kern w:val="0"/>
                <w:sz w:val="24"/>
                <w:szCs w:val="28"/>
                <w:highlight w:val="none"/>
              </w:rPr>
              <w:t>免收</w:t>
            </w:r>
          </w:p>
        </w:tc>
      </w:tr>
      <w:tr w14:paraId="30BE2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0B8FD1BF">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26</w:t>
            </w:r>
            <w:r>
              <w:rPr>
                <w:rFonts w:hint="eastAsia" w:ascii="华文仿宋" w:hAnsi="华文仿宋" w:eastAsia="华文仿宋" w:cs="华文仿宋"/>
                <w:bCs/>
                <w:color w:val="auto"/>
                <w:kern w:val="2"/>
                <w:highlight w:val="none"/>
              </w:rPr>
              <w:t>.1</w:t>
            </w:r>
          </w:p>
        </w:tc>
        <w:tc>
          <w:tcPr>
            <w:tcW w:w="1160" w:type="pct"/>
            <w:vAlign w:val="center"/>
          </w:tcPr>
          <w:p w14:paraId="44A589E4">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lang w:val="en-US" w:eastAsia="zh-CN"/>
              </w:rPr>
              <w:t>代理</w:t>
            </w:r>
            <w:r>
              <w:rPr>
                <w:rFonts w:hint="eastAsia" w:ascii="华文仿宋" w:hAnsi="华文仿宋" w:eastAsia="华文仿宋" w:cs="华文仿宋"/>
                <w:b w:val="0"/>
                <w:color w:val="auto"/>
                <w:sz w:val="24"/>
                <w:highlight w:val="none"/>
              </w:rPr>
              <w:t>费</w:t>
            </w:r>
            <w:r>
              <w:rPr>
                <w:rFonts w:hint="eastAsia" w:ascii="华文仿宋" w:hAnsi="华文仿宋" w:eastAsia="华文仿宋" w:cs="华文仿宋"/>
                <w:b w:val="0"/>
                <w:color w:val="auto"/>
                <w:sz w:val="24"/>
                <w:highlight w:val="none"/>
                <w:lang w:val="en-US" w:eastAsia="zh-CN"/>
              </w:rPr>
              <w:t>用</w:t>
            </w:r>
          </w:p>
        </w:tc>
        <w:tc>
          <w:tcPr>
            <w:tcW w:w="3267" w:type="pct"/>
            <w:vAlign w:val="center"/>
          </w:tcPr>
          <w:p w14:paraId="0EB462DD">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bCs/>
                <w:color w:val="auto"/>
                <w:kern w:val="0"/>
                <w:sz w:val="24"/>
                <w:szCs w:val="28"/>
                <w:highlight w:val="none"/>
                <w:lang w:eastAsia="zh-CN"/>
              </w:rPr>
              <w:t>（</w:t>
            </w:r>
            <w:r>
              <w:rPr>
                <w:rFonts w:hint="eastAsia" w:ascii="华文仿宋" w:hAnsi="华文仿宋" w:eastAsia="华文仿宋" w:cs="华文仿宋"/>
                <w:bCs/>
                <w:color w:val="auto"/>
                <w:kern w:val="0"/>
                <w:sz w:val="24"/>
                <w:szCs w:val="28"/>
                <w:highlight w:val="none"/>
                <w:lang w:val="en-US" w:eastAsia="zh-CN"/>
              </w:rPr>
              <w:t>1</w:t>
            </w:r>
            <w:r>
              <w:rPr>
                <w:rFonts w:hint="eastAsia" w:ascii="华文仿宋" w:hAnsi="华文仿宋" w:eastAsia="华文仿宋" w:cs="华文仿宋"/>
                <w:bCs/>
                <w:color w:val="auto"/>
                <w:kern w:val="0"/>
                <w:sz w:val="24"/>
                <w:szCs w:val="28"/>
                <w:highlight w:val="none"/>
                <w:lang w:eastAsia="zh-CN"/>
              </w:rPr>
              <w:t>）</w:t>
            </w:r>
            <w:r>
              <w:rPr>
                <w:rFonts w:hint="eastAsia" w:ascii="华文仿宋" w:hAnsi="华文仿宋" w:eastAsia="华文仿宋" w:cs="华文仿宋"/>
                <w:bCs/>
                <w:color w:val="auto"/>
                <w:kern w:val="0"/>
                <w:sz w:val="24"/>
                <w:szCs w:val="28"/>
                <w:highlight w:val="none"/>
              </w:rPr>
              <w:t>收费对象</w:t>
            </w:r>
            <w:r>
              <w:rPr>
                <w:rFonts w:hint="eastAsia" w:ascii="华文仿宋" w:hAnsi="华文仿宋" w:eastAsia="华文仿宋" w:cs="华文仿宋"/>
                <w:color w:val="auto"/>
                <w:spacing w:val="-12"/>
                <w:sz w:val="24"/>
                <w:szCs w:val="24"/>
                <w:highlight w:val="none"/>
              </w:rPr>
              <w:t>：</w:t>
            </w:r>
            <w:r>
              <w:rPr>
                <w:rFonts w:hint="eastAsia" w:ascii="华文仿宋" w:hAnsi="华文仿宋" w:eastAsia="华文仿宋" w:cs="华文仿宋"/>
                <w:bCs/>
                <w:color w:val="auto"/>
                <w:kern w:val="0"/>
                <w:sz w:val="24"/>
                <w:szCs w:val="28"/>
                <w:highlight w:val="none"/>
              </w:rPr>
              <w:sym w:font="Wingdings" w:char="00A8"/>
            </w:r>
            <w:r>
              <w:rPr>
                <w:rFonts w:hint="eastAsia" w:ascii="华文仿宋" w:hAnsi="华文仿宋" w:eastAsia="华文仿宋" w:cs="华文仿宋"/>
                <w:color w:val="auto"/>
                <w:spacing w:val="14"/>
                <w:sz w:val="24"/>
                <w:szCs w:val="24"/>
                <w:highlight w:val="none"/>
              </w:rPr>
              <w:t>采购人</w:t>
            </w:r>
            <w:r>
              <w:rPr>
                <w:rFonts w:hint="eastAsia" w:ascii="华文仿宋" w:hAnsi="华文仿宋" w:eastAsia="华文仿宋" w:cs="华文仿宋"/>
                <w:bCs/>
                <w:color w:val="auto"/>
                <w:kern w:val="0"/>
                <w:sz w:val="24"/>
                <w:szCs w:val="28"/>
                <w:highlight w:val="none"/>
              </w:rPr>
              <w:sym w:font="Wingdings" w:char="00FE"/>
            </w:r>
            <w:r>
              <w:rPr>
                <w:rFonts w:hint="eastAsia" w:ascii="华文仿宋" w:hAnsi="华文仿宋" w:eastAsia="华文仿宋" w:cs="华文仿宋"/>
                <w:color w:val="auto"/>
                <w:spacing w:val="14"/>
                <w:sz w:val="24"/>
                <w:szCs w:val="24"/>
                <w:highlight w:val="none"/>
                <w:lang w:val="en-US" w:eastAsia="zh-CN"/>
              </w:rPr>
              <w:t>成交供应商</w:t>
            </w:r>
          </w:p>
          <w:p w14:paraId="0EFF70DC">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华文仿宋" w:hAnsi="华文仿宋" w:eastAsia="华文仿宋" w:cs="华文仿宋"/>
                <w:bCs/>
                <w:color w:val="auto"/>
                <w:kern w:val="0"/>
                <w:sz w:val="24"/>
                <w:szCs w:val="28"/>
                <w:highlight w:val="none"/>
                <w:lang w:eastAsia="zh-CN"/>
              </w:rPr>
            </w:pPr>
            <w:r>
              <w:rPr>
                <w:rFonts w:hint="eastAsia" w:ascii="华文仿宋" w:hAnsi="华文仿宋" w:eastAsia="华文仿宋" w:cs="华文仿宋"/>
                <w:bCs/>
                <w:color w:val="auto"/>
                <w:kern w:val="0"/>
                <w:sz w:val="24"/>
                <w:szCs w:val="28"/>
                <w:highlight w:val="none"/>
              </w:rPr>
              <w:t>（2）收取方式</w:t>
            </w:r>
            <w:r>
              <w:rPr>
                <w:rFonts w:hint="eastAsia" w:ascii="华文仿宋" w:hAnsi="华文仿宋" w:eastAsia="华文仿宋" w:cs="华文仿宋"/>
                <w:color w:val="auto"/>
                <w:sz w:val="24"/>
                <w:szCs w:val="24"/>
                <w:highlight w:val="none"/>
              </w:rPr>
              <w:t>：</w:t>
            </w:r>
            <w:r>
              <w:rPr>
                <w:rFonts w:hint="eastAsia" w:ascii="华文仿宋" w:hAnsi="华文仿宋" w:eastAsia="华文仿宋" w:cs="华文仿宋"/>
                <w:color w:val="auto"/>
                <w:sz w:val="24"/>
                <w:szCs w:val="24"/>
                <w:highlight w:val="none"/>
                <w:u w:val="single" w:color="auto"/>
                <w:lang w:val="en-US" w:eastAsia="zh-CN"/>
              </w:rPr>
              <w:t>转账</w:t>
            </w:r>
          </w:p>
          <w:p w14:paraId="33BB9A41">
            <w:pPr>
              <w:pStyle w:val="39"/>
              <w:widowControl w:val="0"/>
              <w:spacing w:before="0" w:beforeAutospacing="0" w:after="0" w:afterAutospacing="0" w:line="360" w:lineRule="auto"/>
              <w:jc w:val="both"/>
              <w:rPr>
                <w:rFonts w:hint="eastAsia" w:ascii="华文仿宋" w:hAnsi="华文仿宋" w:eastAsia="华文仿宋" w:cs="华文仿宋"/>
                <w:color w:val="auto"/>
                <w:sz w:val="24"/>
                <w:szCs w:val="24"/>
                <w:highlight w:val="none"/>
                <w:u w:val="single" w:color="auto"/>
                <w:lang w:val="en-US" w:eastAsia="zh-CN"/>
              </w:rPr>
            </w:pPr>
            <w:r>
              <w:rPr>
                <w:rFonts w:hint="eastAsia" w:ascii="华文仿宋" w:hAnsi="华文仿宋" w:eastAsia="华文仿宋" w:cs="华文仿宋"/>
                <w:b w:val="0"/>
                <w:bCs w:val="0"/>
                <w:color w:val="auto"/>
                <w:kern w:val="0"/>
                <w:sz w:val="24"/>
                <w:szCs w:val="28"/>
                <w:highlight w:val="none"/>
              </w:rPr>
              <w:t>（3）</w:t>
            </w:r>
            <w:r>
              <w:rPr>
                <w:rFonts w:hint="eastAsia" w:ascii="华文仿宋" w:hAnsi="华文仿宋" w:eastAsia="华文仿宋" w:cs="华文仿宋"/>
                <w:b w:val="0"/>
                <w:bCs/>
                <w:color w:val="auto"/>
                <w:kern w:val="0"/>
                <w:sz w:val="24"/>
                <w:szCs w:val="28"/>
                <w:highlight w:val="none"/>
                <w:lang w:val="en-US" w:eastAsia="zh-CN" w:bidi="ar-SA"/>
              </w:rPr>
              <w:t>收费标准：</w:t>
            </w:r>
            <w:r>
              <w:rPr>
                <w:rFonts w:hint="eastAsia" w:ascii="华文仿宋" w:hAnsi="华文仿宋" w:eastAsia="华文仿宋" w:cs="华文仿宋"/>
                <w:color w:val="auto"/>
                <w:sz w:val="24"/>
                <w:szCs w:val="24"/>
                <w:highlight w:val="none"/>
                <w:u w:val="single" w:color="auto"/>
                <w:lang w:val="en-US" w:eastAsia="zh-CN"/>
              </w:rPr>
              <w:t>3</w:t>
            </w:r>
            <w:r>
              <w:rPr>
                <w:rFonts w:hint="eastAsia" w:ascii="华文仿宋" w:hAnsi="华文仿宋" w:eastAsia="华文仿宋" w:cs="华文仿宋"/>
                <w:color w:val="auto"/>
                <w:sz w:val="24"/>
                <w:szCs w:val="24"/>
                <w:highlight w:val="none"/>
                <w:u w:val="single" w:color="auto"/>
              </w:rPr>
              <w:t>000元</w:t>
            </w:r>
            <w:r>
              <w:rPr>
                <w:rFonts w:hint="eastAsia" w:ascii="华文仿宋" w:hAnsi="华文仿宋" w:eastAsia="华文仿宋" w:cs="华文仿宋"/>
                <w:color w:val="auto"/>
                <w:sz w:val="24"/>
                <w:szCs w:val="24"/>
                <w:highlight w:val="none"/>
                <w:u w:val="single" w:color="auto"/>
                <w:lang w:eastAsia="zh-CN"/>
              </w:rPr>
              <w:t>；</w:t>
            </w:r>
            <w:r>
              <w:rPr>
                <w:rFonts w:hint="eastAsia" w:ascii="华文仿宋" w:hAnsi="华文仿宋" w:eastAsia="华文仿宋" w:cs="华文仿宋"/>
                <w:color w:val="auto"/>
                <w:sz w:val="24"/>
                <w:szCs w:val="24"/>
                <w:highlight w:val="none"/>
                <w:u w:val="single" w:color="auto"/>
                <w:lang w:val="en-US" w:eastAsia="zh-CN"/>
              </w:rPr>
              <w:t>评审费由采购人支付。</w:t>
            </w:r>
          </w:p>
        </w:tc>
      </w:tr>
      <w:tr w14:paraId="7036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76347D80">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sz w:val="24"/>
                <w:szCs w:val="20"/>
                <w:highlight w:val="none"/>
                <w:lang w:val="en-US" w:eastAsia="zh-CN" w:bidi="ar-SA"/>
              </w:rPr>
            </w:pPr>
            <w:r>
              <w:rPr>
                <w:rFonts w:hint="eastAsia" w:ascii="华文仿宋" w:hAnsi="华文仿宋" w:eastAsia="华文仿宋" w:cs="华文仿宋"/>
                <w:bCs/>
                <w:color w:val="auto"/>
                <w:kern w:val="2"/>
                <w:highlight w:val="none"/>
                <w:lang w:val="en-US" w:eastAsia="zh-CN"/>
              </w:rPr>
              <w:t>27.1</w:t>
            </w:r>
          </w:p>
        </w:tc>
        <w:tc>
          <w:tcPr>
            <w:tcW w:w="1160" w:type="pct"/>
            <w:vAlign w:val="center"/>
          </w:tcPr>
          <w:p w14:paraId="357F2951">
            <w:pPr>
              <w:pStyle w:val="39"/>
              <w:widowControl w:val="0"/>
              <w:spacing w:before="0" w:beforeAutospacing="0" w:after="0" w:afterAutospacing="0" w:line="360" w:lineRule="auto"/>
              <w:jc w:val="both"/>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 w:val="0"/>
                <w:color w:val="auto"/>
                <w:sz w:val="24"/>
                <w:highlight w:val="none"/>
                <w:lang w:val="en-US" w:eastAsia="zh-CN"/>
              </w:rPr>
              <w:t>签订合同和合同公告时间</w:t>
            </w:r>
          </w:p>
        </w:tc>
        <w:tc>
          <w:tcPr>
            <w:tcW w:w="3267" w:type="pct"/>
            <w:vAlign w:val="center"/>
          </w:tcPr>
          <w:p w14:paraId="6DDDCAF0">
            <w:pPr>
              <w:pStyle w:val="39"/>
              <w:widowControl w:val="0"/>
              <w:spacing w:before="0" w:beforeAutospacing="0" w:after="0" w:afterAutospacing="0" w:line="360" w:lineRule="auto"/>
              <w:jc w:val="both"/>
              <w:rPr>
                <w:rFonts w:hint="eastAsia" w:ascii="华文仿宋" w:hAnsi="华文仿宋" w:eastAsia="华文仿宋" w:cs="华文仿宋"/>
                <w:b/>
                <w:bCs w:val="0"/>
                <w:color w:val="auto"/>
                <w:sz w:val="24"/>
                <w:highlight w:val="none"/>
                <w:lang w:val="en-US" w:eastAsia="zh-CN"/>
              </w:rPr>
            </w:pPr>
            <w:r>
              <w:rPr>
                <w:rFonts w:hint="eastAsia" w:ascii="华文仿宋" w:hAnsi="华文仿宋" w:eastAsia="华文仿宋" w:cs="华文仿宋"/>
                <w:b/>
                <w:bCs w:val="0"/>
                <w:color w:val="auto"/>
                <w:sz w:val="24"/>
                <w:highlight w:val="none"/>
                <w:lang w:val="en-US" w:eastAsia="zh-CN"/>
              </w:rPr>
              <w:t>（1）采购人与成交供应商应当自发出成交通知书之日起7个工作日内签订合同。</w:t>
            </w:r>
          </w:p>
          <w:p w14:paraId="438A122E">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lang w:val="en-US" w:eastAsia="zh-CN"/>
              </w:rPr>
            </w:pPr>
            <w:r>
              <w:rPr>
                <w:rFonts w:hint="eastAsia" w:ascii="华文仿宋" w:hAnsi="华文仿宋" w:eastAsia="华文仿宋" w:cs="华文仿宋"/>
                <w:b/>
                <w:bCs w:val="0"/>
                <w:color w:val="auto"/>
                <w:sz w:val="24"/>
                <w:szCs w:val="24"/>
                <w:highlight w:val="none"/>
              </w:rPr>
              <w:t>（2）采购人与</w:t>
            </w:r>
            <w:r>
              <w:rPr>
                <w:rFonts w:hint="eastAsia" w:ascii="华文仿宋" w:hAnsi="华文仿宋" w:eastAsia="华文仿宋" w:cs="华文仿宋"/>
                <w:b/>
                <w:bCs w:val="0"/>
                <w:color w:val="auto"/>
                <w:sz w:val="24"/>
                <w:highlight w:val="none"/>
                <w:lang w:val="en-US" w:eastAsia="zh-CN"/>
              </w:rPr>
              <w:t>成交供应商</w:t>
            </w:r>
            <w:r>
              <w:rPr>
                <w:rFonts w:hint="eastAsia" w:ascii="华文仿宋" w:hAnsi="华文仿宋" w:eastAsia="华文仿宋" w:cs="华文仿宋"/>
                <w:color w:val="auto"/>
                <w:sz w:val="24"/>
                <w:szCs w:val="24"/>
                <w:highlight w:val="none"/>
              </w:rPr>
              <w:t>不得擅自变更合同，依照政府采购法确需变更政府采购合同内容的，采购人应当发布政府采购合同变更公告，但涉及国家秘密、商业秘密的信息和其他依法不得公开的信息除外。</w:t>
            </w:r>
          </w:p>
        </w:tc>
      </w:tr>
      <w:tr w14:paraId="679B7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05CD9514">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lang w:eastAsia="zh-CN"/>
              </w:rPr>
            </w:pPr>
            <w:r>
              <w:rPr>
                <w:rFonts w:hint="eastAsia" w:ascii="华文仿宋" w:hAnsi="华文仿宋" w:eastAsia="华文仿宋" w:cs="华文仿宋"/>
                <w:bCs/>
                <w:color w:val="auto"/>
                <w:kern w:val="2"/>
                <w:highlight w:val="none"/>
                <w:lang w:val="en-US" w:eastAsia="zh-CN"/>
              </w:rPr>
              <w:t>29.3</w:t>
            </w:r>
          </w:p>
        </w:tc>
        <w:tc>
          <w:tcPr>
            <w:tcW w:w="1160" w:type="pct"/>
            <w:vAlign w:val="center"/>
          </w:tcPr>
          <w:p w14:paraId="1C385EF5">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质疑函递交方式</w:t>
            </w:r>
          </w:p>
        </w:tc>
        <w:tc>
          <w:tcPr>
            <w:tcW w:w="3267" w:type="pct"/>
            <w:vAlign w:val="center"/>
          </w:tcPr>
          <w:p w14:paraId="663E68BA">
            <w:pPr>
              <w:pStyle w:val="39"/>
              <w:widowControl w:val="0"/>
              <w:spacing w:before="0" w:beforeAutospacing="0" w:after="0" w:afterAutospacing="0" w:line="360" w:lineRule="auto"/>
              <w:jc w:val="both"/>
              <w:rPr>
                <w:rFonts w:hint="eastAsia" w:ascii="华文仿宋" w:hAnsi="华文仿宋" w:eastAsia="华文仿宋" w:cs="华文仿宋"/>
                <w:b w:val="0"/>
                <w:bCs/>
                <w:color w:val="auto"/>
                <w:kern w:val="0"/>
                <w:sz w:val="24"/>
                <w:szCs w:val="28"/>
                <w:highlight w:val="none"/>
                <w:lang w:val="en-US" w:eastAsia="zh-CN" w:bidi="ar-SA"/>
              </w:rPr>
            </w:pPr>
            <w:r>
              <w:rPr>
                <w:rFonts w:hint="eastAsia" w:ascii="华文仿宋" w:hAnsi="华文仿宋" w:eastAsia="华文仿宋" w:cs="华文仿宋"/>
                <w:b w:val="0"/>
                <w:bCs/>
                <w:color w:val="auto"/>
                <w:kern w:val="0"/>
                <w:sz w:val="24"/>
                <w:szCs w:val="28"/>
                <w:highlight w:val="none"/>
                <w:lang w:val="en-US" w:eastAsia="zh-CN" w:bidi="ar-SA"/>
              </w:rPr>
              <w:t>如供应商对采购文件有疑问，请于2026年11月05日12时前将疑问以电子邮件形式发送到邮箱（czsctgczx@163.com）。</w:t>
            </w:r>
          </w:p>
        </w:tc>
      </w:tr>
      <w:tr w14:paraId="711E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2" w:type="dxa"/>
            <w:vAlign w:val="center"/>
          </w:tcPr>
          <w:p w14:paraId="056CCF51">
            <w:pPr>
              <w:pStyle w:val="40"/>
              <w:pBdr>
                <w:bottom w:val="none" w:color="auto" w:sz="0" w:space="0"/>
              </w:pBdr>
              <w:tabs>
                <w:tab w:val="clear" w:pos="4153"/>
                <w:tab w:val="clear" w:pos="8306"/>
              </w:tabs>
              <w:adjustRightInd/>
              <w:spacing w:line="36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lang w:val="en-US" w:eastAsia="zh-CN"/>
              </w:rPr>
              <w:t>30</w:t>
            </w:r>
          </w:p>
        </w:tc>
        <w:tc>
          <w:tcPr>
            <w:tcW w:w="1160" w:type="pct"/>
            <w:vAlign w:val="center"/>
          </w:tcPr>
          <w:p w14:paraId="430E1278">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其他内容</w:t>
            </w:r>
          </w:p>
        </w:tc>
        <w:tc>
          <w:tcPr>
            <w:tcW w:w="6274" w:type="dxa"/>
            <w:vAlign w:val="center"/>
          </w:tcPr>
          <w:p w14:paraId="3270A5D5">
            <w:pPr>
              <w:spacing w:line="360" w:lineRule="auto"/>
              <w:rPr>
                <w:rFonts w:hint="eastAsia" w:ascii="华文仿宋" w:hAnsi="华文仿宋" w:eastAsia="华文仿宋" w:cs="华文仿宋"/>
                <w:bCs/>
                <w:color w:val="auto"/>
                <w:sz w:val="24"/>
                <w:szCs w:val="24"/>
                <w:highlight w:val="none"/>
                <w:lang w:val="en-US" w:eastAsia="zh-CN"/>
              </w:rPr>
            </w:pPr>
            <w:r>
              <w:rPr>
                <w:rFonts w:hint="eastAsia" w:ascii="华文仿宋" w:hAnsi="华文仿宋" w:eastAsia="华文仿宋" w:cs="华文仿宋"/>
                <w:bCs/>
                <w:color w:val="auto"/>
                <w:sz w:val="24"/>
                <w:szCs w:val="24"/>
                <w:highlight w:val="none"/>
                <w:lang w:val="en-US" w:eastAsia="zh-CN"/>
              </w:rPr>
              <w:t>1.解释权</w:t>
            </w:r>
          </w:p>
          <w:p w14:paraId="11CCEDF6">
            <w:pPr>
              <w:spacing w:line="360" w:lineRule="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（1）构成本磋商文件的各个组成文件应互为解释，互为说明；</w:t>
            </w:r>
          </w:p>
          <w:p w14:paraId="48C2BC3A">
            <w:pPr>
              <w:spacing w:line="360" w:lineRule="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（2）同一组成文件中就同一事项的规定或约定不一致的，以编排顺序在后者为准；</w:t>
            </w:r>
          </w:p>
          <w:p w14:paraId="7D200390">
            <w:pPr>
              <w:spacing w:line="360" w:lineRule="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（3）如有不明确或不一致，构成合同文件组成内容的，以合同文件约定内容为准，且以专用合同条款约定的合同文件优先顺序解释；</w:t>
            </w:r>
          </w:p>
          <w:p w14:paraId="2DAB7732">
            <w:pPr>
              <w:spacing w:line="360" w:lineRule="auto"/>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（4）除磋商文件中有特别规定外，仅适用于磋商及响应文件提交阶段的规定，按竞争性磋商公告、磋商邀请、供应商须知、评审方法和标准、响应文件格式的先后顺序解释；</w:t>
            </w:r>
          </w:p>
          <w:p w14:paraId="5CD84C35">
            <w:pPr>
              <w:spacing w:line="360" w:lineRule="auto"/>
              <w:rPr>
                <w:rFonts w:hint="eastAsia" w:ascii="华文仿宋" w:hAnsi="华文仿宋" w:eastAsia="华文仿宋" w:cs="华文仿宋"/>
                <w:bCs/>
                <w:color w:val="auto"/>
                <w:kern w:val="2"/>
                <w:sz w:val="24"/>
                <w:szCs w:val="24"/>
                <w:highlight w:val="none"/>
                <w:lang w:val="en-US" w:eastAsia="zh-CN" w:bidi="ar-SA"/>
              </w:rPr>
            </w:pPr>
            <w:r>
              <w:rPr>
                <w:rFonts w:hint="eastAsia" w:ascii="华文仿宋" w:hAnsi="华文仿宋" w:eastAsia="华文仿宋" w:cs="华文仿宋"/>
                <w:bCs/>
                <w:color w:val="auto"/>
                <w:sz w:val="24"/>
                <w:szCs w:val="24"/>
                <w:highlight w:val="none"/>
              </w:rPr>
              <w:t>（5）按本款前述规定仍不能形成结论的，由采购人负责解释。</w:t>
            </w:r>
          </w:p>
        </w:tc>
      </w:tr>
    </w:tbl>
    <w:p w14:paraId="460904D9">
      <w:pPr>
        <w:spacing w:line="360" w:lineRule="auto"/>
        <w:jc w:val="center"/>
        <w:outlineLvl w:val="1"/>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8"/>
          <w:highlight w:val="none"/>
        </w:rPr>
        <w:br w:type="page"/>
      </w:r>
      <w:bookmarkStart w:id="28" w:name="_Toc27470"/>
      <w:bookmarkStart w:id="29" w:name="_Toc14293"/>
      <w:r>
        <w:rPr>
          <w:rFonts w:hint="eastAsia" w:ascii="华文仿宋" w:hAnsi="华文仿宋" w:eastAsia="华文仿宋" w:cs="华文仿宋"/>
          <w:b/>
          <w:color w:val="auto"/>
          <w:sz w:val="24"/>
          <w:highlight w:val="none"/>
        </w:rPr>
        <w:t>二、供应商须知正文</w:t>
      </w:r>
      <w:bookmarkEnd w:id="28"/>
      <w:bookmarkEnd w:id="29"/>
    </w:p>
    <w:p w14:paraId="0E3E51DF">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1</w:t>
      </w:r>
      <w:r>
        <w:rPr>
          <w:rFonts w:hint="eastAsia" w:ascii="华文仿宋" w:hAnsi="华文仿宋" w:eastAsia="华文仿宋" w:cs="华文仿宋"/>
          <w:b/>
          <w:color w:val="auto"/>
          <w:sz w:val="24"/>
          <w:highlight w:val="none"/>
        </w:rPr>
        <w:t>.采购人、采购代理机构及供应商</w:t>
      </w:r>
    </w:p>
    <w:p w14:paraId="0DCAFBE6">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.1采购人：是指依法开展政府采购活动的国家机关、事业单位、团体组织。</w:t>
      </w:r>
    </w:p>
    <w:p w14:paraId="05952ED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.2采购代理机构：是指集中采购机构或从事采购代理业务的社会中介机构。</w:t>
      </w:r>
    </w:p>
    <w:p w14:paraId="56777B4E">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.3政府采购监督管理部门：各级人民政府指定的有关部门依法履行与政府采购活动有关的监督管理职责。</w:t>
      </w:r>
    </w:p>
    <w:p w14:paraId="28ED0CD0">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.4供应商：是指向采购人提供货物、工程或者服务的法人、</w:t>
      </w:r>
      <w:r>
        <w:rPr>
          <w:rFonts w:hint="eastAsia" w:ascii="华文仿宋" w:hAnsi="华文仿宋" w:eastAsia="华文仿宋" w:cs="华文仿宋"/>
          <w:color w:val="auto"/>
          <w:sz w:val="24"/>
          <w:highlight w:val="none"/>
          <w:lang w:val="en-US" w:eastAsia="zh-CN"/>
        </w:rPr>
        <w:t>其他</w:t>
      </w:r>
      <w:r>
        <w:rPr>
          <w:rFonts w:hint="eastAsia" w:ascii="华文仿宋" w:hAnsi="华文仿宋" w:eastAsia="华文仿宋" w:cs="华文仿宋"/>
          <w:color w:val="auto"/>
          <w:sz w:val="24"/>
          <w:highlight w:val="none"/>
        </w:rPr>
        <w:t>组织或者自然人。分支机构不得参加政府采购活动，但银行、保险、石油石化、电力、电信等特殊行业除外。本项目的供应商及其所投货物须满足以下条件：</w:t>
      </w:r>
    </w:p>
    <w:p w14:paraId="43947823">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eastAsia="zh-CN"/>
        </w:rPr>
        <w:t>1.</w:t>
      </w:r>
      <w:r>
        <w:rPr>
          <w:rFonts w:hint="eastAsia" w:ascii="华文仿宋" w:hAnsi="华文仿宋" w:eastAsia="华文仿宋" w:cs="华文仿宋"/>
          <w:color w:val="auto"/>
          <w:sz w:val="24"/>
          <w:highlight w:val="none"/>
        </w:rPr>
        <w:t>4.</w:t>
      </w: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具备《中华人民共和国政府采购法》第二十二条关于供应商条件的规定，遵守本项目采购人本级和上级财政部门政府采购的有关规定。</w:t>
      </w:r>
    </w:p>
    <w:p w14:paraId="4641A812">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eastAsia="zh-CN"/>
        </w:rPr>
        <w:t>1.</w:t>
      </w:r>
      <w:r>
        <w:rPr>
          <w:rFonts w:hint="eastAsia" w:ascii="华文仿宋" w:hAnsi="华文仿宋" w:eastAsia="华文仿宋" w:cs="华文仿宋"/>
          <w:color w:val="auto"/>
          <w:sz w:val="24"/>
          <w:highlight w:val="none"/>
        </w:rPr>
        <w:t>4.</w:t>
      </w:r>
      <w:r>
        <w:rPr>
          <w:rFonts w:hint="eastAsia" w:ascii="华文仿宋" w:hAnsi="华文仿宋" w:eastAsia="华文仿宋" w:cs="华文仿宋"/>
          <w:color w:val="auto"/>
          <w:sz w:val="24"/>
          <w:highlight w:val="none"/>
          <w:lang w:val="en-US" w:eastAsia="zh-CN"/>
        </w:rPr>
        <w:t>2</w:t>
      </w:r>
      <w:r>
        <w:rPr>
          <w:rFonts w:hint="eastAsia" w:ascii="华文仿宋" w:hAnsi="华文仿宋" w:eastAsia="华文仿宋" w:cs="华文仿宋"/>
          <w:color w:val="auto"/>
          <w:sz w:val="24"/>
          <w:highlight w:val="none"/>
        </w:rPr>
        <w:t>以采购代理机构认可的方式获得了本项目的</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w:t>
      </w:r>
    </w:p>
    <w:p w14:paraId="10959CB3">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eastAsia="zh-CN"/>
        </w:rPr>
        <w:t>1.</w:t>
      </w:r>
      <w:r>
        <w:rPr>
          <w:rFonts w:hint="eastAsia" w:ascii="华文仿宋" w:hAnsi="华文仿宋" w:eastAsia="华文仿宋" w:cs="华文仿宋"/>
          <w:color w:val="auto"/>
          <w:sz w:val="24"/>
          <w:highlight w:val="none"/>
        </w:rPr>
        <w:t>4.</w:t>
      </w:r>
      <w:r>
        <w:rPr>
          <w:rFonts w:hint="eastAsia" w:ascii="华文仿宋" w:hAnsi="华文仿宋" w:eastAsia="华文仿宋" w:cs="华文仿宋"/>
          <w:color w:val="auto"/>
          <w:sz w:val="24"/>
          <w:highlight w:val="none"/>
          <w:lang w:val="en-US" w:eastAsia="zh-CN"/>
        </w:rPr>
        <w:t>3</w:t>
      </w:r>
      <w:r>
        <w:rPr>
          <w:rFonts w:hint="eastAsia" w:ascii="华文仿宋" w:hAnsi="华文仿宋" w:eastAsia="华文仿宋" w:cs="华文仿宋"/>
          <w:color w:val="auto"/>
          <w:sz w:val="24"/>
          <w:highlight w:val="none"/>
        </w:rPr>
        <w:t>若</w:t>
      </w:r>
      <w:r>
        <w:rPr>
          <w:rFonts w:hint="eastAsia" w:ascii="华文仿宋" w:hAnsi="华文仿宋" w:eastAsia="华文仿宋" w:cs="华文仿宋"/>
          <w:color w:val="auto"/>
          <w:sz w:val="24"/>
          <w:highlight w:val="none"/>
          <w:lang w:eastAsia="zh-CN"/>
        </w:rPr>
        <w:t>采购需求</w:t>
      </w:r>
      <w:r>
        <w:rPr>
          <w:rFonts w:hint="eastAsia" w:ascii="华文仿宋" w:hAnsi="华文仿宋" w:eastAsia="华文仿宋" w:cs="华文仿宋"/>
          <w:color w:val="auto"/>
          <w:sz w:val="24"/>
          <w:highlight w:val="none"/>
        </w:rPr>
        <w:t>中写明允许采购进口产品，</w:t>
      </w:r>
      <w:r>
        <w:rPr>
          <w:rFonts w:hint="eastAsia" w:ascii="华文仿宋" w:hAnsi="华文仿宋" w:eastAsia="华文仿宋" w:cs="华文仿宋"/>
          <w:color w:val="auto"/>
          <w:sz w:val="24"/>
          <w:highlight w:val="none"/>
          <w:lang w:val="en-US" w:eastAsia="zh-CN"/>
        </w:rPr>
        <w:t>供应商</w:t>
      </w:r>
      <w:r>
        <w:rPr>
          <w:rFonts w:hint="eastAsia" w:ascii="华文仿宋" w:hAnsi="华文仿宋" w:eastAsia="华文仿宋" w:cs="华文仿宋"/>
          <w:color w:val="auto"/>
          <w:sz w:val="24"/>
          <w:highlight w:val="none"/>
        </w:rPr>
        <w:t>应保证所投产品可履行合法报通关手续进入中国关境内。</w:t>
      </w:r>
    </w:p>
    <w:p w14:paraId="261E25B8">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若</w:t>
      </w:r>
      <w:r>
        <w:rPr>
          <w:rFonts w:hint="eastAsia" w:ascii="华文仿宋" w:hAnsi="华文仿宋" w:eastAsia="华文仿宋" w:cs="华文仿宋"/>
          <w:color w:val="auto"/>
          <w:sz w:val="24"/>
          <w:highlight w:val="none"/>
          <w:lang w:eastAsia="zh-CN"/>
        </w:rPr>
        <w:t>采购需求</w:t>
      </w:r>
      <w:r>
        <w:rPr>
          <w:rFonts w:hint="eastAsia" w:ascii="华文仿宋" w:hAnsi="华文仿宋" w:eastAsia="华文仿宋" w:cs="华文仿宋"/>
          <w:color w:val="auto"/>
          <w:sz w:val="24"/>
          <w:highlight w:val="none"/>
        </w:rPr>
        <w:t>中未写明允许采购进口产品，如供应商所投产品为进口产品，其响应文件将被认定为</w:t>
      </w:r>
      <w:r>
        <w:rPr>
          <w:rFonts w:hint="eastAsia" w:ascii="华文仿宋" w:hAnsi="华文仿宋" w:eastAsia="华文仿宋" w:cs="华文仿宋"/>
          <w:b/>
          <w:color w:val="auto"/>
          <w:sz w:val="24"/>
          <w:highlight w:val="none"/>
        </w:rPr>
        <w:t>响应无效</w:t>
      </w:r>
      <w:r>
        <w:rPr>
          <w:rFonts w:hint="eastAsia" w:ascii="华文仿宋" w:hAnsi="华文仿宋" w:eastAsia="华文仿宋" w:cs="华文仿宋"/>
          <w:color w:val="auto"/>
          <w:sz w:val="24"/>
          <w:highlight w:val="none"/>
        </w:rPr>
        <w:t>。</w:t>
      </w:r>
    </w:p>
    <w:p w14:paraId="527AF54B">
      <w:pPr>
        <w:spacing w:line="360" w:lineRule="auto"/>
        <w:ind w:firstLine="435"/>
        <w:rPr>
          <w:rFonts w:hint="eastAsia" w:ascii="华文仿宋" w:hAnsi="华文仿宋" w:eastAsia="华文仿宋" w:cs="华文仿宋"/>
          <w:b/>
          <w:bCs w:val="0"/>
          <w:color w:val="auto"/>
          <w:sz w:val="24"/>
          <w:highlight w:val="none"/>
          <w:lang w:eastAsia="zh-CN"/>
        </w:rPr>
      </w:pPr>
      <w:bookmarkStart w:id="30" w:name="_Hlk60607583"/>
      <w:r>
        <w:rPr>
          <w:rFonts w:hint="eastAsia" w:ascii="华文仿宋" w:hAnsi="华文仿宋" w:eastAsia="华文仿宋" w:cs="华文仿宋"/>
          <w:bCs/>
          <w:color w:val="auto"/>
          <w:kern w:val="0"/>
          <w:sz w:val="24"/>
          <w:szCs w:val="28"/>
          <w:highlight w:val="none"/>
          <w:lang w:val="en-US" w:eastAsia="zh-CN"/>
        </w:rPr>
        <w:t>1</w:t>
      </w:r>
      <w:r>
        <w:rPr>
          <w:rFonts w:hint="eastAsia" w:ascii="华文仿宋" w:hAnsi="华文仿宋" w:eastAsia="华文仿宋" w:cs="华文仿宋"/>
          <w:bCs/>
          <w:color w:val="auto"/>
          <w:kern w:val="0"/>
          <w:sz w:val="24"/>
          <w:szCs w:val="28"/>
          <w:highlight w:val="none"/>
        </w:rPr>
        <w:t>.5若竞争性磋商公告中允许联合体参加磋商，对联合体规定如下：</w:t>
      </w:r>
      <w:r>
        <w:rPr>
          <w:rFonts w:hint="eastAsia" w:ascii="华文仿宋" w:hAnsi="华文仿宋" w:eastAsia="华文仿宋" w:cs="华文仿宋"/>
          <w:b/>
          <w:bCs w:val="0"/>
          <w:color w:val="auto"/>
          <w:kern w:val="0"/>
          <w:sz w:val="24"/>
          <w:szCs w:val="28"/>
          <w:highlight w:val="none"/>
          <w:lang w:eastAsia="zh-CN"/>
        </w:rPr>
        <w:t>（</w:t>
      </w:r>
      <w:r>
        <w:rPr>
          <w:rFonts w:hint="eastAsia" w:ascii="华文仿宋" w:hAnsi="华文仿宋" w:eastAsia="华文仿宋" w:cs="华文仿宋"/>
          <w:b/>
          <w:bCs w:val="0"/>
          <w:color w:val="auto"/>
          <w:kern w:val="0"/>
          <w:sz w:val="24"/>
          <w:szCs w:val="28"/>
          <w:highlight w:val="none"/>
          <w:lang w:val="en-US" w:eastAsia="zh-CN"/>
        </w:rPr>
        <w:t>本项目不接受</w:t>
      </w:r>
      <w:r>
        <w:rPr>
          <w:rFonts w:hint="eastAsia" w:ascii="华文仿宋" w:hAnsi="华文仿宋" w:eastAsia="华文仿宋" w:cs="华文仿宋"/>
          <w:b/>
          <w:bCs w:val="0"/>
          <w:color w:val="auto"/>
          <w:kern w:val="0"/>
          <w:sz w:val="24"/>
          <w:szCs w:val="28"/>
          <w:highlight w:val="none"/>
          <w:lang w:eastAsia="zh-CN"/>
        </w:rPr>
        <w:t>）</w:t>
      </w:r>
    </w:p>
    <w:bookmarkEnd w:id="30"/>
    <w:p w14:paraId="0A5BEF3E">
      <w:pPr>
        <w:spacing w:line="360" w:lineRule="auto"/>
        <w:ind w:firstLine="435"/>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.5.1两个以上供应商可以组成一个磋商联合体，以一个供应商的身份磋商。</w:t>
      </w:r>
      <w:r>
        <w:rPr>
          <w:rFonts w:hint="eastAsia" w:ascii="华文仿宋" w:hAnsi="华文仿宋" w:eastAsia="华文仿宋" w:cs="华文仿宋"/>
          <w:b w:val="0"/>
          <w:color w:val="auto"/>
          <w:sz w:val="24"/>
          <w:highlight w:val="none"/>
        </w:rPr>
        <w:t>联合体参加磋商的，磋商文件获取手续由联合体中任一成员单位办理均可。</w:t>
      </w:r>
    </w:p>
    <w:p w14:paraId="15317D4C">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.5.2联合体各方均应符合《中华人民共和国政府采购法》第二十二条规定的条件。</w:t>
      </w:r>
    </w:p>
    <w:p w14:paraId="16923DC4">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.5.3采购人根据采购项目对供应商的特殊要求，联合体中至少应当有一方符合相关规定。</w:t>
      </w:r>
    </w:p>
    <w:p w14:paraId="75A7D5BE">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.5.4联合体各方应签订联合协议，明确约定联合体各方承担的工作和相应的责任，并将联合协议作为响应文件的一部分提交。</w:t>
      </w:r>
    </w:p>
    <w:p w14:paraId="2C01C86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.5.5大中型企业、其他自然人、法人或者非法人组织与小型、微型企业组成联合体共同参加磋商，联合协议中应写明小型、微型企业的协议合同金额占到联合协议合同总金额的比例。</w:t>
      </w:r>
    </w:p>
    <w:p w14:paraId="704369B4">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.5.6联合体中有同类资质的供应商按照联合体分工承担相同工作的，应当按照资质等级较低的供应商确定资质等级。</w:t>
      </w:r>
    </w:p>
    <w:p w14:paraId="6D28F50D">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.5.7以联合体形式参加政府采购活动的，联合体各方不得再单独参加或者与其他供应商另外组成联合体参加本项目磋商，否则相关响应文件将被认定为</w:t>
      </w:r>
      <w:r>
        <w:rPr>
          <w:rFonts w:hint="eastAsia" w:ascii="华文仿宋" w:hAnsi="华文仿宋" w:eastAsia="华文仿宋" w:cs="华文仿宋"/>
          <w:b/>
          <w:color w:val="auto"/>
          <w:sz w:val="24"/>
          <w:highlight w:val="none"/>
        </w:rPr>
        <w:t>响应无效</w:t>
      </w:r>
      <w:r>
        <w:rPr>
          <w:rFonts w:hint="eastAsia" w:ascii="华文仿宋" w:hAnsi="华文仿宋" w:eastAsia="华文仿宋" w:cs="华文仿宋"/>
          <w:color w:val="auto"/>
          <w:sz w:val="24"/>
          <w:highlight w:val="none"/>
        </w:rPr>
        <w:t>。</w:t>
      </w:r>
    </w:p>
    <w:p w14:paraId="6393E35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.5.8对联合体参加磋商的其他资格要求见</w:t>
      </w:r>
      <w:r>
        <w:rPr>
          <w:rFonts w:hint="eastAsia" w:ascii="华文仿宋" w:hAnsi="华文仿宋" w:eastAsia="华文仿宋" w:cs="华文仿宋"/>
          <w:color w:val="auto"/>
          <w:sz w:val="24"/>
          <w:highlight w:val="none"/>
          <w:lang w:val="en-US" w:eastAsia="zh-CN"/>
        </w:rPr>
        <w:t>申请人的</w:t>
      </w:r>
      <w:r>
        <w:rPr>
          <w:rFonts w:hint="eastAsia" w:ascii="华文仿宋" w:hAnsi="华文仿宋" w:eastAsia="华文仿宋" w:cs="华文仿宋"/>
          <w:color w:val="auto"/>
          <w:sz w:val="24"/>
          <w:highlight w:val="none"/>
        </w:rPr>
        <w:t>资格</w:t>
      </w:r>
      <w:r>
        <w:rPr>
          <w:rFonts w:hint="eastAsia" w:ascii="华文仿宋" w:hAnsi="华文仿宋" w:eastAsia="华文仿宋" w:cs="华文仿宋"/>
          <w:color w:val="auto"/>
          <w:sz w:val="24"/>
          <w:highlight w:val="none"/>
          <w:lang w:val="en-US" w:eastAsia="zh-CN"/>
        </w:rPr>
        <w:t>要求</w:t>
      </w:r>
      <w:r>
        <w:rPr>
          <w:rFonts w:hint="eastAsia" w:ascii="华文仿宋" w:hAnsi="华文仿宋" w:eastAsia="华文仿宋" w:cs="华文仿宋"/>
          <w:color w:val="auto"/>
          <w:sz w:val="24"/>
          <w:highlight w:val="none"/>
        </w:rPr>
        <w:t>。</w:t>
      </w:r>
    </w:p>
    <w:p w14:paraId="20501E35">
      <w:pPr>
        <w:spacing w:line="360" w:lineRule="auto"/>
        <w:ind w:firstLine="437"/>
        <w:outlineLvl w:val="2"/>
        <w:rPr>
          <w:rFonts w:hint="eastAsia" w:ascii="华文仿宋" w:hAnsi="华文仿宋" w:eastAsia="华文仿宋" w:cs="华文仿宋"/>
          <w:b/>
          <w:color w:val="auto"/>
          <w:sz w:val="24"/>
          <w:highlight w:val="none"/>
          <w:lang w:val="en-US" w:eastAsia="zh-CN"/>
        </w:rPr>
      </w:pPr>
      <w:r>
        <w:rPr>
          <w:rFonts w:hint="eastAsia" w:ascii="华文仿宋" w:hAnsi="华文仿宋" w:eastAsia="华文仿宋" w:cs="华文仿宋"/>
          <w:b/>
          <w:color w:val="auto"/>
          <w:sz w:val="24"/>
          <w:highlight w:val="none"/>
          <w:lang w:val="en-US" w:eastAsia="zh-CN"/>
        </w:rPr>
        <w:t>2</w:t>
      </w:r>
      <w:r>
        <w:rPr>
          <w:rFonts w:hint="eastAsia" w:ascii="华文仿宋" w:hAnsi="华文仿宋" w:eastAsia="华文仿宋" w:cs="华文仿宋"/>
          <w:b/>
          <w:color w:val="auto"/>
          <w:sz w:val="24"/>
          <w:highlight w:val="none"/>
        </w:rPr>
        <w:t>.资金</w:t>
      </w:r>
      <w:r>
        <w:rPr>
          <w:rFonts w:hint="eastAsia" w:ascii="华文仿宋" w:hAnsi="华文仿宋" w:eastAsia="华文仿宋" w:cs="华文仿宋"/>
          <w:b/>
          <w:color w:val="auto"/>
          <w:sz w:val="24"/>
          <w:highlight w:val="none"/>
          <w:lang w:val="en-US" w:eastAsia="zh-CN"/>
        </w:rPr>
        <w:t>落实情况</w:t>
      </w:r>
    </w:p>
    <w:p w14:paraId="645FD31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w:t>
      </w:r>
      <w:r>
        <w:rPr>
          <w:rFonts w:hint="eastAsia" w:ascii="华文仿宋" w:hAnsi="华文仿宋" w:eastAsia="华文仿宋" w:cs="华文仿宋"/>
          <w:color w:val="auto"/>
          <w:sz w:val="24"/>
          <w:highlight w:val="none"/>
        </w:rPr>
        <w:t>.1本项目的采购人已获得足以支付本次磋商后所签订的合同项下的资金。</w:t>
      </w:r>
    </w:p>
    <w:p w14:paraId="2C43D4D3">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3</w:t>
      </w:r>
      <w:r>
        <w:rPr>
          <w:rFonts w:hint="eastAsia" w:ascii="华文仿宋" w:hAnsi="华文仿宋" w:eastAsia="华文仿宋" w:cs="华文仿宋"/>
          <w:b/>
          <w:color w:val="auto"/>
          <w:sz w:val="24"/>
          <w:highlight w:val="none"/>
        </w:rPr>
        <w:t>.磋商费用</w:t>
      </w:r>
    </w:p>
    <w:p w14:paraId="570C00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不论磋商的结果如何，供应商应承担其所有与准备和参加磋商有关的费用</w:t>
      </w:r>
    </w:p>
    <w:p w14:paraId="0F377A6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4.适用法律</w:t>
      </w:r>
    </w:p>
    <w:p w14:paraId="24324D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2"/>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本项目采购人、采购代理机构、供应商、磋商小组的相关行为均</w:t>
      </w:r>
      <w:r>
        <w:rPr>
          <w:rFonts w:hint="eastAsia" w:ascii="华文仿宋" w:hAnsi="华文仿宋" w:eastAsia="华文仿宋" w:cs="华文仿宋"/>
          <w:color w:val="auto"/>
          <w:sz w:val="24"/>
          <w:highlight w:val="none"/>
          <w:lang w:val="en-US" w:eastAsia="zh-CN"/>
        </w:rPr>
        <w:t>参考</w:t>
      </w:r>
      <w:r>
        <w:rPr>
          <w:rFonts w:hint="eastAsia" w:ascii="华文仿宋" w:hAnsi="华文仿宋" w:eastAsia="华文仿宋" w:cs="华文仿宋"/>
          <w:color w:val="auto"/>
          <w:sz w:val="24"/>
          <w:highlight w:val="none"/>
        </w:rPr>
        <w:t>《中华人民共和国政府采购法》《中华人民共和国政府采购法实施条例》</w:t>
      </w:r>
      <w:r>
        <w:rPr>
          <w:rFonts w:hint="eastAsia" w:ascii="华文仿宋" w:hAnsi="华文仿宋" w:eastAsia="华文仿宋" w:cs="华文仿宋"/>
          <w:color w:val="auto"/>
          <w:sz w:val="24"/>
          <w:highlight w:val="none"/>
          <w:lang w:val="en-US" w:eastAsia="zh-CN"/>
        </w:rPr>
        <w:t>法律法规</w:t>
      </w:r>
      <w:r>
        <w:rPr>
          <w:rFonts w:hint="eastAsia" w:ascii="华文仿宋" w:hAnsi="华文仿宋" w:eastAsia="华文仿宋" w:cs="华文仿宋"/>
          <w:color w:val="auto"/>
          <w:sz w:val="24"/>
          <w:highlight w:val="none"/>
        </w:rPr>
        <w:t>，其权利受到上述法律法规的保护。</w:t>
      </w:r>
    </w:p>
    <w:p w14:paraId="7B0F78F5">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5</w:t>
      </w:r>
      <w:r>
        <w:rPr>
          <w:rFonts w:hint="eastAsia" w:ascii="华文仿宋" w:hAnsi="华文仿宋" w:eastAsia="华文仿宋" w:cs="华文仿宋"/>
          <w:b/>
          <w:color w:val="auto"/>
          <w:sz w:val="24"/>
          <w:highlight w:val="none"/>
        </w:rPr>
        <w:t>.磋商文件构成</w:t>
      </w:r>
    </w:p>
    <w:p w14:paraId="55CC2B46">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5</w:t>
      </w:r>
      <w:r>
        <w:rPr>
          <w:rFonts w:hint="eastAsia" w:ascii="华文仿宋" w:hAnsi="华文仿宋" w:eastAsia="华文仿宋" w:cs="华文仿宋"/>
          <w:color w:val="auto"/>
          <w:sz w:val="24"/>
          <w:highlight w:val="none"/>
        </w:rPr>
        <w:t>.1磋商文件包括下列内容：</w:t>
      </w:r>
    </w:p>
    <w:p w14:paraId="3B2DAF3C">
      <w:pPr>
        <w:spacing w:line="360" w:lineRule="auto"/>
        <w:ind w:firstLine="840" w:firstLineChars="350"/>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rPr>
        <w:t>第一章磋商</w:t>
      </w:r>
      <w:r>
        <w:rPr>
          <w:rFonts w:hint="eastAsia" w:ascii="华文仿宋" w:hAnsi="华文仿宋" w:eastAsia="华文仿宋" w:cs="华文仿宋"/>
          <w:color w:val="auto"/>
          <w:sz w:val="24"/>
          <w:highlight w:val="none"/>
          <w:lang w:val="en-US" w:eastAsia="zh-CN"/>
        </w:rPr>
        <w:t>公告</w:t>
      </w:r>
    </w:p>
    <w:p w14:paraId="702D084F">
      <w:pPr>
        <w:spacing w:line="360" w:lineRule="auto"/>
        <w:ind w:firstLine="840" w:firstLineChars="350"/>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第二章供应商须知</w:t>
      </w:r>
    </w:p>
    <w:p w14:paraId="60B95A53">
      <w:pPr>
        <w:spacing w:line="360" w:lineRule="auto"/>
        <w:ind w:firstLine="840" w:firstLineChars="350"/>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第三章采购需求</w:t>
      </w:r>
    </w:p>
    <w:p w14:paraId="74777A66">
      <w:pPr>
        <w:spacing w:line="360" w:lineRule="auto"/>
        <w:ind w:firstLine="840" w:firstLineChars="350"/>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第四章评审方法和标准</w:t>
      </w:r>
    </w:p>
    <w:p w14:paraId="2E36FAD9">
      <w:pPr>
        <w:spacing w:line="360" w:lineRule="auto"/>
        <w:ind w:firstLine="840" w:firstLineChars="350"/>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第五章政府采购合同</w:t>
      </w:r>
    </w:p>
    <w:p w14:paraId="1CB742A3">
      <w:pPr>
        <w:spacing w:line="360" w:lineRule="auto"/>
        <w:ind w:firstLine="840" w:firstLineChars="350"/>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第六章响应文件格式</w:t>
      </w:r>
    </w:p>
    <w:p w14:paraId="1DC85C41">
      <w:pPr>
        <w:spacing w:line="360" w:lineRule="auto"/>
        <w:ind w:firstLine="840" w:firstLineChars="350"/>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第</w:t>
      </w:r>
      <w:r>
        <w:rPr>
          <w:rFonts w:hint="eastAsia" w:ascii="华文仿宋" w:hAnsi="华文仿宋" w:eastAsia="华文仿宋" w:cs="华文仿宋"/>
          <w:color w:val="auto"/>
          <w:sz w:val="24"/>
          <w:highlight w:val="none"/>
          <w:lang w:val="en-US" w:eastAsia="zh-CN"/>
        </w:rPr>
        <w:t>七</w:t>
      </w:r>
      <w:r>
        <w:rPr>
          <w:rFonts w:hint="eastAsia" w:ascii="华文仿宋" w:hAnsi="华文仿宋" w:eastAsia="华文仿宋" w:cs="华文仿宋"/>
          <w:color w:val="auto"/>
          <w:sz w:val="24"/>
          <w:highlight w:val="none"/>
        </w:rPr>
        <w:t>章政府采购供应商询问函和质疑函范本</w:t>
      </w:r>
    </w:p>
    <w:p w14:paraId="3B572020">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5</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2</w:t>
      </w:r>
      <w:r>
        <w:rPr>
          <w:rFonts w:hint="eastAsia" w:ascii="华文仿宋" w:hAnsi="华文仿宋" w:eastAsia="华文仿宋" w:cs="华文仿宋"/>
          <w:color w:val="auto"/>
          <w:sz w:val="24"/>
          <w:highlight w:val="none"/>
        </w:rPr>
        <w:t>现场考察及相关事项见</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w:t>
      </w:r>
    </w:p>
    <w:p w14:paraId="5E4E9B55">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5</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3</w:t>
      </w:r>
      <w:r>
        <w:rPr>
          <w:rFonts w:hint="eastAsia" w:ascii="华文仿宋" w:hAnsi="华文仿宋" w:eastAsia="华文仿宋" w:cs="华文仿宋"/>
          <w:color w:val="auto"/>
          <w:sz w:val="24"/>
          <w:highlight w:val="none"/>
        </w:rPr>
        <w:t>供应商应认真阅读磋商文件所有的事项、格式、条款和技术规范等。</w:t>
      </w:r>
    </w:p>
    <w:p w14:paraId="15D98FDD">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6</w:t>
      </w:r>
      <w:r>
        <w:rPr>
          <w:rFonts w:hint="eastAsia" w:ascii="华文仿宋" w:hAnsi="华文仿宋" w:eastAsia="华文仿宋" w:cs="华文仿宋"/>
          <w:b/>
          <w:color w:val="auto"/>
          <w:sz w:val="24"/>
          <w:highlight w:val="none"/>
        </w:rPr>
        <w:t>.磋商文件的澄清与修改</w:t>
      </w:r>
    </w:p>
    <w:p w14:paraId="3260BB2D">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6</w:t>
      </w:r>
      <w:r>
        <w:rPr>
          <w:rFonts w:hint="eastAsia" w:ascii="华文仿宋" w:hAnsi="华文仿宋" w:eastAsia="华文仿宋" w:cs="华文仿宋"/>
          <w:color w:val="auto"/>
          <w:sz w:val="24"/>
          <w:highlight w:val="none"/>
        </w:rPr>
        <w:t>.1供应商如对磋商文件内容有疑问，必须在</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规定的网上询问截止时间前以网上提问形式（</w:t>
      </w:r>
      <w:r>
        <w:rPr>
          <w:rFonts w:hint="eastAsia" w:ascii="华文仿宋" w:hAnsi="华文仿宋" w:eastAsia="华文仿宋" w:cs="华文仿宋"/>
          <w:color w:val="auto"/>
          <w:sz w:val="24"/>
          <w:highlight w:val="none"/>
          <w:lang w:val="en-US" w:eastAsia="zh-CN"/>
        </w:rPr>
        <w:t>邮件发送</w:t>
      </w:r>
      <w:r>
        <w:rPr>
          <w:rFonts w:hint="eastAsia" w:ascii="华文仿宋" w:hAnsi="华文仿宋" w:eastAsia="华文仿宋" w:cs="华文仿宋"/>
          <w:color w:val="auto"/>
          <w:sz w:val="24"/>
          <w:highlight w:val="none"/>
        </w:rPr>
        <w:t>）提交给采购代理机构。</w:t>
      </w:r>
    </w:p>
    <w:p w14:paraId="13935423">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6</w:t>
      </w:r>
      <w:r>
        <w:rPr>
          <w:rFonts w:hint="eastAsia" w:ascii="华文仿宋" w:hAnsi="华文仿宋" w:eastAsia="华文仿宋" w:cs="华文仿宋"/>
          <w:color w:val="auto"/>
          <w:sz w:val="24"/>
          <w:highlight w:val="none"/>
        </w:rPr>
        <w:t>.2采购人可主动地或在</w:t>
      </w:r>
      <w:r>
        <w:rPr>
          <w:rFonts w:hint="eastAsia" w:ascii="华文仿宋" w:hAnsi="华文仿宋" w:eastAsia="华文仿宋" w:cs="华文仿宋"/>
          <w:color w:val="auto"/>
          <w:sz w:val="24"/>
          <w:highlight w:val="none"/>
          <w:lang w:val="en-US" w:eastAsia="zh-CN"/>
        </w:rPr>
        <w:t>答复供应商</w:t>
      </w:r>
      <w:r>
        <w:rPr>
          <w:rFonts w:hint="eastAsia" w:ascii="华文仿宋" w:hAnsi="华文仿宋" w:eastAsia="华文仿宋" w:cs="华文仿宋"/>
          <w:color w:val="auto"/>
          <w:sz w:val="24"/>
          <w:highlight w:val="none"/>
        </w:rPr>
        <w:t>提出的</w:t>
      </w:r>
      <w:r>
        <w:rPr>
          <w:rFonts w:hint="eastAsia" w:ascii="华文仿宋" w:hAnsi="华文仿宋" w:eastAsia="华文仿宋" w:cs="华文仿宋"/>
          <w:color w:val="auto"/>
          <w:sz w:val="24"/>
          <w:highlight w:val="none"/>
          <w:lang w:val="en-US" w:eastAsia="zh-CN"/>
        </w:rPr>
        <w:t>询问</w:t>
      </w:r>
      <w:r>
        <w:rPr>
          <w:rFonts w:hint="eastAsia" w:ascii="华文仿宋" w:hAnsi="华文仿宋" w:eastAsia="华文仿宋" w:cs="华文仿宋"/>
          <w:color w:val="auto"/>
          <w:sz w:val="24"/>
          <w:highlight w:val="none"/>
        </w:rPr>
        <w:t>时对</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文件进行澄清与修改。采购代理机构将在</w:t>
      </w:r>
      <w:bookmarkStart w:id="31" w:name="_Hlk16458572"/>
      <w:r>
        <w:rPr>
          <w:rFonts w:hint="eastAsia" w:ascii="华文仿宋" w:hAnsi="华文仿宋" w:eastAsia="华文仿宋" w:cs="华文仿宋"/>
          <w:color w:val="auto"/>
          <w:sz w:val="24"/>
          <w:szCs w:val="18"/>
          <w:highlight w:val="none"/>
          <w:lang w:eastAsia="zh-CN"/>
        </w:rPr>
        <w:t>滁州市城投工程咨询管理有限公司官网</w:t>
      </w:r>
      <w:r>
        <w:rPr>
          <w:rFonts w:hint="eastAsia" w:ascii="华文仿宋" w:hAnsi="华文仿宋" w:eastAsia="华文仿宋" w:cs="华文仿宋"/>
          <w:color w:val="auto"/>
          <w:sz w:val="24"/>
          <w:szCs w:val="18"/>
          <w:highlight w:val="none"/>
        </w:rPr>
        <w:t>及</w:t>
      </w:r>
      <w:bookmarkEnd w:id="31"/>
      <w:r>
        <w:rPr>
          <w:rFonts w:hint="eastAsia" w:ascii="华文仿宋" w:hAnsi="华文仿宋" w:eastAsia="华文仿宋" w:cs="华文仿宋"/>
          <w:color w:val="auto"/>
          <w:sz w:val="24"/>
          <w:highlight w:val="none"/>
        </w:rPr>
        <w:t>以发布更正公告的方式澄清或者修改磋商文件，更正公告的内容作为磋商文件的组成部分，对供应商起约束作用。供应商应主动上网查询。采购代理机构不承担供应商未及时关注相关信息引发的相关责任。</w:t>
      </w:r>
    </w:p>
    <w:p w14:paraId="3CDF7B7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6</w:t>
      </w:r>
      <w:r>
        <w:rPr>
          <w:rFonts w:hint="eastAsia" w:ascii="华文仿宋" w:hAnsi="华文仿宋" w:eastAsia="华文仿宋" w:cs="华文仿宋"/>
          <w:color w:val="auto"/>
          <w:sz w:val="24"/>
          <w:highlight w:val="none"/>
        </w:rPr>
        <w:t>.3任何人或任何组织向供应商提供的任何书面或口头资料，未经采购代理机构在网上发布或书面通知，均作无效处理，不得作为磋商文件的组成部分。采购代理机构对供应商由此而做出的推论、理解和结论概不负责。</w:t>
      </w:r>
    </w:p>
    <w:p w14:paraId="4AA77080">
      <w:pPr>
        <w:spacing w:line="360" w:lineRule="auto"/>
        <w:ind w:firstLine="435"/>
        <w:rPr>
          <w:rFonts w:hint="eastAsia" w:ascii="华文仿宋" w:hAnsi="华文仿宋" w:eastAsia="华文仿宋" w:cs="华文仿宋"/>
          <w:iCs/>
          <w:color w:val="auto"/>
          <w:sz w:val="24"/>
          <w:highlight w:val="none"/>
          <w:lang w:eastAsia="zh-CN"/>
        </w:rPr>
      </w:pPr>
      <w:r>
        <w:rPr>
          <w:rFonts w:hint="eastAsia" w:ascii="华文仿宋" w:hAnsi="华文仿宋" w:eastAsia="华文仿宋" w:cs="华文仿宋"/>
          <w:color w:val="auto"/>
          <w:sz w:val="24"/>
          <w:highlight w:val="none"/>
          <w:lang w:val="en-US" w:eastAsia="zh-CN"/>
        </w:rPr>
        <w:t>6</w:t>
      </w:r>
      <w:r>
        <w:rPr>
          <w:rFonts w:hint="eastAsia" w:ascii="华文仿宋" w:hAnsi="华文仿宋" w:eastAsia="华文仿宋" w:cs="华文仿宋"/>
          <w:color w:val="auto"/>
          <w:sz w:val="24"/>
          <w:highlight w:val="none"/>
        </w:rPr>
        <w:t>.4对于没有提出询问又参与了本项目磋商的供应商将被视为完全认同本磋商文件（含更正公告的内容）</w:t>
      </w:r>
      <w:r>
        <w:rPr>
          <w:rFonts w:hint="eastAsia" w:ascii="华文仿宋" w:hAnsi="华文仿宋" w:eastAsia="华文仿宋" w:cs="华文仿宋"/>
          <w:color w:val="auto"/>
          <w:sz w:val="24"/>
          <w:highlight w:val="none"/>
          <w:lang w:eastAsia="zh-CN"/>
        </w:rPr>
        <w:t>。</w:t>
      </w:r>
    </w:p>
    <w:p w14:paraId="0B11B21C">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7</w:t>
      </w:r>
      <w:r>
        <w:rPr>
          <w:rFonts w:hint="eastAsia" w:ascii="华文仿宋" w:hAnsi="华文仿宋" w:eastAsia="华文仿宋" w:cs="华文仿宋"/>
          <w:b/>
          <w:color w:val="auto"/>
          <w:sz w:val="24"/>
          <w:highlight w:val="none"/>
        </w:rPr>
        <w:t>.磋商范围及响应文件中标准和计量单位的使用</w:t>
      </w:r>
    </w:p>
    <w:p w14:paraId="18E50169">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7</w:t>
      </w:r>
      <w:r>
        <w:rPr>
          <w:rFonts w:hint="eastAsia" w:ascii="华文仿宋" w:hAnsi="华文仿宋" w:eastAsia="华文仿宋" w:cs="华文仿宋"/>
          <w:color w:val="auto"/>
          <w:sz w:val="24"/>
          <w:highlight w:val="none"/>
        </w:rPr>
        <w:t>.1项目有分包的，供应商可参与其中某一个或多个分包的磋商，成交包数详见</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中规定。</w:t>
      </w:r>
    </w:p>
    <w:p w14:paraId="629627A0">
      <w:pPr>
        <w:spacing w:line="360" w:lineRule="auto"/>
        <w:ind w:firstLine="435"/>
        <w:rPr>
          <w:rFonts w:hint="eastAsia" w:ascii="华文仿宋" w:hAnsi="华文仿宋" w:eastAsia="华文仿宋" w:cs="华文仿宋"/>
          <w:color w:val="auto"/>
          <w:highlight w:val="none"/>
          <w:lang w:val="en-US" w:eastAsia="zh-CN"/>
        </w:rPr>
      </w:pPr>
      <w:r>
        <w:rPr>
          <w:rFonts w:hint="eastAsia" w:ascii="华文仿宋" w:hAnsi="华文仿宋" w:eastAsia="华文仿宋" w:cs="华文仿宋"/>
          <w:color w:val="auto"/>
          <w:sz w:val="24"/>
          <w:highlight w:val="none"/>
          <w:lang w:val="en-US" w:eastAsia="zh-CN"/>
        </w:rPr>
        <w:t>7.2供应商</w:t>
      </w:r>
      <w:r>
        <w:rPr>
          <w:rFonts w:hint="eastAsia" w:ascii="华文仿宋" w:hAnsi="华文仿宋" w:eastAsia="华文仿宋" w:cs="华文仿宋"/>
          <w:color w:val="auto"/>
          <w:sz w:val="24"/>
          <w:highlight w:val="none"/>
        </w:rPr>
        <w:t>应当对所投分包</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文件中“采购需求”所列的所有内容进行</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，如仅响应所投包别中的部分内容，其所投包别的</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将被认定为</w:t>
      </w:r>
      <w:r>
        <w:rPr>
          <w:rFonts w:hint="eastAsia" w:ascii="华文仿宋" w:hAnsi="华文仿宋" w:eastAsia="华文仿宋" w:cs="华文仿宋"/>
          <w:b/>
          <w:color w:val="auto"/>
          <w:sz w:val="24"/>
          <w:highlight w:val="none"/>
          <w:lang w:val="en-US" w:eastAsia="zh-CN"/>
        </w:rPr>
        <w:t>响应</w:t>
      </w:r>
      <w:r>
        <w:rPr>
          <w:rFonts w:hint="eastAsia" w:ascii="华文仿宋" w:hAnsi="华文仿宋" w:eastAsia="华文仿宋" w:cs="华文仿宋"/>
          <w:b/>
          <w:color w:val="auto"/>
          <w:sz w:val="24"/>
          <w:highlight w:val="none"/>
        </w:rPr>
        <w:t>无效</w:t>
      </w:r>
      <w:r>
        <w:rPr>
          <w:rFonts w:hint="eastAsia" w:ascii="华文仿宋" w:hAnsi="华文仿宋" w:eastAsia="华文仿宋" w:cs="华文仿宋"/>
          <w:color w:val="auto"/>
          <w:sz w:val="24"/>
          <w:highlight w:val="none"/>
        </w:rPr>
        <w:t>。</w:t>
      </w:r>
    </w:p>
    <w:p w14:paraId="70A2D5D8">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7</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3</w:t>
      </w:r>
      <w:r>
        <w:rPr>
          <w:rFonts w:hint="eastAsia" w:ascii="华文仿宋" w:hAnsi="华文仿宋" w:eastAsia="华文仿宋" w:cs="华文仿宋"/>
          <w:color w:val="auto"/>
          <w:sz w:val="24"/>
          <w:highlight w:val="none"/>
        </w:rPr>
        <w:t>无论磋商文件中是否要求，供应商所投货物及伴随的服务和工程均应符合国家强制性标准。</w:t>
      </w:r>
    </w:p>
    <w:p w14:paraId="37D5109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7</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4</w:t>
      </w:r>
      <w:r>
        <w:rPr>
          <w:rFonts w:hint="eastAsia" w:ascii="华文仿宋" w:hAnsi="华文仿宋" w:eastAsia="华文仿宋" w:cs="华文仿宋"/>
          <w:color w:val="auto"/>
          <w:sz w:val="24"/>
          <w:highlight w:val="none"/>
        </w:rPr>
        <w:t>供应商与采购代理机构之间与磋商有关的所有往来通知、函件和响应文件均用中文表述。供应商随响应文件提供的证明文件和资料可以为其它语言，但必须附中文译文。翻译的中文资料与外文资料如果出现差异时，以中文为准。</w:t>
      </w:r>
    </w:p>
    <w:p w14:paraId="25945D88">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7</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5</w:t>
      </w:r>
      <w:r>
        <w:rPr>
          <w:rFonts w:hint="eastAsia" w:ascii="华文仿宋" w:hAnsi="华文仿宋" w:eastAsia="华文仿宋" w:cs="华文仿宋"/>
          <w:color w:val="auto"/>
          <w:sz w:val="24"/>
          <w:highlight w:val="none"/>
        </w:rPr>
        <w:t>除磋商文件中有特殊要求外，响应文件中所使用的计量单位，应采用中华人民共和国法定计量单位。</w:t>
      </w:r>
    </w:p>
    <w:p w14:paraId="614F1061">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8</w:t>
      </w:r>
      <w:r>
        <w:rPr>
          <w:rFonts w:hint="eastAsia" w:ascii="华文仿宋" w:hAnsi="华文仿宋" w:eastAsia="华文仿宋" w:cs="华文仿宋"/>
          <w:b/>
          <w:color w:val="auto"/>
          <w:sz w:val="24"/>
          <w:highlight w:val="none"/>
        </w:rPr>
        <w:t>.响应文件构成</w:t>
      </w:r>
    </w:p>
    <w:p w14:paraId="7A191C4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8</w:t>
      </w:r>
      <w:r>
        <w:rPr>
          <w:rFonts w:hint="eastAsia" w:ascii="华文仿宋" w:hAnsi="华文仿宋" w:eastAsia="华文仿宋" w:cs="华文仿宋"/>
          <w:color w:val="auto"/>
          <w:sz w:val="24"/>
          <w:highlight w:val="none"/>
        </w:rPr>
        <w:t>.1</w:t>
      </w:r>
      <w:r>
        <w:rPr>
          <w:rFonts w:hint="eastAsia" w:ascii="华文仿宋" w:hAnsi="华文仿宋" w:eastAsia="华文仿宋" w:cs="华文仿宋"/>
          <w:color w:val="auto"/>
          <w:sz w:val="24"/>
          <w:highlight w:val="none"/>
          <w:lang w:val="en-US" w:eastAsia="zh-CN"/>
        </w:rPr>
        <w:t>供应商</w:t>
      </w:r>
      <w:r>
        <w:rPr>
          <w:rFonts w:hint="eastAsia" w:ascii="华文仿宋" w:hAnsi="华文仿宋" w:eastAsia="华文仿宋" w:cs="华文仿宋"/>
          <w:color w:val="auto"/>
          <w:sz w:val="24"/>
          <w:highlight w:val="none"/>
        </w:rPr>
        <w:t>应完整地按</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文件提供的</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文件格式及要求编写</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文件，具体内容详见本项目</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文件格式的相关内容。</w:t>
      </w:r>
    </w:p>
    <w:p w14:paraId="6CB4B4B3">
      <w:pPr>
        <w:spacing w:line="360" w:lineRule="auto"/>
        <w:ind w:firstLine="435"/>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8.2供应商</w:t>
      </w:r>
      <w:r>
        <w:rPr>
          <w:rFonts w:hint="eastAsia" w:ascii="华文仿宋" w:hAnsi="华文仿宋" w:eastAsia="华文仿宋" w:cs="华文仿宋"/>
          <w:color w:val="auto"/>
          <w:sz w:val="24"/>
          <w:highlight w:val="none"/>
        </w:rPr>
        <w:t>应提交</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文件要求的证明文件，证明其</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内容符合</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文件规定</w:t>
      </w:r>
      <w:r>
        <w:rPr>
          <w:rFonts w:hint="eastAsia" w:ascii="华文仿宋" w:hAnsi="华文仿宋" w:eastAsia="华文仿宋" w:cs="华文仿宋"/>
          <w:color w:val="auto"/>
          <w:sz w:val="24"/>
          <w:highlight w:val="none"/>
          <w:lang w:eastAsia="zh-CN"/>
        </w:rPr>
        <w:t>，</w:t>
      </w:r>
      <w:r>
        <w:rPr>
          <w:rFonts w:hint="eastAsia" w:ascii="华文仿宋" w:hAnsi="华文仿宋" w:eastAsia="华文仿宋" w:cs="华文仿宋"/>
          <w:color w:val="auto"/>
          <w:sz w:val="24"/>
          <w:highlight w:val="none"/>
        </w:rPr>
        <w:t>该证明文件是</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文件的一部分</w:t>
      </w:r>
      <w:r>
        <w:rPr>
          <w:rFonts w:hint="eastAsia" w:ascii="华文仿宋" w:hAnsi="华文仿宋" w:eastAsia="华文仿宋" w:cs="华文仿宋"/>
          <w:color w:val="auto"/>
          <w:sz w:val="24"/>
          <w:highlight w:val="none"/>
          <w:lang w:eastAsia="zh-CN"/>
        </w:rPr>
        <w:t>。</w:t>
      </w:r>
      <w:r>
        <w:rPr>
          <w:rFonts w:hint="eastAsia" w:ascii="华文仿宋" w:hAnsi="华文仿宋" w:eastAsia="华文仿宋" w:cs="华文仿宋"/>
          <w:color w:val="auto"/>
          <w:sz w:val="24"/>
          <w:highlight w:val="none"/>
        </w:rPr>
        <w:t>证明文件</w:t>
      </w:r>
      <w:r>
        <w:rPr>
          <w:rFonts w:hint="eastAsia" w:ascii="华文仿宋" w:hAnsi="华文仿宋" w:eastAsia="华文仿宋" w:cs="华文仿宋"/>
          <w:color w:val="auto"/>
          <w:sz w:val="24"/>
          <w:highlight w:val="none"/>
          <w:lang w:val="en-US" w:eastAsia="zh-CN"/>
        </w:rPr>
        <w:t>形式</w:t>
      </w:r>
      <w:r>
        <w:rPr>
          <w:rFonts w:hint="eastAsia" w:ascii="华文仿宋" w:hAnsi="华文仿宋" w:eastAsia="华文仿宋" w:cs="华文仿宋"/>
          <w:color w:val="auto"/>
          <w:sz w:val="24"/>
          <w:highlight w:val="none"/>
        </w:rPr>
        <w:t>可以是文字资料、图纸和数据</w:t>
      </w:r>
      <w:r>
        <w:rPr>
          <w:rFonts w:hint="eastAsia" w:ascii="华文仿宋" w:hAnsi="华文仿宋" w:eastAsia="华文仿宋" w:cs="华文仿宋"/>
          <w:color w:val="auto"/>
          <w:sz w:val="24"/>
          <w:highlight w:val="none"/>
          <w:lang w:val="en-US" w:eastAsia="zh-CN"/>
        </w:rPr>
        <w:t>等。</w:t>
      </w:r>
    </w:p>
    <w:p w14:paraId="1888B900">
      <w:pPr>
        <w:spacing w:line="360" w:lineRule="auto"/>
        <w:ind w:firstLine="435"/>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8.3</w:t>
      </w:r>
      <w:r>
        <w:rPr>
          <w:rFonts w:hint="eastAsia" w:ascii="华文仿宋" w:hAnsi="华文仿宋" w:eastAsia="华文仿宋" w:cs="华文仿宋"/>
          <w:color w:val="auto"/>
          <w:sz w:val="24"/>
          <w:highlight w:val="none"/>
        </w:rPr>
        <w:t>为保证公平公正，除非另有规定或说明，</w:t>
      </w:r>
      <w:r>
        <w:rPr>
          <w:rFonts w:hint="eastAsia" w:ascii="华文仿宋" w:hAnsi="华文仿宋" w:eastAsia="华文仿宋" w:cs="华文仿宋"/>
          <w:color w:val="auto"/>
          <w:sz w:val="24"/>
          <w:highlight w:val="none"/>
          <w:lang w:val="en-US" w:eastAsia="zh-CN"/>
        </w:rPr>
        <w:t>供应商</w:t>
      </w:r>
      <w:r>
        <w:rPr>
          <w:rFonts w:hint="eastAsia" w:ascii="华文仿宋" w:hAnsi="华文仿宋" w:eastAsia="华文仿宋" w:cs="华文仿宋"/>
          <w:color w:val="auto"/>
          <w:sz w:val="24"/>
          <w:highlight w:val="none"/>
        </w:rPr>
        <w:t>对同一项目</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时，不得同时提供备选</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方案。</w:t>
      </w:r>
    </w:p>
    <w:p w14:paraId="6989ED68">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9</w:t>
      </w:r>
      <w:r>
        <w:rPr>
          <w:rFonts w:hint="eastAsia" w:ascii="华文仿宋" w:hAnsi="华文仿宋" w:eastAsia="华文仿宋" w:cs="华文仿宋"/>
          <w:b/>
          <w:color w:val="auto"/>
          <w:sz w:val="24"/>
          <w:highlight w:val="none"/>
        </w:rPr>
        <w:t>.报价</w:t>
      </w:r>
    </w:p>
    <w:p w14:paraId="5EF56D95">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9</w:t>
      </w:r>
      <w:r>
        <w:rPr>
          <w:rFonts w:hint="eastAsia" w:ascii="华文仿宋" w:hAnsi="华文仿宋" w:eastAsia="华文仿宋" w:cs="华文仿宋"/>
          <w:color w:val="auto"/>
          <w:sz w:val="24"/>
          <w:highlight w:val="none"/>
        </w:rPr>
        <w:t>.1供应商的报价应当包括满足本次磋商全部采购需求所应提供的货物，以及伴随的服务和工程。</w:t>
      </w:r>
      <w:r>
        <w:rPr>
          <w:rFonts w:hint="eastAsia" w:ascii="华文仿宋" w:hAnsi="华文仿宋" w:eastAsia="华文仿宋" w:cs="华文仿宋"/>
          <w:color w:val="auto"/>
          <w:sz w:val="24"/>
          <w:highlight w:val="none"/>
          <w:lang w:val="en-US" w:eastAsia="zh-CN"/>
        </w:rPr>
        <w:t>除磋商文件另有规定外，</w:t>
      </w:r>
      <w:r>
        <w:rPr>
          <w:rFonts w:hint="eastAsia" w:ascii="华文仿宋" w:hAnsi="华文仿宋" w:eastAsia="华文仿宋" w:cs="华文仿宋"/>
          <w:color w:val="auto"/>
          <w:sz w:val="24"/>
          <w:highlight w:val="none"/>
        </w:rPr>
        <w:t>所有内容均应以人民币报价，供应商的磋商报价应遵守《中华人民共和国价格法》。</w:t>
      </w:r>
    </w:p>
    <w:p w14:paraId="655DAFC4">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9</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2</w:t>
      </w:r>
      <w:r>
        <w:rPr>
          <w:rFonts w:hint="eastAsia" w:ascii="华文仿宋" w:hAnsi="华文仿宋" w:eastAsia="华文仿宋" w:cs="华文仿宋"/>
          <w:color w:val="auto"/>
          <w:sz w:val="24"/>
          <w:highlight w:val="none"/>
        </w:rPr>
        <w:t>除非磋商文件另有规定或经采购人同意支付的，最后报价均不得高于磋商文件（公告）列明的项目预算，否则其响应文件将被认定为</w:t>
      </w:r>
      <w:r>
        <w:rPr>
          <w:rFonts w:hint="eastAsia" w:ascii="华文仿宋" w:hAnsi="华文仿宋" w:eastAsia="华文仿宋" w:cs="华文仿宋"/>
          <w:b/>
          <w:color w:val="auto"/>
          <w:sz w:val="24"/>
          <w:highlight w:val="none"/>
        </w:rPr>
        <w:t>响应无效</w:t>
      </w:r>
      <w:r>
        <w:rPr>
          <w:rFonts w:hint="eastAsia" w:ascii="华文仿宋" w:hAnsi="华文仿宋" w:eastAsia="华文仿宋" w:cs="华文仿宋"/>
          <w:color w:val="auto"/>
          <w:sz w:val="24"/>
          <w:highlight w:val="none"/>
        </w:rPr>
        <w:t>。</w:t>
      </w:r>
    </w:p>
    <w:p w14:paraId="24916310">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9</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3</w:t>
      </w:r>
      <w:r>
        <w:rPr>
          <w:rFonts w:hint="eastAsia" w:ascii="华文仿宋" w:hAnsi="华文仿宋" w:eastAsia="华文仿宋" w:cs="华文仿宋"/>
          <w:color w:val="auto"/>
          <w:sz w:val="24"/>
          <w:highlight w:val="none"/>
        </w:rPr>
        <w:t>报价在合同履行过程中是固定不变的，不得以任何理由予以变更。任何包含价格调整要求的磋商，其响应文件将被认定为</w:t>
      </w:r>
      <w:r>
        <w:rPr>
          <w:rFonts w:hint="eastAsia" w:ascii="华文仿宋" w:hAnsi="华文仿宋" w:eastAsia="华文仿宋" w:cs="华文仿宋"/>
          <w:b/>
          <w:color w:val="auto"/>
          <w:sz w:val="24"/>
          <w:highlight w:val="none"/>
        </w:rPr>
        <w:t>响应无效</w:t>
      </w:r>
      <w:r>
        <w:rPr>
          <w:rFonts w:hint="eastAsia" w:ascii="华文仿宋" w:hAnsi="华文仿宋" w:eastAsia="华文仿宋" w:cs="华文仿宋"/>
          <w:color w:val="auto"/>
          <w:sz w:val="24"/>
          <w:highlight w:val="none"/>
        </w:rPr>
        <w:t>。</w:t>
      </w:r>
    </w:p>
    <w:p w14:paraId="39A53189">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9</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4</w:t>
      </w:r>
      <w:r>
        <w:rPr>
          <w:rFonts w:hint="eastAsia" w:ascii="华文仿宋" w:hAnsi="华文仿宋" w:eastAsia="华文仿宋" w:cs="华文仿宋"/>
          <w:color w:val="auto"/>
          <w:sz w:val="24"/>
          <w:highlight w:val="none"/>
        </w:rPr>
        <w:t>采购人不接受具有附加条件的报价。</w:t>
      </w:r>
    </w:p>
    <w:p w14:paraId="4BDC58A1">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10</w:t>
      </w:r>
      <w:r>
        <w:rPr>
          <w:rFonts w:hint="eastAsia" w:ascii="华文仿宋" w:hAnsi="华文仿宋" w:eastAsia="华文仿宋" w:cs="华文仿宋"/>
          <w:b/>
          <w:color w:val="auto"/>
          <w:sz w:val="24"/>
          <w:highlight w:val="none"/>
        </w:rPr>
        <w:t>.磋商保证金</w:t>
      </w:r>
    </w:p>
    <w:p w14:paraId="4DAD8D6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10</w:t>
      </w:r>
      <w:r>
        <w:rPr>
          <w:rFonts w:hint="eastAsia" w:ascii="华文仿宋" w:hAnsi="华文仿宋" w:eastAsia="华文仿宋" w:cs="华文仿宋"/>
          <w:color w:val="auto"/>
          <w:sz w:val="24"/>
          <w:highlight w:val="none"/>
        </w:rPr>
        <w:t>.1本项目不收取磋商保证金。</w:t>
      </w:r>
    </w:p>
    <w:p w14:paraId="41CBBF61">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11</w:t>
      </w:r>
      <w:r>
        <w:rPr>
          <w:rFonts w:hint="eastAsia" w:ascii="华文仿宋" w:hAnsi="华文仿宋" w:eastAsia="华文仿宋" w:cs="华文仿宋"/>
          <w:b/>
          <w:color w:val="auto"/>
          <w:sz w:val="24"/>
          <w:highlight w:val="none"/>
        </w:rPr>
        <w:t>.磋商有效期</w:t>
      </w:r>
    </w:p>
    <w:p w14:paraId="4D56841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11</w:t>
      </w:r>
      <w:r>
        <w:rPr>
          <w:rFonts w:hint="eastAsia" w:ascii="华文仿宋" w:hAnsi="华文仿宋" w:eastAsia="华文仿宋" w:cs="华文仿宋"/>
          <w:color w:val="auto"/>
          <w:sz w:val="24"/>
          <w:highlight w:val="none"/>
        </w:rPr>
        <w:t>.1磋商有效期为从响应文件提交截止之日算起的日历天数，磋商有效期详见</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w:t>
      </w:r>
    </w:p>
    <w:p w14:paraId="7E92B87B">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11</w:t>
      </w:r>
      <w:r>
        <w:rPr>
          <w:rFonts w:hint="eastAsia" w:ascii="华文仿宋" w:hAnsi="华文仿宋" w:eastAsia="华文仿宋" w:cs="华文仿宋"/>
          <w:color w:val="auto"/>
          <w:sz w:val="24"/>
          <w:highlight w:val="none"/>
        </w:rPr>
        <w:t>.2在磋商有效期内，供应商的磋商保持有效，供应商不得要求撤销或修改其响应文件。磋商有效期不满足要求的响应，其响应文件将被认定为</w:t>
      </w:r>
      <w:r>
        <w:rPr>
          <w:rFonts w:hint="eastAsia" w:ascii="华文仿宋" w:hAnsi="华文仿宋" w:eastAsia="华文仿宋" w:cs="华文仿宋"/>
          <w:b/>
          <w:color w:val="auto"/>
          <w:sz w:val="24"/>
          <w:highlight w:val="none"/>
        </w:rPr>
        <w:t>响应无效</w:t>
      </w:r>
      <w:r>
        <w:rPr>
          <w:rFonts w:hint="eastAsia" w:ascii="华文仿宋" w:hAnsi="华文仿宋" w:eastAsia="华文仿宋" w:cs="华文仿宋"/>
          <w:color w:val="auto"/>
          <w:sz w:val="24"/>
          <w:highlight w:val="none"/>
        </w:rPr>
        <w:t>。</w:t>
      </w:r>
    </w:p>
    <w:p w14:paraId="150D2663">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11</w:t>
      </w:r>
      <w:r>
        <w:rPr>
          <w:rFonts w:hint="eastAsia" w:ascii="华文仿宋" w:hAnsi="华文仿宋" w:eastAsia="华文仿宋" w:cs="华文仿宋"/>
          <w:color w:val="auto"/>
          <w:sz w:val="24"/>
          <w:highlight w:val="none"/>
        </w:rPr>
        <w:t>.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14:paraId="672315B3">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12</w:t>
      </w:r>
      <w:r>
        <w:rPr>
          <w:rFonts w:hint="eastAsia" w:ascii="华文仿宋" w:hAnsi="华文仿宋" w:eastAsia="华文仿宋" w:cs="华文仿宋"/>
          <w:b/>
          <w:color w:val="auto"/>
          <w:sz w:val="24"/>
          <w:highlight w:val="none"/>
        </w:rPr>
        <w:t>.响应文件的提交、修改与撤回</w:t>
      </w:r>
    </w:p>
    <w:p w14:paraId="7CA381C3">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12</w:t>
      </w:r>
      <w:r>
        <w:rPr>
          <w:rFonts w:hint="eastAsia" w:ascii="华文仿宋" w:hAnsi="华文仿宋" w:eastAsia="华文仿宋" w:cs="华文仿宋"/>
          <w:color w:val="auto"/>
          <w:sz w:val="24"/>
          <w:highlight w:val="none"/>
        </w:rPr>
        <w:t>.1供应商应当在第一章</w:t>
      </w:r>
      <w:r>
        <w:rPr>
          <w:rFonts w:hint="eastAsia" w:ascii="华文仿宋" w:hAnsi="华文仿宋" w:eastAsia="华文仿宋" w:cs="华文仿宋"/>
          <w:color w:val="auto"/>
          <w:sz w:val="24"/>
          <w:highlight w:val="none"/>
          <w:u w:val="none"/>
          <w:lang w:val="en-US" w:eastAsia="zh-CN"/>
        </w:rPr>
        <w:t>竞争性磋商公告</w:t>
      </w:r>
      <w:r>
        <w:rPr>
          <w:rFonts w:hint="eastAsia" w:ascii="华文仿宋" w:hAnsi="华文仿宋" w:eastAsia="华文仿宋" w:cs="华文仿宋"/>
          <w:color w:val="auto"/>
          <w:sz w:val="24"/>
          <w:highlight w:val="none"/>
        </w:rPr>
        <w:t>规定的响应文件提交截止时间前，将</w:t>
      </w:r>
      <w:r>
        <w:rPr>
          <w:rFonts w:hint="eastAsia" w:ascii="华文仿宋" w:hAnsi="华文仿宋" w:eastAsia="华文仿宋" w:cs="华文仿宋"/>
          <w:color w:val="auto"/>
          <w:sz w:val="24"/>
          <w:highlight w:val="none"/>
          <w:lang w:val="en-US" w:eastAsia="zh-CN"/>
        </w:rPr>
        <w:t>密封的</w:t>
      </w:r>
      <w:r>
        <w:rPr>
          <w:rFonts w:hint="eastAsia" w:ascii="华文仿宋" w:hAnsi="华文仿宋" w:eastAsia="华文仿宋" w:cs="华文仿宋"/>
          <w:color w:val="auto"/>
          <w:sz w:val="24"/>
          <w:highlight w:val="none"/>
        </w:rPr>
        <w:t>的响应文件在</w:t>
      </w:r>
      <w:r>
        <w:rPr>
          <w:rFonts w:hint="eastAsia" w:ascii="华文仿宋" w:hAnsi="华文仿宋" w:eastAsia="华文仿宋" w:cs="华文仿宋"/>
          <w:color w:val="auto"/>
          <w:sz w:val="24"/>
          <w:highlight w:val="none"/>
          <w:lang w:val="en-US" w:eastAsia="zh-CN"/>
        </w:rPr>
        <w:t>约定地点递交</w:t>
      </w:r>
      <w:r>
        <w:rPr>
          <w:rFonts w:hint="eastAsia" w:ascii="华文仿宋" w:hAnsi="华文仿宋" w:eastAsia="华文仿宋" w:cs="华文仿宋"/>
          <w:color w:val="auto"/>
          <w:sz w:val="24"/>
          <w:highlight w:val="none"/>
        </w:rPr>
        <w:t>。</w:t>
      </w:r>
    </w:p>
    <w:p w14:paraId="35346932">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12</w:t>
      </w:r>
      <w:r>
        <w:rPr>
          <w:rFonts w:hint="eastAsia" w:ascii="华文仿宋" w:hAnsi="华文仿宋" w:eastAsia="华文仿宋" w:cs="华文仿宋"/>
          <w:color w:val="auto"/>
          <w:sz w:val="24"/>
          <w:highlight w:val="none"/>
        </w:rPr>
        <w:t>.2供应商应当在响应文件提交截止时间前完成响应文件的</w:t>
      </w:r>
      <w:r>
        <w:rPr>
          <w:rFonts w:hint="eastAsia" w:ascii="华文仿宋" w:hAnsi="华文仿宋" w:eastAsia="华文仿宋" w:cs="华文仿宋"/>
          <w:color w:val="auto"/>
          <w:sz w:val="24"/>
          <w:highlight w:val="none"/>
          <w:lang w:val="en-US" w:eastAsia="zh-CN"/>
        </w:rPr>
        <w:t>递交</w:t>
      </w:r>
      <w:r>
        <w:rPr>
          <w:rFonts w:hint="eastAsia" w:ascii="华文仿宋" w:hAnsi="华文仿宋" w:eastAsia="华文仿宋" w:cs="华文仿宋"/>
          <w:color w:val="auto"/>
          <w:sz w:val="24"/>
          <w:highlight w:val="none"/>
        </w:rPr>
        <w:t>，并可以补充、修改或者撤回响应文件。响应文件提交截止时间前未完成响应文件传输的，视为撤回响应文件。未按规定</w:t>
      </w:r>
      <w:r>
        <w:rPr>
          <w:rFonts w:hint="eastAsia" w:ascii="华文仿宋" w:hAnsi="华文仿宋" w:eastAsia="华文仿宋" w:cs="华文仿宋"/>
          <w:color w:val="auto"/>
          <w:sz w:val="24"/>
          <w:highlight w:val="none"/>
          <w:lang w:val="en-US" w:eastAsia="zh-CN"/>
        </w:rPr>
        <w:t>密封</w:t>
      </w:r>
      <w:r>
        <w:rPr>
          <w:rFonts w:hint="eastAsia" w:ascii="华文仿宋" w:hAnsi="华文仿宋" w:eastAsia="华文仿宋" w:cs="华文仿宋"/>
          <w:color w:val="auto"/>
          <w:sz w:val="24"/>
          <w:highlight w:val="none"/>
        </w:rPr>
        <w:t>或响应文件提交截止时间后送达的响应文件，应当拒收。</w:t>
      </w:r>
    </w:p>
    <w:p w14:paraId="69904C14">
      <w:pPr>
        <w:spacing w:line="360" w:lineRule="auto"/>
        <w:ind w:firstLine="435"/>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12</w:t>
      </w:r>
      <w:r>
        <w:rPr>
          <w:rFonts w:hint="eastAsia" w:ascii="华文仿宋" w:hAnsi="华文仿宋" w:eastAsia="华文仿宋" w:cs="华文仿宋"/>
          <w:color w:val="auto"/>
          <w:sz w:val="24"/>
          <w:highlight w:val="none"/>
        </w:rPr>
        <w:t>.3供应商应在</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规定的</w:t>
      </w:r>
      <w:r>
        <w:rPr>
          <w:rFonts w:hint="eastAsia" w:ascii="华文仿宋" w:hAnsi="华文仿宋" w:eastAsia="华文仿宋" w:cs="华文仿宋"/>
          <w:color w:val="auto"/>
          <w:sz w:val="24"/>
          <w:highlight w:val="none"/>
          <w:lang w:val="en-US" w:eastAsia="zh-CN"/>
        </w:rPr>
        <w:t>投标截止</w:t>
      </w:r>
      <w:r>
        <w:rPr>
          <w:rFonts w:hint="eastAsia" w:ascii="华文仿宋" w:hAnsi="华文仿宋" w:eastAsia="华文仿宋" w:cs="华文仿宋"/>
          <w:color w:val="auto"/>
          <w:sz w:val="24"/>
          <w:highlight w:val="none"/>
        </w:rPr>
        <w:t>时间前对</w:t>
      </w:r>
      <w:r>
        <w:rPr>
          <w:rFonts w:hint="eastAsia" w:ascii="华文仿宋" w:hAnsi="华文仿宋" w:eastAsia="华文仿宋" w:cs="华文仿宋"/>
          <w:color w:val="auto"/>
          <w:sz w:val="24"/>
          <w:highlight w:val="none"/>
          <w:lang w:val="en-US" w:eastAsia="zh-CN"/>
        </w:rPr>
        <w:t>其</w:t>
      </w:r>
      <w:r>
        <w:rPr>
          <w:rFonts w:hint="eastAsia" w:ascii="华文仿宋" w:hAnsi="华文仿宋" w:eastAsia="华文仿宋" w:cs="华文仿宋"/>
          <w:color w:val="auto"/>
          <w:sz w:val="24"/>
          <w:highlight w:val="none"/>
        </w:rPr>
        <w:t>响应文件进行</w:t>
      </w:r>
      <w:r>
        <w:rPr>
          <w:rFonts w:hint="eastAsia" w:ascii="华文仿宋" w:hAnsi="华文仿宋" w:eastAsia="华文仿宋" w:cs="华文仿宋"/>
          <w:color w:val="auto"/>
          <w:sz w:val="24"/>
          <w:highlight w:val="none"/>
          <w:lang w:val="en-US" w:eastAsia="zh-CN"/>
        </w:rPr>
        <w:t>递交</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未在规定时间内递交的，</w:t>
      </w:r>
      <w:r>
        <w:rPr>
          <w:rFonts w:hint="eastAsia" w:ascii="华文仿宋" w:hAnsi="华文仿宋" w:eastAsia="华文仿宋" w:cs="华文仿宋"/>
          <w:b/>
          <w:bCs/>
          <w:color w:val="auto"/>
          <w:sz w:val="24"/>
          <w:highlight w:val="none"/>
          <w:lang w:val="en-US" w:eastAsia="zh-CN"/>
        </w:rPr>
        <w:t>响应无效。</w:t>
      </w:r>
    </w:p>
    <w:p w14:paraId="3CAA54EE">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12</w:t>
      </w:r>
      <w:r>
        <w:rPr>
          <w:rFonts w:hint="eastAsia" w:ascii="华文仿宋" w:hAnsi="华文仿宋" w:eastAsia="华文仿宋" w:cs="华文仿宋"/>
          <w:color w:val="auto"/>
          <w:sz w:val="24"/>
          <w:highlight w:val="none"/>
        </w:rPr>
        <w:t>.4在响应文件提交截止时间之后，供应商不得对其响应文件做任何修改。但属于磋商小组在评审中发现的计算错误并进行核实的修改、按照磋商文件的变动情况和磋商小组的要求重新提交响应文件的，不在此列。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5C17EA30">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13</w:t>
      </w:r>
      <w:r>
        <w:rPr>
          <w:rFonts w:hint="eastAsia" w:ascii="华文仿宋" w:hAnsi="华文仿宋" w:eastAsia="华文仿宋" w:cs="华文仿宋"/>
          <w:b/>
          <w:color w:val="auto"/>
          <w:sz w:val="24"/>
          <w:highlight w:val="none"/>
        </w:rPr>
        <w:t>.磋商小组</w:t>
      </w:r>
    </w:p>
    <w:p w14:paraId="034EC647">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13</w:t>
      </w:r>
      <w:r>
        <w:rPr>
          <w:rFonts w:hint="eastAsia" w:ascii="华文仿宋" w:hAnsi="华文仿宋" w:eastAsia="华文仿宋" w:cs="华文仿宋"/>
          <w:color w:val="auto"/>
          <w:sz w:val="24"/>
          <w:highlight w:val="none"/>
        </w:rPr>
        <w:t>.1本项目将依法组建磋商小组，磋商小组成员由3人以上（含）单数组成，磋商小组及其成员应当依照政府采购的有关规定履行相关职责和义务。</w:t>
      </w:r>
    </w:p>
    <w:p w14:paraId="486D84A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13</w:t>
      </w:r>
      <w:r>
        <w:rPr>
          <w:rFonts w:hint="eastAsia" w:ascii="华文仿宋" w:hAnsi="华文仿宋" w:eastAsia="华文仿宋" w:cs="华文仿宋"/>
          <w:color w:val="auto"/>
          <w:sz w:val="24"/>
          <w:highlight w:val="none"/>
        </w:rPr>
        <w:t>.2磋商小组依法对响应文件进行评审，并根据磋商文件规定的程序、评定成交的标准等事项与实质性响应磋商文件要求的供应商进行磋商。</w:t>
      </w:r>
    </w:p>
    <w:p w14:paraId="6EC58FA4">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13</w:t>
      </w:r>
      <w:r>
        <w:rPr>
          <w:rFonts w:hint="eastAsia" w:ascii="华文仿宋" w:hAnsi="华文仿宋" w:eastAsia="华文仿宋" w:cs="华文仿宋"/>
          <w:color w:val="auto"/>
          <w:sz w:val="24"/>
          <w:highlight w:val="none"/>
        </w:rPr>
        <w:t>.3磋商小组应当从质量和服务均能满足磋商文件实质性响应要求的供应商中，按照评审方法和标准推荐成交候选供应商，并编写评审报告。</w:t>
      </w:r>
    </w:p>
    <w:p w14:paraId="1CF2F8C4">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14</w:t>
      </w:r>
      <w:r>
        <w:rPr>
          <w:rFonts w:hint="eastAsia" w:ascii="华文仿宋" w:hAnsi="华文仿宋" w:eastAsia="华文仿宋" w:cs="华文仿宋"/>
          <w:b/>
          <w:color w:val="auto"/>
          <w:sz w:val="24"/>
          <w:highlight w:val="none"/>
        </w:rPr>
        <w:t>.响应文件的评审与磋商</w:t>
      </w:r>
    </w:p>
    <w:p w14:paraId="6AC7ECCC">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14</w:t>
      </w:r>
      <w:r>
        <w:rPr>
          <w:rFonts w:hint="eastAsia" w:ascii="华文仿宋" w:hAnsi="华文仿宋" w:eastAsia="华文仿宋" w:cs="华文仿宋"/>
          <w:color w:val="auto"/>
          <w:sz w:val="24"/>
          <w:highlight w:val="none"/>
        </w:rPr>
        <w:t>.1采购人和采购代理机构将在</w:t>
      </w:r>
      <w:r>
        <w:rPr>
          <w:rFonts w:hint="eastAsia" w:ascii="华文仿宋" w:hAnsi="华文仿宋" w:eastAsia="华文仿宋" w:cs="华文仿宋"/>
          <w:color w:val="auto"/>
          <w:sz w:val="24"/>
          <w:highlight w:val="none"/>
          <w:u w:val="none"/>
          <w:lang w:val="en-US" w:eastAsia="zh-CN"/>
        </w:rPr>
        <w:t>竞争性磋商公告</w:t>
      </w:r>
      <w:r>
        <w:rPr>
          <w:rFonts w:hint="eastAsia" w:ascii="华文仿宋" w:hAnsi="华文仿宋" w:eastAsia="华文仿宋" w:cs="华文仿宋"/>
          <w:color w:val="auto"/>
          <w:sz w:val="24"/>
          <w:highlight w:val="none"/>
        </w:rPr>
        <w:t>规定的时间和地点组织磋商。</w:t>
      </w:r>
    </w:p>
    <w:p w14:paraId="06C2AAC0">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14</w:t>
      </w:r>
      <w:r>
        <w:rPr>
          <w:rFonts w:hint="eastAsia" w:ascii="华文仿宋" w:hAnsi="华文仿宋" w:eastAsia="华文仿宋" w:cs="华文仿宋"/>
          <w:color w:val="auto"/>
          <w:sz w:val="24"/>
          <w:highlight w:val="none"/>
        </w:rPr>
        <w:t>.2竞争性磋商活动采用综合评分法评审。</w:t>
      </w:r>
    </w:p>
    <w:p w14:paraId="5B322EA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综合评分法，是指响应文件满足磋商文件全部实质性要求且按评审因素的量化指标评审得分最高的供应商为成交候选供应商的评审方法。</w:t>
      </w:r>
    </w:p>
    <w:p w14:paraId="22B0F5E7">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14</w:t>
      </w:r>
      <w:r>
        <w:rPr>
          <w:rFonts w:hint="eastAsia" w:ascii="华文仿宋" w:hAnsi="华文仿宋" w:eastAsia="华文仿宋" w:cs="华文仿宋"/>
          <w:color w:val="auto"/>
          <w:sz w:val="24"/>
          <w:highlight w:val="none"/>
        </w:rPr>
        <w:t>.3磋商小组将按照磋商文件规定的评审方法和标准对供应商独立进行评审。评审程序如下：</w:t>
      </w:r>
    </w:p>
    <w:p w14:paraId="0AAB1EF7">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14</w:t>
      </w:r>
      <w:r>
        <w:rPr>
          <w:rFonts w:hint="eastAsia" w:ascii="华文仿宋" w:hAnsi="华文仿宋" w:eastAsia="华文仿宋" w:cs="华文仿宋"/>
          <w:color w:val="auto"/>
          <w:sz w:val="24"/>
          <w:highlight w:val="none"/>
        </w:rPr>
        <w:t>.3.1</w:t>
      </w:r>
      <w:r>
        <w:rPr>
          <w:rFonts w:hint="eastAsia" w:ascii="华文仿宋" w:hAnsi="华文仿宋" w:eastAsia="华文仿宋" w:cs="华文仿宋"/>
          <w:b/>
          <w:color w:val="auto"/>
          <w:sz w:val="24"/>
          <w:highlight w:val="none"/>
        </w:rPr>
        <w:t>初审</w:t>
      </w:r>
      <w:r>
        <w:rPr>
          <w:rFonts w:hint="eastAsia" w:ascii="华文仿宋" w:hAnsi="华文仿宋" w:eastAsia="华文仿宋" w:cs="华文仿宋"/>
          <w:color w:val="auto"/>
          <w:sz w:val="24"/>
          <w:highlight w:val="none"/>
        </w:rPr>
        <w:t>。磋商小组对供应商必须满足和实质性响应的内容进行评审，供应商未实质性响应磋商文件要求导致响应无效的，磋商小组将以书面询标的方式告知有关供应商。</w:t>
      </w:r>
    </w:p>
    <w:p w14:paraId="7B5E092D">
      <w:pPr>
        <w:spacing w:line="360" w:lineRule="auto"/>
        <w:ind w:firstLine="435"/>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华文仿宋" w:hAnsi="华文仿宋" w:eastAsia="华文仿宋" w:cs="华文仿宋"/>
          <w:b/>
          <w:color w:val="auto"/>
          <w:sz w:val="24"/>
          <w:szCs w:val="24"/>
          <w:highlight w:val="none"/>
        </w:rPr>
        <w:t>响应无效</w:t>
      </w:r>
      <w:r>
        <w:rPr>
          <w:rFonts w:hint="eastAsia" w:ascii="华文仿宋" w:hAnsi="华文仿宋" w:eastAsia="华文仿宋" w:cs="华文仿宋"/>
          <w:color w:val="auto"/>
          <w:sz w:val="24"/>
          <w:szCs w:val="24"/>
          <w:highlight w:val="none"/>
        </w:rPr>
        <w:t>。</w:t>
      </w:r>
    </w:p>
    <w:p w14:paraId="62607574">
      <w:pPr>
        <w:spacing w:line="360" w:lineRule="auto"/>
        <w:ind w:firstLine="435"/>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以联合体形式参加</w:t>
      </w:r>
      <w:r>
        <w:rPr>
          <w:rFonts w:hint="eastAsia" w:ascii="华文仿宋" w:hAnsi="华文仿宋" w:eastAsia="华文仿宋" w:cs="华文仿宋"/>
          <w:color w:val="auto"/>
          <w:sz w:val="24"/>
          <w:szCs w:val="24"/>
          <w:highlight w:val="none"/>
          <w:lang w:val="en-US" w:eastAsia="zh-CN"/>
        </w:rPr>
        <w:t>磋商</w:t>
      </w:r>
      <w:r>
        <w:rPr>
          <w:rFonts w:hint="eastAsia" w:ascii="华文仿宋" w:hAnsi="华文仿宋" w:eastAsia="华文仿宋" w:cs="华文仿宋"/>
          <w:color w:val="auto"/>
          <w:sz w:val="24"/>
          <w:szCs w:val="24"/>
          <w:highlight w:val="none"/>
        </w:rPr>
        <w:t>的，联合体成员存在以上不良信用记录的，联合体</w:t>
      </w:r>
      <w:r>
        <w:rPr>
          <w:rFonts w:hint="eastAsia" w:ascii="华文仿宋" w:hAnsi="华文仿宋" w:eastAsia="华文仿宋" w:cs="华文仿宋"/>
          <w:color w:val="auto"/>
          <w:sz w:val="24"/>
          <w:szCs w:val="24"/>
          <w:highlight w:val="none"/>
          <w:lang w:val="en-US" w:eastAsia="zh-CN"/>
        </w:rPr>
        <w:t>磋商</w:t>
      </w:r>
      <w:r>
        <w:rPr>
          <w:rFonts w:hint="eastAsia" w:ascii="华文仿宋" w:hAnsi="华文仿宋" w:eastAsia="华文仿宋" w:cs="华文仿宋"/>
          <w:color w:val="auto"/>
          <w:sz w:val="24"/>
          <w:szCs w:val="24"/>
          <w:highlight w:val="none"/>
        </w:rPr>
        <w:t>将被认定为</w:t>
      </w:r>
      <w:r>
        <w:rPr>
          <w:rFonts w:hint="eastAsia" w:ascii="华文仿宋" w:hAnsi="华文仿宋" w:eastAsia="华文仿宋" w:cs="华文仿宋"/>
          <w:b/>
          <w:color w:val="auto"/>
          <w:sz w:val="24"/>
          <w:szCs w:val="24"/>
          <w:highlight w:val="none"/>
          <w:lang w:val="en-US" w:eastAsia="zh-CN"/>
        </w:rPr>
        <w:t>响应</w:t>
      </w:r>
      <w:r>
        <w:rPr>
          <w:rFonts w:hint="eastAsia" w:ascii="华文仿宋" w:hAnsi="华文仿宋" w:eastAsia="华文仿宋" w:cs="华文仿宋"/>
          <w:b/>
          <w:color w:val="auto"/>
          <w:sz w:val="24"/>
          <w:szCs w:val="24"/>
          <w:highlight w:val="none"/>
        </w:rPr>
        <w:t>无效</w:t>
      </w:r>
      <w:r>
        <w:rPr>
          <w:rFonts w:hint="eastAsia" w:ascii="华文仿宋" w:hAnsi="华文仿宋" w:eastAsia="华文仿宋" w:cs="华文仿宋"/>
          <w:color w:val="auto"/>
          <w:sz w:val="24"/>
          <w:szCs w:val="24"/>
          <w:highlight w:val="none"/>
        </w:rPr>
        <w:t>。</w:t>
      </w:r>
    </w:p>
    <w:p w14:paraId="5E85607D">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szCs w:val="24"/>
          <w:highlight w:val="none"/>
        </w:rPr>
        <w:t>以上信用查询记录，采购人或采购代理机构将下载查询结果页面后与其他采购文件一并保存。</w:t>
      </w: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rPr>
        <w:t>不良信用记录以采购人或采购代理机构查询结果为准。在本</w:t>
      </w:r>
      <w:r>
        <w:rPr>
          <w:rFonts w:hint="eastAsia" w:ascii="华文仿宋" w:hAnsi="华文仿宋" w:eastAsia="华文仿宋" w:cs="华文仿宋"/>
          <w:color w:val="auto"/>
          <w:sz w:val="24"/>
          <w:szCs w:val="24"/>
          <w:highlight w:val="none"/>
          <w:lang w:val="en-US" w:eastAsia="zh-CN"/>
        </w:rPr>
        <w:t>采购</w:t>
      </w:r>
      <w:r>
        <w:rPr>
          <w:rFonts w:hint="eastAsia" w:ascii="华文仿宋" w:hAnsi="华文仿宋" w:eastAsia="华文仿宋" w:cs="华文仿宋"/>
          <w:color w:val="auto"/>
          <w:sz w:val="24"/>
          <w:szCs w:val="24"/>
          <w:highlight w:val="none"/>
        </w:rPr>
        <w:t>文件规定的查询时间之外，网站信息发生的任何变更均不作为初审依据。</w:t>
      </w: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rPr>
        <w:t>自行提供的与网站信息不一致的其他证明材料亦不作为</w:t>
      </w:r>
      <w:r>
        <w:rPr>
          <w:rFonts w:hint="eastAsia" w:ascii="华文仿宋" w:hAnsi="华文仿宋" w:eastAsia="华文仿宋" w:cs="华文仿宋"/>
          <w:color w:val="auto"/>
          <w:sz w:val="24"/>
          <w:szCs w:val="24"/>
          <w:highlight w:val="none"/>
          <w:lang w:val="en-US" w:eastAsia="zh-CN"/>
        </w:rPr>
        <w:t>初审</w:t>
      </w:r>
      <w:r>
        <w:rPr>
          <w:rFonts w:hint="eastAsia" w:ascii="华文仿宋" w:hAnsi="华文仿宋" w:eastAsia="华文仿宋" w:cs="华文仿宋"/>
          <w:color w:val="auto"/>
          <w:sz w:val="24"/>
          <w:szCs w:val="24"/>
          <w:highlight w:val="none"/>
        </w:rPr>
        <w:t>依据。</w:t>
      </w:r>
    </w:p>
    <w:p w14:paraId="33770DCE">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14</w:t>
      </w:r>
      <w:r>
        <w:rPr>
          <w:rFonts w:hint="eastAsia" w:ascii="华文仿宋" w:hAnsi="华文仿宋" w:eastAsia="华文仿宋" w:cs="华文仿宋"/>
          <w:color w:val="auto"/>
          <w:sz w:val="24"/>
          <w:highlight w:val="none"/>
        </w:rPr>
        <w:t>.3.2</w:t>
      </w:r>
      <w:r>
        <w:rPr>
          <w:rFonts w:hint="eastAsia" w:ascii="华文仿宋" w:hAnsi="华文仿宋" w:eastAsia="华文仿宋" w:cs="华文仿宋"/>
          <w:b/>
          <w:color w:val="auto"/>
          <w:sz w:val="24"/>
          <w:highlight w:val="none"/>
        </w:rPr>
        <w:t>磋商</w:t>
      </w:r>
      <w:r>
        <w:rPr>
          <w:rFonts w:hint="eastAsia" w:ascii="华文仿宋" w:hAnsi="华文仿宋" w:eastAsia="华文仿宋" w:cs="华文仿宋"/>
          <w:color w:val="auto"/>
          <w:sz w:val="24"/>
          <w:highlight w:val="none"/>
        </w:rPr>
        <w:t>。初审合格后，磋商小组将集中与单一供应商分别进行磋商，并给予所有参加磋商的供应商平等的磋商机会。</w:t>
      </w:r>
    </w:p>
    <w:p w14:paraId="5DCCC474">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14</w:t>
      </w:r>
      <w:r>
        <w:rPr>
          <w:rFonts w:hint="eastAsia" w:ascii="华文仿宋" w:hAnsi="华文仿宋" w:eastAsia="华文仿宋" w:cs="华文仿宋"/>
          <w:color w:val="auto"/>
          <w:sz w:val="24"/>
          <w:highlight w:val="none"/>
        </w:rPr>
        <w:t>.3.3</w:t>
      </w:r>
      <w:r>
        <w:rPr>
          <w:rFonts w:hint="eastAsia" w:ascii="华文仿宋" w:hAnsi="华文仿宋" w:eastAsia="华文仿宋" w:cs="华文仿宋"/>
          <w:b/>
          <w:color w:val="auto"/>
          <w:sz w:val="24"/>
          <w:highlight w:val="none"/>
        </w:rPr>
        <w:t>报价</w:t>
      </w:r>
      <w:r>
        <w:rPr>
          <w:rFonts w:hint="eastAsia" w:ascii="华文仿宋" w:hAnsi="华文仿宋" w:eastAsia="华文仿宋" w:cs="华文仿宋"/>
          <w:color w:val="auto"/>
          <w:sz w:val="24"/>
          <w:highlight w:val="none"/>
        </w:rPr>
        <w:t>。磋商结束后，磋商小组应当要求所有实质性响应的供应商在规定时间内提交最后报价。</w:t>
      </w:r>
    </w:p>
    <w:p w14:paraId="0F16B530">
      <w:pPr>
        <w:spacing w:line="360" w:lineRule="auto"/>
        <w:ind w:firstLine="435"/>
        <w:rPr>
          <w:rFonts w:hint="eastAsia" w:ascii="华文仿宋" w:hAnsi="华文仿宋" w:eastAsia="华文仿宋" w:cs="华文仿宋"/>
          <w:color w:val="auto"/>
          <w:highlight w:val="none"/>
        </w:rPr>
      </w:pPr>
      <w:r>
        <w:rPr>
          <w:rFonts w:hint="eastAsia" w:ascii="华文仿宋" w:hAnsi="华文仿宋" w:eastAsia="华文仿宋" w:cs="华文仿宋"/>
          <w:color w:val="auto"/>
          <w:sz w:val="24"/>
          <w:highlight w:val="none"/>
          <w:lang w:val="en-US" w:eastAsia="zh-CN"/>
        </w:rPr>
        <w:t>14.3.4</w:t>
      </w:r>
      <w:r>
        <w:rPr>
          <w:rFonts w:hint="eastAsia" w:ascii="华文仿宋" w:hAnsi="华文仿宋" w:eastAsia="华文仿宋" w:cs="华文仿宋"/>
          <w:b/>
          <w:bCs/>
          <w:color w:val="auto"/>
          <w:sz w:val="24"/>
          <w:highlight w:val="none"/>
          <w:lang w:val="en-US" w:eastAsia="zh-CN"/>
        </w:rPr>
        <w:t>异常低价响应审查。</w:t>
      </w:r>
      <w:r>
        <w:rPr>
          <w:rFonts w:hint="eastAsia" w:ascii="华文仿宋" w:hAnsi="华文仿宋" w:eastAsia="华文仿宋" w:cs="华文仿宋"/>
          <w:color w:val="auto"/>
          <w:sz w:val="24"/>
          <w:highlight w:val="none"/>
        </w:rPr>
        <w:t>根据《</w:t>
      </w:r>
      <w:r>
        <w:rPr>
          <w:rFonts w:hint="eastAsia" w:ascii="华文仿宋" w:hAnsi="华文仿宋" w:eastAsia="华文仿宋" w:cs="华文仿宋"/>
          <w:color w:val="auto"/>
          <w:sz w:val="24"/>
          <w:highlight w:val="none"/>
          <w:lang w:val="en-US" w:eastAsia="zh-CN"/>
        </w:rPr>
        <w:t>关于推进解决政府采购异常低价问题的通知</w:t>
      </w:r>
      <w:r>
        <w:rPr>
          <w:rFonts w:hint="eastAsia" w:ascii="华文仿宋" w:hAnsi="华文仿宋" w:eastAsia="华文仿宋" w:cs="华文仿宋"/>
          <w:color w:val="auto"/>
          <w:sz w:val="24"/>
          <w:highlight w:val="none"/>
        </w:rPr>
        <w:t>》（财库〔202</w:t>
      </w:r>
      <w:r>
        <w:rPr>
          <w:rFonts w:hint="eastAsia" w:ascii="华文仿宋" w:hAnsi="华文仿宋" w:eastAsia="华文仿宋" w:cs="华文仿宋"/>
          <w:color w:val="auto"/>
          <w:sz w:val="24"/>
          <w:highlight w:val="none"/>
          <w:lang w:val="en-US" w:eastAsia="zh-CN"/>
        </w:rPr>
        <w:t>6</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2</w:t>
      </w:r>
      <w:r>
        <w:rPr>
          <w:rFonts w:hint="eastAsia" w:ascii="华文仿宋" w:hAnsi="华文仿宋" w:eastAsia="华文仿宋" w:cs="华文仿宋"/>
          <w:color w:val="auto"/>
          <w:sz w:val="24"/>
          <w:highlight w:val="none"/>
        </w:rPr>
        <w:t>号）</w:t>
      </w:r>
      <w:r>
        <w:rPr>
          <w:rFonts w:hint="eastAsia" w:ascii="华文仿宋" w:hAnsi="华文仿宋" w:eastAsia="华文仿宋" w:cs="华文仿宋"/>
          <w:color w:val="auto"/>
          <w:sz w:val="24"/>
          <w:highlight w:val="none"/>
          <w:lang w:eastAsia="zh-CN"/>
        </w:rPr>
        <w:t>，</w:t>
      </w:r>
      <w:r>
        <w:rPr>
          <w:rFonts w:hint="eastAsia" w:ascii="华文仿宋" w:hAnsi="华文仿宋" w:eastAsia="华文仿宋" w:cs="华文仿宋"/>
          <w:color w:val="auto"/>
          <w:sz w:val="24"/>
          <w:highlight w:val="none"/>
          <w:lang w:val="en-US" w:eastAsia="zh-CN"/>
        </w:rPr>
        <w:t>磋商小组进行异常低价响应审查。</w:t>
      </w:r>
    </w:p>
    <w:p w14:paraId="00B1A048">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14</w:t>
      </w:r>
      <w:r>
        <w:rPr>
          <w:rFonts w:hint="eastAsia" w:ascii="华文仿宋" w:hAnsi="华文仿宋" w:eastAsia="华文仿宋" w:cs="华文仿宋"/>
          <w:color w:val="auto"/>
          <w:sz w:val="24"/>
          <w:highlight w:val="none"/>
        </w:rPr>
        <w:t>.3.</w:t>
      </w:r>
      <w:r>
        <w:rPr>
          <w:rFonts w:hint="eastAsia" w:ascii="华文仿宋" w:hAnsi="华文仿宋" w:eastAsia="华文仿宋" w:cs="华文仿宋"/>
          <w:color w:val="auto"/>
          <w:sz w:val="24"/>
          <w:highlight w:val="none"/>
          <w:lang w:val="en-US" w:eastAsia="zh-CN"/>
        </w:rPr>
        <w:t>5</w:t>
      </w:r>
      <w:r>
        <w:rPr>
          <w:rFonts w:hint="eastAsia" w:ascii="华文仿宋" w:hAnsi="华文仿宋" w:eastAsia="华文仿宋" w:cs="华文仿宋"/>
          <w:b/>
          <w:color w:val="auto"/>
          <w:sz w:val="24"/>
          <w:highlight w:val="none"/>
        </w:rPr>
        <w:t>综合评分</w:t>
      </w:r>
      <w:r>
        <w:rPr>
          <w:rFonts w:hint="eastAsia" w:ascii="华文仿宋" w:hAnsi="华文仿宋" w:eastAsia="华文仿宋" w:cs="华文仿宋"/>
          <w:color w:val="auto"/>
          <w:sz w:val="24"/>
          <w:highlight w:val="none"/>
        </w:rPr>
        <w:t>。磋商小组只对通过初审</w:t>
      </w:r>
      <w:r>
        <w:rPr>
          <w:rFonts w:hint="eastAsia" w:ascii="华文仿宋" w:hAnsi="华文仿宋" w:eastAsia="华文仿宋" w:cs="华文仿宋"/>
          <w:color w:val="auto"/>
          <w:sz w:val="24"/>
          <w:highlight w:val="none"/>
          <w:lang w:eastAsia="zh-CN"/>
        </w:rPr>
        <w:t>、</w:t>
      </w:r>
      <w:r>
        <w:rPr>
          <w:rFonts w:hint="eastAsia" w:ascii="华文仿宋" w:hAnsi="华文仿宋" w:eastAsia="华文仿宋" w:cs="华文仿宋"/>
          <w:color w:val="auto"/>
          <w:sz w:val="24"/>
          <w:highlight w:val="none"/>
          <w:lang w:val="en-US" w:eastAsia="zh-CN"/>
        </w:rPr>
        <w:t>异常低价响应审查</w:t>
      </w:r>
      <w:r>
        <w:rPr>
          <w:rFonts w:hint="eastAsia" w:ascii="华文仿宋" w:hAnsi="华文仿宋" w:eastAsia="华文仿宋" w:cs="华文仿宋"/>
          <w:color w:val="auto"/>
          <w:sz w:val="24"/>
          <w:highlight w:val="none"/>
        </w:rPr>
        <w:t>，实质上响应磋商文件要求的响应文件进行综合评分。经磋商确定最终采购需求和提交最后报价的供应商后，由磋商小组采用综合评分法对提交最后报价的供应商的响应文件和最后报价进行综合评分。</w:t>
      </w:r>
    </w:p>
    <w:p w14:paraId="50D37FE9">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14</w:t>
      </w:r>
      <w:r>
        <w:rPr>
          <w:rFonts w:hint="eastAsia" w:ascii="华文仿宋" w:hAnsi="华文仿宋" w:eastAsia="华文仿宋" w:cs="华文仿宋"/>
          <w:color w:val="auto"/>
          <w:sz w:val="24"/>
          <w:highlight w:val="none"/>
        </w:rPr>
        <w:t>.4相关说明。</w:t>
      </w:r>
    </w:p>
    <w:p w14:paraId="2DD5A16D">
      <w:pPr>
        <w:spacing w:line="360" w:lineRule="auto"/>
        <w:ind w:firstLine="435"/>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lang w:val="en-US" w:eastAsia="zh-CN"/>
        </w:rPr>
        <w:t>14</w:t>
      </w:r>
      <w:r>
        <w:rPr>
          <w:rFonts w:hint="eastAsia" w:ascii="华文仿宋" w:hAnsi="华文仿宋" w:eastAsia="华文仿宋" w:cs="华文仿宋"/>
          <w:color w:val="auto"/>
          <w:sz w:val="24"/>
          <w:highlight w:val="none"/>
        </w:rPr>
        <w:t>.4.1为保证磋商活动顺利进行，供应商可派相关技术人员进行答疑；</w:t>
      </w:r>
    </w:p>
    <w:p w14:paraId="611B9356">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w:t>
      </w:r>
      <w:r>
        <w:rPr>
          <w:rFonts w:hint="eastAsia" w:ascii="华文仿宋" w:hAnsi="华文仿宋" w:eastAsia="华文仿宋" w:cs="华文仿宋"/>
          <w:color w:val="auto"/>
          <w:sz w:val="24"/>
          <w:highlight w:val="none"/>
          <w:lang w:val="en-US" w:eastAsia="zh-CN"/>
        </w:rPr>
        <w:t>4</w:t>
      </w:r>
      <w:r>
        <w:rPr>
          <w:rFonts w:hint="eastAsia" w:ascii="华文仿宋" w:hAnsi="华文仿宋" w:eastAsia="华文仿宋" w:cs="华文仿宋"/>
          <w:color w:val="auto"/>
          <w:sz w:val="24"/>
          <w:highlight w:val="none"/>
        </w:rPr>
        <w:t>.4.2磋商小组根据与供应商磋商情况可能实质性变动磋商文件的内容，包括采购需求中的技术、服务要求以及合同草案条款。磋商文件有实质性变动的，经采购人代表确认作为磋商文件的有效组成部分，磋商小组将以书面形式通知所有参加磋商的供应商。</w:t>
      </w:r>
    </w:p>
    <w:p w14:paraId="00B2AAF9">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14</w:t>
      </w:r>
      <w:r>
        <w:rPr>
          <w:rFonts w:hint="eastAsia" w:ascii="华文仿宋" w:hAnsi="华文仿宋" w:eastAsia="华文仿宋" w:cs="华文仿宋"/>
          <w:color w:val="auto"/>
          <w:sz w:val="24"/>
          <w:highlight w:val="none"/>
        </w:rPr>
        <w:t>.4.</w:t>
      </w:r>
      <w:r>
        <w:rPr>
          <w:rFonts w:hint="eastAsia" w:ascii="华文仿宋" w:hAnsi="华文仿宋" w:eastAsia="华文仿宋" w:cs="华文仿宋"/>
          <w:color w:val="auto"/>
          <w:sz w:val="24"/>
          <w:highlight w:val="none"/>
          <w:lang w:val="en-US" w:eastAsia="zh-CN"/>
        </w:rPr>
        <w:t>3</w:t>
      </w:r>
      <w:r>
        <w:rPr>
          <w:rFonts w:hint="eastAsia" w:ascii="华文仿宋" w:hAnsi="华文仿宋" w:eastAsia="华文仿宋" w:cs="华文仿宋"/>
          <w:color w:val="auto"/>
          <w:sz w:val="24"/>
          <w:highlight w:val="none"/>
        </w:rPr>
        <w:t>无论何种原因，即使供应商磋商时携带了证书材料的原件，但响应文件中未提供与之内容完全一致的</w:t>
      </w:r>
      <w:r>
        <w:rPr>
          <w:rFonts w:hint="eastAsia" w:ascii="华文仿宋" w:hAnsi="华文仿宋" w:eastAsia="华文仿宋" w:cs="华文仿宋"/>
          <w:color w:val="auto"/>
          <w:sz w:val="24"/>
          <w:highlight w:val="none"/>
          <w:lang w:val="en-US" w:eastAsia="zh-CN"/>
        </w:rPr>
        <w:t>复印</w:t>
      </w:r>
      <w:r>
        <w:rPr>
          <w:rFonts w:hint="eastAsia" w:ascii="华文仿宋" w:hAnsi="华文仿宋" w:eastAsia="华文仿宋" w:cs="华文仿宋"/>
          <w:color w:val="auto"/>
          <w:sz w:val="24"/>
          <w:highlight w:val="none"/>
        </w:rPr>
        <w:t>件的，磋商小组可以视同其未提供。</w:t>
      </w:r>
    </w:p>
    <w:p w14:paraId="22250CB6">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14</w:t>
      </w:r>
      <w:r>
        <w:rPr>
          <w:rFonts w:hint="eastAsia" w:ascii="华文仿宋" w:hAnsi="华文仿宋" w:eastAsia="华文仿宋" w:cs="华文仿宋"/>
          <w:color w:val="auto"/>
          <w:sz w:val="24"/>
          <w:highlight w:val="none"/>
        </w:rPr>
        <w:t>.4.</w:t>
      </w:r>
      <w:r>
        <w:rPr>
          <w:rFonts w:hint="eastAsia" w:ascii="华文仿宋" w:hAnsi="华文仿宋" w:eastAsia="华文仿宋" w:cs="华文仿宋"/>
          <w:color w:val="auto"/>
          <w:sz w:val="24"/>
          <w:highlight w:val="none"/>
          <w:lang w:val="en-US" w:eastAsia="zh-CN"/>
        </w:rPr>
        <w:t>4</w:t>
      </w:r>
      <w:r>
        <w:rPr>
          <w:rFonts w:hint="eastAsia" w:ascii="华文仿宋" w:hAnsi="华文仿宋" w:eastAsia="华文仿宋" w:cs="华文仿宋"/>
          <w:color w:val="auto"/>
          <w:sz w:val="24"/>
          <w:highlight w:val="none"/>
        </w:rPr>
        <w:t>磋商小组决定响应文件的响应性及符合性只根据响应文件本身的内容，而不寻求其他外部证据。</w:t>
      </w:r>
    </w:p>
    <w:p w14:paraId="5EE6AF79">
      <w:pPr>
        <w:spacing w:line="360" w:lineRule="auto"/>
        <w:ind w:firstLine="435"/>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rPr>
        <w:t>1</w:t>
      </w:r>
      <w:r>
        <w:rPr>
          <w:rFonts w:hint="eastAsia" w:ascii="华文仿宋" w:hAnsi="华文仿宋" w:eastAsia="华文仿宋" w:cs="华文仿宋"/>
          <w:color w:val="auto"/>
          <w:sz w:val="24"/>
          <w:highlight w:val="none"/>
          <w:lang w:val="en-US" w:eastAsia="zh-CN"/>
        </w:rPr>
        <w:t>4</w:t>
      </w:r>
      <w:r>
        <w:rPr>
          <w:rFonts w:hint="eastAsia" w:ascii="华文仿宋" w:hAnsi="华文仿宋" w:eastAsia="华文仿宋" w:cs="华文仿宋"/>
          <w:color w:val="auto"/>
          <w:sz w:val="24"/>
          <w:highlight w:val="none"/>
        </w:rPr>
        <w:t>.5供应商授权代表对磋商过程有疑义，以及认为采购人、采购代理机构相关工作人员有需要回避的情形的，应当场提出询问或者回避申请，并说明理由。</w:t>
      </w:r>
    </w:p>
    <w:p w14:paraId="2C3FCA07">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15</w:t>
      </w:r>
      <w:r>
        <w:rPr>
          <w:rFonts w:hint="eastAsia" w:ascii="华文仿宋" w:hAnsi="华文仿宋" w:eastAsia="华文仿宋" w:cs="华文仿宋"/>
          <w:b/>
          <w:color w:val="auto"/>
          <w:sz w:val="24"/>
          <w:highlight w:val="none"/>
        </w:rPr>
        <w:t>.终止竞争性磋商</w:t>
      </w:r>
    </w:p>
    <w:p w14:paraId="465F79A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15</w:t>
      </w:r>
      <w:r>
        <w:rPr>
          <w:rFonts w:hint="eastAsia" w:ascii="华文仿宋" w:hAnsi="华文仿宋" w:eastAsia="华文仿宋" w:cs="华文仿宋"/>
          <w:color w:val="auto"/>
          <w:sz w:val="24"/>
          <w:highlight w:val="none"/>
        </w:rPr>
        <w:t>.1出现下列情况之一时，采购人和采购代理机构有权宣布终止竞争性磋商采购，并将理由通知所有供应商：</w:t>
      </w:r>
    </w:p>
    <w:p w14:paraId="435C7412">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（1）有效供应商数量不足，导致本次磋商缺乏竞争的；</w:t>
      </w:r>
    </w:p>
    <w:p w14:paraId="623DB1FC">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（2）出现影响采购公正的违法、违规行为的；</w:t>
      </w:r>
    </w:p>
    <w:p w14:paraId="24E5CD6E">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（3）因重大变故，采购任务取消的；</w:t>
      </w:r>
    </w:p>
    <w:p w14:paraId="43850891">
      <w:pPr>
        <w:spacing w:line="360" w:lineRule="auto"/>
        <w:ind w:firstLine="437"/>
        <w:outlineLvl w:val="2"/>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（4）政府采购法律法规规定的其他情形。</w:t>
      </w:r>
    </w:p>
    <w:p w14:paraId="44CE1D71">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16</w:t>
      </w:r>
      <w:r>
        <w:rPr>
          <w:rFonts w:hint="eastAsia" w:ascii="华文仿宋" w:hAnsi="华文仿宋" w:eastAsia="华文仿宋" w:cs="华文仿宋"/>
          <w:b/>
          <w:color w:val="auto"/>
          <w:sz w:val="24"/>
          <w:highlight w:val="none"/>
        </w:rPr>
        <w:t>.响应文件的澄清、说明或更正</w:t>
      </w:r>
    </w:p>
    <w:p w14:paraId="623D987F">
      <w:pPr>
        <w:spacing w:line="360" w:lineRule="auto"/>
        <w:ind w:firstLine="470" w:firstLineChars="196"/>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16</w:t>
      </w:r>
      <w:r>
        <w:rPr>
          <w:rFonts w:hint="eastAsia" w:ascii="华文仿宋" w:hAnsi="华文仿宋" w:eastAsia="华文仿宋" w:cs="华文仿宋"/>
          <w:color w:val="auto"/>
          <w:sz w:val="24"/>
          <w:highlight w:val="none"/>
        </w:rPr>
        <w:t>.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4916DDC0">
      <w:pPr>
        <w:spacing w:line="360" w:lineRule="auto"/>
        <w:ind w:firstLine="470" w:firstLineChars="196"/>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16</w:t>
      </w:r>
      <w:r>
        <w:rPr>
          <w:rFonts w:hint="eastAsia" w:ascii="华文仿宋" w:hAnsi="华文仿宋" w:eastAsia="华文仿宋" w:cs="华文仿宋"/>
          <w:color w:val="auto"/>
          <w:sz w:val="24"/>
          <w:highlight w:val="none"/>
        </w:rPr>
        <w:t>.2磋商小组要求供应商澄清、说明或者更正响应文件应当以书面形式（询标）作出。供应商的澄清、说明或者更正应当由法定代表人或其授权代表签字或者加盖公章。</w:t>
      </w:r>
    </w:p>
    <w:p w14:paraId="3E2B3D3A">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17</w:t>
      </w:r>
      <w:r>
        <w:rPr>
          <w:rFonts w:hint="eastAsia" w:ascii="华文仿宋" w:hAnsi="华文仿宋" w:eastAsia="华文仿宋" w:cs="华文仿宋"/>
          <w:b/>
          <w:color w:val="auto"/>
          <w:sz w:val="24"/>
          <w:highlight w:val="none"/>
        </w:rPr>
        <w:t>.最后报价</w:t>
      </w:r>
    </w:p>
    <w:p w14:paraId="722AB062">
      <w:pPr>
        <w:spacing w:line="360" w:lineRule="auto"/>
        <w:ind w:firstLine="435"/>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17</w:t>
      </w:r>
      <w:r>
        <w:rPr>
          <w:rFonts w:hint="eastAsia" w:ascii="华文仿宋" w:hAnsi="华文仿宋" w:eastAsia="华文仿宋" w:cs="华文仿宋"/>
          <w:color w:val="auto"/>
          <w:sz w:val="24"/>
          <w:highlight w:val="none"/>
        </w:rPr>
        <w:t>.1磋商并不限定只进行二轮报价，如果磋商小组认为有必要，可以要求供应商进行多轮报价。</w:t>
      </w:r>
      <w:r>
        <w:rPr>
          <w:rFonts w:hint="eastAsia" w:ascii="华文仿宋" w:hAnsi="华文仿宋" w:eastAsia="华文仿宋" w:cs="华文仿宋"/>
          <w:b/>
          <w:bCs/>
          <w:color w:val="auto"/>
          <w:sz w:val="24"/>
          <w:highlight w:val="none"/>
          <w:lang w:val="en-US" w:eastAsia="zh-CN"/>
        </w:rPr>
        <w:t>本项目仅进行二轮报价。</w:t>
      </w:r>
    </w:p>
    <w:p w14:paraId="1DF00F4E">
      <w:pPr>
        <w:spacing w:line="360" w:lineRule="auto"/>
        <w:ind w:firstLine="435"/>
        <w:rPr>
          <w:rFonts w:hint="eastAsia" w:ascii="华文仿宋" w:hAnsi="华文仿宋" w:eastAsia="华文仿宋" w:cs="华文仿宋"/>
          <w:b/>
          <w:color w:val="auto"/>
          <w:kern w:val="0"/>
          <w:sz w:val="24"/>
          <w:highlight w:val="none"/>
        </w:rPr>
      </w:pPr>
      <w:r>
        <w:rPr>
          <w:rFonts w:hint="eastAsia" w:ascii="华文仿宋" w:hAnsi="华文仿宋" w:eastAsia="华文仿宋" w:cs="华文仿宋"/>
          <w:b/>
          <w:color w:val="auto"/>
          <w:kern w:val="0"/>
          <w:sz w:val="24"/>
          <w:highlight w:val="none"/>
        </w:rPr>
        <w:t>本次磋商实行二轮报价。第一次报价为供应商在响应文件中填报的报价，第二次报价在响应文件通过评审后，各供应商应在</w:t>
      </w:r>
      <w:r>
        <w:rPr>
          <w:rFonts w:hint="eastAsia" w:ascii="华文仿宋" w:hAnsi="华文仿宋" w:eastAsia="华文仿宋" w:cs="华文仿宋"/>
          <w:b/>
          <w:color w:val="auto"/>
          <w:kern w:val="0"/>
          <w:sz w:val="24"/>
          <w:highlight w:val="none"/>
          <w:lang w:val="en-US" w:eastAsia="zh-CN"/>
        </w:rPr>
        <w:t>现场并在</w:t>
      </w:r>
      <w:r>
        <w:rPr>
          <w:rFonts w:hint="eastAsia" w:ascii="华文仿宋" w:hAnsi="华文仿宋" w:eastAsia="华文仿宋" w:cs="华文仿宋"/>
          <w:b/>
          <w:color w:val="auto"/>
          <w:kern w:val="0"/>
          <w:sz w:val="24"/>
          <w:highlight w:val="none"/>
        </w:rPr>
        <w:t>规定的时间内，进行二次报价。各供应商应</w:t>
      </w:r>
      <w:r>
        <w:rPr>
          <w:rFonts w:hint="eastAsia" w:ascii="华文仿宋" w:hAnsi="华文仿宋" w:eastAsia="华文仿宋" w:cs="华文仿宋"/>
          <w:b/>
          <w:color w:val="auto"/>
          <w:kern w:val="0"/>
          <w:sz w:val="24"/>
          <w:highlight w:val="none"/>
          <w:lang w:val="en-US" w:eastAsia="zh-CN"/>
        </w:rPr>
        <w:t>在开标现场等候</w:t>
      </w:r>
      <w:r>
        <w:rPr>
          <w:rFonts w:hint="eastAsia" w:ascii="华文仿宋" w:hAnsi="华文仿宋" w:eastAsia="华文仿宋" w:cs="华文仿宋"/>
          <w:b/>
          <w:color w:val="auto"/>
          <w:kern w:val="0"/>
          <w:sz w:val="24"/>
          <w:highlight w:val="none"/>
        </w:rPr>
        <w:t>及时进行二次报价，第二次报价即为最后报价，若供应商未在规定的时间内进行二次报价（最后报价）</w:t>
      </w:r>
      <w:r>
        <w:rPr>
          <w:rFonts w:hint="eastAsia" w:ascii="华文仿宋" w:hAnsi="华文仿宋" w:eastAsia="华文仿宋" w:cs="华文仿宋"/>
          <w:b/>
          <w:color w:val="auto"/>
          <w:kern w:val="0"/>
          <w:sz w:val="24"/>
          <w:highlight w:val="none"/>
          <w:lang w:val="en-US" w:eastAsia="zh-CN"/>
        </w:rPr>
        <w:t>视同退出磋商</w:t>
      </w:r>
      <w:r>
        <w:rPr>
          <w:rFonts w:hint="eastAsia" w:ascii="华文仿宋" w:hAnsi="华文仿宋" w:eastAsia="华文仿宋" w:cs="华文仿宋"/>
          <w:b/>
          <w:color w:val="auto"/>
          <w:kern w:val="0"/>
          <w:sz w:val="24"/>
          <w:highlight w:val="none"/>
        </w:rPr>
        <w:t>或二次报价被磋商小组认为不符合要求的，磋商小组</w:t>
      </w:r>
      <w:r>
        <w:rPr>
          <w:rFonts w:hint="eastAsia" w:ascii="华文仿宋" w:hAnsi="华文仿宋" w:eastAsia="华文仿宋" w:cs="华文仿宋"/>
          <w:b/>
          <w:color w:val="auto"/>
          <w:kern w:val="0"/>
          <w:sz w:val="24"/>
          <w:highlight w:val="none"/>
          <w:lang w:val="en-US" w:eastAsia="zh-CN"/>
        </w:rPr>
        <w:t>对上述两种情形的</w:t>
      </w:r>
      <w:r>
        <w:rPr>
          <w:rFonts w:hint="eastAsia" w:ascii="华文仿宋" w:hAnsi="华文仿宋" w:eastAsia="华文仿宋" w:cs="华文仿宋"/>
          <w:b/>
          <w:color w:val="auto"/>
          <w:kern w:val="0"/>
          <w:sz w:val="24"/>
          <w:highlight w:val="none"/>
        </w:rPr>
        <w:t>响应文件</w:t>
      </w:r>
      <w:r>
        <w:rPr>
          <w:rFonts w:hint="eastAsia" w:ascii="华文仿宋" w:hAnsi="华文仿宋" w:eastAsia="华文仿宋" w:cs="华文仿宋"/>
          <w:b/>
          <w:color w:val="auto"/>
          <w:kern w:val="0"/>
          <w:sz w:val="24"/>
          <w:highlight w:val="none"/>
          <w:lang w:val="en-US" w:eastAsia="zh-CN"/>
        </w:rPr>
        <w:t>均作无效标处理</w:t>
      </w:r>
      <w:r>
        <w:rPr>
          <w:rFonts w:hint="eastAsia" w:ascii="华文仿宋" w:hAnsi="华文仿宋" w:eastAsia="华文仿宋" w:cs="华文仿宋"/>
          <w:b/>
          <w:color w:val="auto"/>
          <w:kern w:val="0"/>
          <w:sz w:val="24"/>
          <w:highlight w:val="none"/>
        </w:rPr>
        <w:t>，磋商价格分以供应商的最后报价为准，即满足磋商文件要求且最后报价最低的供应商的价格为磋商基准价，其价格分为满分。二次报价（最后报价）不得高于最高限价，否则取消其磋商资格。望各供应商务必全程</w:t>
      </w:r>
      <w:r>
        <w:rPr>
          <w:rFonts w:hint="eastAsia" w:ascii="华文仿宋" w:hAnsi="华文仿宋" w:eastAsia="华文仿宋" w:cs="华文仿宋"/>
          <w:b/>
          <w:color w:val="auto"/>
          <w:kern w:val="0"/>
          <w:sz w:val="24"/>
          <w:highlight w:val="none"/>
          <w:lang w:val="en-US" w:eastAsia="zh-CN"/>
        </w:rPr>
        <w:t>关注项目进度</w:t>
      </w:r>
      <w:r>
        <w:rPr>
          <w:rFonts w:hint="eastAsia" w:ascii="华文仿宋" w:hAnsi="华文仿宋" w:eastAsia="华文仿宋" w:cs="华文仿宋"/>
          <w:b/>
          <w:color w:val="auto"/>
          <w:kern w:val="0"/>
          <w:sz w:val="24"/>
          <w:highlight w:val="none"/>
        </w:rPr>
        <w:t>，及时进行</w:t>
      </w:r>
      <w:r>
        <w:rPr>
          <w:rFonts w:hint="eastAsia" w:ascii="华文仿宋" w:hAnsi="华文仿宋" w:eastAsia="华文仿宋" w:cs="华文仿宋"/>
          <w:b/>
          <w:color w:val="auto"/>
          <w:kern w:val="0"/>
          <w:sz w:val="24"/>
          <w:highlight w:val="none"/>
          <w:lang w:val="en-US" w:eastAsia="zh-CN"/>
        </w:rPr>
        <w:t>报价</w:t>
      </w:r>
      <w:r>
        <w:rPr>
          <w:rFonts w:hint="eastAsia" w:ascii="华文仿宋" w:hAnsi="华文仿宋" w:eastAsia="华文仿宋" w:cs="华文仿宋"/>
          <w:b/>
          <w:color w:val="auto"/>
          <w:kern w:val="0"/>
          <w:sz w:val="24"/>
          <w:highlight w:val="none"/>
        </w:rPr>
        <w:t>，否则，因此给其造成相关后果，自行承担。</w:t>
      </w:r>
    </w:p>
    <w:p w14:paraId="6F17530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17</w:t>
      </w:r>
      <w:r>
        <w:rPr>
          <w:rFonts w:hint="eastAsia" w:ascii="华文仿宋" w:hAnsi="华文仿宋" w:eastAsia="华文仿宋" w:cs="华文仿宋"/>
          <w:color w:val="auto"/>
          <w:sz w:val="24"/>
          <w:highlight w:val="none"/>
        </w:rPr>
        <w:t>.2在磋商内容不做实质性变更或重大调整的前提下，供应商下轮报价不得高于上一轮报价。</w:t>
      </w:r>
    </w:p>
    <w:p w14:paraId="42048D0C">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17</w:t>
      </w:r>
      <w:r>
        <w:rPr>
          <w:rFonts w:hint="eastAsia" w:ascii="华文仿宋" w:hAnsi="华文仿宋" w:eastAsia="华文仿宋" w:cs="华文仿宋"/>
          <w:color w:val="auto"/>
          <w:sz w:val="24"/>
          <w:highlight w:val="none"/>
        </w:rPr>
        <w:t>.3最后报价是供应商响应文件的有效组成部分，最后报价也是签订合同的依据。</w:t>
      </w:r>
    </w:p>
    <w:p w14:paraId="6A019659">
      <w:pPr>
        <w:spacing w:line="360" w:lineRule="auto"/>
        <w:ind w:firstLine="435"/>
        <w:rPr>
          <w:rFonts w:hint="eastAsia" w:ascii="华文仿宋" w:hAnsi="华文仿宋" w:eastAsia="华文仿宋" w:cs="华文仿宋"/>
          <w:color w:val="auto"/>
          <w:sz w:val="24"/>
          <w:highlight w:val="none"/>
        </w:rPr>
      </w:pPr>
      <w:bookmarkStart w:id="32" w:name="_Hlk60607655"/>
      <w:bookmarkStart w:id="33" w:name="_Hlk60607673"/>
      <w:r>
        <w:rPr>
          <w:rFonts w:hint="eastAsia" w:ascii="华文仿宋" w:hAnsi="华文仿宋" w:eastAsia="华文仿宋" w:cs="华文仿宋"/>
          <w:color w:val="auto"/>
          <w:sz w:val="24"/>
          <w:highlight w:val="none"/>
          <w:lang w:val="en-US" w:eastAsia="zh-CN"/>
        </w:rPr>
        <w:t>17</w:t>
      </w:r>
      <w:r>
        <w:rPr>
          <w:rFonts w:hint="eastAsia" w:ascii="华文仿宋" w:hAnsi="华文仿宋" w:eastAsia="华文仿宋" w:cs="华文仿宋"/>
          <w:color w:val="auto"/>
          <w:sz w:val="24"/>
          <w:highlight w:val="none"/>
        </w:rPr>
        <w:t>.4根据《政府采购促进中小企业发展管理办法》（财库〔2020〕46号）、《三部门联合发布关于促进残疾人就业政府采购政策的通知》（财库〔2017〕141号）和《财政部司法部关于政府采购支持监狱企业发展有关问题的通知》（财库〔2014〕68号）的规定，对满足价格扣除条件且在响应文件中提交了《中小企业声明函》、《残疾人福利性单位声明函》或省级以上监狱管理局、戒毒管理局（含新疆生产建设兵团）出具的属于监狱企业的证明文件的供应商，其最后报价按照</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中规定的标准扣除后的价格参与评审。对于同时属于小微企业、监狱企业或残疾人福利性单位的，不重复进行最后报价扣除。</w:t>
      </w:r>
    </w:p>
    <w:p w14:paraId="4284C7D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接受大中型企业与小微企业组成联合体或者允许大中型企业向一家或者多家小微企业分包的，对于联合协议或者分包意向协议约定小微企业的合同份额占到合同总金额30%以上的，可给予联合体或者大中型企业的最后报价按照</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3431E7B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以联合体形式参加政府采购活动，联合体各方均为中小企业的，联合体视同中小企业。其中，联合体各方均为小微企业的，联合体视同小微企业。</w:t>
      </w:r>
      <w:bookmarkEnd w:id="32"/>
    </w:p>
    <w:bookmarkEnd w:id="33"/>
    <w:p w14:paraId="22235334">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华文仿宋" w:hAnsi="华文仿宋" w:eastAsia="华文仿宋" w:cs="华文仿宋"/>
          <w:b w:val="0"/>
          <w:i w:val="0"/>
          <w:iCs w:val="0"/>
          <w:color w:val="auto"/>
          <w:sz w:val="24"/>
          <w:highlight w:val="none"/>
          <w:lang w:val="en-US" w:eastAsia="zh-CN"/>
        </w:rPr>
      </w:pPr>
      <w:r>
        <w:rPr>
          <w:rFonts w:hint="eastAsia" w:ascii="华文仿宋" w:hAnsi="华文仿宋" w:eastAsia="华文仿宋" w:cs="华文仿宋"/>
          <w:b w:val="0"/>
          <w:bCs w:val="0"/>
          <w:color w:val="auto"/>
          <w:kern w:val="2"/>
          <w:sz w:val="24"/>
          <w:szCs w:val="20"/>
          <w:highlight w:val="none"/>
          <w:lang w:val="en-US" w:eastAsia="zh-CN" w:bidi="ar-SA"/>
        </w:rPr>
        <w:t>17.5</w:t>
      </w:r>
      <w:r>
        <w:rPr>
          <w:rFonts w:hint="eastAsia" w:ascii="华文仿宋" w:hAnsi="华文仿宋" w:eastAsia="华文仿宋" w:cs="华文仿宋"/>
          <w:b w:val="0"/>
          <w:i w:val="0"/>
          <w:iCs w:val="0"/>
          <w:color w:val="auto"/>
          <w:sz w:val="24"/>
          <w:highlight w:val="none"/>
          <w:lang w:val="en-US" w:eastAsia="zh-CN"/>
        </w:rPr>
        <w:t>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583290F">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华文仿宋" w:hAnsi="华文仿宋" w:eastAsia="华文仿宋" w:cs="华文仿宋"/>
          <w:b w:val="0"/>
          <w:i w:val="0"/>
          <w:iCs w:val="0"/>
          <w:color w:val="auto"/>
          <w:sz w:val="24"/>
          <w:highlight w:val="none"/>
          <w:lang w:val="en-US" w:eastAsia="zh-CN"/>
        </w:rPr>
      </w:pPr>
      <w:r>
        <w:rPr>
          <w:rFonts w:hint="eastAsia" w:ascii="华文仿宋" w:hAnsi="华文仿宋" w:eastAsia="华文仿宋" w:cs="华文仿宋"/>
          <w:b w:val="0"/>
          <w:i w:val="0"/>
          <w:iCs w:val="0"/>
          <w:color w:val="auto"/>
          <w:sz w:val="24"/>
          <w:highlight w:val="none"/>
          <w:lang w:val="en-US" w:eastAsia="zh-CN"/>
        </w:rPr>
        <w:t>磋商小组应当对供应商所出具的《关于符合本国产品标准的声明函》（以下简称《声明函》）的完整性、准确性进行审查，评审中发现《声明函》内容含义不明确、同类事项与响应文件表述不一致或者有明显文字错误等情况的，应当以书面形式要求供应商作出必要的澄清、说明或者补正。经澄清、说明或者补正的《声明函》仍然不符合规定要求的，供应商提供的相关产品视为不符合本国产品标准。</w:t>
      </w:r>
    </w:p>
    <w:p w14:paraId="400F4642">
      <w:pPr>
        <w:spacing w:line="360" w:lineRule="auto"/>
        <w:ind w:firstLine="437"/>
        <w:outlineLvl w:val="9"/>
        <w:rPr>
          <w:rFonts w:hint="eastAsia" w:ascii="华文仿宋" w:hAnsi="华文仿宋" w:eastAsia="华文仿宋" w:cs="华文仿宋"/>
          <w:b/>
          <w:bCs/>
          <w:i w:val="0"/>
          <w:iCs w:val="0"/>
          <w:color w:val="auto"/>
          <w:sz w:val="24"/>
          <w:highlight w:val="none"/>
          <w:lang w:val="en-US" w:eastAsia="zh-CN"/>
        </w:rPr>
      </w:pPr>
      <w:r>
        <w:rPr>
          <w:rFonts w:hint="eastAsia" w:ascii="华文仿宋" w:hAnsi="华文仿宋" w:eastAsia="华文仿宋" w:cs="华文仿宋"/>
          <w:b/>
          <w:bCs/>
          <w:i w:val="0"/>
          <w:iCs w:val="0"/>
          <w:color w:val="auto"/>
          <w:sz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AC8FF03">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华文仿宋" w:hAnsi="华文仿宋" w:eastAsia="华文仿宋" w:cs="华文仿宋"/>
          <w:color w:val="auto"/>
          <w:highlight w:val="none"/>
        </w:rPr>
      </w:pPr>
      <w:r>
        <w:rPr>
          <w:rFonts w:hint="eastAsia" w:ascii="华文仿宋" w:hAnsi="华文仿宋" w:eastAsia="华文仿宋" w:cs="华文仿宋"/>
          <w:b w:val="0"/>
          <w:i w:val="0"/>
          <w:iCs w:val="0"/>
          <w:color w:val="auto"/>
          <w:sz w:val="24"/>
          <w:highlight w:val="none"/>
          <w:lang w:val="en-US" w:eastAsia="zh-CN"/>
        </w:rPr>
        <w:t>17.6同时符合17.4和17.5的价格评审优惠时，评审价为响应报价分别扣除促进中小企业发展政策的价格评审优惠和本国产品支持政策的价格评审优惠后的价格。</w:t>
      </w:r>
    </w:p>
    <w:p w14:paraId="59CBF7DF">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18</w:t>
      </w:r>
      <w:r>
        <w:rPr>
          <w:rFonts w:hint="eastAsia" w:ascii="华文仿宋" w:hAnsi="华文仿宋" w:eastAsia="华文仿宋" w:cs="华文仿宋"/>
          <w:b/>
          <w:color w:val="auto"/>
          <w:sz w:val="24"/>
          <w:highlight w:val="none"/>
        </w:rPr>
        <w:t>.成交候选供应商的推荐原则及标准</w:t>
      </w:r>
    </w:p>
    <w:p w14:paraId="6D14083B">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18</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磋商小组依据本项目磋商文件所约定的评审方法和标准，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10C5AB9D">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19</w:t>
      </w:r>
      <w:r>
        <w:rPr>
          <w:rFonts w:hint="eastAsia" w:ascii="华文仿宋" w:hAnsi="华文仿宋" w:eastAsia="华文仿宋" w:cs="华文仿宋"/>
          <w:b/>
          <w:color w:val="auto"/>
          <w:sz w:val="24"/>
          <w:highlight w:val="none"/>
        </w:rPr>
        <w:t>.确定成交候选供应商和成交供应商</w:t>
      </w:r>
    </w:p>
    <w:p w14:paraId="6865C19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19</w:t>
      </w:r>
      <w:r>
        <w:rPr>
          <w:rFonts w:hint="eastAsia" w:ascii="华文仿宋" w:hAnsi="华文仿宋" w:eastAsia="华文仿宋" w:cs="华文仿宋"/>
          <w:color w:val="auto"/>
          <w:sz w:val="24"/>
          <w:highlight w:val="none"/>
        </w:rPr>
        <w:t>.1磋商小组根据综合评分的结果和</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中规定确定成交候选供应商，并标明排列顺序。按</w:t>
      </w:r>
      <w:r>
        <w:rPr>
          <w:rFonts w:hint="eastAsia" w:ascii="华文仿宋" w:hAnsi="华文仿宋" w:eastAsia="华文仿宋" w:cs="华文仿宋"/>
          <w:color w:val="auto"/>
          <w:sz w:val="24"/>
          <w:highlight w:val="none"/>
          <w:u w:val="single"/>
          <w:lang w:val="en-US" w:eastAsia="zh-CN"/>
        </w:rPr>
        <w:t>供应商</w:t>
      </w:r>
      <w:r>
        <w:rPr>
          <w:rFonts w:hint="eastAsia" w:ascii="华文仿宋" w:hAnsi="华文仿宋" w:eastAsia="华文仿宋" w:cs="华文仿宋"/>
          <w:color w:val="auto"/>
          <w:sz w:val="24"/>
          <w:highlight w:val="none"/>
          <w:u w:val="single"/>
        </w:rPr>
        <w:t>须知前附表</w:t>
      </w:r>
      <w:r>
        <w:rPr>
          <w:rFonts w:hint="eastAsia" w:ascii="华文仿宋" w:hAnsi="华文仿宋" w:eastAsia="华文仿宋" w:cs="华文仿宋"/>
          <w:color w:val="auto"/>
          <w:sz w:val="24"/>
          <w:highlight w:val="none"/>
        </w:rPr>
        <w:t>中规定，由</w:t>
      </w:r>
      <w:r>
        <w:rPr>
          <w:rFonts w:hint="eastAsia" w:ascii="华文仿宋" w:hAnsi="华文仿宋" w:eastAsia="华文仿宋" w:cs="华文仿宋"/>
          <w:color w:val="auto"/>
          <w:sz w:val="24"/>
          <w:highlight w:val="none"/>
          <w:lang w:val="en-US" w:eastAsia="zh-CN"/>
        </w:rPr>
        <w:t>磋商小组</w:t>
      </w:r>
      <w:r>
        <w:rPr>
          <w:rFonts w:hint="eastAsia" w:ascii="华文仿宋" w:hAnsi="华文仿宋" w:eastAsia="华文仿宋" w:cs="华文仿宋"/>
          <w:color w:val="auto"/>
          <w:sz w:val="24"/>
          <w:highlight w:val="none"/>
        </w:rPr>
        <w:t>或采购人确定</w:t>
      </w:r>
      <w:r>
        <w:rPr>
          <w:rFonts w:hint="eastAsia" w:ascii="华文仿宋" w:hAnsi="华文仿宋" w:eastAsia="华文仿宋" w:cs="华文仿宋"/>
          <w:color w:val="auto"/>
          <w:sz w:val="24"/>
          <w:highlight w:val="none"/>
          <w:lang w:val="en-US" w:eastAsia="zh-CN"/>
        </w:rPr>
        <w:t>成交供应商</w:t>
      </w:r>
      <w:r>
        <w:rPr>
          <w:rFonts w:hint="eastAsia" w:ascii="华文仿宋" w:hAnsi="华文仿宋" w:eastAsia="华文仿宋" w:cs="华文仿宋"/>
          <w:color w:val="auto"/>
          <w:sz w:val="24"/>
          <w:highlight w:val="none"/>
        </w:rPr>
        <w:t>。</w:t>
      </w:r>
    </w:p>
    <w:p w14:paraId="63FCD943">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20</w:t>
      </w:r>
      <w:r>
        <w:rPr>
          <w:rFonts w:hint="eastAsia" w:ascii="华文仿宋" w:hAnsi="华文仿宋" w:eastAsia="华文仿宋" w:cs="华文仿宋"/>
          <w:b/>
          <w:color w:val="auto"/>
          <w:sz w:val="24"/>
          <w:highlight w:val="none"/>
        </w:rPr>
        <w:t>.编写评审报告</w:t>
      </w:r>
    </w:p>
    <w:p w14:paraId="437E0B50">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20</w:t>
      </w:r>
      <w:r>
        <w:rPr>
          <w:rFonts w:hint="eastAsia" w:ascii="华文仿宋" w:hAnsi="华文仿宋" w:eastAsia="华文仿宋" w:cs="华文仿宋"/>
          <w:color w:val="auto"/>
          <w:sz w:val="24"/>
          <w:highlight w:val="none"/>
        </w:rPr>
        <w:t>.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249C733F">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21</w:t>
      </w:r>
      <w:r>
        <w:rPr>
          <w:rFonts w:hint="eastAsia" w:ascii="华文仿宋" w:hAnsi="华文仿宋" w:eastAsia="华文仿宋" w:cs="华文仿宋"/>
          <w:b/>
          <w:color w:val="auto"/>
          <w:sz w:val="24"/>
          <w:highlight w:val="none"/>
        </w:rPr>
        <w:t>.保密要求</w:t>
      </w:r>
    </w:p>
    <w:p w14:paraId="0AD2AB36">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21</w:t>
      </w:r>
      <w:r>
        <w:rPr>
          <w:rFonts w:hint="eastAsia" w:ascii="华文仿宋" w:hAnsi="华文仿宋" w:eastAsia="华文仿宋" w:cs="华文仿宋"/>
          <w:color w:val="auto"/>
          <w:sz w:val="24"/>
          <w:highlight w:val="none"/>
        </w:rPr>
        <w:t>.1评审将在严格保密的情况下进行。</w:t>
      </w:r>
    </w:p>
    <w:p w14:paraId="677DC72B">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21</w:t>
      </w:r>
      <w:r>
        <w:rPr>
          <w:rFonts w:hint="eastAsia" w:ascii="华文仿宋" w:hAnsi="华文仿宋" w:eastAsia="华文仿宋" w:cs="华文仿宋"/>
          <w:color w:val="auto"/>
          <w:sz w:val="24"/>
          <w:highlight w:val="none"/>
        </w:rPr>
        <w:t>.2有关人员应当遵守评审工作纪律，不得泄露评审文件、评审情况和评审中获悉的国家秘密、商业秘密。</w:t>
      </w:r>
    </w:p>
    <w:p w14:paraId="2AEAB145">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22</w:t>
      </w:r>
      <w:r>
        <w:rPr>
          <w:rFonts w:hint="eastAsia" w:ascii="华文仿宋" w:hAnsi="华文仿宋" w:eastAsia="华文仿宋" w:cs="华文仿宋"/>
          <w:b/>
          <w:color w:val="auto"/>
          <w:sz w:val="24"/>
          <w:highlight w:val="none"/>
        </w:rPr>
        <w:t>.成交结果公告</w:t>
      </w:r>
    </w:p>
    <w:p w14:paraId="7D3A1A5E">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22</w:t>
      </w:r>
      <w:r>
        <w:rPr>
          <w:rFonts w:hint="eastAsia" w:ascii="华文仿宋" w:hAnsi="华文仿宋" w:eastAsia="华文仿宋" w:cs="华文仿宋"/>
          <w:color w:val="auto"/>
          <w:sz w:val="24"/>
          <w:highlight w:val="none"/>
        </w:rPr>
        <w:t>.1为体现“公开、公平、公正”的原则，磋商结束后，</w:t>
      </w:r>
      <w:r>
        <w:rPr>
          <w:rFonts w:hint="eastAsia" w:ascii="华文仿宋" w:hAnsi="华文仿宋" w:eastAsia="华文仿宋" w:cs="华文仿宋"/>
          <w:color w:val="auto"/>
          <w:sz w:val="24"/>
          <w:szCs w:val="18"/>
          <w:highlight w:val="none"/>
        </w:rPr>
        <w:t>采购代理机构将在</w:t>
      </w:r>
      <w:r>
        <w:rPr>
          <w:rFonts w:hint="eastAsia" w:ascii="华文仿宋" w:hAnsi="华文仿宋" w:eastAsia="华文仿宋" w:cs="华文仿宋"/>
          <w:color w:val="auto"/>
          <w:sz w:val="24"/>
          <w:szCs w:val="18"/>
          <w:highlight w:val="none"/>
          <w:lang w:eastAsia="zh-CN"/>
        </w:rPr>
        <w:t>滁州市城投工程咨询管理有限公司官网</w:t>
      </w:r>
      <w:r>
        <w:rPr>
          <w:rFonts w:hint="eastAsia" w:ascii="华文仿宋" w:hAnsi="华文仿宋" w:eastAsia="华文仿宋" w:cs="华文仿宋"/>
          <w:color w:val="auto"/>
          <w:sz w:val="24"/>
          <w:highlight w:val="none"/>
        </w:rPr>
        <w:t>上发布成交结果公告。</w:t>
      </w:r>
    </w:p>
    <w:p w14:paraId="52341718">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22</w:t>
      </w:r>
      <w:r>
        <w:rPr>
          <w:rFonts w:hint="eastAsia" w:ascii="华文仿宋" w:hAnsi="华文仿宋" w:eastAsia="华文仿宋" w:cs="华文仿宋"/>
          <w:color w:val="auto"/>
          <w:sz w:val="24"/>
          <w:highlight w:val="none"/>
        </w:rPr>
        <w:t>.2成交结果公告内容应当包括采购人及其委托的采购代理机构的名称、地址、联系方式，项目名称和项目编号，成交供应商名称、地址和成交金额，主要成交标的的名称、规格型号、数量、单价、服务要求，成交结果公告期限、评审专家名单以及</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中约定进行公告的内容。</w:t>
      </w:r>
    </w:p>
    <w:p w14:paraId="56A7D9BB">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23</w:t>
      </w:r>
      <w:r>
        <w:rPr>
          <w:rFonts w:hint="eastAsia" w:ascii="华文仿宋" w:hAnsi="华文仿宋" w:eastAsia="华文仿宋" w:cs="华文仿宋"/>
          <w:b/>
          <w:color w:val="auto"/>
          <w:sz w:val="24"/>
          <w:highlight w:val="none"/>
        </w:rPr>
        <w:t>.成交通知书</w:t>
      </w:r>
    </w:p>
    <w:p w14:paraId="51977549">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23</w:t>
      </w:r>
      <w:r>
        <w:rPr>
          <w:rFonts w:hint="eastAsia" w:ascii="华文仿宋" w:hAnsi="华文仿宋" w:eastAsia="华文仿宋" w:cs="华文仿宋"/>
          <w:color w:val="auto"/>
          <w:sz w:val="24"/>
          <w:highlight w:val="none"/>
        </w:rPr>
        <w:t>.1采购代理机构发布成交结果公告的同时以</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规定的形式向成交供应商发出成交通知书。</w:t>
      </w:r>
    </w:p>
    <w:p w14:paraId="2A354449">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23</w:t>
      </w:r>
      <w:r>
        <w:rPr>
          <w:rFonts w:hint="eastAsia" w:ascii="华文仿宋" w:hAnsi="华文仿宋" w:eastAsia="华文仿宋" w:cs="华文仿宋"/>
          <w:color w:val="auto"/>
          <w:sz w:val="24"/>
          <w:highlight w:val="none"/>
        </w:rPr>
        <w:t>.2成交通知书对采购人和成交供应商具有同等法律效力。成交通知书发出以后，采购人改变成交结果或者成交供应商放弃成交资格，应当承担相应的法律责任。</w:t>
      </w:r>
    </w:p>
    <w:p w14:paraId="675F89A7">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23</w:t>
      </w:r>
      <w:r>
        <w:rPr>
          <w:rFonts w:hint="eastAsia" w:ascii="华文仿宋" w:hAnsi="华文仿宋" w:eastAsia="华文仿宋" w:cs="华文仿宋"/>
          <w:color w:val="auto"/>
          <w:sz w:val="24"/>
          <w:highlight w:val="none"/>
        </w:rPr>
        <w:t>.3成交通知书是合同的组成部分。</w:t>
      </w:r>
    </w:p>
    <w:p w14:paraId="380EC39A">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24</w:t>
      </w:r>
      <w:r>
        <w:rPr>
          <w:rFonts w:hint="eastAsia" w:ascii="华文仿宋" w:hAnsi="华文仿宋" w:eastAsia="华文仿宋" w:cs="华文仿宋"/>
          <w:b/>
          <w:color w:val="auto"/>
          <w:sz w:val="24"/>
          <w:highlight w:val="none"/>
        </w:rPr>
        <w:t>.告知磋商结果</w:t>
      </w:r>
    </w:p>
    <w:p w14:paraId="31748D0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24</w:t>
      </w:r>
      <w:r>
        <w:rPr>
          <w:rFonts w:hint="eastAsia" w:ascii="华文仿宋" w:hAnsi="华文仿宋" w:eastAsia="华文仿宋" w:cs="华文仿宋"/>
          <w:color w:val="auto"/>
          <w:sz w:val="24"/>
          <w:highlight w:val="none"/>
        </w:rPr>
        <w:t>.1在公告成交结果的同时，采购代理机构同时以</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规定的形式告知未成交供应商本人的评审得分和排序。</w:t>
      </w:r>
    </w:p>
    <w:p w14:paraId="4EC3346D">
      <w:pPr>
        <w:spacing w:line="360" w:lineRule="auto"/>
        <w:ind w:firstLine="480" w:firstLineChars="200"/>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24</w:t>
      </w:r>
      <w:r>
        <w:rPr>
          <w:rFonts w:hint="eastAsia" w:ascii="华文仿宋" w:hAnsi="华文仿宋" w:eastAsia="华文仿宋" w:cs="华文仿宋"/>
          <w:color w:val="auto"/>
          <w:sz w:val="24"/>
          <w:highlight w:val="none"/>
        </w:rPr>
        <w:t>.2采购代理机构对未成交的供应商不做未成交原因的解释。</w:t>
      </w:r>
    </w:p>
    <w:p w14:paraId="2016FB75">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25</w:t>
      </w:r>
      <w:r>
        <w:rPr>
          <w:rFonts w:hint="eastAsia" w:ascii="华文仿宋" w:hAnsi="华文仿宋" w:eastAsia="华文仿宋" w:cs="华文仿宋"/>
          <w:b/>
          <w:color w:val="auto"/>
          <w:sz w:val="24"/>
          <w:highlight w:val="none"/>
        </w:rPr>
        <w:t>.履约保证金</w:t>
      </w:r>
    </w:p>
    <w:p w14:paraId="6F082217">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25</w:t>
      </w:r>
      <w:r>
        <w:rPr>
          <w:rFonts w:hint="eastAsia" w:ascii="华文仿宋" w:hAnsi="华文仿宋" w:eastAsia="华文仿宋" w:cs="华文仿宋"/>
          <w:color w:val="auto"/>
          <w:sz w:val="24"/>
          <w:highlight w:val="none"/>
        </w:rPr>
        <w:t>.1成交供应商应按照</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规定缴纳履约保证金。</w:t>
      </w:r>
    </w:p>
    <w:p w14:paraId="22287CF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25</w:t>
      </w:r>
      <w:r>
        <w:rPr>
          <w:rFonts w:hint="eastAsia" w:ascii="华文仿宋" w:hAnsi="华文仿宋" w:eastAsia="华文仿宋" w:cs="华文仿宋"/>
          <w:color w:val="auto"/>
          <w:sz w:val="24"/>
          <w:highlight w:val="none"/>
        </w:rPr>
        <w:t>.2如果成交供应商没有按照上述履约保证金的规定执行，将视为放弃成交资格。在此情况下，采购人可确定下一成交候选供应商为成交供应商，也可以重新开展采购活动。</w:t>
      </w:r>
    </w:p>
    <w:p w14:paraId="54E664DE">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26</w:t>
      </w:r>
      <w:r>
        <w:rPr>
          <w:rFonts w:hint="eastAsia" w:ascii="华文仿宋" w:hAnsi="华文仿宋" w:eastAsia="华文仿宋" w:cs="华文仿宋"/>
          <w:b/>
          <w:color w:val="auto"/>
          <w:sz w:val="24"/>
          <w:highlight w:val="none"/>
        </w:rPr>
        <w:t>.</w:t>
      </w:r>
      <w:r>
        <w:rPr>
          <w:rFonts w:hint="eastAsia" w:ascii="华文仿宋" w:hAnsi="华文仿宋" w:eastAsia="华文仿宋" w:cs="华文仿宋"/>
          <w:b/>
          <w:color w:val="auto"/>
          <w:sz w:val="24"/>
          <w:highlight w:val="none"/>
          <w:lang w:val="en-US" w:eastAsia="zh-CN"/>
        </w:rPr>
        <w:t>代理费用</w:t>
      </w:r>
    </w:p>
    <w:p w14:paraId="03E1DB92">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26</w:t>
      </w:r>
      <w:r>
        <w:rPr>
          <w:rFonts w:hint="eastAsia" w:ascii="华文仿宋" w:hAnsi="华文仿宋" w:eastAsia="华文仿宋" w:cs="华文仿宋"/>
          <w:color w:val="auto"/>
          <w:sz w:val="24"/>
          <w:highlight w:val="none"/>
        </w:rPr>
        <w:t>.1本项目</w:t>
      </w:r>
      <w:r>
        <w:rPr>
          <w:rFonts w:hint="eastAsia" w:ascii="华文仿宋" w:hAnsi="华文仿宋" w:eastAsia="华文仿宋" w:cs="华文仿宋"/>
          <w:color w:val="auto"/>
          <w:sz w:val="24"/>
          <w:highlight w:val="none"/>
          <w:lang w:val="en-US" w:eastAsia="zh-CN"/>
        </w:rPr>
        <w:t>代理费用</w:t>
      </w:r>
      <w:r>
        <w:rPr>
          <w:rFonts w:hint="eastAsia" w:ascii="华文仿宋" w:hAnsi="华文仿宋" w:eastAsia="华文仿宋" w:cs="华文仿宋"/>
          <w:color w:val="auto"/>
          <w:sz w:val="24"/>
          <w:highlight w:val="none"/>
        </w:rPr>
        <w:t>的收取按</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的规定执行。</w:t>
      </w:r>
    </w:p>
    <w:p w14:paraId="4BCB2E1F">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27</w:t>
      </w:r>
      <w:r>
        <w:rPr>
          <w:rFonts w:hint="eastAsia" w:ascii="华文仿宋" w:hAnsi="华文仿宋" w:eastAsia="华文仿宋" w:cs="华文仿宋"/>
          <w:b/>
          <w:color w:val="auto"/>
          <w:sz w:val="24"/>
          <w:highlight w:val="none"/>
        </w:rPr>
        <w:t>.签订合同</w:t>
      </w:r>
    </w:p>
    <w:p w14:paraId="264A3185">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27</w:t>
      </w:r>
      <w:r>
        <w:rPr>
          <w:rFonts w:hint="eastAsia" w:ascii="华文仿宋" w:hAnsi="华文仿宋" w:eastAsia="华文仿宋" w:cs="华文仿宋"/>
          <w:color w:val="auto"/>
          <w:sz w:val="24"/>
          <w:highlight w:val="none"/>
        </w:rPr>
        <w:t>.1</w:t>
      </w:r>
      <w:r>
        <w:rPr>
          <w:rFonts w:hint="eastAsia" w:ascii="华文仿宋" w:hAnsi="华文仿宋" w:eastAsia="华文仿宋" w:cs="华文仿宋"/>
          <w:color w:val="auto"/>
          <w:sz w:val="24"/>
          <w:szCs w:val="24"/>
          <w:highlight w:val="none"/>
          <w:u w:val="none"/>
          <w:lang w:val="en-US" w:eastAsia="zh-CN"/>
        </w:rPr>
        <w:t>采购人与成交供应商应当按照</w:t>
      </w:r>
      <w:r>
        <w:rPr>
          <w:rFonts w:hint="eastAsia" w:ascii="华文仿宋" w:hAnsi="华文仿宋" w:eastAsia="华文仿宋" w:cs="华文仿宋"/>
          <w:color w:val="auto"/>
          <w:sz w:val="24"/>
          <w:szCs w:val="24"/>
          <w:highlight w:val="none"/>
          <w:u w:val="single"/>
          <w:lang w:val="en-US" w:eastAsia="zh-CN"/>
        </w:rPr>
        <w:t>供应商</w:t>
      </w:r>
      <w:r>
        <w:rPr>
          <w:rFonts w:hint="eastAsia" w:ascii="华文仿宋" w:hAnsi="华文仿宋" w:eastAsia="华文仿宋" w:cs="华文仿宋"/>
          <w:color w:val="auto"/>
          <w:sz w:val="24"/>
          <w:szCs w:val="24"/>
          <w:highlight w:val="none"/>
          <w:u w:val="single"/>
        </w:rPr>
        <w:t>须知前附表</w:t>
      </w:r>
      <w:r>
        <w:rPr>
          <w:rFonts w:hint="eastAsia" w:ascii="华文仿宋" w:hAnsi="华文仿宋" w:eastAsia="华文仿宋" w:cs="华文仿宋"/>
          <w:color w:val="auto"/>
          <w:sz w:val="24"/>
          <w:szCs w:val="24"/>
          <w:highlight w:val="none"/>
          <w:u w:val="none"/>
        </w:rPr>
        <w:t>规定</w:t>
      </w:r>
      <w:r>
        <w:rPr>
          <w:rFonts w:hint="eastAsia" w:ascii="华文仿宋" w:hAnsi="华文仿宋" w:eastAsia="华文仿宋" w:cs="华文仿宋"/>
          <w:color w:val="auto"/>
          <w:sz w:val="24"/>
          <w:szCs w:val="24"/>
          <w:highlight w:val="none"/>
          <w:lang w:val="en-US" w:eastAsia="zh-CN"/>
        </w:rPr>
        <w:t>的时间内完成政府采购合同签订及合同公告。</w:t>
      </w:r>
    </w:p>
    <w:p w14:paraId="7DE471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27</w:t>
      </w:r>
      <w:r>
        <w:rPr>
          <w:rFonts w:hint="eastAsia" w:ascii="华文仿宋" w:hAnsi="华文仿宋" w:eastAsia="华文仿宋" w:cs="华文仿宋"/>
          <w:color w:val="auto"/>
          <w:sz w:val="24"/>
          <w:highlight w:val="none"/>
        </w:rPr>
        <w:t>.2磋商文件、成交供应商的响应文件及其澄清文件等，均为签订合同的依据。</w:t>
      </w:r>
    </w:p>
    <w:p w14:paraId="221D22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27</w:t>
      </w:r>
      <w:r>
        <w:rPr>
          <w:rFonts w:hint="eastAsia" w:ascii="华文仿宋" w:hAnsi="华文仿宋" w:eastAsia="华文仿宋" w:cs="华文仿宋"/>
          <w:color w:val="auto"/>
          <w:sz w:val="24"/>
          <w:highlight w:val="none"/>
        </w:rPr>
        <w:t>.3成交供应商拒绝与采购人签订合同的，采购人可以按照评审报告推荐的成交候选供应商名单排序，确定下一成交候选供应商为成交供应商，也可以重新开展采购活动。成交供应商拒绝签订政府采购合同的不得参加对该项目重新开展的采购活动。</w:t>
      </w:r>
    </w:p>
    <w:p w14:paraId="5AB8EAD3">
      <w:pPr>
        <w:spacing w:line="360" w:lineRule="auto"/>
        <w:ind w:firstLine="470" w:firstLineChars="196"/>
        <w:rPr>
          <w:rFonts w:hint="eastAsia" w:ascii="华文仿宋" w:hAnsi="华文仿宋" w:eastAsia="华文仿宋" w:cs="华文仿宋"/>
          <w:color w:val="auto"/>
          <w:sz w:val="24"/>
          <w:highlight w:val="none"/>
        </w:rPr>
      </w:pPr>
      <w:bookmarkStart w:id="34" w:name="_Hlk60264926"/>
      <w:r>
        <w:rPr>
          <w:rFonts w:hint="eastAsia" w:ascii="华文仿宋" w:hAnsi="华文仿宋" w:eastAsia="华文仿宋" w:cs="华文仿宋"/>
          <w:color w:val="auto"/>
          <w:sz w:val="24"/>
          <w:highlight w:val="none"/>
          <w:lang w:val="en-US" w:eastAsia="zh-CN"/>
        </w:rPr>
        <w:t>27</w:t>
      </w:r>
      <w:r>
        <w:rPr>
          <w:rFonts w:hint="eastAsia" w:ascii="华文仿宋" w:hAnsi="华文仿宋" w:eastAsia="华文仿宋" w:cs="华文仿宋"/>
          <w:color w:val="auto"/>
          <w:sz w:val="24"/>
          <w:highlight w:val="none"/>
        </w:rPr>
        <w:t>.4依据《政府采购促进中小企业发展管理办法》（财库〔2020〕46号）规定享受扶持政策获得政府采购合同的，小微企业不得将合同分包给大中型企业，中型企业不得将合同分包给大型企业。</w:t>
      </w:r>
      <w:bookmarkEnd w:id="34"/>
    </w:p>
    <w:p w14:paraId="5690289B">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28</w:t>
      </w:r>
      <w:r>
        <w:rPr>
          <w:rFonts w:hint="eastAsia" w:ascii="华文仿宋" w:hAnsi="华文仿宋" w:eastAsia="华文仿宋" w:cs="华文仿宋"/>
          <w:b/>
          <w:color w:val="auto"/>
          <w:sz w:val="24"/>
          <w:highlight w:val="none"/>
        </w:rPr>
        <w:t>.廉洁自律规定</w:t>
      </w:r>
    </w:p>
    <w:p w14:paraId="061C9DF7">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28</w:t>
      </w:r>
      <w:r>
        <w:rPr>
          <w:rFonts w:hint="eastAsia" w:ascii="华文仿宋" w:hAnsi="华文仿宋" w:eastAsia="华文仿宋" w:cs="华文仿宋"/>
          <w:color w:val="auto"/>
          <w:sz w:val="24"/>
          <w:highlight w:val="none"/>
        </w:rPr>
        <w:t>.1采购代理机构工作人员不得以不正当手段获取政府采购代理业务，不得与采购人、供应商恶意串通。</w:t>
      </w:r>
    </w:p>
    <w:p w14:paraId="3C129B55">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28</w:t>
      </w:r>
      <w:r>
        <w:rPr>
          <w:rFonts w:hint="eastAsia" w:ascii="华文仿宋" w:hAnsi="华文仿宋" w:eastAsia="华文仿宋" w:cs="华文仿宋"/>
          <w:color w:val="auto"/>
          <w:sz w:val="24"/>
          <w:highlight w:val="none"/>
        </w:rPr>
        <w:t>.2采购代理机构工作人员不得接受采购人或者供应商组织的宴请、旅游、娱乐，不得收受礼品、现金、有价证券等，不得向采购人或者供应商报销应当由个人承担的费用。</w:t>
      </w:r>
    </w:p>
    <w:p w14:paraId="582D6268">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29</w:t>
      </w:r>
      <w:r>
        <w:rPr>
          <w:rFonts w:hint="eastAsia" w:ascii="华文仿宋" w:hAnsi="华文仿宋" w:eastAsia="华文仿宋" w:cs="华文仿宋"/>
          <w:b/>
          <w:color w:val="auto"/>
          <w:sz w:val="24"/>
          <w:highlight w:val="none"/>
        </w:rPr>
        <w:t>.质疑的提出与接收</w:t>
      </w:r>
    </w:p>
    <w:p w14:paraId="73F91B13">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29</w:t>
      </w:r>
      <w:r>
        <w:rPr>
          <w:rFonts w:hint="eastAsia" w:ascii="华文仿宋" w:hAnsi="华文仿宋" w:eastAsia="华文仿宋" w:cs="华文仿宋"/>
          <w:color w:val="auto"/>
          <w:sz w:val="24"/>
          <w:highlight w:val="none"/>
        </w:rPr>
        <w:t>.1供应商认为磋商文件、采购过程和成交结果使自己的权益受到损害的，可以在知道或者应知其权益受到损害之日起七个工作日内，以书面形式向采购人或其委托的采购代理机构提出质疑。</w:t>
      </w:r>
    </w:p>
    <w:p w14:paraId="1C9F2DC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29</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2</w:t>
      </w:r>
      <w:r>
        <w:rPr>
          <w:rFonts w:hint="eastAsia" w:ascii="华文仿宋" w:hAnsi="华文仿宋" w:eastAsia="华文仿宋" w:cs="华文仿宋"/>
          <w:color w:val="auto"/>
          <w:sz w:val="24"/>
          <w:highlight w:val="none"/>
        </w:rPr>
        <w:t>质疑供应商应按照财政部制定的《政府采购质疑函范本》格式（详见磋商文件）和《政府采购质疑和投诉办法》的要求，在法定质疑期内以书面形式提出质疑，超出法定质疑期提交的质疑将被拒绝。针对同一采购程序环节的质疑应一次性提出。</w:t>
      </w:r>
    </w:p>
    <w:p w14:paraId="3299366C">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29</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en-US" w:eastAsia="zh-CN"/>
        </w:rPr>
        <w:t>3</w:t>
      </w:r>
      <w:r>
        <w:rPr>
          <w:rFonts w:hint="eastAsia" w:ascii="华文仿宋" w:hAnsi="华文仿宋" w:eastAsia="华文仿宋" w:cs="华文仿宋"/>
          <w:color w:val="auto"/>
          <w:sz w:val="24"/>
          <w:highlight w:val="none"/>
        </w:rPr>
        <w:t>采购代理机构质疑函接收部门，见</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u w:val="single"/>
          <w:lang w:eastAsia="zh-CN"/>
        </w:rPr>
        <w:t>；</w:t>
      </w:r>
      <w:r>
        <w:rPr>
          <w:rFonts w:hint="eastAsia" w:ascii="华文仿宋" w:hAnsi="华文仿宋" w:eastAsia="华文仿宋" w:cs="华文仿宋"/>
          <w:color w:val="auto"/>
          <w:sz w:val="24"/>
          <w:highlight w:val="none"/>
          <w:u w:val="single"/>
          <w:lang w:val="en-US" w:eastAsia="zh-CN"/>
        </w:rPr>
        <w:t>联系人毕玉；15385506369</w:t>
      </w:r>
      <w:r>
        <w:rPr>
          <w:rFonts w:hint="eastAsia" w:ascii="华文仿宋" w:hAnsi="华文仿宋" w:eastAsia="华文仿宋" w:cs="华文仿宋"/>
          <w:color w:val="auto"/>
          <w:sz w:val="24"/>
          <w:highlight w:val="none"/>
        </w:rPr>
        <w:t>。</w:t>
      </w:r>
    </w:p>
    <w:p w14:paraId="36BB5FA4">
      <w:pPr>
        <w:spacing w:line="360" w:lineRule="auto"/>
        <w:ind w:firstLine="437"/>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30</w:t>
      </w:r>
      <w:r>
        <w:rPr>
          <w:rFonts w:hint="eastAsia" w:ascii="华文仿宋" w:hAnsi="华文仿宋" w:eastAsia="华文仿宋" w:cs="华文仿宋"/>
          <w:b/>
          <w:color w:val="auto"/>
          <w:sz w:val="24"/>
          <w:highlight w:val="none"/>
        </w:rPr>
        <w:t>.需要补充的其他内容</w:t>
      </w:r>
    </w:p>
    <w:p w14:paraId="5DD45406">
      <w:pPr>
        <w:spacing w:line="360" w:lineRule="auto"/>
        <w:ind w:firstLine="437"/>
        <w:outlineLvl w:val="2"/>
        <w:rPr>
          <w:rFonts w:hint="eastAsia" w:ascii="华文仿宋" w:hAnsi="华文仿宋" w:eastAsia="华文仿宋" w:cs="华文仿宋"/>
          <w:b/>
          <w:color w:val="auto"/>
          <w:sz w:val="28"/>
          <w:highlight w:val="none"/>
        </w:rPr>
      </w:pPr>
      <w:r>
        <w:rPr>
          <w:rFonts w:hint="eastAsia" w:ascii="华文仿宋" w:hAnsi="华文仿宋" w:eastAsia="华文仿宋" w:cs="华文仿宋"/>
          <w:color w:val="auto"/>
          <w:sz w:val="24"/>
          <w:highlight w:val="none"/>
        </w:rPr>
        <w:t>需要补充的其他内容，见</w:t>
      </w:r>
      <w:r>
        <w:rPr>
          <w:rFonts w:hint="eastAsia" w:ascii="华文仿宋" w:hAnsi="华文仿宋" w:eastAsia="华文仿宋" w:cs="华文仿宋"/>
          <w:color w:val="auto"/>
          <w:sz w:val="24"/>
          <w:highlight w:val="none"/>
          <w:u w:val="single"/>
        </w:rPr>
        <w:t>供应商须知前附表</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rPr>
        <w:br w:type="page"/>
      </w:r>
    </w:p>
    <w:p w14:paraId="4C2A3859">
      <w:pPr>
        <w:spacing w:line="360" w:lineRule="auto"/>
        <w:jc w:val="center"/>
        <w:outlineLvl w:val="0"/>
        <w:rPr>
          <w:rFonts w:hint="eastAsia" w:ascii="华文仿宋" w:hAnsi="华文仿宋" w:eastAsia="华文仿宋" w:cs="华文仿宋"/>
          <w:b/>
          <w:color w:val="auto"/>
          <w:sz w:val="28"/>
          <w:highlight w:val="none"/>
        </w:rPr>
      </w:pPr>
      <w:bookmarkStart w:id="35" w:name="_Toc19440"/>
      <w:r>
        <w:rPr>
          <w:rFonts w:hint="eastAsia" w:ascii="华文仿宋" w:hAnsi="华文仿宋" w:eastAsia="华文仿宋" w:cs="华文仿宋"/>
          <w:b/>
          <w:color w:val="auto"/>
          <w:sz w:val="28"/>
          <w:highlight w:val="none"/>
        </w:rPr>
        <w:t>第三章采购需求</w:t>
      </w:r>
      <w:bookmarkEnd w:id="35"/>
    </w:p>
    <w:p w14:paraId="6C19D9C8">
      <w:pPr>
        <w:spacing w:line="360" w:lineRule="auto"/>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前注：</w:t>
      </w:r>
    </w:p>
    <w:p w14:paraId="6601DFA1">
      <w:pPr>
        <w:spacing w:line="360" w:lineRule="auto"/>
        <w:ind w:firstLine="435"/>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lang w:val="en-US" w:eastAsia="zh-CN"/>
        </w:rPr>
        <w:t>1.</w:t>
      </w:r>
      <w:r>
        <w:rPr>
          <w:rFonts w:hint="eastAsia" w:ascii="华文仿宋" w:hAnsi="华文仿宋" w:eastAsia="华文仿宋" w:cs="华文仿宋"/>
          <w:color w:val="auto"/>
          <w:sz w:val="24"/>
          <w:szCs w:val="24"/>
          <w:highlight w:val="none"/>
        </w:rPr>
        <w:t>本采购需求中提出的服务方案仅为参考，如无明确限制，</w:t>
      </w:r>
      <w:r>
        <w:rPr>
          <w:rFonts w:hint="eastAsia" w:ascii="华文仿宋" w:hAnsi="华文仿宋" w:eastAsia="华文仿宋" w:cs="华文仿宋"/>
          <w:color w:val="auto"/>
          <w:sz w:val="24"/>
          <w:szCs w:val="24"/>
          <w:highlight w:val="none"/>
          <w:lang w:eastAsia="zh-CN"/>
        </w:rPr>
        <w:t>供应商</w:t>
      </w:r>
      <w:r>
        <w:rPr>
          <w:rFonts w:hint="eastAsia" w:ascii="华文仿宋" w:hAnsi="华文仿宋" w:eastAsia="华文仿宋" w:cs="华文仿宋"/>
          <w:color w:val="auto"/>
          <w:sz w:val="24"/>
          <w:szCs w:val="24"/>
          <w:highlight w:val="none"/>
        </w:rPr>
        <w:t>可以进行优化，提供满足采购人实际需要的更优（或者性能实质上不低于的）服务方案，且此方案须经</w:t>
      </w:r>
      <w:r>
        <w:rPr>
          <w:rFonts w:hint="eastAsia" w:ascii="华文仿宋" w:hAnsi="华文仿宋" w:eastAsia="华文仿宋" w:cs="华文仿宋"/>
          <w:color w:val="auto"/>
          <w:sz w:val="24"/>
          <w:szCs w:val="24"/>
          <w:highlight w:val="none"/>
          <w:lang w:eastAsia="zh-CN"/>
        </w:rPr>
        <w:t>磋商小组</w:t>
      </w:r>
      <w:r>
        <w:rPr>
          <w:rFonts w:hint="eastAsia" w:ascii="华文仿宋" w:hAnsi="华文仿宋" w:eastAsia="华文仿宋" w:cs="华文仿宋"/>
          <w:color w:val="auto"/>
          <w:sz w:val="24"/>
          <w:szCs w:val="24"/>
          <w:highlight w:val="none"/>
        </w:rPr>
        <w:t>评审认可。</w:t>
      </w:r>
    </w:p>
    <w:p w14:paraId="0CD3E31A">
      <w:pPr>
        <w:spacing w:line="360" w:lineRule="auto"/>
        <w:ind w:firstLine="435"/>
        <w:rPr>
          <w:rFonts w:hint="eastAsia" w:ascii="华文仿宋" w:hAnsi="华文仿宋" w:eastAsia="华文仿宋" w:cs="华文仿宋"/>
          <w:color w:val="auto"/>
          <w:sz w:val="24"/>
          <w:szCs w:val="18"/>
          <w:highlight w:val="none"/>
        </w:rPr>
      </w:pPr>
      <w:r>
        <w:rPr>
          <w:rFonts w:hint="eastAsia" w:ascii="华文仿宋" w:hAnsi="华文仿宋" w:eastAsia="华文仿宋" w:cs="华文仿宋"/>
          <w:color w:val="auto"/>
          <w:sz w:val="24"/>
          <w:szCs w:val="18"/>
          <w:highlight w:val="none"/>
        </w:rPr>
        <w:t>2.下列采购需求中</w:t>
      </w:r>
      <w:r>
        <w:rPr>
          <w:rFonts w:hint="eastAsia" w:ascii="华文仿宋" w:hAnsi="华文仿宋" w:eastAsia="华文仿宋" w:cs="华文仿宋"/>
          <w:color w:val="auto"/>
          <w:sz w:val="24"/>
          <w:szCs w:val="24"/>
          <w:highlight w:val="none"/>
        </w:rPr>
        <w:t>（包括但不限于下列具体政策要求</w:t>
      </w: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18"/>
          <w:highlight w:val="none"/>
        </w:rPr>
        <w:t>：</w:t>
      </w:r>
    </w:p>
    <w:p w14:paraId="7DF2A1FF">
      <w:pPr>
        <w:spacing w:line="360" w:lineRule="auto"/>
        <w:ind w:firstLine="435"/>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（1）如属于《节能产品政府采购品目清单》中政府强制采购的节能产品，则</w:t>
      </w:r>
      <w:r>
        <w:rPr>
          <w:rFonts w:hint="eastAsia" w:ascii="华文仿宋" w:hAnsi="华文仿宋" w:eastAsia="华文仿宋" w:cs="华文仿宋"/>
          <w:color w:val="auto"/>
          <w:sz w:val="24"/>
          <w:szCs w:val="24"/>
          <w:highlight w:val="none"/>
          <w:lang w:eastAsia="zh-CN"/>
        </w:rPr>
        <w:t>供应商</w:t>
      </w:r>
      <w:r>
        <w:rPr>
          <w:rFonts w:hint="eastAsia" w:ascii="华文仿宋" w:hAnsi="华文仿宋" w:eastAsia="华文仿宋" w:cs="华文仿宋"/>
          <w:color w:val="auto"/>
          <w:sz w:val="24"/>
          <w:szCs w:val="24"/>
          <w:highlight w:val="none"/>
        </w:rPr>
        <w:t>所投产品须具有市场监管总局公布的《参与实施政府采购节能产品认证机构目录》中的认证机构出具的、处于有效期内的节能产品认证证书。</w:t>
      </w:r>
    </w:p>
    <w:p w14:paraId="086AFD4C">
      <w:pPr>
        <w:spacing w:line="360" w:lineRule="auto"/>
        <w:ind w:firstLine="435"/>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（2）如涉及商品包装和快递包装，</w:t>
      </w:r>
      <w:r>
        <w:rPr>
          <w:rFonts w:hint="eastAsia" w:ascii="华文仿宋" w:hAnsi="华文仿宋" w:eastAsia="华文仿宋" w:cs="华文仿宋"/>
          <w:color w:val="auto"/>
          <w:sz w:val="24"/>
          <w:szCs w:val="24"/>
          <w:highlight w:val="none"/>
          <w:lang w:eastAsia="zh-CN"/>
        </w:rPr>
        <w:t>供应商</w:t>
      </w:r>
      <w:r>
        <w:rPr>
          <w:rFonts w:hint="eastAsia" w:ascii="华文仿宋" w:hAnsi="华文仿宋" w:eastAsia="华文仿宋" w:cs="华文仿宋"/>
          <w:color w:val="auto"/>
          <w:sz w:val="24"/>
          <w:szCs w:val="24"/>
          <w:highlight w:val="none"/>
        </w:rPr>
        <w:t>应当执行《关于印发〈商品包装政府采购需求标准（试行）〉、〈快递包装政府采购需求标准（试行）〉的通知》（财办库〔2020〕123 号）、《安徽省财政厅关于贯彻落实政府绿色采购有关政策的通知》（皖财购〔2023〕853号）的要求，提供符合需求标准的绿色包装、绿色运输，同时，采购人将对包装材料和运输环节作为履约验收条款进行验收。</w:t>
      </w:r>
    </w:p>
    <w:p w14:paraId="70B36220">
      <w:pPr>
        <w:spacing w:line="360" w:lineRule="auto"/>
        <w:ind w:firstLine="437"/>
        <w:outlineLvl w:val="1"/>
        <w:rPr>
          <w:rFonts w:hint="eastAsia" w:ascii="华文仿宋" w:hAnsi="华文仿宋" w:eastAsia="华文仿宋" w:cs="华文仿宋"/>
          <w:b/>
          <w:color w:val="auto"/>
          <w:sz w:val="24"/>
          <w:szCs w:val="18"/>
          <w:highlight w:val="none"/>
        </w:rPr>
      </w:pPr>
      <w:bookmarkStart w:id="36" w:name="_Toc26349"/>
      <w:bookmarkStart w:id="37" w:name="_Toc7699"/>
      <w:r>
        <w:rPr>
          <w:rFonts w:hint="eastAsia" w:ascii="华文仿宋" w:hAnsi="华文仿宋" w:eastAsia="华文仿宋" w:cs="华文仿宋"/>
          <w:b/>
          <w:color w:val="auto"/>
          <w:sz w:val="24"/>
          <w:szCs w:val="18"/>
          <w:highlight w:val="none"/>
        </w:rPr>
        <w:t>一、采购需求前附表</w:t>
      </w:r>
      <w:bookmarkEnd w:id="36"/>
      <w:bookmarkEnd w:id="37"/>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279D3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0B02A64">
            <w:pPr>
              <w:pStyle w:val="40"/>
              <w:pBdr>
                <w:bottom w:val="none" w:color="auto" w:sz="0" w:space="0"/>
              </w:pBdr>
              <w:tabs>
                <w:tab w:val="clear" w:pos="4153"/>
                <w:tab w:val="clear" w:pos="8306"/>
              </w:tabs>
              <w:adjustRightInd/>
              <w:spacing w:line="240" w:lineRule="auto"/>
              <w:textAlignment w:val="auto"/>
              <w:rPr>
                <w:rFonts w:hint="eastAsia" w:ascii="华文仿宋" w:hAnsi="华文仿宋" w:eastAsia="华文仿宋" w:cs="华文仿宋"/>
                <w:b/>
                <w:color w:val="auto"/>
                <w:kern w:val="2"/>
                <w:highlight w:val="none"/>
              </w:rPr>
            </w:pPr>
            <w:bookmarkStart w:id="38" w:name="_Hlk16461016"/>
            <w:r>
              <w:rPr>
                <w:rFonts w:hint="eastAsia" w:ascii="华文仿宋" w:hAnsi="华文仿宋" w:eastAsia="华文仿宋" w:cs="华文仿宋"/>
                <w:b/>
                <w:color w:val="auto"/>
                <w:kern w:val="2"/>
                <w:highlight w:val="none"/>
              </w:rPr>
              <w:t>序号</w:t>
            </w:r>
          </w:p>
        </w:tc>
        <w:tc>
          <w:tcPr>
            <w:tcW w:w="1192" w:type="pct"/>
            <w:vAlign w:val="center"/>
          </w:tcPr>
          <w:p w14:paraId="299791CB">
            <w:pPr>
              <w:pStyle w:val="39"/>
              <w:widowControl w:val="0"/>
              <w:spacing w:before="0" w:beforeAutospacing="0" w:after="0" w:afterAutospacing="0" w:line="360" w:lineRule="auto"/>
              <w:rPr>
                <w:rFonts w:hint="eastAsia" w:ascii="华文仿宋" w:hAnsi="华文仿宋" w:eastAsia="华文仿宋" w:cs="华文仿宋"/>
                <w:bCs w:val="0"/>
                <w:color w:val="auto"/>
                <w:sz w:val="24"/>
                <w:highlight w:val="none"/>
              </w:rPr>
            </w:pPr>
            <w:r>
              <w:rPr>
                <w:rFonts w:hint="eastAsia" w:ascii="华文仿宋" w:hAnsi="华文仿宋" w:eastAsia="华文仿宋" w:cs="华文仿宋"/>
                <w:bCs w:val="0"/>
                <w:color w:val="auto"/>
                <w:sz w:val="24"/>
                <w:highlight w:val="none"/>
              </w:rPr>
              <w:t>条款名称</w:t>
            </w:r>
          </w:p>
        </w:tc>
        <w:tc>
          <w:tcPr>
            <w:tcW w:w="3217" w:type="pct"/>
            <w:vAlign w:val="center"/>
          </w:tcPr>
          <w:p w14:paraId="2CDBDCE6">
            <w:pPr>
              <w:pStyle w:val="39"/>
              <w:widowControl w:val="0"/>
              <w:spacing w:before="0" w:beforeAutospacing="0" w:after="0" w:afterAutospacing="0" w:line="360" w:lineRule="auto"/>
              <w:rPr>
                <w:rFonts w:hint="eastAsia" w:ascii="华文仿宋" w:hAnsi="华文仿宋" w:eastAsia="华文仿宋" w:cs="华文仿宋"/>
                <w:bCs w:val="0"/>
                <w:color w:val="auto"/>
                <w:sz w:val="24"/>
                <w:highlight w:val="none"/>
              </w:rPr>
            </w:pPr>
            <w:r>
              <w:rPr>
                <w:rFonts w:hint="eastAsia" w:ascii="华文仿宋" w:hAnsi="华文仿宋" w:eastAsia="华文仿宋" w:cs="华文仿宋"/>
                <w:bCs w:val="0"/>
                <w:color w:val="auto"/>
                <w:sz w:val="24"/>
                <w:highlight w:val="none"/>
              </w:rPr>
              <w:t>内容、说明与要求</w:t>
            </w:r>
          </w:p>
        </w:tc>
      </w:tr>
      <w:tr w14:paraId="2595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63D21F37">
            <w:pPr>
              <w:pStyle w:val="40"/>
              <w:pBdr>
                <w:bottom w:val="none" w:color="auto" w:sz="0" w:space="0"/>
              </w:pBdr>
              <w:tabs>
                <w:tab w:val="clear" w:pos="4153"/>
                <w:tab w:val="clear" w:pos="8306"/>
              </w:tabs>
              <w:adjustRightInd/>
              <w:spacing w:line="24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rPr>
              <w:t>1</w:t>
            </w:r>
          </w:p>
        </w:tc>
        <w:tc>
          <w:tcPr>
            <w:tcW w:w="1192" w:type="pct"/>
            <w:vAlign w:val="center"/>
          </w:tcPr>
          <w:p w14:paraId="4E0774D7">
            <w:pPr>
              <w:pStyle w:val="39"/>
              <w:widowControl w:val="0"/>
              <w:spacing w:before="0" w:beforeAutospacing="0" w:after="0" w:afterAutospacing="0" w:line="360" w:lineRule="auto"/>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付款方式</w:t>
            </w:r>
          </w:p>
        </w:tc>
        <w:tc>
          <w:tcPr>
            <w:tcW w:w="3217" w:type="pct"/>
            <w:vAlign w:val="center"/>
          </w:tcPr>
          <w:p w14:paraId="6D2BAC6C">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u w:val="single"/>
                <w:lang w:eastAsia="zh-CN"/>
              </w:rPr>
            </w:pPr>
            <w:r>
              <w:rPr>
                <w:rFonts w:hint="eastAsia" w:ascii="华文仿宋" w:hAnsi="华文仿宋" w:eastAsia="华文仿宋" w:cs="华文仿宋"/>
                <w:b w:val="0"/>
                <w:color w:val="auto"/>
                <w:sz w:val="24"/>
                <w:highlight w:val="none"/>
                <w:u w:val="single"/>
                <w:lang w:val="en-US" w:eastAsia="zh-CN"/>
              </w:rPr>
              <w:t>签订合同并具备实施条件后，</w:t>
            </w:r>
            <w:r>
              <w:rPr>
                <w:rFonts w:hint="eastAsia" w:ascii="华文仿宋" w:hAnsi="华文仿宋" w:eastAsia="华文仿宋" w:cs="华文仿宋"/>
                <w:b w:val="0"/>
                <w:color w:val="auto"/>
                <w:sz w:val="24"/>
                <w:highlight w:val="none"/>
                <w:u w:val="single"/>
              </w:rPr>
              <w:t>支付合同总价的</w:t>
            </w:r>
            <w:r>
              <w:rPr>
                <w:rFonts w:hint="eastAsia" w:ascii="华文仿宋" w:hAnsi="华文仿宋" w:eastAsia="华文仿宋" w:cs="华文仿宋"/>
                <w:b w:val="0"/>
                <w:color w:val="auto"/>
                <w:sz w:val="24"/>
                <w:highlight w:val="none"/>
                <w:u w:val="single"/>
                <w:lang w:val="en-US" w:eastAsia="zh-CN"/>
              </w:rPr>
              <w:t>7</w:t>
            </w:r>
            <w:r>
              <w:rPr>
                <w:rFonts w:hint="eastAsia" w:ascii="华文仿宋" w:hAnsi="华文仿宋" w:eastAsia="华文仿宋" w:cs="华文仿宋"/>
                <w:b w:val="0"/>
                <w:color w:val="auto"/>
                <w:sz w:val="24"/>
                <w:highlight w:val="none"/>
                <w:u w:val="single"/>
              </w:rPr>
              <w:t>0%</w:t>
            </w:r>
            <w:r>
              <w:rPr>
                <w:rFonts w:hint="eastAsia" w:ascii="华文仿宋" w:hAnsi="华文仿宋" w:eastAsia="华文仿宋" w:cs="华文仿宋"/>
                <w:b w:val="0"/>
                <w:color w:val="auto"/>
                <w:sz w:val="24"/>
                <w:highlight w:val="none"/>
                <w:u w:val="single"/>
                <w:lang w:val="en-US" w:eastAsia="zh-CN"/>
              </w:rPr>
              <w:t>预付款（中标人须同时出具同等金额的预付款担保，担保时间超过项目项目服务期）</w:t>
            </w:r>
            <w:r>
              <w:rPr>
                <w:rFonts w:hint="eastAsia" w:ascii="华文仿宋" w:hAnsi="华文仿宋" w:eastAsia="华文仿宋" w:cs="华文仿宋"/>
                <w:b w:val="0"/>
                <w:color w:val="auto"/>
                <w:sz w:val="24"/>
                <w:highlight w:val="none"/>
                <w:u w:val="single"/>
              </w:rPr>
              <w:t>；</w:t>
            </w:r>
            <w:r>
              <w:rPr>
                <w:rFonts w:hint="eastAsia" w:ascii="华文仿宋" w:hAnsi="华文仿宋" w:eastAsia="华文仿宋" w:cs="华文仿宋"/>
                <w:b w:val="0"/>
                <w:color w:val="auto"/>
                <w:sz w:val="24"/>
                <w:highlight w:val="none"/>
                <w:u w:val="single"/>
                <w:lang w:val="en-US" w:eastAsia="zh-CN"/>
              </w:rPr>
              <w:t>当年服务完成，经采购人验收后，支付至对应合同价款</w:t>
            </w:r>
            <w:r>
              <w:rPr>
                <w:rFonts w:hint="eastAsia" w:ascii="华文仿宋" w:hAnsi="华文仿宋" w:eastAsia="华文仿宋" w:cs="华文仿宋"/>
                <w:b w:val="0"/>
                <w:color w:val="auto"/>
                <w:sz w:val="24"/>
                <w:highlight w:val="none"/>
                <w:u w:val="single"/>
              </w:rPr>
              <w:t>。（第二、三年服务费用按此方式同比例支付）。</w:t>
            </w:r>
          </w:p>
        </w:tc>
      </w:tr>
      <w:tr w14:paraId="4CFF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21811FD">
            <w:pPr>
              <w:pStyle w:val="40"/>
              <w:pBdr>
                <w:bottom w:val="none" w:color="auto" w:sz="0" w:space="0"/>
              </w:pBdr>
              <w:tabs>
                <w:tab w:val="clear" w:pos="4153"/>
                <w:tab w:val="clear" w:pos="8306"/>
              </w:tabs>
              <w:adjustRightInd/>
              <w:spacing w:line="24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rPr>
              <w:t>2</w:t>
            </w:r>
          </w:p>
        </w:tc>
        <w:tc>
          <w:tcPr>
            <w:tcW w:w="1192" w:type="pct"/>
            <w:vAlign w:val="center"/>
          </w:tcPr>
          <w:p w14:paraId="779B99F9">
            <w:pPr>
              <w:pStyle w:val="39"/>
              <w:widowControl w:val="0"/>
              <w:spacing w:before="0" w:beforeAutospacing="0" w:after="0" w:afterAutospacing="0" w:line="360" w:lineRule="auto"/>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服务地点</w:t>
            </w:r>
          </w:p>
        </w:tc>
        <w:tc>
          <w:tcPr>
            <w:tcW w:w="3217" w:type="pct"/>
            <w:vAlign w:val="center"/>
          </w:tcPr>
          <w:p w14:paraId="79579F60">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lang w:eastAsia="zh-CN"/>
              </w:rPr>
            </w:pPr>
            <w:r>
              <w:rPr>
                <w:rFonts w:hint="eastAsia" w:ascii="华文仿宋" w:hAnsi="华文仿宋" w:eastAsia="华文仿宋" w:cs="华文仿宋"/>
                <w:b w:val="0"/>
                <w:color w:val="auto"/>
                <w:sz w:val="24"/>
                <w:highlight w:val="none"/>
                <w:u w:val="single"/>
                <w:lang w:val="en-US" w:eastAsia="zh-CN"/>
              </w:rPr>
              <w:t>滁州市人力资源和社会保障局</w:t>
            </w:r>
          </w:p>
        </w:tc>
      </w:tr>
      <w:tr w14:paraId="5B24F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F38BB3C">
            <w:pPr>
              <w:pStyle w:val="40"/>
              <w:pBdr>
                <w:bottom w:val="none" w:color="auto" w:sz="0" w:space="0"/>
              </w:pBdr>
              <w:tabs>
                <w:tab w:val="clear" w:pos="4153"/>
                <w:tab w:val="clear" w:pos="8306"/>
              </w:tabs>
              <w:adjustRightInd/>
              <w:spacing w:line="240" w:lineRule="auto"/>
              <w:textAlignment w:val="auto"/>
              <w:rPr>
                <w:rFonts w:hint="eastAsia" w:ascii="华文仿宋" w:hAnsi="华文仿宋" w:eastAsia="华文仿宋" w:cs="华文仿宋"/>
                <w:bCs/>
                <w:color w:val="auto"/>
                <w:kern w:val="2"/>
                <w:highlight w:val="none"/>
              </w:rPr>
            </w:pPr>
            <w:r>
              <w:rPr>
                <w:rFonts w:hint="eastAsia" w:ascii="华文仿宋" w:hAnsi="华文仿宋" w:eastAsia="华文仿宋" w:cs="华文仿宋"/>
                <w:bCs/>
                <w:color w:val="auto"/>
                <w:kern w:val="2"/>
                <w:highlight w:val="none"/>
              </w:rPr>
              <w:t>3</w:t>
            </w:r>
          </w:p>
        </w:tc>
        <w:tc>
          <w:tcPr>
            <w:tcW w:w="1192" w:type="pct"/>
            <w:vAlign w:val="center"/>
          </w:tcPr>
          <w:p w14:paraId="2ACD783A">
            <w:pPr>
              <w:pStyle w:val="39"/>
              <w:widowControl w:val="0"/>
              <w:spacing w:before="0" w:beforeAutospacing="0" w:after="0" w:afterAutospacing="0" w:line="360" w:lineRule="auto"/>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服务期限</w:t>
            </w:r>
          </w:p>
        </w:tc>
        <w:tc>
          <w:tcPr>
            <w:tcW w:w="3217" w:type="pct"/>
            <w:vAlign w:val="center"/>
          </w:tcPr>
          <w:p w14:paraId="15C8565C">
            <w:pPr>
              <w:pStyle w:val="39"/>
              <w:widowControl w:val="0"/>
              <w:spacing w:before="0" w:beforeAutospacing="0" w:after="0" w:afterAutospacing="0" w:line="360" w:lineRule="auto"/>
              <w:jc w:val="both"/>
              <w:rPr>
                <w:rFonts w:hint="eastAsia" w:ascii="华文仿宋" w:hAnsi="华文仿宋" w:eastAsia="华文仿宋" w:cs="华文仿宋"/>
                <w:b w:val="0"/>
                <w:color w:val="auto"/>
                <w:sz w:val="24"/>
                <w:highlight w:val="none"/>
                <w:lang w:eastAsia="zh-CN"/>
              </w:rPr>
            </w:pPr>
            <w:r>
              <w:rPr>
                <w:rFonts w:hint="eastAsia" w:ascii="华文仿宋" w:hAnsi="华文仿宋" w:eastAsia="华文仿宋" w:cs="华文仿宋"/>
                <w:b w:val="0"/>
                <w:color w:val="auto"/>
                <w:sz w:val="24"/>
                <w:highlight w:val="none"/>
                <w:u w:val="single"/>
                <w:lang w:val="en-US" w:eastAsia="zh-CN"/>
              </w:rPr>
              <w:t>服</w:t>
            </w:r>
            <w:r>
              <w:rPr>
                <w:rFonts w:hint="eastAsia" w:ascii="华文仿宋" w:hAnsi="华文仿宋" w:eastAsia="华文仿宋" w:cs="华文仿宋"/>
                <w:b w:val="0"/>
                <w:color w:val="auto"/>
                <w:sz w:val="24"/>
                <w:highlight w:val="none"/>
                <w:u w:val="single"/>
              </w:rPr>
              <w:t>务期三年，合同一年一签，经考核后满足要求的，可续签下一年合同。</w:t>
            </w:r>
          </w:p>
        </w:tc>
      </w:tr>
      <w:tr w14:paraId="4169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62CB1241">
            <w:pPr>
              <w:pStyle w:val="40"/>
              <w:pBdr>
                <w:bottom w:val="none" w:color="auto" w:sz="0" w:space="0"/>
              </w:pBdr>
              <w:tabs>
                <w:tab w:val="clear" w:pos="4153"/>
                <w:tab w:val="clear" w:pos="8306"/>
              </w:tabs>
              <w:adjustRightInd/>
              <w:spacing w:line="240" w:lineRule="auto"/>
              <w:textAlignment w:val="auto"/>
              <w:rPr>
                <w:rFonts w:hint="eastAsia" w:ascii="华文仿宋" w:hAnsi="华文仿宋" w:eastAsia="华文仿宋" w:cs="华文仿宋"/>
                <w:bCs/>
                <w:color w:val="auto"/>
                <w:kern w:val="2"/>
                <w:highlight w:val="none"/>
                <w:lang w:eastAsia="zh-CN"/>
              </w:rPr>
            </w:pPr>
            <w:r>
              <w:rPr>
                <w:rFonts w:hint="eastAsia" w:ascii="华文仿宋" w:hAnsi="华文仿宋" w:eastAsia="华文仿宋" w:cs="华文仿宋"/>
                <w:bCs/>
                <w:color w:val="auto"/>
                <w:kern w:val="2"/>
                <w:highlight w:val="none"/>
                <w:lang w:val="en-US" w:eastAsia="zh-CN"/>
              </w:rPr>
              <w:t>4</w:t>
            </w:r>
          </w:p>
        </w:tc>
        <w:tc>
          <w:tcPr>
            <w:tcW w:w="1192" w:type="pct"/>
            <w:vAlign w:val="center"/>
          </w:tcPr>
          <w:p w14:paraId="0DEE3368">
            <w:pPr>
              <w:pStyle w:val="39"/>
              <w:widowControl w:val="0"/>
              <w:spacing w:before="0" w:beforeAutospacing="0" w:after="0" w:afterAutospacing="0" w:line="360" w:lineRule="auto"/>
              <w:rPr>
                <w:rFonts w:hint="eastAsia" w:ascii="华文仿宋" w:hAnsi="华文仿宋" w:eastAsia="华文仿宋" w:cs="华文仿宋"/>
                <w:b w:val="0"/>
                <w:color w:val="auto"/>
                <w:sz w:val="24"/>
                <w:highlight w:val="none"/>
              </w:rPr>
            </w:pPr>
            <w:r>
              <w:rPr>
                <w:rFonts w:hint="eastAsia" w:ascii="华文仿宋" w:hAnsi="华文仿宋" w:eastAsia="华文仿宋" w:cs="华文仿宋"/>
                <w:b w:val="0"/>
                <w:color w:val="auto"/>
                <w:sz w:val="24"/>
                <w:highlight w:val="none"/>
              </w:rPr>
              <w:t>本项目采购标的名称及所属行业</w:t>
            </w:r>
          </w:p>
        </w:tc>
        <w:tc>
          <w:tcPr>
            <w:tcW w:w="3217" w:type="pct"/>
            <w:vAlign w:val="center"/>
          </w:tcPr>
          <w:p w14:paraId="5DD62EE4">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rPr>
              <w:t>标的名称：</w:t>
            </w:r>
            <w:r>
              <w:rPr>
                <w:rFonts w:hint="eastAsia" w:ascii="华文仿宋" w:hAnsi="华文仿宋" w:eastAsia="华文仿宋" w:cs="华文仿宋"/>
                <w:color w:val="auto"/>
                <w:sz w:val="24"/>
                <w:highlight w:val="none"/>
                <w:lang w:eastAsia="zh-CN"/>
              </w:rPr>
              <w:t>滁州市劳动人事争议“智慧仲裁”信息系统年度维保项目</w:t>
            </w:r>
          </w:p>
          <w:p w14:paraId="2DB6AAF7">
            <w:pPr>
              <w:rPr>
                <w:rFonts w:hint="eastAsia" w:ascii="华文仿宋" w:hAnsi="华文仿宋" w:eastAsia="华文仿宋" w:cs="华文仿宋"/>
                <w:b w:val="0"/>
                <w:color w:val="auto"/>
                <w:sz w:val="24"/>
                <w:highlight w:val="none"/>
                <w:u w:val="single"/>
              </w:rPr>
            </w:pPr>
            <w:r>
              <w:rPr>
                <w:rFonts w:hint="eastAsia" w:ascii="华文仿宋" w:hAnsi="华文仿宋" w:eastAsia="华文仿宋" w:cs="华文仿宋"/>
                <w:color w:val="auto"/>
                <w:sz w:val="24"/>
                <w:highlight w:val="none"/>
              </w:rPr>
              <w:t>所属行业：</w:t>
            </w:r>
            <w:r>
              <w:rPr>
                <w:rFonts w:hint="eastAsia" w:ascii="华文仿宋" w:hAnsi="华文仿宋" w:eastAsia="华文仿宋" w:cs="华文仿宋"/>
                <w:color w:val="auto"/>
                <w:sz w:val="24"/>
                <w:highlight w:val="none"/>
                <w:lang w:val="en-US" w:eastAsia="zh-CN"/>
              </w:rPr>
              <w:t>软件和信息服务业</w:t>
            </w:r>
          </w:p>
        </w:tc>
      </w:tr>
    </w:tbl>
    <w:p w14:paraId="589DDEBE">
      <w:pPr>
        <w:spacing w:line="360" w:lineRule="auto"/>
        <w:ind w:firstLine="437"/>
        <w:outlineLvl w:val="1"/>
        <w:rPr>
          <w:rFonts w:hint="eastAsia" w:ascii="华文仿宋" w:hAnsi="华文仿宋" w:eastAsia="华文仿宋" w:cs="华文仿宋"/>
          <w:b/>
          <w:color w:val="auto"/>
          <w:sz w:val="24"/>
          <w:szCs w:val="18"/>
          <w:highlight w:val="none"/>
        </w:rPr>
      </w:pPr>
      <w:bookmarkStart w:id="39" w:name="_Toc23116"/>
      <w:bookmarkStart w:id="40" w:name="_Toc25144"/>
      <w:r>
        <w:rPr>
          <w:rFonts w:hint="eastAsia" w:ascii="华文仿宋" w:hAnsi="华文仿宋" w:eastAsia="华文仿宋" w:cs="华文仿宋"/>
          <w:b/>
          <w:color w:val="auto"/>
          <w:sz w:val="24"/>
          <w:szCs w:val="18"/>
          <w:highlight w:val="none"/>
        </w:rPr>
        <w:t>二、项目概况</w:t>
      </w:r>
      <w:bookmarkEnd w:id="39"/>
      <w:bookmarkEnd w:id="40"/>
    </w:p>
    <w:p w14:paraId="5488B678">
      <w:pPr>
        <w:spacing w:line="360" w:lineRule="auto"/>
        <w:ind w:firstLine="437"/>
        <w:outlineLvl w:val="1"/>
        <w:rPr>
          <w:rFonts w:hint="eastAsia" w:ascii="华文仿宋" w:hAnsi="华文仿宋" w:eastAsia="华文仿宋" w:cs="华文仿宋"/>
          <w:color w:val="auto"/>
          <w:sz w:val="24"/>
          <w:highlight w:val="none"/>
          <w:lang w:val="en-US" w:eastAsia="zh-CN"/>
        </w:rPr>
      </w:pPr>
      <w:bookmarkStart w:id="41" w:name="_Toc21757"/>
      <w:bookmarkStart w:id="42" w:name="_Toc8586"/>
      <w:r>
        <w:rPr>
          <w:rFonts w:hint="eastAsia" w:ascii="华文仿宋" w:hAnsi="华文仿宋" w:eastAsia="华文仿宋" w:cs="华文仿宋"/>
          <w:color w:val="auto"/>
          <w:sz w:val="24"/>
          <w:highlight w:val="none"/>
          <w:lang w:val="en-US" w:eastAsia="zh-CN"/>
        </w:rPr>
        <w:t>采购人已建成智慧仲裁指挥系统，覆盖指挥中心大屏显示、全市县（市、区）仲裁庭远程指挥、立案查询、无纸化会议及配套网络机柜环境等子系统，是支撑劳动人事争议仲裁庭审、全市调度指挥、立案服务和院内会议的核心信息化平台，并与省级仲裁业务平台存在数据对接关系。</w:t>
      </w:r>
    </w:p>
    <w:p w14:paraId="3996C1F0">
      <w:pPr>
        <w:spacing w:line="360" w:lineRule="auto"/>
        <w:ind w:firstLine="437"/>
        <w:outlineLvl w:val="1"/>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系统已稳定运行，现进入运维期。为保障系统全年稳定运行、业务数据合规安全、与省级和市级平台的数据链路持续贯通，现采购年度专业化维保服务。维保标的物以《维保清单》（智慧仲裁指挥系统建设配置清单）所列全部设备、软件及配套环境设施为基准。。</w:t>
      </w:r>
    </w:p>
    <w:p w14:paraId="25E69E5B">
      <w:pPr>
        <w:spacing w:line="360" w:lineRule="auto"/>
        <w:ind w:firstLine="437"/>
        <w:outlineLvl w:val="1"/>
        <w:rPr>
          <w:rFonts w:hint="eastAsia" w:ascii="华文仿宋" w:hAnsi="华文仿宋" w:eastAsia="华文仿宋" w:cs="华文仿宋"/>
          <w:b/>
          <w:color w:val="auto"/>
          <w:sz w:val="24"/>
          <w:szCs w:val="18"/>
          <w:highlight w:val="none"/>
        </w:rPr>
      </w:pPr>
      <w:r>
        <w:rPr>
          <w:rFonts w:hint="eastAsia" w:ascii="华文仿宋" w:hAnsi="华文仿宋" w:eastAsia="华文仿宋" w:cs="华文仿宋"/>
          <w:b/>
          <w:color w:val="auto"/>
          <w:sz w:val="24"/>
          <w:szCs w:val="18"/>
          <w:highlight w:val="none"/>
        </w:rPr>
        <w:t>三、服务需求</w:t>
      </w:r>
      <w:bookmarkEnd w:id="41"/>
      <w:bookmarkEnd w:id="42"/>
    </w:p>
    <w:p w14:paraId="3CD6CD09">
      <w:pPr>
        <w:pStyle w:val="46"/>
        <w:spacing w:line="580" w:lineRule="exact"/>
        <w:ind w:firstLine="640"/>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（一）维保标的物与对象清单</w:t>
      </w:r>
    </w:p>
    <w:tbl>
      <w:tblPr>
        <w:tblStyle w:val="22"/>
        <w:tblW w:w="5000" w:type="pct"/>
        <w:tblInd w:w="0" w:type="dxa"/>
        <w:tblLayout w:type="autofit"/>
        <w:tblCellMar>
          <w:top w:w="0" w:type="dxa"/>
          <w:left w:w="108" w:type="dxa"/>
          <w:bottom w:w="0" w:type="dxa"/>
          <w:right w:w="108" w:type="dxa"/>
        </w:tblCellMar>
      </w:tblPr>
      <w:tblGrid>
        <w:gridCol w:w="1061"/>
        <w:gridCol w:w="1691"/>
        <w:gridCol w:w="3641"/>
        <w:gridCol w:w="2129"/>
      </w:tblGrid>
      <w:tr w14:paraId="769DB1EA">
        <w:tblPrEx>
          <w:tblCellMar>
            <w:top w:w="0" w:type="dxa"/>
            <w:left w:w="108" w:type="dxa"/>
            <w:bottom w:w="0" w:type="dxa"/>
            <w:right w:w="108" w:type="dxa"/>
          </w:tblCellMar>
        </w:tblPrEx>
        <w:tc>
          <w:tcPr>
            <w:tcW w:w="1061"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4F7B7613">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b/>
                <w:color w:val="auto"/>
                <w:highlight w:val="none"/>
              </w:rPr>
              <w:t>序号</w:t>
            </w:r>
          </w:p>
        </w:tc>
        <w:tc>
          <w:tcPr>
            <w:tcW w:w="1691"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44AA5A42">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b/>
                <w:color w:val="auto"/>
                <w:highlight w:val="none"/>
              </w:rPr>
              <w:t>子系统</w:t>
            </w:r>
          </w:p>
        </w:tc>
        <w:tc>
          <w:tcPr>
            <w:tcW w:w="3641"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2544B458">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b/>
                <w:color w:val="auto"/>
                <w:highlight w:val="none"/>
              </w:rPr>
              <w:t>主要设备与数量</w:t>
            </w:r>
          </w:p>
        </w:tc>
        <w:tc>
          <w:tcPr>
            <w:tcW w:w="2129"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1F141F19">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b/>
                <w:color w:val="auto"/>
                <w:highlight w:val="none"/>
              </w:rPr>
              <w:t>维保类别</w:t>
            </w:r>
          </w:p>
        </w:tc>
      </w:tr>
      <w:tr w14:paraId="0E1D38E4">
        <w:tblPrEx>
          <w:tblCellMar>
            <w:top w:w="0" w:type="dxa"/>
            <w:left w:w="108" w:type="dxa"/>
            <w:bottom w:w="0" w:type="dxa"/>
            <w:right w:w="108" w:type="dxa"/>
          </w:tblCellMar>
        </w:tblPrEx>
        <w:tc>
          <w:tcPr>
            <w:tcW w:w="106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6CF2EC3C">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1</w:t>
            </w:r>
          </w:p>
        </w:tc>
        <w:tc>
          <w:tcPr>
            <w:tcW w:w="169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8936627">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指挥中心大屏显示</w:t>
            </w:r>
          </w:p>
        </w:tc>
        <w:tc>
          <w:tcPr>
            <w:tcW w:w="364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60B987B6">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室内P1.8LED全彩屏约10㎡、接收卡33张、发送卡3张、控制系统软件1套、15KW配电柜1套、视频处理器1台、LED钢结构约11㎡、单红LED条幅约2.08㎡</w:t>
            </w:r>
          </w:p>
        </w:tc>
        <w:tc>
          <w:tcPr>
            <w:tcW w:w="2129"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125CE59E">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硬件+软件</w:t>
            </w:r>
          </w:p>
        </w:tc>
      </w:tr>
      <w:tr w14:paraId="56C82032">
        <w:tblPrEx>
          <w:tblCellMar>
            <w:top w:w="0" w:type="dxa"/>
            <w:left w:w="108" w:type="dxa"/>
            <w:bottom w:w="0" w:type="dxa"/>
            <w:right w:w="108" w:type="dxa"/>
          </w:tblCellMar>
        </w:tblPrEx>
        <w:tc>
          <w:tcPr>
            <w:tcW w:w="106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5E416100">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2</w:t>
            </w:r>
          </w:p>
        </w:tc>
        <w:tc>
          <w:tcPr>
            <w:tcW w:w="169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0AD3A581">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远程庭审指挥</w:t>
            </w:r>
          </w:p>
        </w:tc>
        <w:tc>
          <w:tcPr>
            <w:tcW w:w="364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456A766A">
            <w:pPr>
              <w:spacing w:before="60" w:after="60" w:line="240" w:lineRule="auto"/>
              <w:ind w:firstLine="0"/>
              <w:jc w:val="left"/>
              <w:rPr>
                <w:rFonts w:hint="eastAsia" w:ascii="华文仿宋" w:hAnsi="华文仿宋" w:eastAsia="华文仿宋" w:cs="华文仿宋"/>
                <w:color w:val="auto"/>
                <w:highlight w:val="none"/>
                <w:lang w:val="en-US" w:eastAsia="zh-CN"/>
              </w:rPr>
            </w:pPr>
            <w:r>
              <w:rPr>
                <w:rFonts w:hint="eastAsia" w:ascii="华文仿宋" w:hAnsi="华文仿宋" w:eastAsia="华文仿宋" w:cs="华文仿宋"/>
                <w:color w:val="auto"/>
                <w:highlight w:val="none"/>
              </w:rPr>
              <w:t>高清指挥摄像机9套、阵列麦克风9套、调度网络盒9套、指挥调度解码终端1台</w:t>
            </w:r>
            <w:r>
              <w:rPr>
                <w:rFonts w:hint="eastAsia" w:ascii="华文仿宋" w:hAnsi="华文仿宋" w:eastAsia="华文仿宋" w:cs="华文仿宋"/>
                <w:color w:val="auto"/>
                <w:highlight w:val="none"/>
                <w:lang w:val="en-US" w:eastAsia="zh-CN"/>
              </w:rPr>
              <w:t>,执行指挥调度管理平台</w:t>
            </w:r>
          </w:p>
        </w:tc>
        <w:tc>
          <w:tcPr>
            <w:tcW w:w="2129"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201A39A2">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硬件+软件</w:t>
            </w:r>
          </w:p>
        </w:tc>
      </w:tr>
      <w:tr w14:paraId="7757848C">
        <w:tblPrEx>
          <w:tblCellMar>
            <w:top w:w="0" w:type="dxa"/>
            <w:left w:w="108" w:type="dxa"/>
            <w:bottom w:w="0" w:type="dxa"/>
            <w:right w:w="108" w:type="dxa"/>
          </w:tblCellMar>
        </w:tblPrEx>
        <w:tc>
          <w:tcPr>
            <w:tcW w:w="106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3A5DFC5A">
            <w:pPr>
              <w:spacing w:before="60" w:after="60" w:line="240" w:lineRule="auto"/>
              <w:ind w:firstLine="0"/>
              <w:jc w:val="left"/>
              <w:rPr>
                <w:rFonts w:hint="eastAsia" w:ascii="华文仿宋" w:hAnsi="华文仿宋" w:eastAsia="华文仿宋" w:cs="华文仿宋"/>
                <w:color w:val="auto"/>
                <w:highlight w:val="none"/>
                <w:lang w:eastAsia="zh-CN"/>
              </w:rPr>
            </w:pPr>
            <w:r>
              <w:rPr>
                <w:rFonts w:hint="eastAsia" w:ascii="华文仿宋" w:hAnsi="华文仿宋" w:eastAsia="华文仿宋" w:cs="华文仿宋"/>
                <w:color w:val="auto"/>
                <w:highlight w:val="none"/>
                <w:lang w:val="en-US" w:eastAsia="zh-CN"/>
              </w:rPr>
              <w:t>3</w:t>
            </w:r>
          </w:p>
        </w:tc>
        <w:tc>
          <w:tcPr>
            <w:tcW w:w="169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1F2EEE2">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立案查询</w:t>
            </w:r>
          </w:p>
        </w:tc>
        <w:tc>
          <w:tcPr>
            <w:tcW w:w="364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41875495">
            <w:pPr>
              <w:spacing w:before="60" w:after="60" w:line="240" w:lineRule="auto"/>
              <w:ind w:firstLine="0"/>
              <w:jc w:val="left"/>
              <w:rPr>
                <w:rFonts w:hint="eastAsia" w:ascii="华文仿宋" w:hAnsi="华文仿宋" w:eastAsia="华文仿宋" w:cs="华文仿宋"/>
                <w:color w:val="auto"/>
                <w:highlight w:val="none"/>
                <w:lang w:val="en-US" w:eastAsia="zh-CN"/>
              </w:rPr>
            </w:pPr>
            <w:r>
              <w:rPr>
                <w:rFonts w:hint="eastAsia" w:ascii="华文仿宋" w:hAnsi="华文仿宋" w:eastAsia="华文仿宋" w:cs="华文仿宋"/>
                <w:color w:val="auto"/>
                <w:highlight w:val="none"/>
              </w:rPr>
              <w:t>立案应用一体机1台、查询案件一体机1台、办公平板电脑10台</w:t>
            </w:r>
            <w:r>
              <w:rPr>
                <w:rFonts w:hint="eastAsia" w:ascii="华文仿宋" w:hAnsi="华文仿宋" w:eastAsia="华文仿宋" w:cs="华文仿宋"/>
                <w:color w:val="auto"/>
                <w:highlight w:val="none"/>
                <w:lang w:eastAsia="zh-CN"/>
              </w:rPr>
              <w:t>，</w:t>
            </w:r>
            <w:r>
              <w:rPr>
                <w:rFonts w:hint="eastAsia" w:ascii="华文仿宋" w:hAnsi="华文仿宋" w:eastAsia="华文仿宋" w:cs="华文仿宋"/>
                <w:color w:val="auto"/>
                <w:highlight w:val="none"/>
                <w:lang w:val="en-US" w:eastAsia="zh-CN"/>
              </w:rPr>
              <w:t>仲裁资源管理平台</w:t>
            </w:r>
          </w:p>
        </w:tc>
        <w:tc>
          <w:tcPr>
            <w:tcW w:w="2129"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37266FCC">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硬件+软件</w:t>
            </w:r>
          </w:p>
        </w:tc>
      </w:tr>
      <w:tr w14:paraId="4A3A5F77">
        <w:tblPrEx>
          <w:tblCellMar>
            <w:top w:w="0" w:type="dxa"/>
            <w:left w:w="108" w:type="dxa"/>
            <w:bottom w:w="0" w:type="dxa"/>
            <w:right w:w="108" w:type="dxa"/>
          </w:tblCellMar>
        </w:tblPrEx>
        <w:tc>
          <w:tcPr>
            <w:tcW w:w="106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678BDBD6">
            <w:pPr>
              <w:spacing w:before="60" w:after="60" w:line="240" w:lineRule="auto"/>
              <w:ind w:firstLine="0"/>
              <w:jc w:val="left"/>
              <w:rPr>
                <w:rFonts w:hint="eastAsia" w:ascii="华文仿宋" w:hAnsi="华文仿宋" w:eastAsia="华文仿宋" w:cs="华文仿宋"/>
                <w:color w:val="auto"/>
                <w:highlight w:val="none"/>
                <w:lang w:eastAsia="zh-CN"/>
              </w:rPr>
            </w:pPr>
            <w:r>
              <w:rPr>
                <w:rFonts w:hint="eastAsia" w:ascii="华文仿宋" w:hAnsi="华文仿宋" w:eastAsia="华文仿宋" w:cs="华文仿宋"/>
                <w:color w:val="auto"/>
                <w:highlight w:val="none"/>
                <w:lang w:val="en-US" w:eastAsia="zh-CN"/>
              </w:rPr>
              <w:t>4</w:t>
            </w:r>
          </w:p>
        </w:tc>
        <w:tc>
          <w:tcPr>
            <w:tcW w:w="169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436CFDEA">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无纸化会议</w:t>
            </w:r>
          </w:p>
        </w:tc>
        <w:tc>
          <w:tcPr>
            <w:tcW w:w="364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2C40A48">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升降触控终端16台、后台管理软件1套、参会系统16套、参会终端16台、多媒体中控1套、高清视频混合矩阵1台</w:t>
            </w:r>
          </w:p>
        </w:tc>
        <w:tc>
          <w:tcPr>
            <w:tcW w:w="2129"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55D188CF">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硬件+软件</w:t>
            </w:r>
          </w:p>
        </w:tc>
      </w:tr>
      <w:tr w14:paraId="25DCFCFE">
        <w:tblPrEx>
          <w:tblCellMar>
            <w:top w:w="0" w:type="dxa"/>
            <w:left w:w="108" w:type="dxa"/>
            <w:bottom w:w="0" w:type="dxa"/>
            <w:right w:w="108" w:type="dxa"/>
          </w:tblCellMar>
        </w:tblPrEx>
        <w:tc>
          <w:tcPr>
            <w:tcW w:w="106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24DF10BC">
            <w:pPr>
              <w:spacing w:before="60" w:after="60" w:line="240" w:lineRule="auto"/>
              <w:ind w:firstLine="0"/>
              <w:jc w:val="left"/>
              <w:rPr>
                <w:rFonts w:hint="eastAsia" w:ascii="华文仿宋" w:hAnsi="华文仿宋" w:eastAsia="华文仿宋" w:cs="华文仿宋"/>
                <w:color w:val="auto"/>
                <w:highlight w:val="none"/>
                <w:lang w:eastAsia="zh-CN"/>
              </w:rPr>
            </w:pPr>
            <w:r>
              <w:rPr>
                <w:rFonts w:hint="eastAsia" w:ascii="华文仿宋" w:hAnsi="华文仿宋" w:eastAsia="华文仿宋" w:cs="华文仿宋"/>
                <w:color w:val="auto"/>
                <w:highlight w:val="none"/>
                <w:lang w:val="en-US" w:eastAsia="zh-CN"/>
              </w:rPr>
              <w:t>5</w:t>
            </w:r>
          </w:p>
        </w:tc>
        <w:tc>
          <w:tcPr>
            <w:tcW w:w="169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0EB7612C">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会议音频</w:t>
            </w:r>
          </w:p>
        </w:tc>
        <w:tc>
          <w:tcPr>
            <w:tcW w:w="364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2881189C">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升降式会议麦克风16套、会议音频主机1台、数字音频综合处理平台1台、专业功放1台、专业会议音响4只</w:t>
            </w:r>
          </w:p>
        </w:tc>
        <w:tc>
          <w:tcPr>
            <w:tcW w:w="2129"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6BC6A24B">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硬件+软件</w:t>
            </w:r>
          </w:p>
        </w:tc>
      </w:tr>
      <w:tr w14:paraId="3423E997">
        <w:tblPrEx>
          <w:tblCellMar>
            <w:top w:w="0" w:type="dxa"/>
            <w:left w:w="108" w:type="dxa"/>
            <w:bottom w:w="0" w:type="dxa"/>
            <w:right w:w="108" w:type="dxa"/>
          </w:tblCellMar>
        </w:tblPrEx>
        <w:tc>
          <w:tcPr>
            <w:tcW w:w="106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66338984">
            <w:pPr>
              <w:spacing w:before="60" w:after="60" w:line="240" w:lineRule="auto"/>
              <w:ind w:firstLine="0"/>
              <w:jc w:val="left"/>
              <w:rPr>
                <w:rFonts w:hint="eastAsia" w:ascii="华文仿宋" w:hAnsi="华文仿宋" w:eastAsia="华文仿宋" w:cs="华文仿宋"/>
                <w:color w:val="auto"/>
                <w:highlight w:val="none"/>
                <w:lang w:eastAsia="zh-CN"/>
              </w:rPr>
            </w:pPr>
            <w:r>
              <w:rPr>
                <w:rFonts w:hint="eastAsia" w:ascii="华文仿宋" w:hAnsi="华文仿宋" w:eastAsia="华文仿宋" w:cs="华文仿宋"/>
                <w:color w:val="auto"/>
                <w:highlight w:val="none"/>
                <w:lang w:val="en-US" w:eastAsia="zh-CN"/>
              </w:rPr>
              <w:t>6</w:t>
            </w:r>
          </w:p>
        </w:tc>
        <w:tc>
          <w:tcPr>
            <w:tcW w:w="169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5E93650F">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网络基础环境</w:t>
            </w:r>
          </w:p>
        </w:tc>
        <w:tc>
          <w:tcPr>
            <w:tcW w:w="364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243960BE">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24口千兆交换机1台、高级散热机柜及配套线材辅材</w:t>
            </w:r>
          </w:p>
        </w:tc>
        <w:tc>
          <w:tcPr>
            <w:tcW w:w="2129"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175E8979">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硬件</w:t>
            </w:r>
          </w:p>
        </w:tc>
      </w:tr>
      <w:tr w14:paraId="044A54AE">
        <w:tblPrEx>
          <w:tblCellMar>
            <w:top w:w="0" w:type="dxa"/>
            <w:left w:w="108" w:type="dxa"/>
            <w:bottom w:w="0" w:type="dxa"/>
            <w:right w:w="108" w:type="dxa"/>
          </w:tblCellMar>
        </w:tblPrEx>
        <w:tc>
          <w:tcPr>
            <w:tcW w:w="106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FAB05A1">
            <w:pPr>
              <w:spacing w:before="60" w:after="60" w:line="240" w:lineRule="auto"/>
              <w:ind w:firstLine="0"/>
              <w:jc w:val="left"/>
              <w:rPr>
                <w:rFonts w:hint="eastAsia" w:ascii="华文仿宋" w:hAnsi="华文仿宋" w:eastAsia="华文仿宋" w:cs="华文仿宋"/>
                <w:color w:val="auto"/>
                <w:highlight w:val="none"/>
                <w:lang w:eastAsia="zh-CN"/>
              </w:rPr>
            </w:pPr>
            <w:r>
              <w:rPr>
                <w:rFonts w:hint="eastAsia" w:ascii="华文仿宋" w:hAnsi="华文仿宋" w:eastAsia="华文仿宋" w:cs="华文仿宋"/>
                <w:color w:val="auto"/>
                <w:highlight w:val="none"/>
                <w:lang w:val="en-US" w:eastAsia="zh-CN"/>
              </w:rPr>
              <w:t>7</w:t>
            </w:r>
          </w:p>
        </w:tc>
        <w:tc>
          <w:tcPr>
            <w:tcW w:w="169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3F19FFC5">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等保合规</w:t>
            </w:r>
          </w:p>
        </w:tc>
        <w:tc>
          <w:tcPr>
            <w:tcW w:w="364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591F73F">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上述全部系统涉及的网络、计算、数据、管理平台的安全合规保障</w:t>
            </w:r>
          </w:p>
        </w:tc>
        <w:tc>
          <w:tcPr>
            <w:tcW w:w="2129"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1AFF5D4F">
            <w:pPr>
              <w:spacing w:before="60" w:after="60" w:line="240" w:lineRule="auto"/>
              <w:ind w:firstLine="0"/>
              <w:jc w:val="left"/>
              <w:rPr>
                <w:rFonts w:hint="default" w:ascii="华文仿宋" w:hAnsi="华文仿宋" w:eastAsia="华文仿宋" w:cs="华文仿宋"/>
                <w:color w:val="auto"/>
                <w:highlight w:val="none"/>
                <w:lang w:val="en-US" w:eastAsia="zh-CN"/>
              </w:rPr>
            </w:pPr>
            <w:r>
              <w:rPr>
                <w:rFonts w:hint="eastAsia" w:ascii="华文仿宋" w:hAnsi="华文仿宋" w:eastAsia="华文仿宋" w:cs="华文仿宋"/>
                <w:color w:val="auto"/>
                <w:highlight w:val="none"/>
                <w:lang w:val="en-US" w:eastAsia="zh-CN"/>
              </w:rPr>
              <w:t>系统符合三级及以上</w:t>
            </w:r>
            <w:r>
              <w:rPr>
                <w:rFonts w:hint="eastAsia" w:ascii="华文仿宋" w:hAnsi="华文仿宋" w:eastAsia="华文仿宋" w:cs="华文仿宋"/>
                <w:color w:val="auto"/>
                <w:highlight w:val="none"/>
              </w:rPr>
              <w:t>等保</w:t>
            </w:r>
            <w:r>
              <w:rPr>
                <w:rFonts w:hint="eastAsia" w:ascii="华文仿宋" w:hAnsi="华文仿宋" w:eastAsia="华文仿宋" w:cs="华文仿宋"/>
                <w:color w:val="auto"/>
                <w:highlight w:val="none"/>
                <w:lang w:val="en-US" w:eastAsia="zh-CN"/>
              </w:rPr>
              <w:t>要求，验收时出具报告</w:t>
            </w:r>
          </w:p>
        </w:tc>
      </w:tr>
    </w:tbl>
    <w:p w14:paraId="67ABB0DE">
      <w:pPr>
        <w:pStyle w:val="46"/>
        <w:spacing w:line="580" w:lineRule="exact"/>
        <w:ind w:firstLine="640"/>
        <w:rPr>
          <w:rFonts w:hint="eastAsia" w:ascii="华文仿宋" w:hAnsi="华文仿宋" w:eastAsia="华文仿宋" w:cs="华文仿宋"/>
          <w:b/>
          <w:bCs/>
          <w:color w:val="auto"/>
          <w:kern w:val="2"/>
          <w:sz w:val="24"/>
          <w:szCs w:val="24"/>
          <w:highlight w:val="none"/>
          <w:lang w:val="en-US" w:eastAsia="zh-CN" w:bidi="ar-SA"/>
        </w:rPr>
      </w:pPr>
      <w:r>
        <w:rPr>
          <w:rFonts w:hint="eastAsia" w:ascii="华文仿宋" w:hAnsi="华文仿宋" w:eastAsia="华文仿宋" w:cs="华文仿宋"/>
          <w:b/>
          <w:bCs/>
          <w:color w:val="auto"/>
          <w:kern w:val="2"/>
          <w:sz w:val="24"/>
          <w:szCs w:val="24"/>
          <w:highlight w:val="none"/>
          <w:lang w:val="en-US" w:eastAsia="zh-CN" w:bidi="ar-SA"/>
        </w:rPr>
        <w:t>上述设备、软件、数量以采购人提供的《维保清单》及现场踏勘确认结果为准。设备清单数量的细微差异（如因升级替换导致型号变化）不改变维保范围，成交供应商不得据此追加费用。</w:t>
      </w:r>
    </w:p>
    <w:p w14:paraId="30EA8C4C">
      <w:pPr>
        <w:pStyle w:val="46"/>
        <w:spacing w:line="580" w:lineRule="exact"/>
        <w:ind w:firstLine="640"/>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(二）服务要求</w:t>
      </w:r>
    </w:p>
    <w:p w14:paraId="2726CE4D">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维保的作业内容、频次与操作标准。所有检修须全程拍摄实拍照片并归入维保档案，做到过程可追溯。</w:t>
      </w:r>
    </w:p>
    <w:p w14:paraId="29A13979">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1.4.1分级保养制度与频次</w:t>
      </w:r>
    </w:p>
    <w:p w14:paraId="06CBFEBE">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每周：采集设备运行状态（指示灯、供电、网络、散热、负载），形成《每周硬件状态核查台账》，梳理隐患列为下月重点。</w:t>
      </w:r>
    </w:p>
    <w:p w14:paraId="59171299">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每月：工程师上门巡检，完成各子系统清洁除尘、紧固、功能实测，完工后3个工作日内出具带影像的《月度维保报告》。</w:t>
      </w:r>
    </w:p>
    <w:p w14:paraId="58A56004">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每季：深度检修（电路板积灰清理、氧化层处理、电气绝缘/接地检测、老化配件批量更换、全系统联测），出具《季度深度维保整改闭环报告》。</w:t>
      </w:r>
    </w:p>
    <w:p w14:paraId="1995C68F">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每年：选择非仲裁业务时段停机整机大修与电气综合检测，7个工作日内交付《年度整机硬件损耗评估报告》及更新建议。</w:t>
      </w:r>
    </w:p>
    <w:p w14:paraId="5E23603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周/月/季/年巡检计划须100%执行，不得遗漏；未执行的，按合同违约条款处理。</w:t>
      </w:r>
    </w:p>
    <w:p w14:paraId="011404F9">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1.4.2指挥中心大屏显示系统</w:t>
      </w:r>
    </w:p>
    <w:p w14:paraId="438C1A29">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月度：屏体及条幅外观除尘，清理模组缝隙积灰；断电打开配电柜、控制卡机箱，清理电路板积灰、擦拭金手指氧化层；排查动力电缆、网线外皮，破皮或氧化接头现场更换；实测漏电保护器、空气开关保护功能，红外测温发热端子；通电核查LED模组发光状态，排查供电接触不良、频闪、变色、死点；检修全部散热风扇，异响或停转风扇现场更换；钢结构紧固与防锈检查，包边完好性检查。</w:t>
      </w:r>
    </w:p>
    <w:p w14:paraId="7172605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季度：逐块检测LED模组供电与灯珠损耗，大批量损坏模组登记并更换；检测接收卡/发送卡电路板电容、接口氧化情况，严重部件直接更换；配电柜绝缘耐压实测，批量更换老化空开、发热端子、风扇；LED条幅电源、控制板拆解检修，更换老化变压器。</w:t>
      </w:r>
    </w:p>
    <w:p w14:paraId="454C069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年度：LED大屏功耗与硬件检测，统计老化模组数量，出具更换与保养建议；钢结构防腐防锈整体评估。</w:t>
      </w:r>
    </w:p>
    <w:p w14:paraId="6EAA321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1.4.3远程庭审指挥系统</w:t>
      </w:r>
    </w:p>
    <w:p w14:paraId="00027A3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月度：摄像机镜头专用耗材清洁，紧固全部安装支架螺丝；测试云台、变焦、输出（SDI/HDMI/RJ45/CVBS）是否正常；麦克风网罩除尘，紧固底座音频端子，实测音频通路消除杂音；调度网络盒拆解除尘，复测全部网口与音频接口；解码终端机箱、光驱深度除尘，逐路测试SDI/HDMI/POE全部通道；实测硬盘、光驱读写，紧固供电接口；分段测试各区县至指挥中心完整信号通断，确保无断路；验证刻录、封盘及与省级平台对接功能。</w:t>
      </w:r>
    </w:p>
    <w:p w14:paraId="5CA1A681">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季度：检测摄像机、调度网络盒主板供电接口损耗与网络连接；分段检测麦克风音频通路，批量更换老化咪头与内部线材；解码终端发热区间与网络解码显示验证；多设备长时间通电压力测试，验证连续运行稳定性。</w:t>
      </w:r>
    </w:p>
    <w:p w14:paraId="780DDA9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1.4.4立案查询设备</w:t>
      </w:r>
    </w:p>
    <w:p w14:paraId="53D660BA">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月度：一体机机身、屏幕除尘，紧固内部触控排线；检查电源接口松紧、显示与网络是否正常；整机通电测试屏幕、触控、供电全部功能。</w:t>
      </w:r>
    </w:p>
    <w:p w14:paraId="4F17B3B4">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季度：拆机清理主板与散热组件，加固全部内部供电接口，消除虚接隐患；验证屏幕显示、网络连接与业务办理功能。</w:t>
      </w:r>
    </w:p>
    <w:p w14:paraId="58434CF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办公平板电脑（10台）：系统更新、电池与充电、触控与Wi-Fi、病毒防护定期检查，确保可正常接入业务系统。</w:t>
      </w:r>
    </w:p>
    <w:p w14:paraId="7B73A030">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1.4.5无纸化会议系统</w:t>
      </w:r>
    </w:p>
    <w:p w14:paraId="56F1E3DD">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月度：16台升降终端除尘，检查升降是否顺畅、有无异响，屏幕显示与网络连接是否正常；升降麦克风清洁咪头、紧固音频接线端子；音频主机、功放开盖清理积灰，查看音频端子有无松动并紧固；会议音响箱体与接线柱紧固，排查喇叭破音或破损；中控、矩阵机箱除尘，逐路测试全部HDMI输入输出通道；交换机除尘，检查线路标识清晰、指示灯正常，更换故障端口；机柜整体除尘，更换故障散热风扇，规整全部音视频与电源线材，模糊标签现场替换。</w:t>
      </w:r>
    </w:p>
    <w:p w14:paraId="4F84399C">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季度：升降屏长时开机、短时间多次升降测试，问题设备及时维修；音频主机、功放内部老化电容与端子批量更换；视频矩阵72小时不间断通电压力测试，排查长时间通道失效；交换机信号检测与线路整理；音响喇叭损耗检测、破损单元替换。</w:t>
      </w:r>
    </w:p>
    <w:p w14:paraId="30FFD9ED">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1.4.6会议音频系统</w:t>
      </w:r>
    </w:p>
    <w:p w14:paraId="300527F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月度：升降麦克风开关与指示灯、紧固与杂音排查；音频主机开盖清灰、端子松动检查；功放散热与保护检查。</w:t>
      </w:r>
    </w:p>
    <w:p w14:paraId="37EC91E7">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季度：音频主机、功放内部老化电容与端子批量更换；数字音频平台摄像机自动跟踪协议（Pelco-D/P等）验证；音响喇叭破音与硬件损耗检测、破损单元替换。</w:t>
      </w:r>
    </w:p>
    <w:p w14:paraId="0349D3FE">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1.4.7网络与机柜基础环境</w:t>
      </w:r>
    </w:p>
    <w:p w14:paraId="50BC0D6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24口千兆交换机：月度除尘，检查端口、指示灯、线标清晰，故障端口现场更换。</w:t>
      </w:r>
    </w:p>
    <w:p w14:paraId="37FC296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高级散热机柜：整体除尘，更换故障散热风扇，规整线材，替换模糊标签。</w:t>
      </w:r>
    </w:p>
    <w:p w14:paraId="1EEBFCDC">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线材辅材：接头、水晶头、扎带、电源插座等按需免费更换。</w:t>
      </w:r>
    </w:p>
    <w:p w14:paraId="4FC0F5A4">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1.5软件系统维保要求</w:t>
      </w:r>
    </w:p>
    <w:p w14:paraId="3FF2857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本节明确系统软件、应用软件的运维范围与作业要求，供应商应按下列内容编制运维方案。</w:t>
      </w:r>
    </w:p>
    <w:p w14:paraId="240B3C49">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系统软件与运行环境：负责服务器、解码终端、参会终端、办公平板及控制主机的操作系统（含Windows、麒麟等信创环境）日常运维，包括用户与权限管理、磁盘/内存/CPU性能监控、系统日志巡检、垃圾清理；统一防病毒与终端安全管理（病毒库定期更新、定期全盘查杀、恶意软件处置）；操作系统及运行环境补丁统一评估、测试、推送，避免补丁引发业务中断。</w:t>
      </w:r>
    </w:p>
    <w:p w14:paraId="05BA3067">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应用软件与业务系统：大屏控制、指挥调度、无纸化会议、中央控制等应用软件的运行监控、配置备份、故障排查与恢复；保障各软件模块（签到、议题、同屏、投票、电子白板、刻录归档等）功能正常，异常及时修复；协助采购人进行软件账号、组织机构、权限策略的常态化管理。</w:t>
      </w:r>
    </w:p>
    <w:p w14:paraId="73152D1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软件升级与补丁管理：跟踪厂商发布的应用软件版本、安全补丁，评估兼容性后协助升级；重大版本升级须制定回滚方案，并在测试环境验证后实施，避免影响在办案件业务。</w:t>
      </w:r>
    </w:p>
    <w:p w14:paraId="6451A2F0">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软件授权边界：仅负责既有授权范围内的运维。新增模块授权、软件产品的永久授权许可采购由采购人另行采购，不在本次采购范围内。</w:t>
      </w:r>
    </w:p>
    <w:p w14:paraId="496801AF">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1.6数据备份与恢复要求</w:t>
      </w:r>
    </w:p>
    <w:p w14:paraId="3A73E172">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备份策略：系统配置每日备份；业务数据每日增量备份加每周全量备份；备份介质异地或异介质保存，防止单点损坏。</w:t>
      </w:r>
    </w:p>
    <w:p w14:paraId="0D3A00A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恢复目标：核心业务系统RTO（恢复时间目标）不超过4小时，RPO（数据丢失量）不超过24小时。</w:t>
      </w:r>
    </w:p>
    <w:p w14:paraId="05B0E21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恢复演练：每季度至少开展一次数据恢复演练，验证备份可用性并出具演练记录。</w:t>
      </w:r>
    </w:p>
    <w:p w14:paraId="41204389">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数据回损处置：因软件原因或运维操作原因导致数据丢失或损坏时，须在约定时限内完成恢复，并提交书面原因分析与整改报告。</w:t>
      </w:r>
    </w:p>
    <w:p w14:paraId="364057D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备份数据安全：备份数据涉及案件信息与个人信息的，须按第1.8.4条采取加密存储与访问控制措施，备份介质不得交由无关第三方保管。</w:t>
      </w:r>
    </w:p>
    <w:p w14:paraId="4D8932FE">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1.7省级、市级数据对接、汇聚与共享要求</w:t>
      </w:r>
    </w:p>
    <w:p w14:paraId="5AD18EDE">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本节为本次维保服务的重点专项要求。成交供应商须保障系统与省级平台、市级及县（区）级数据链路的持续贯通与数据一致，并按要求做好数据上报、汇聚、共享与全程留痕。</w:t>
      </w:r>
    </w:p>
    <w:p w14:paraId="03BC78B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1.7.1与省级平台的数据对接要求</w:t>
      </w:r>
    </w:p>
    <w:p w14:paraId="0DE3CCD7">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对接对象：省劳动人事争议调解仲裁系统数字庭审模块（以下简称"省级平台"）。成交供应商须保障本院智慧仲裁指挥系统与省级平台之间接口的连通性与稳定性。</w:t>
      </w:r>
    </w:p>
    <w:p w14:paraId="1DD6981F">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对接内容：至少包括庭审案件基础信息、庭审排期信息、庭审音视频归档索引及状态信息、庭审结果与状态变更信息，以及采购人另行书面明确的其他数据项。具体数据项、数据格式、报文规范以省级平台发布的接口规范和数据标准为准；省级平台更新接口规范时，以最新版本为准。</w:t>
      </w:r>
    </w:p>
    <w:p w14:paraId="1438B74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数据上报方式与频次：按省级平台要求实现事件驱动的即时或准即时上报（如庭审开始/结束、案件状态变更等事件）；同时建立每日增量上报、每月全量核对的常态化机制。上报数据须完整、准确，不得缺项、漏报。</w:t>
      </w:r>
    </w:p>
    <w:p w14:paraId="14359E7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技术要素：须在方案中明确接口清单、数据项映射关系、传输协议与端口、鉴权方式与密钥管理、报文校验与重传机制、上报失败的重试策略与告警方式。</w:t>
      </w:r>
    </w:p>
    <w:p w14:paraId="3D9D4AA2">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密钥与凭证管理：接口密钥、证书、账号等凭证由采购人授权管理，成交供应商不得复制、外带或用于本项目以外的用途；人员变更时须及时申请变更凭证。</w:t>
      </w:r>
    </w:p>
    <w:p w14:paraId="577A06A2">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联调配合：省级平台侧组织联调、升级、接口变更测试时，成交供应商须无条件配合，按采购人通知的时间与方式派员参加；因省级平台升级导致的接口变更，成交供应商须在变更生效前完成适配与回归测试，不得因接口变更造成业务中断或数据断报。</w:t>
      </w:r>
    </w:p>
    <w:p w14:paraId="6DBCC8F9">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不兼容情形的处置：因省级平台接口规范调整确需变更本地系统功能或增加开发工作量的，成交供应商应先行保障数据链路不中断，并在3个工作日内向采购人提交书面技术方案与工作量说明，由双方按合同约定处理，不得以未付费为由中断数据上报。</w:t>
      </w:r>
    </w:p>
    <w:p w14:paraId="67C9535E">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1.7.2市级（本级）数据汇聚与管理要求</w:t>
      </w:r>
    </w:p>
    <w:p w14:paraId="0B87074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市级汇聚：市级平台（采购人本级）统一汇聚全市各县（市、区）仲裁庭远程庭审系统的案件信息、音视频归档索引、刻录归档记录及庭审状态数据，形成市级统一的业务数据台账与运行台账。</w:t>
      </w:r>
    </w:p>
    <w:p w14:paraId="16B6900D">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数据台账：成交供应商须维护市级数据汇聚台账，记录汇聚对象、汇聚时间、数据条数、校验结果与异常处理情况，做到可追溯；台账按月随《月度维保报告》提交。</w:t>
      </w:r>
    </w:p>
    <w:p w14:paraId="7BCB832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数据质量：建立数据完整性、准确性、及时性校验规则；对缺失、重复、格式错误的数据进行识别与修正，并在台账中留痕。</w:t>
      </w:r>
    </w:p>
    <w:p w14:paraId="4EFB079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市级数据共享：按采购人要求，向市级相关业务系统或市级政务数据共享平台提供数据共享服务（如涉及），共享范围、共享字段、共享方式、脱敏规则须经采购人书面批准；遵循数据最小必要原则，涉及个人信息与案件敏感信息的字段不得未经脱敏直接共享。</w:t>
      </w:r>
    </w:p>
    <w:p w14:paraId="4E006EA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数据不出市域：除按第1.7.1条向省级平台上报外，业务数据不得向市域外其他主体提供；确需外送维修或远程调试的，须先清除或脱敏数据，并经采购人书面同意。</w:t>
      </w:r>
    </w:p>
    <w:p w14:paraId="57F433CE">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1.7.3市—县（区）两级数据贯通要求</w:t>
      </w:r>
    </w:p>
    <w:p w14:paraId="4BA40F40">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链路覆盖：保障全市各县（市、区）仲裁庭至市级指挥中心的音视频信号与业务数据完整贯通，覆盖9套高清指挥摄像机、9套阵列麦克风、9套调度网络盒所构成的远程庭审指挥链路。</w:t>
      </w:r>
    </w:p>
    <w:p w14:paraId="182F6EC4">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分段测试：月度维保中须分段测试各县（市、区）至指挥中心的完整信号通断，逐段定位，确保无断路、无丢包、无频繁重连。</w:t>
      </w:r>
    </w:p>
    <w:p w14:paraId="50B22ED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同步时效：县（区）级庭审数据向市级汇聚的同步时效不超过4小时；市级向省级上报按下述要求执行：事件类数据即时或准即时上报，每日增量上报在次日上午＿10＿时前完成，每月全量核对在次月5日前完成。</w:t>
      </w:r>
    </w:p>
    <w:p w14:paraId="6D18E42E">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断链恢复：任一县（区）链路中断时，须在故障响应时效内到场处置，优先恢复基础仲裁业务；恢复后须补报断链期间数据，并在故障处置记录中说明数据补报结果。</w:t>
      </w:r>
    </w:p>
    <w:p w14:paraId="0C4C8380">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链路档案：建立市—县两级链路档案（链路拓扑、设备编码、端口对应关系、测试记录），随维保档案一并归档移交。</w:t>
      </w:r>
    </w:p>
    <w:p w14:paraId="4FBDD2ED">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1.7.4数据一致性核对与异常处置</w:t>
      </w:r>
    </w:p>
    <w:p w14:paraId="3516040F">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一致性核对：建立省级平台、市级平台与县（区）端之间的数据一致性核对机制，实行日核对、月对账；核对结果记入台账。</w:t>
      </w:r>
    </w:p>
    <w:p w14:paraId="7AC3799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差异处置：发现数据不一致时，须在1个工作日内定位原因并完成修正；无法在限期内修正的，书面报告采购人并说明原因、影响范围与预计完成时间。</w:t>
      </w:r>
    </w:p>
    <w:p w14:paraId="33A4C0C7">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异常处置分类：对断连、鉴权失效、报文格式错误、数据不一致、上报超时等异常情形，分别明确发现方式、责任人、处置流程与恢复时限，并纳入《故障处置记录》。</w:t>
      </w:r>
    </w:p>
    <w:p w14:paraId="20C538E7">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告警机制：接口调用失败率、上报延迟、数据差异条数等关键指标须设置阈值告警，告警触发后通知采购人指定联系人。</w:t>
      </w:r>
    </w:p>
    <w:p w14:paraId="392A1819">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变更管理：本地系统涉及省市级数据接口的功能变更、配置变更、账号变更，须履行变更申请与审批手续，变更前后进行数据一致性验证。</w:t>
      </w:r>
    </w:p>
    <w:p w14:paraId="466B536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1.7.5数据对接的文档化与联调配合</w:t>
      </w:r>
    </w:p>
    <w:p w14:paraId="1555C6F1">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服务期内，成交供应商须形成并持续维护下列与数据对接相关的技术文档，服务期满随维保档案移交采购人：接口清单与数据项映射表、接口调用与鉴权说明、上报与汇聚流程说明、异常处置手册、数据一致性核对记录。</w:t>
      </w:r>
    </w:p>
    <w:p w14:paraId="47CF8A0F">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涉及省级平台、市级平台的数据对接与共享，成交供应商须指定专门技术人员负责，并在响应文件中明确该人员姓名、专业能力与联系机制。上述数据对接要求属于本项目实质性要求，不接受负偏离。</w:t>
      </w:r>
    </w:p>
    <w:p w14:paraId="6419F747">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1.8网络安全等级保护与数据安全要求</w:t>
      </w:r>
    </w:p>
    <w:p w14:paraId="31CFE492">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依据《中华人民共和国网络安全法》《中华人民共和国数据安全法》《中华人民共和国个人信息保护法》以及GB/T22239—2019《信息安全技术网络安全等级保护基本要求》、GB/T28448—2019《信息安全技术网络安全等级保护测评要求》等标准，成交供应商须配合采购人完成等级保护全流程保障。</w:t>
      </w:r>
    </w:p>
    <w:p w14:paraId="5B0EE8F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1.8.1定级、备案与测评</w:t>
      </w:r>
    </w:p>
    <w:p w14:paraId="6609968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协助采购人完成系统网络安全等级保护定级报告编制与专家评审，向公安机关完成定级备案。</w:t>
      </w:r>
    </w:p>
    <w:p w14:paraId="4EE8A87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配合采购人依法选定具备等级保护测评资质的第三方测评机构开展等级测评，取得测评报告与备案证明。等级测评依法应由具备资质的第三方测评机构实施，成交供应商不得自行对本项目系统开展等级测评，不得以其自行出具的结论替代测评报告。</w:t>
      </w:r>
    </w:p>
    <w:p w14:paraId="65DA0C1F">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如首次测评未通过，成交供应商须免费完成整改直至通过，整改费用包含在报价内。</w:t>
      </w:r>
    </w:p>
    <w:p w14:paraId="5A6AFF22">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1.8.2安全整改与持续合规</w:t>
      </w:r>
    </w:p>
    <w:p w14:paraId="7122B41A">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依据测评结果制定整改方案，落实安全物理环境、通信网络、区域边界、计算环境、安全管理等各层面的控制要求，并持续保持合规。</w:t>
      </w:r>
    </w:p>
    <w:p w14:paraId="6622A190">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服务期内每年至少组织一次等保差距复测或自查，及时修复不合规项；配合监管检查与等保抽查，提供所需技术材料。</w:t>
      </w:r>
    </w:p>
    <w:p w14:paraId="68F65D31">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发生安全事件或系统重大变更后，及时开展等保复测，确保防护持续有效。</w:t>
      </w:r>
    </w:p>
    <w:p w14:paraId="506DC49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1.8.3安全运维要求</w:t>
      </w:r>
    </w:p>
    <w:p w14:paraId="5272FF36">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漏洞与补丁管理：定期漏洞扫描不少于每季度1次；高危漏洞限期修复（原则上不超过＿个工作日）；系统与应用补丁经测试后统一推送。</w:t>
      </w:r>
    </w:p>
    <w:p w14:paraId="539A81DC">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日志与审计：启用并集中保管安全审计日志（登录、操作、管理员行为），日志保存不少于6个月，满足可追溯要求。</w:t>
      </w:r>
    </w:p>
    <w:p w14:paraId="7CBF0A9E">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访问控制：最小权限原则，划分管理员/操作员/普通用户角色，禁用弱口令，定期改密。</w:t>
      </w:r>
    </w:p>
    <w:p w14:paraId="1307117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边界与隔离：防火墙/ACL策略维护，敏感区与办公区逻辑隔离；远程接入采用VPN加双因素认证。</w:t>
      </w:r>
    </w:p>
    <w:p w14:paraId="4A2FB016">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恶意代码防范：终端与服务器统一防病毒，定期查杀。</w:t>
      </w:r>
    </w:p>
    <w:p w14:paraId="55E9D48D">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密码应用：重要数据传输与存储采用合规密码技术；鼓励开展密码应用安全性评估。</w:t>
      </w:r>
    </w:p>
    <w:p w14:paraId="2C76DE11">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运维通道安全：远程运维须经采购人授权审批，使用专用通道，全过程留痕，禁止使用未经批准的第三方远程工具。</w:t>
      </w:r>
    </w:p>
    <w:p w14:paraId="32AAE59A">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1.8.4数据安全与个人信息保护</w:t>
      </w:r>
    </w:p>
    <w:p w14:paraId="1FC7AC81">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对案件信息、个人身份信息等敏感数据进行分类分级，落实加密存储与传输、脱敏展示、访问控制。</w:t>
      </w:r>
    </w:p>
    <w:p w14:paraId="60CAFBB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数据备份满足等级保护与业务连续性要求，备份介质异地保管。</w:t>
      </w:r>
    </w:p>
    <w:p w14:paraId="78A78EE0">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严禁未授权拷贝、外发业务数据；服务人员离场或变更时，及时回收账号与权限，并留存回收记录。</w:t>
      </w:r>
    </w:p>
    <w:p w14:paraId="3C7E95D7">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运维人员须签署保密承诺，涉及个人信息的操作全过程留痕。</w:t>
      </w:r>
    </w:p>
    <w:p w14:paraId="5541E7CA">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终端与设备退役、送修、报废前，须对存储介质中的数据作清除或销毁处理，并留存处理记录。</w:t>
      </w:r>
    </w:p>
    <w:p w14:paraId="3C887F9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1.8.5应急响应</w:t>
      </w:r>
    </w:p>
    <w:p w14:paraId="6BE4F16C">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建立网络安全事件应急预案。发生勒索软件攻击、数据泄露、系统被控等安全事件时，按预案处置、上报采购人，并在事件处置完成后提交事件分析报告与整改措施。</w:t>
      </w:r>
    </w:p>
    <w:p w14:paraId="364774F7">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1.9服务要求（SLA）</w:t>
      </w:r>
    </w:p>
    <w:p w14:paraId="7796F642">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本节明确本项目服务的量化水平要求，包括故障分级响应、备品备件保障、报告交付时限、系统可用率与重大活动保障。供应商承诺高于本节要求的，其承诺构成合同义务，并作为履约考核依据。</w:t>
      </w:r>
    </w:p>
    <w:p w14:paraId="6D371C14">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1.9.1故障分级与响应时效</w:t>
      </w:r>
    </w:p>
    <w:tbl>
      <w:tblPr>
        <w:tblStyle w:val="22"/>
        <w:tblW w:w="5000" w:type="pct"/>
        <w:tblInd w:w="0" w:type="dxa"/>
        <w:tblLayout w:type="autofit"/>
        <w:tblCellMar>
          <w:top w:w="0" w:type="dxa"/>
          <w:left w:w="108" w:type="dxa"/>
          <w:bottom w:w="0" w:type="dxa"/>
          <w:right w:w="108" w:type="dxa"/>
        </w:tblCellMar>
      </w:tblPr>
      <w:tblGrid>
        <w:gridCol w:w="2130"/>
        <w:gridCol w:w="2130"/>
        <w:gridCol w:w="2131"/>
        <w:gridCol w:w="2131"/>
      </w:tblGrid>
      <w:tr w14:paraId="2ABD6965">
        <w:tblPrEx>
          <w:tblCellMar>
            <w:top w:w="0" w:type="dxa"/>
            <w:left w:w="108" w:type="dxa"/>
            <w:bottom w:w="0" w:type="dxa"/>
            <w:right w:w="108" w:type="dxa"/>
          </w:tblCellMar>
        </w:tblPrEx>
        <w:tc>
          <w:tcPr>
            <w:tcW w:w="2160"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3AB1D83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故障等级</w:t>
            </w:r>
          </w:p>
        </w:tc>
        <w:tc>
          <w:tcPr>
            <w:tcW w:w="2160"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6E675126">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典型情形</w:t>
            </w:r>
          </w:p>
        </w:tc>
        <w:tc>
          <w:tcPr>
            <w:tcW w:w="2160"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44F172E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响应时效</w:t>
            </w:r>
          </w:p>
        </w:tc>
        <w:tc>
          <w:tcPr>
            <w:tcW w:w="2160"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2A47D8A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处置要求</w:t>
            </w:r>
          </w:p>
        </w:tc>
      </w:tr>
      <w:tr w14:paraId="4FEF45B4">
        <w:tblPrEx>
          <w:tblCellMar>
            <w:top w:w="0" w:type="dxa"/>
            <w:left w:w="108" w:type="dxa"/>
            <w:bottom w:w="0" w:type="dxa"/>
            <w:right w:w="108" w:type="dxa"/>
          </w:tblCellMar>
        </w:tblPrEx>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87EB21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一级（轻微）</w:t>
            </w:r>
          </w:p>
        </w:tc>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3221DD5B">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麦克风杂音、指示灯告警、单点接触不良</w:t>
            </w:r>
          </w:p>
        </w:tc>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1D856078">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接到报修后30分钟内核实，4小时内到场</w:t>
            </w:r>
          </w:p>
        </w:tc>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F9F8EC4">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现场调试、通电测试、登记耗材台账</w:t>
            </w:r>
          </w:p>
        </w:tc>
      </w:tr>
      <w:tr w14:paraId="23EA0DE4">
        <w:tblPrEx>
          <w:tblCellMar>
            <w:top w:w="0" w:type="dxa"/>
            <w:left w:w="108" w:type="dxa"/>
            <w:bottom w:w="0" w:type="dxa"/>
            <w:right w:w="108" w:type="dxa"/>
          </w:tblCellMar>
        </w:tblPrEx>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1A86EFF5">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二级（单设备核心损坏）</w:t>
            </w:r>
          </w:p>
        </w:tc>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2853913C">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控制卡烧毁、摄像机无图像、音频主机故障、一体机触控失灵</w:t>
            </w:r>
          </w:p>
        </w:tc>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0412F5C9">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24小时内携备品到场</w:t>
            </w:r>
          </w:p>
        </w:tc>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6BCCAB4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现场替换备用整机或配件，回收检修，保障业务可用</w:t>
            </w:r>
          </w:p>
        </w:tc>
      </w:tr>
      <w:tr w14:paraId="2B22446D">
        <w:tblPrEx>
          <w:tblCellMar>
            <w:top w:w="0" w:type="dxa"/>
            <w:left w:w="108" w:type="dxa"/>
            <w:bottom w:w="0" w:type="dxa"/>
            <w:right w:w="108" w:type="dxa"/>
          </w:tblCellMar>
        </w:tblPrEx>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4A132096">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三级（多设备瘫痪）</w:t>
            </w:r>
          </w:p>
        </w:tc>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063D0DA8">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大屏全黑、所有庭审断连、整套会议音频或矩阵失效</w:t>
            </w:r>
          </w:p>
        </w:tc>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59758704">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2小时内工程师到场，全天驻场</w:t>
            </w:r>
          </w:p>
        </w:tc>
        <w:tc>
          <w:tcPr>
            <w:tcW w:w="216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B73692F">
            <w:pPr>
              <w:pStyle w:val="6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优先恢复基础仲裁业务，当日完成硬件修复，出具重大故障专项报告</w:t>
            </w:r>
          </w:p>
        </w:tc>
      </w:tr>
    </w:tbl>
    <w:p w14:paraId="3356FDB4">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供应商在响应文件中的承诺可优于上表要求，并将作为合同履约与考核依据。</w:t>
      </w:r>
    </w:p>
    <w:p w14:paraId="587C9E59">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1.9.2备品备件保障</w:t>
      </w:r>
    </w:p>
    <w:p w14:paraId="3E7B12C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成交供应商须建立充足、可追溯的备品保障机制，确保故障损耗件及时免费更换、业务不中断。</w:t>
      </w:r>
    </w:p>
    <w:p w14:paraId="6D70F40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损耗性备品备件（风扇、硬盘、麦克风咪头、LED显示模组及电源、空气开关、接头、水晶头等）须包含在维保报价内，不得另行收费；仅整机报废换新由采购人承担设备采购费。</w:t>
      </w:r>
    </w:p>
    <w:p w14:paraId="42E1AA7D">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响应文件中须提交备品备件清单（含名称、规格、建议储备数量、存放地点、补充周期）与备品台账管理方式。</w:t>
      </w:r>
    </w:p>
    <w:p w14:paraId="0EAA5A1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对关键设备（LED显示模组、接收卡/发送卡、解码终端、视频矩阵、音频主机等），鼓励承诺提供备用整机或等效替代方案。</w:t>
      </w:r>
    </w:p>
    <w:p w14:paraId="7A01F684">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1.9.3报告与巡检交付时限</w:t>
      </w:r>
    </w:p>
    <w:p w14:paraId="2EFD148A">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月度维保报告于巡检完成后3个工作日内提交；季度深度维保整改报告于检修完成后提交；年度报告于年度大修完成后7个工作日内提交。</w:t>
      </w:r>
    </w:p>
    <w:p w14:paraId="2B935150">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周/月/季/年巡检计划100%执行，不得遗漏。</w:t>
      </w:r>
    </w:p>
    <w:p w14:paraId="574CEDD0">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报告须附现场影像、检测数据、耗材更换台账，并经采购人签字确认，作为阶段验收依据。</w:t>
      </w:r>
    </w:p>
    <w:p w14:paraId="2695546F">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各级报告须包含第1.7节要求的省市级数据对接、汇聚与一致性核对情况。</w:t>
      </w:r>
    </w:p>
    <w:p w14:paraId="67E9CFDC">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1.9.4系统可用率</w:t>
      </w:r>
    </w:p>
    <w:p w14:paraId="021DDCE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核心业务系统年度可用率不低于99.5%（重大活动保障时段及计划性停机除外）。可用率按双方确认的统计口径核算，缺失时段月度报告须附核算过程。</w:t>
      </w:r>
    </w:p>
    <w:p w14:paraId="2FBBCF62">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1.9.5重大活动与应急保障</w:t>
      </w:r>
    </w:p>
    <w:p w14:paraId="4401456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重大仲裁庭审、全市调度会议：采购人提前告知后，成交供应商须于活动前完成全系统预检并提交预检记录，活动当日提供工程师现场值守。</w:t>
      </w:r>
    </w:p>
    <w:p w14:paraId="167188B9">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整体系统瘫痪等突发事件：按约定时效到场处置，优先恢复基础仲裁业务，当日完成硬件修复，并提交专项分析报告。</w:t>
      </w:r>
    </w:p>
    <w:p w14:paraId="2677891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电气安全事件：按电气安全操作规程处置，涉及停电作业须事先报采购人批准并做好数据保护。</w:t>
      </w:r>
    </w:p>
    <w:p w14:paraId="0DC33BE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服务期内至少组织一次针对系统瘫痪场景的应急演练，出具演练记录。</w:t>
      </w:r>
    </w:p>
    <w:p w14:paraId="2DA6D05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1.10过程留痕与档案移交</w:t>
      </w:r>
    </w:p>
    <w:p w14:paraId="3EFC9031">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所有巡检、检修、更换、检测、培训均须留存影像与电子台账，可追溯。</w:t>
      </w:r>
    </w:p>
    <w:p w14:paraId="1FB2B6D1">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建立全套维保档案：周台账、月/季/年度报告、故障处置记录、检测数据、现场影像、备品台账、培训记录、数据对接与一致性核对记录。</w:t>
      </w:r>
    </w:p>
    <w:p w14:paraId="4E7E90BC">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服务期满，成交供应商须向采购人完整移交全部维保档案、备品台账与年度评估报告，并配合采购人完成系统运维知识转移。</w:t>
      </w:r>
    </w:p>
    <w:p w14:paraId="1CBC93D2">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1.11培训与知识转移</w:t>
      </w:r>
    </w:p>
    <w:p w14:paraId="5FAA11BF">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每季度开展不少于1次操作与基础排障培训，配套签到表、操作手册、常见问题手册。</w:t>
      </w:r>
    </w:p>
    <w:p w14:paraId="35A33E41">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提供日常远程技术支持（电话、即时通讯、远程协助），解答软件操作与常见故障。</w:t>
      </w:r>
    </w:p>
    <w:p w14:paraId="752C6FE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重大活动前提供专项操作辅导，保障庭审与会议顺畅。</w:t>
      </w:r>
    </w:p>
    <w:p w14:paraId="0097977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服务期后段，须配合采购人完成运维知识转移，提供系统架构、接口说明、常见故障处置手册等文档。</w:t>
      </w:r>
    </w:p>
    <w:p w14:paraId="30FC548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1.12不纳入维保范围</w:t>
      </w:r>
    </w:p>
    <w:p w14:paraId="28F8BE35">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下列内容不纳入本次维保范围，由采购人另行安排：</w:t>
      </w:r>
    </w:p>
    <w:p w14:paraId="7481CFF7">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人为恶意撞击、进水、私自拆机、违规改装、雷击且无防护造成整机报废的设备采购费用；</w:t>
      </w:r>
    </w:p>
    <w:p w14:paraId="7ACB868D">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大面积土建翻新、全屋木地板或墙面整体重装、新增设备扩容施工；</w:t>
      </w:r>
    </w:p>
    <w:p w14:paraId="0E85D11E">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第三方运营商网络主干线路租赁与改造费用；</w:t>
      </w:r>
    </w:p>
    <w:p w14:paraId="76DA68F4">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软件产品的永久授权许可采购（仅负责既有授权范围内的运维，新增模块授权由采购人另行采购）；</w:t>
      </w:r>
    </w:p>
    <w:p w14:paraId="7B2FC838">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本条所列内容之外的其他费用，均须包含在报价内，不得在服务期内另行收取。</w:t>
      </w:r>
    </w:p>
    <w:p w14:paraId="72F9EC59">
      <w:pPr>
        <w:spacing w:line="360" w:lineRule="auto"/>
        <w:ind w:firstLine="437"/>
        <w:outlineLvl w:val="1"/>
        <w:rPr>
          <w:rFonts w:hint="eastAsia" w:ascii="华文仿宋" w:hAnsi="华文仿宋" w:eastAsia="华文仿宋" w:cs="华文仿宋"/>
          <w:b/>
          <w:color w:val="auto"/>
          <w:sz w:val="24"/>
          <w:szCs w:val="18"/>
          <w:highlight w:val="none"/>
          <w:lang w:val="en-US" w:eastAsia="zh-CN"/>
        </w:rPr>
      </w:pPr>
      <w:bookmarkStart w:id="43" w:name="_Toc12910"/>
      <w:bookmarkStart w:id="44" w:name="_Toc18052"/>
      <w:r>
        <w:rPr>
          <w:rFonts w:hint="eastAsia" w:ascii="华文仿宋" w:hAnsi="华文仿宋" w:eastAsia="华文仿宋" w:cs="华文仿宋"/>
          <w:b/>
          <w:color w:val="auto"/>
          <w:sz w:val="24"/>
          <w:szCs w:val="18"/>
          <w:highlight w:val="none"/>
          <w:lang w:val="en-US" w:eastAsia="zh-CN"/>
        </w:rPr>
        <w:t>1.13数据对接要求</w:t>
      </w:r>
    </w:p>
    <w:p w14:paraId="5BC676C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1.对接对象：省劳动人事争议调解仲裁系统数字庭审模块（以下简称"省级平台"）。成交供应商须保障本院智慧仲裁指挥系统与省级平台之间接口的连通性与稳定性。</w:t>
      </w:r>
    </w:p>
    <w:p w14:paraId="629F7549">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2.对接内容：至少包括庭审案件基础信息、庭审排期信息、庭审音视频归档索引及状态信息、庭审结果与状态变更信息，以及采购人另行书面明确的其他数据项。具体数据项、数据格式、报文规范以省级平台发布的接口规范和数据标准为准；省级平台更新接口规范时，以最新版本为准。</w:t>
      </w:r>
    </w:p>
    <w:p w14:paraId="5BA0F942">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3.数据上报方式与频次：按省级平台要求实现事件驱动的即时或准即时上报（如庭审开始/结束、案件状态变更等事件）；同时建立每日增量上报、每月全量核对的常态化机制。上报数据须完整、准确，不得缺项、漏报。</w:t>
      </w:r>
    </w:p>
    <w:p w14:paraId="708C910B">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4.技术要素：须在方案中明确接口清单、数据项映射关系、传输协议与端口、鉴权方式与密钥管理、报文校验与重传机制、上报失败的重试策略与告警方式。</w:t>
      </w:r>
    </w:p>
    <w:p w14:paraId="57AC80A4">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5.密钥与凭证管理：接口密钥、证书、账号等凭证由采购人授权管理，成交供应商不得复制、外带或用于本项目以外的用途；人员变更时须及时申请变更凭证。</w:t>
      </w:r>
    </w:p>
    <w:p w14:paraId="51A607A3">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6.联调配合：省级平台侧组织联调、升级、接口变更测试时，成交供应商须无条件配合，按采购人通知的时间与方式派员参加；因省级平台升级导致的接口变更，成交供应商须在变更生效前完成适配与回归测试，不得因接口变更造成业务中断或数据断报。</w:t>
      </w:r>
    </w:p>
    <w:p w14:paraId="6D5510F2">
      <w:pPr>
        <w:pStyle w:val="6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kern w:val="2"/>
          <w:sz w:val="24"/>
          <w:szCs w:val="24"/>
          <w:highlight w:val="none"/>
          <w:lang w:val="en-US" w:eastAsia="zh-CN" w:bidi="ar-SA"/>
        </w:rPr>
      </w:pPr>
      <w:r>
        <w:rPr>
          <w:rFonts w:hint="eastAsia" w:ascii="华文仿宋" w:hAnsi="华文仿宋" w:eastAsia="华文仿宋" w:cs="华文仿宋"/>
          <w:color w:val="auto"/>
          <w:kern w:val="2"/>
          <w:sz w:val="24"/>
          <w:szCs w:val="24"/>
          <w:highlight w:val="none"/>
          <w:lang w:val="en-US" w:eastAsia="zh-CN" w:bidi="ar-SA"/>
        </w:rPr>
        <w:t>7.不兼容情形的处置：因省级平台接口规范调整确需变更本地系统功能或增加开发工作量的，成交供应商应先行保障数据链路不中断，并在3个工作日内向采购人提交书面技术方案与工作量说明，由双方按合同约定处理，不得以未付费为由中断数据上报。</w:t>
      </w:r>
    </w:p>
    <w:p w14:paraId="5D65ED31">
      <w:pPr>
        <w:spacing w:line="360" w:lineRule="auto"/>
        <w:ind w:firstLine="437"/>
        <w:outlineLvl w:val="1"/>
        <w:rPr>
          <w:rFonts w:hint="eastAsia" w:ascii="华文仿宋" w:hAnsi="华文仿宋" w:eastAsia="华文仿宋" w:cs="华文仿宋"/>
          <w:b/>
          <w:color w:val="auto"/>
          <w:sz w:val="24"/>
          <w:szCs w:val="18"/>
          <w:highlight w:val="none"/>
        </w:rPr>
      </w:pPr>
      <w:r>
        <w:rPr>
          <w:rFonts w:hint="eastAsia" w:ascii="华文仿宋" w:hAnsi="华文仿宋" w:eastAsia="华文仿宋" w:cs="华文仿宋"/>
          <w:b/>
          <w:color w:val="auto"/>
          <w:sz w:val="24"/>
          <w:szCs w:val="18"/>
          <w:highlight w:val="none"/>
        </w:rPr>
        <w:t>四、报价要求</w:t>
      </w:r>
      <w:bookmarkEnd w:id="43"/>
      <w:bookmarkEnd w:id="44"/>
    </w:p>
    <w:p w14:paraId="2F1000F4">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eastAsia="zh-CN"/>
        </w:rPr>
      </w:pPr>
      <w:bookmarkStart w:id="45" w:name="_Toc3530"/>
      <w:bookmarkStart w:id="46" w:name="_Toc23590"/>
      <w:r>
        <w:rPr>
          <w:rFonts w:hint="eastAsia" w:ascii="华文仿宋" w:hAnsi="华文仿宋" w:eastAsia="华文仿宋" w:cs="华文仿宋"/>
          <w:color w:val="auto"/>
          <w:sz w:val="24"/>
          <w:szCs w:val="24"/>
          <w:highlight w:val="none"/>
        </w:rPr>
        <w:t>1.供应商须按硬件维保、软件维护、年度</w:t>
      </w:r>
      <w:r>
        <w:rPr>
          <w:rFonts w:hint="eastAsia" w:ascii="华文仿宋" w:hAnsi="华文仿宋" w:eastAsia="华文仿宋" w:cs="华文仿宋"/>
          <w:color w:val="auto"/>
          <w:sz w:val="24"/>
          <w:szCs w:val="24"/>
          <w:highlight w:val="none"/>
          <w:lang w:val="en-US" w:eastAsia="zh-CN"/>
        </w:rPr>
        <w:t>三级</w:t>
      </w:r>
      <w:r>
        <w:rPr>
          <w:rFonts w:hint="eastAsia" w:ascii="华文仿宋" w:hAnsi="华文仿宋" w:eastAsia="华文仿宋" w:cs="华文仿宋"/>
          <w:color w:val="auto"/>
          <w:sz w:val="24"/>
          <w:szCs w:val="24"/>
          <w:highlight w:val="none"/>
        </w:rPr>
        <w:t>等保费用+合规保障</w:t>
      </w: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rPr>
        <w:t>重大活动保障</w:t>
      </w:r>
      <w:r>
        <w:rPr>
          <w:rFonts w:hint="eastAsia" w:ascii="华文仿宋" w:hAnsi="华文仿宋" w:eastAsia="华文仿宋" w:cs="华文仿宋"/>
          <w:color w:val="auto"/>
          <w:sz w:val="24"/>
          <w:szCs w:val="24"/>
          <w:highlight w:val="none"/>
          <w:lang w:val="en-US" w:eastAsia="zh-CN"/>
        </w:rPr>
        <w:t>等</w:t>
      </w:r>
      <w:r>
        <w:rPr>
          <w:rFonts w:hint="eastAsia" w:ascii="华文仿宋" w:hAnsi="华文仿宋" w:eastAsia="华文仿宋" w:cs="华文仿宋"/>
          <w:color w:val="auto"/>
          <w:sz w:val="24"/>
          <w:szCs w:val="24"/>
          <w:highlight w:val="none"/>
        </w:rPr>
        <w:t>分项报价并汇总总价，报价为含税总价</w:t>
      </w:r>
      <w:r>
        <w:rPr>
          <w:rFonts w:hint="eastAsia" w:ascii="华文仿宋" w:hAnsi="华文仿宋" w:eastAsia="华文仿宋" w:cs="华文仿宋"/>
          <w:color w:val="auto"/>
          <w:sz w:val="24"/>
          <w:szCs w:val="24"/>
          <w:highlight w:val="none"/>
          <w:lang w:eastAsia="zh-CN"/>
        </w:rPr>
        <w:t>。</w:t>
      </w:r>
    </w:p>
    <w:p w14:paraId="1A26DA11">
      <w:pPr>
        <w:wordWrap w:val="0"/>
        <w:topLinePunct/>
        <w:snapToGrid w:val="0"/>
        <w:spacing w:line="400" w:lineRule="exact"/>
        <w:ind w:firstLine="480" w:firstLineChars="200"/>
        <w:rPr>
          <w:rFonts w:hint="eastAsia" w:ascii="华文仿宋" w:hAnsi="华文仿宋" w:eastAsia="华文仿宋" w:cs="华文仿宋"/>
          <w:color w:val="auto"/>
          <w:highlight w:val="none"/>
        </w:rPr>
      </w:pPr>
      <w:r>
        <w:rPr>
          <w:rFonts w:hint="eastAsia" w:ascii="华文仿宋" w:hAnsi="华文仿宋" w:eastAsia="华文仿宋" w:cs="华文仿宋"/>
          <w:color w:val="auto"/>
          <w:sz w:val="24"/>
          <w:szCs w:val="24"/>
          <w:highlight w:val="none"/>
          <w:lang w:val="en-US" w:eastAsia="zh-CN"/>
        </w:rPr>
        <w:t>2.</w:t>
      </w:r>
      <w:r>
        <w:rPr>
          <w:rFonts w:hint="eastAsia" w:ascii="华文仿宋" w:hAnsi="华文仿宋" w:eastAsia="华文仿宋" w:cs="华文仿宋"/>
          <w:color w:val="auto"/>
          <w:sz w:val="24"/>
          <w:szCs w:val="24"/>
          <w:highlight w:val="none"/>
        </w:rPr>
        <w:t>响应报价全部采用人民币表示。投标人的响应报价应含有服务、利润、税金、政策性文件规定及合同包含的所有风险、责任、义务等，即为完成招标文件要求的服务内容所包含的一切应有费用</w:t>
      </w:r>
      <w:r>
        <w:rPr>
          <w:rFonts w:hint="eastAsia" w:ascii="华文仿宋" w:hAnsi="华文仿宋" w:eastAsia="华文仿宋" w:cs="华文仿宋"/>
          <w:color w:val="auto"/>
          <w:sz w:val="24"/>
          <w:szCs w:val="24"/>
          <w:highlight w:val="none"/>
          <w:lang w:eastAsia="zh-CN"/>
        </w:rPr>
        <w:t>，巡检、备品备件（损耗件）、人工、交通、工具仪表、培训、税费、等级保护测评配合与安全整改、数据对接与联调等全部费用</w:t>
      </w:r>
      <w:r>
        <w:rPr>
          <w:rFonts w:hint="eastAsia" w:ascii="华文仿宋" w:hAnsi="华文仿宋" w:eastAsia="华文仿宋" w:cs="华文仿宋"/>
          <w:color w:val="auto"/>
          <w:sz w:val="24"/>
          <w:szCs w:val="24"/>
          <w:highlight w:val="none"/>
        </w:rPr>
        <w:t>。成交价格今后将不作任何调</w:t>
      </w:r>
      <w:r>
        <w:rPr>
          <w:rFonts w:hint="eastAsia" w:ascii="华文仿宋" w:hAnsi="华文仿宋" w:eastAsia="华文仿宋" w:cs="华文仿宋"/>
          <w:color w:val="auto"/>
          <w:sz w:val="24"/>
          <w:szCs w:val="24"/>
          <w:highlight w:val="none"/>
          <w:lang w:val="en-US" w:eastAsia="zh-CN"/>
        </w:rPr>
        <w:t>增</w:t>
      </w:r>
      <w:r>
        <w:rPr>
          <w:rFonts w:hint="eastAsia" w:ascii="华文仿宋" w:hAnsi="华文仿宋" w:eastAsia="华文仿宋" w:cs="华文仿宋"/>
          <w:color w:val="auto"/>
          <w:sz w:val="24"/>
          <w:szCs w:val="24"/>
          <w:highlight w:val="none"/>
        </w:rPr>
        <w:t>，采购人后期不再追加费用，供应商自行考虑报价风险。</w:t>
      </w:r>
    </w:p>
    <w:p w14:paraId="2A835214">
      <w:pPr>
        <w:spacing w:line="360" w:lineRule="auto"/>
        <w:ind w:firstLine="437"/>
        <w:outlineLvl w:val="1"/>
        <w:rPr>
          <w:rFonts w:hint="eastAsia" w:ascii="华文仿宋" w:hAnsi="华文仿宋" w:eastAsia="华文仿宋" w:cs="华文仿宋"/>
          <w:b/>
          <w:color w:val="auto"/>
          <w:sz w:val="24"/>
          <w:szCs w:val="18"/>
          <w:highlight w:val="none"/>
        </w:rPr>
      </w:pPr>
      <w:r>
        <w:rPr>
          <w:rFonts w:hint="eastAsia" w:ascii="华文仿宋" w:hAnsi="华文仿宋" w:eastAsia="华文仿宋" w:cs="华文仿宋"/>
          <w:b/>
          <w:color w:val="auto"/>
          <w:sz w:val="24"/>
          <w:szCs w:val="18"/>
          <w:highlight w:val="none"/>
        </w:rPr>
        <w:t>五、其他要求</w:t>
      </w:r>
      <w:bookmarkEnd w:id="45"/>
      <w:bookmarkEnd w:id="46"/>
    </w:p>
    <w:bookmarkEnd w:id="38"/>
    <w:p w14:paraId="1741A752">
      <w:pPr>
        <w:wordWrap w:val="0"/>
        <w:topLinePunct/>
        <w:snapToGrid w:val="0"/>
        <w:spacing w:line="400" w:lineRule="exact"/>
        <w:ind w:firstLine="482" w:firstLineChars="200"/>
        <w:rPr>
          <w:rFonts w:hint="eastAsia" w:ascii="华文仿宋" w:hAnsi="华文仿宋" w:eastAsia="华文仿宋" w:cs="华文仿宋"/>
          <w:b/>
          <w:bCs/>
          <w:color w:val="auto"/>
          <w:sz w:val="24"/>
          <w:szCs w:val="24"/>
          <w:highlight w:val="none"/>
          <w:lang w:val="en-US" w:eastAsia="zh-CN"/>
        </w:rPr>
      </w:pPr>
      <w:bookmarkStart w:id="47" w:name="_Toc12595"/>
      <w:r>
        <w:rPr>
          <w:rFonts w:hint="eastAsia" w:ascii="华文仿宋" w:hAnsi="华文仿宋" w:eastAsia="华文仿宋" w:cs="华文仿宋"/>
          <w:b/>
          <w:bCs/>
          <w:color w:val="auto"/>
          <w:sz w:val="24"/>
          <w:szCs w:val="24"/>
          <w:highlight w:val="none"/>
        </w:rPr>
        <w:t>（一）</w:t>
      </w:r>
      <w:bookmarkEnd w:id="47"/>
      <w:r>
        <w:rPr>
          <w:rFonts w:hint="eastAsia" w:ascii="华文仿宋" w:hAnsi="华文仿宋" w:eastAsia="华文仿宋" w:cs="华文仿宋"/>
          <w:b/>
          <w:bCs/>
          <w:color w:val="auto"/>
          <w:sz w:val="24"/>
          <w:szCs w:val="24"/>
          <w:highlight w:val="none"/>
          <w:lang w:val="en-US" w:eastAsia="zh-CN"/>
        </w:rPr>
        <w:t>验收要求</w:t>
      </w:r>
    </w:p>
    <w:p w14:paraId="52CF34C9">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1.过程验收：月度/季度/年度维保报告经采购人签字确认，作为阶段验收依据。</w:t>
      </w:r>
    </w:p>
    <w:p w14:paraId="3028648E">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2.终验：服务期满，成交供应商移交全套档案、备品台账、年度评估报告，采购人组织综合验收；系统可用率与各项底线要求达标后方可结清尾款。</w:t>
      </w:r>
    </w:p>
    <w:p w14:paraId="1349579A">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3.重大故障：须有专项报告与整改闭环记录方可视为处置完成。</w:t>
      </w:r>
    </w:p>
    <w:p w14:paraId="666FCFF0">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4.验收依据：采购文件、响应文件、合同及双方确认的补充文件；验收结果作为服务费用结算依据。</w:t>
      </w:r>
    </w:p>
    <w:p w14:paraId="4A0F2D0F">
      <w:pPr>
        <w:wordWrap w:val="0"/>
        <w:topLinePunct/>
        <w:snapToGrid w:val="0"/>
        <w:spacing w:line="400" w:lineRule="exact"/>
        <w:ind w:firstLine="482" w:firstLineChars="200"/>
        <w:rPr>
          <w:rFonts w:hint="eastAsia" w:ascii="华文仿宋" w:hAnsi="华文仿宋" w:eastAsia="华文仿宋" w:cs="华文仿宋"/>
          <w:b/>
          <w:bCs/>
          <w:color w:val="auto"/>
          <w:sz w:val="24"/>
          <w:szCs w:val="24"/>
          <w:highlight w:val="none"/>
        </w:rPr>
      </w:pPr>
      <w:r>
        <w:rPr>
          <w:rFonts w:hint="eastAsia" w:ascii="华文仿宋" w:hAnsi="华文仿宋" w:eastAsia="华文仿宋" w:cs="华文仿宋"/>
          <w:b/>
          <w:bCs/>
          <w:color w:val="auto"/>
          <w:sz w:val="24"/>
          <w:szCs w:val="24"/>
          <w:highlight w:val="none"/>
        </w:rPr>
        <w:t>（二）保密、知识产权与数据安全</w:t>
      </w:r>
    </w:p>
    <w:p w14:paraId="73887051">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1.保密：成交供应商须与采购人签订保密协议；检修影像、故障台账、业务数据仅限授权人员查阅，严禁外泄。</w:t>
      </w:r>
    </w:p>
    <w:p w14:paraId="79B5B491">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2.知识产权：维保过程中产生的文档、方案、接口说明、运维手册等成果归采购人所有；成交供应商不得就本项目成果向第三方转让或许可使用。</w:t>
      </w:r>
    </w:p>
    <w:p w14:paraId="595F4381">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3.数据安全：严禁将业务数据带离采购人场所；确需外送维修的设备须先清除或脱敏数据并经采购人书面同意。</w:t>
      </w:r>
    </w:p>
    <w:p w14:paraId="1844A5DE">
      <w:pPr>
        <w:wordWrap w:val="0"/>
        <w:topLinePunct/>
        <w:snapToGrid w:val="0"/>
        <w:spacing w:line="400" w:lineRule="exact"/>
        <w:ind w:firstLine="482" w:firstLineChars="200"/>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b/>
          <w:bCs/>
          <w:color w:val="auto"/>
          <w:sz w:val="24"/>
          <w:szCs w:val="24"/>
          <w:highlight w:val="none"/>
          <w:lang w:val="en-US" w:eastAsia="zh-CN"/>
        </w:rPr>
        <w:t>4.</w:t>
      </w:r>
      <w:r>
        <w:rPr>
          <w:rFonts w:hint="eastAsia" w:ascii="华文仿宋" w:hAnsi="华文仿宋" w:eastAsia="华文仿宋" w:cs="华文仿宋"/>
          <w:color w:val="auto"/>
          <w:sz w:val="24"/>
          <w:szCs w:val="24"/>
          <w:highlight w:val="none"/>
        </w:rPr>
        <w:t>服务商的服务人员在执行服务过程中应严格按照保密协议相关要求执行。本项目的内容涉及的所有资料都视为采购人拥有的政务秘密，服务商有责任和义务保证项目所涉及全部内容的保密和安全，对于本项目中所涉及的全部内容的安全保密（采购人主动公开或法律法规有要求的除外）。</w:t>
      </w:r>
    </w:p>
    <w:p w14:paraId="584A236F">
      <w:pPr>
        <w:wordWrap w:val="0"/>
        <w:topLinePunct/>
        <w:snapToGrid w:val="0"/>
        <w:spacing w:line="400" w:lineRule="exact"/>
        <w:ind w:firstLine="482" w:firstLineChars="200"/>
        <w:rPr>
          <w:rFonts w:hint="eastAsia" w:ascii="华文仿宋" w:hAnsi="华文仿宋" w:eastAsia="华文仿宋" w:cs="华文仿宋"/>
          <w:b/>
          <w:color w:val="auto"/>
          <w:sz w:val="24"/>
          <w:szCs w:val="18"/>
          <w:highlight w:val="none"/>
          <w:lang w:val="en-US" w:eastAsia="zh-CN"/>
        </w:rPr>
      </w:pPr>
      <w:r>
        <w:rPr>
          <w:rFonts w:hint="eastAsia" w:ascii="华文仿宋" w:hAnsi="华文仿宋" w:eastAsia="华文仿宋" w:cs="华文仿宋"/>
          <w:b/>
          <w:color w:val="auto"/>
          <w:sz w:val="24"/>
          <w:szCs w:val="18"/>
          <w:highlight w:val="none"/>
          <w:lang w:val="en-US" w:eastAsia="zh-CN"/>
        </w:rPr>
        <w:t>（三）违约责任</w:t>
      </w:r>
    </w:p>
    <w:p w14:paraId="062840A1">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1.未按约定频次执行巡检、保养，或未按期提交报告、台账的，按合同约定支付违约金，并在规定期限内补做。</w:t>
      </w:r>
    </w:p>
    <w:p w14:paraId="49B7E729">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2.未按故障响应与修复时效到场处置的，按合同约定支付违约金。</w:t>
      </w:r>
    </w:p>
    <w:p w14:paraId="29072850">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3.因运维过失导致设备损坏、业务中断、数据丢失或数据泄露的，成交供应商须承担修复、恢复责任及相应赔偿责任。</w:t>
      </w:r>
    </w:p>
    <w:p w14:paraId="28B46962">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4.系统年度可用率、报告交付及时率等关键指标未达标的，按合同约定扣减服务费。</w:t>
      </w:r>
    </w:p>
    <w:p w14:paraId="5F0F693D">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5.未按要求保障省市级数据链路贯通、未按期完成数据上报或一致性核对，或擅自中断数据上报的，按合同约定扣减服务费并承担违约责任；造成数据缺失或不合规后果的，另行承担赔偿责任。</w:t>
      </w:r>
    </w:p>
    <w:p w14:paraId="19FEA475">
      <w:pPr>
        <w:wordWrap w:val="0"/>
        <w:topLinePunct/>
        <w:snapToGrid w:val="0"/>
        <w:spacing w:line="400" w:lineRule="exact"/>
        <w:ind w:firstLine="480" w:firstLineChars="200"/>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lang w:val="en-US" w:eastAsia="zh-CN"/>
        </w:rPr>
        <w:t>6.服务期内累计违约达到合同约定次数的，采购人有权解除合同并追究违约责任。</w:t>
      </w:r>
    </w:p>
    <w:p w14:paraId="151EFB72">
      <w:pPr>
        <w:wordWrap w:val="0"/>
        <w:topLinePunct/>
        <w:snapToGrid w:val="0"/>
        <w:spacing w:line="400" w:lineRule="exact"/>
        <w:ind w:firstLine="482" w:firstLineChars="200"/>
        <w:rPr>
          <w:rFonts w:hint="eastAsia" w:ascii="华文仿宋" w:hAnsi="华文仿宋" w:eastAsia="华文仿宋" w:cs="华文仿宋"/>
          <w:b/>
          <w:color w:val="auto"/>
          <w:sz w:val="24"/>
          <w:szCs w:val="18"/>
          <w:highlight w:val="none"/>
          <w:lang w:val="en-US" w:eastAsia="zh-CN"/>
        </w:rPr>
      </w:pPr>
      <w:r>
        <w:rPr>
          <w:rFonts w:hint="eastAsia" w:ascii="华文仿宋" w:hAnsi="华文仿宋" w:eastAsia="华文仿宋" w:cs="华文仿宋"/>
          <w:b/>
          <w:bCs/>
          <w:color w:val="auto"/>
          <w:sz w:val="24"/>
          <w:szCs w:val="24"/>
          <w:highlight w:val="none"/>
          <w:lang w:val="en-US" w:eastAsia="zh-CN"/>
        </w:rPr>
        <w:t>（</w:t>
      </w:r>
      <w:r>
        <w:rPr>
          <w:rFonts w:hint="eastAsia" w:ascii="华文仿宋" w:hAnsi="华文仿宋" w:eastAsia="华文仿宋" w:cs="华文仿宋"/>
          <w:b/>
          <w:color w:val="auto"/>
          <w:sz w:val="24"/>
          <w:szCs w:val="18"/>
          <w:highlight w:val="none"/>
          <w:lang w:val="en-US" w:eastAsia="zh-CN"/>
        </w:rPr>
        <w:t>四）报价表格</w:t>
      </w:r>
    </w:p>
    <w:tbl>
      <w:tblPr>
        <w:tblStyle w:val="22"/>
        <w:tblW w:w="5000" w:type="pct"/>
        <w:tblInd w:w="0" w:type="dxa"/>
        <w:tblLayout w:type="autofit"/>
        <w:tblCellMar>
          <w:top w:w="0" w:type="dxa"/>
          <w:left w:w="108" w:type="dxa"/>
          <w:bottom w:w="0" w:type="dxa"/>
          <w:right w:w="108" w:type="dxa"/>
        </w:tblCellMar>
      </w:tblPr>
      <w:tblGrid>
        <w:gridCol w:w="837"/>
        <w:gridCol w:w="1562"/>
        <w:gridCol w:w="2711"/>
        <w:gridCol w:w="1702"/>
        <w:gridCol w:w="1710"/>
      </w:tblGrid>
      <w:tr w14:paraId="6F1839C9">
        <w:tblPrEx>
          <w:tblCellMar>
            <w:top w:w="0" w:type="dxa"/>
            <w:left w:w="108" w:type="dxa"/>
            <w:bottom w:w="0" w:type="dxa"/>
            <w:right w:w="108" w:type="dxa"/>
          </w:tblCellMar>
        </w:tblPrEx>
        <w:tc>
          <w:tcPr>
            <w:tcW w:w="837"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3B74FDB6">
            <w:pPr>
              <w:spacing w:before="60" w:after="60" w:line="240" w:lineRule="auto"/>
              <w:ind w:firstLine="0"/>
              <w:jc w:val="left"/>
              <w:rPr>
                <w:rFonts w:hint="eastAsia" w:ascii="华文仿宋" w:hAnsi="华文仿宋" w:eastAsia="华文仿宋" w:cs="华文仿宋"/>
                <w:color w:val="auto"/>
                <w:highlight w:val="none"/>
              </w:rPr>
            </w:pPr>
            <w:bookmarkStart w:id="48" w:name="OLE_LINK21"/>
            <w:bookmarkStart w:id="49" w:name="OLE_LINK19"/>
            <w:r>
              <w:rPr>
                <w:rFonts w:hint="eastAsia" w:ascii="华文仿宋" w:hAnsi="华文仿宋" w:eastAsia="华文仿宋" w:cs="华文仿宋"/>
                <w:b/>
                <w:color w:val="auto"/>
                <w:highlight w:val="none"/>
              </w:rPr>
              <w:t>序号</w:t>
            </w:r>
          </w:p>
        </w:tc>
        <w:tc>
          <w:tcPr>
            <w:tcW w:w="1562"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74BE68ED">
            <w:pPr>
              <w:spacing w:before="60" w:after="60" w:line="240" w:lineRule="auto"/>
              <w:ind w:firstLine="0"/>
              <w:jc w:val="left"/>
              <w:rPr>
                <w:rFonts w:hint="eastAsia" w:ascii="华文仿宋" w:hAnsi="华文仿宋" w:eastAsia="华文仿宋" w:cs="华文仿宋"/>
                <w:color w:val="auto"/>
                <w:highlight w:val="none"/>
                <w:lang w:eastAsia="zh-CN"/>
              </w:rPr>
            </w:pPr>
            <w:r>
              <w:rPr>
                <w:rFonts w:hint="eastAsia" w:ascii="华文仿宋" w:hAnsi="华文仿宋" w:eastAsia="华文仿宋" w:cs="华文仿宋"/>
                <w:b/>
                <w:color w:val="auto"/>
                <w:highlight w:val="none"/>
                <w:lang w:val="en-US" w:eastAsia="zh-CN"/>
              </w:rPr>
              <w:t>项目</w:t>
            </w:r>
          </w:p>
        </w:tc>
        <w:tc>
          <w:tcPr>
            <w:tcW w:w="2711"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06978925">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b/>
                <w:color w:val="auto"/>
                <w:highlight w:val="none"/>
              </w:rPr>
              <w:t>内容说明</w:t>
            </w:r>
          </w:p>
        </w:tc>
        <w:tc>
          <w:tcPr>
            <w:tcW w:w="1702"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31E396A8">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b/>
                <w:color w:val="auto"/>
                <w:highlight w:val="none"/>
              </w:rPr>
              <w:t>服务期</w:t>
            </w:r>
          </w:p>
        </w:tc>
        <w:tc>
          <w:tcPr>
            <w:tcW w:w="1710" w:type="dxa"/>
            <w:tcBorders>
              <w:top w:val="single" w:color="9AA7B8" w:sz="6" w:space="0"/>
              <w:left w:val="single" w:color="9AA7B8" w:sz="6" w:space="0"/>
              <w:bottom w:val="single" w:color="9AA7B8" w:sz="6" w:space="0"/>
              <w:right w:val="single" w:color="9AA7B8" w:sz="6" w:space="0"/>
            </w:tcBorders>
            <w:shd w:val="clear" w:color="auto" w:fill="E8EEF7"/>
            <w:tcMar>
              <w:top w:w="77" w:type="dxa"/>
              <w:left w:w="108" w:type="dxa"/>
              <w:bottom w:w="77" w:type="dxa"/>
              <w:right w:w="108" w:type="dxa"/>
            </w:tcMar>
            <w:vAlign w:val="center"/>
          </w:tcPr>
          <w:p w14:paraId="7A6E2317">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b/>
                <w:color w:val="auto"/>
                <w:highlight w:val="none"/>
              </w:rPr>
              <w:t>小计（元）</w:t>
            </w:r>
          </w:p>
        </w:tc>
      </w:tr>
      <w:tr w14:paraId="143BD65A">
        <w:tblPrEx>
          <w:tblCellMar>
            <w:top w:w="0" w:type="dxa"/>
            <w:left w:w="108" w:type="dxa"/>
            <w:bottom w:w="0" w:type="dxa"/>
            <w:right w:w="108" w:type="dxa"/>
          </w:tblCellMar>
        </w:tblPrEx>
        <w:tc>
          <w:tcPr>
            <w:tcW w:w="837"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F2C02AF">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1</w:t>
            </w:r>
          </w:p>
        </w:tc>
        <w:tc>
          <w:tcPr>
            <w:tcW w:w="1562"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234EE228">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基础硬件维保</w:t>
            </w:r>
          </w:p>
        </w:tc>
        <w:tc>
          <w:tcPr>
            <w:tcW w:w="271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6D1AB2CA">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全部硬件周期巡检、损耗件更换、故障抢修、备品保障</w:t>
            </w:r>
          </w:p>
        </w:tc>
        <w:tc>
          <w:tcPr>
            <w:tcW w:w="1702"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2E9208E7">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12个月</w:t>
            </w:r>
          </w:p>
        </w:tc>
        <w:tc>
          <w:tcPr>
            <w:tcW w:w="171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8CE365E">
            <w:pPr>
              <w:spacing w:before="60" w:after="60" w:line="240" w:lineRule="auto"/>
              <w:ind w:firstLine="0"/>
              <w:jc w:val="left"/>
              <w:rPr>
                <w:rFonts w:hint="eastAsia" w:ascii="华文仿宋" w:hAnsi="华文仿宋" w:eastAsia="华文仿宋" w:cs="华文仿宋"/>
                <w:color w:val="auto"/>
                <w:highlight w:val="none"/>
              </w:rPr>
            </w:pPr>
            <w:bookmarkStart w:id="50" w:name="12 个月_01"/>
            <w:r>
              <w:rPr>
                <w:rFonts w:hint="eastAsia" w:ascii="华文仿宋" w:hAnsi="华文仿宋" w:eastAsia="华文仿宋" w:cs="华文仿宋"/>
                <w:color w:val="auto"/>
                <w:highlight w:val="none"/>
              </w:rPr>
              <w:t> </w:t>
            </w:r>
            <w:bookmarkEnd w:id="50"/>
          </w:p>
        </w:tc>
      </w:tr>
      <w:tr w14:paraId="1A099F18">
        <w:tblPrEx>
          <w:tblCellMar>
            <w:top w:w="0" w:type="dxa"/>
            <w:left w:w="108" w:type="dxa"/>
            <w:bottom w:w="0" w:type="dxa"/>
            <w:right w:w="108" w:type="dxa"/>
          </w:tblCellMar>
        </w:tblPrEx>
        <w:tc>
          <w:tcPr>
            <w:tcW w:w="837"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6F4CF714">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2</w:t>
            </w:r>
          </w:p>
        </w:tc>
        <w:tc>
          <w:tcPr>
            <w:tcW w:w="1562"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04C6FBA8">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软件系统维护</w:t>
            </w:r>
          </w:p>
        </w:tc>
        <w:tc>
          <w:tcPr>
            <w:tcW w:w="271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5F264B99">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系统/应用软件运维、数据备份、省市级数据对接保障、培训</w:t>
            </w:r>
          </w:p>
        </w:tc>
        <w:tc>
          <w:tcPr>
            <w:tcW w:w="1702"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44844B72">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12个月</w:t>
            </w:r>
          </w:p>
        </w:tc>
        <w:tc>
          <w:tcPr>
            <w:tcW w:w="171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35496F7E">
            <w:pPr>
              <w:spacing w:before="60" w:after="60" w:line="240" w:lineRule="auto"/>
              <w:ind w:firstLine="0"/>
              <w:jc w:val="left"/>
              <w:rPr>
                <w:rFonts w:hint="eastAsia" w:ascii="华文仿宋" w:hAnsi="华文仿宋" w:eastAsia="华文仿宋" w:cs="华文仿宋"/>
                <w:color w:val="auto"/>
                <w:highlight w:val="none"/>
              </w:rPr>
            </w:pPr>
            <w:bookmarkStart w:id="51" w:name="12 个月_02"/>
            <w:r>
              <w:rPr>
                <w:rFonts w:hint="eastAsia" w:ascii="华文仿宋" w:hAnsi="华文仿宋" w:eastAsia="华文仿宋" w:cs="华文仿宋"/>
                <w:color w:val="auto"/>
                <w:highlight w:val="none"/>
              </w:rPr>
              <w:t> </w:t>
            </w:r>
            <w:bookmarkEnd w:id="51"/>
          </w:p>
        </w:tc>
      </w:tr>
      <w:tr w14:paraId="55180A53">
        <w:tblPrEx>
          <w:tblCellMar>
            <w:top w:w="0" w:type="dxa"/>
            <w:left w:w="108" w:type="dxa"/>
            <w:bottom w:w="0" w:type="dxa"/>
            <w:right w:w="108" w:type="dxa"/>
          </w:tblCellMar>
        </w:tblPrEx>
        <w:tc>
          <w:tcPr>
            <w:tcW w:w="837"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4DA3EBC">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3</w:t>
            </w:r>
          </w:p>
        </w:tc>
        <w:tc>
          <w:tcPr>
            <w:tcW w:w="1562"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4B1EDF1E">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lang w:val="en-US" w:eastAsia="zh-CN"/>
              </w:rPr>
              <w:t>年度三级</w:t>
            </w:r>
            <w:r>
              <w:rPr>
                <w:rFonts w:hint="eastAsia" w:ascii="华文仿宋" w:hAnsi="华文仿宋" w:eastAsia="华文仿宋" w:cs="华文仿宋"/>
                <w:color w:val="auto"/>
                <w:highlight w:val="none"/>
              </w:rPr>
              <w:t>等保</w:t>
            </w:r>
            <w:r>
              <w:rPr>
                <w:rFonts w:hint="eastAsia" w:ascii="华文仿宋" w:hAnsi="华文仿宋" w:eastAsia="华文仿宋" w:cs="华文仿宋"/>
                <w:color w:val="auto"/>
                <w:highlight w:val="none"/>
                <w:lang w:val="en-US" w:eastAsia="zh-CN"/>
              </w:rPr>
              <w:t>费用+</w:t>
            </w:r>
            <w:r>
              <w:rPr>
                <w:rFonts w:hint="eastAsia" w:ascii="华文仿宋" w:hAnsi="华文仿宋" w:eastAsia="华文仿宋" w:cs="华文仿宋"/>
                <w:color w:val="auto"/>
                <w:highlight w:val="none"/>
              </w:rPr>
              <w:t>合规保障</w:t>
            </w:r>
          </w:p>
        </w:tc>
        <w:tc>
          <w:tcPr>
            <w:tcW w:w="271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011799A3">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定级备案配合、第三方测评配合、安全整改、持续合规运维</w:t>
            </w:r>
          </w:p>
        </w:tc>
        <w:tc>
          <w:tcPr>
            <w:tcW w:w="1702"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0EBB4D02">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12个月</w:t>
            </w:r>
          </w:p>
        </w:tc>
        <w:tc>
          <w:tcPr>
            <w:tcW w:w="171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7F9E2A1">
            <w:pPr>
              <w:spacing w:before="60" w:after="60" w:line="240" w:lineRule="auto"/>
              <w:ind w:firstLine="0"/>
              <w:jc w:val="left"/>
              <w:rPr>
                <w:rFonts w:hint="eastAsia" w:ascii="华文仿宋" w:hAnsi="华文仿宋" w:eastAsia="华文仿宋" w:cs="华文仿宋"/>
                <w:color w:val="auto"/>
                <w:highlight w:val="none"/>
              </w:rPr>
            </w:pPr>
            <w:bookmarkStart w:id="52" w:name="12 个月_03"/>
            <w:r>
              <w:rPr>
                <w:rFonts w:hint="eastAsia" w:ascii="华文仿宋" w:hAnsi="华文仿宋" w:eastAsia="华文仿宋" w:cs="华文仿宋"/>
                <w:color w:val="auto"/>
                <w:highlight w:val="none"/>
              </w:rPr>
              <w:t> </w:t>
            </w:r>
            <w:bookmarkEnd w:id="52"/>
          </w:p>
        </w:tc>
      </w:tr>
      <w:tr w14:paraId="41714928">
        <w:tblPrEx>
          <w:tblCellMar>
            <w:top w:w="0" w:type="dxa"/>
            <w:left w:w="108" w:type="dxa"/>
            <w:bottom w:w="0" w:type="dxa"/>
            <w:right w:w="108" w:type="dxa"/>
          </w:tblCellMar>
        </w:tblPrEx>
        <w:tc>
          <w:tcPr>
            <w:tcW w:w="837"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1D67628">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4</w:t>
            </w:r>
          </w:p>
        </w:tc>
        <w:tc>
          <w:tcPr>
            <w:tcW w:w="1562"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247A87B1">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重大活动保障</w:t>
            </w:r>
          </w:p>
        </w:tc>
        <w:tc>
          <w:tcPr>
            <w:tcW w:w="271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5E8B853D">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庭审/调度会议前置预检与驻场（含于总价或单列）</w:t>
            </w:r>
          </w:p>
        </w:tc>
        <w:tc>
          <w:tcPr>
            <w:tcW w:w="1702"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0AA78088">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按需</w:t>
            </w:r>
          </w:p>
        </w:tc>
        <w:tc>
          <w:tcPr>
            <w:tcW w:w="171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248A7BAF">
            <w:pPr>
              <w:spacing w:before="60" w:after="60" w:line="240" w:lineRule="auto"/>
              <w:ind w:firstLine="0"/>
              <w:jc w:val="left"/>
              <w:rPr>
                <w:rFonts w:hint="eastAsia" w:ascii="华文仿宋" w:hAnsi="华文仿宋" w:eastAsia="华文仿宋" w:cs="华文仿宋"/>
                <w:color w:val="auto"/>
                <w:highlight w:val="none"/>
              </w:rPr>
            </w:pPr>
            <w:bookmarkStart w:id="53" w:name="按需_01"/>
            <w:r>
              <w:rPr>
                <w:rFonts w:hint="eastAsia" w:ascii="华文仿宋" w:hAnsi="华文仿宋" w:eastAsia="华文仿宋" w:cs="华文仿宋"/>
                <w:color w:val="auto"/>
                <w:highlight w:val="none"/>
              </w:rPr>
              <w:t> </w:t>
            </w:r>
            <w:bookmarkEnd w:id="53"/>
          </w:p>
        </w:tc>
      </w:tr>
      <w:tr w14:paraId="5C75BB81">
        <w:tblPrEx>
          <w:tblCellMar>
            <w:top w:w="0" w:type="dxa"/>
            <w:left w:w="108" w:type="dxa"/>
            <w:bottom w:w="0" w:type="dxa"/>
            <w:right w:w="108" w:type="dxa"/>
          </w:tblCellMar>
        </w:tblPrEx>
        <w:tc>
          <w:tcPr>
            <w:tcW w:w="837"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25023533">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w:t>
            </w:r>
          </w:p>
        </w:tc>
        <w:tc>
          <w:tcPr>
            <w:tcW w:w="1562"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2BFEAED5">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合计</w:t>
            </w:r>
          </w:p>
        </w:tc>
        <w:tc>
          <w:tcPr>
            <w:tcW w:w="2711"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030BE68F">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人民币（含税）</w:t>
            </w:r>
          </w:p>
        </w:tc>
        <w:tc>
          <w:tcPr>
            <w:tcW w:w="1702"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785415A9">
            <w:pPr>
              <w:spacing w:before="60" w:after="60" w:line="240" w:lineRule="auto"/>
              <w:ind w:firstLine="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highlight w:val="none"/>
              </w:rPr>
              <w:t>—</w:t>
            </w:r>
          </w:p>
        </w:tc>
        <w:tc>
          <w:tcPr>
            <w:tcW w:w="1710" w:type="dxa"/>
            <w:tcBorders>
              <w:top w:val="single" w:color="9AA7B8" w:sz="6" w:space="0"/>
              <w:left w:val="single" w:color="9AA7B8" w:sz="6" w:space="0"/>
              <w:bottom w:val="single" w:color="9AA7B8" w:sz="6" w:space="0"/>
              <w:right w:val="single" w:color="9AA7B8" w:sz="6" w:space="0"/>
            </w:tcBorders>
            <w:tcMar>
              <w:top w:w="77" w:type="dxa"/>
              <w:left w:w="108" w:type="dxa"/>
              <w:bottom w:w="77" w:type="dxa"/>
              <w:right w:w="108" w:type="dxa"/>
            </w:tcMar>
            <w:vAlign w:val="center"/>
          </w:tcPr>
          <w:p w14:paraId="5657D60B">
            <w:pPr>
              <w:spacing w:before="60" w:after="60" w:line="240" w:lineRule="auto"/>
              <w:ind w:firstLine="0"/>
              <w:jc w:val="left"/>
              <w:rPr>
                <w:rFonts w:hint="eastAsia" w:ascii="华文仿宋" w:hAnsi="华文仿宋" w:eastAsia="华文仿宋" w:cs="华文仿宋"/>
                <w:color w:val="auto"/>
                <w:highlight w:val="none"/>
              </w:rPr>
            </w:pPr>
            <w:bookmarkStart w:id="54" w:name="—_01"/>
            <w:r>
              <w:rPr>
                <w:rFonts w:hint="eastAsia" w:ascii="华文仿宋" w:hAnsi="华文仿宋" w:eastAsia="华文仿宋" w:cs="华文仿宋"/>
                <w:color w:val="auto"/>
                <w:highlight w:val="none"/>
              </w:rPr>
              <w:t> </w:t>
            </w:r>
            <w:bookmarkEnd w:id="54"/>
          </w:p>
        </w:tc>
      </w:tr>
    </w:tbl>
    <w:p w14:paraId="1CDAD3A2">
      <w:pPr>
        <w:wordWrap w:val="0"/>
        <w:topLinePunct/>
        <w:snapToGrid w:val="0"/>
        <w:spacing w:line="400" w:lineRule="exact"/>
        <w:ind w:firstLine="420" w:firstLineChars="200"/>
        <w:rPr>
          <w:rFonts w:hint="eastAsia" w:ascii="华文仿宋" w:hAnsi="华文仿宋" w:eastAsia="华文仿宋" w:cs="华文仿宋"/>
          <w:color w:val="auto"/>
          <w:kern w:val="0"/>
          <w:highlight w:val="none"/>
          <w:u w:val="none" w:color="000000"/>
        </w:rPr>
      </w:pPr>
    </w:p>
    <w:bookmarkEnd w:id="48"/>
    <w:bookmarkEnd w:id="49"/>
    <w:p w14:paraId="6259F018">
      <w:pPr>
        <w:spacing w:line="360" w:lineRule="auto"/>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br w:type="page"/>
      </w:r>
    </w:p>
    <w:p w14:paraId="469F07F9">
      <w:pPr>
        <w:spacing w:line="360" w:lineRule="auto"/>
        <w:jc w:val="center"/>
        <w:outlineLvl w:val="0"/>
        <w:rPr>
          <w:rFonts w:hint="eastAsia" w:ascii="华文仿宋" w:hAnsi="华文仿宋" w:eastAsia="华文仿宋" w:cs="华文仿宋"/>
          <w:b/>
          <w:color w:val="auto"/>
          <w:sz w:val="28"/>
          <w:highlight w:val="none"/>
        </w:rPr>
      </w:pPr>
      <w:bookmarkStart w:id="55" w:name="_Toc8668"/>
      <w:r>
        <w:rPr>
          <w:rFonts w:hint="eastAsia" w:ascii="华文仿宋" w:hAnsi="华文仿宋" w:eastAsia="华文仿宋" w:cs="华文仿宋"/>
          <w:b/>
          <w:color w:val="auto"/>
          <w:sz w:val="28"/>
          <w:highlight w:val="none"/>
        </w:rPr>
        <w:t>第四章评审方法和标准</w:t>
      </w:r>
      <w:bookmarkEnd w:id="55"/>
    </w:p>
    <w:p w14:paraId="05C5EAE1">
      <w:pPr>
        <w:spacing w:line="360" w:lineRule="auto"/>
        <w:ind w:firstLine="437"/>
        <w:outlineLvl w:val="1"/>
        <w:rPr>
          <w:rFonts w:hint="eastAsia" w:ascii="华文仿宋" w:hAnsi="华文仿宋" w:eastAsia="华文仿宋" w:cs="华文仿宋"/>
          <w:b/>
          <w:color w:val="auto"/>
          <w:sz w:val="24"/>
          <w:highlight w:val="none"/>
        </w:rPr>
      </w:pPr>
      <w:bookmarkStart w:id="56" w:name="_Toc21211"/>
      <w:bookmarkStart w:id="57" w:name="_Toc12199"/>
      <w:r>
        <w:rPr>
          <w:rFonts w:hint="eastAsia" w:ascii="华文仿宋" w:hAnsi="华文仿宋" w:eastAsia="华文仿宋" w:cs="华文仿宋"/>
          <w:b/>
          <w:color w:val="auto"/>
          <w:sz w:val="24"/>
          <w:highlight w:val="none"/>
        </w:rPr>
        <w:t>一、总则</w:t>
      </w:r>
      <w:bookmarkEnd w:id="56"/>
      <w:bookmarkEnd w:id="57"/>
    </w:p>
    <w:p w14:paraId="3DA2164B">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本项目将按照磋商文件第二章供应商须知的相关要求及本章的规定评审。</w:t>
      </w:r>
    </w:p>
    <w:p w14:paraId="06811B29">
      <w:pPr>
        <w:spacing w:line="360" w:lineRule="auto"/>
        <w:ind w:firstLine="437"/>
        <w:outlineLvl w:val="1"/>
        <w:rPr>
          <w:rFonts w:hint="eastAsia" w:ascii="华文仿宋" w:hAnsi="华文仿宋" w:eastAsia="华文仿宋" w:cs="华文仿宋"/>
          <w:b/>
          <w:color w:val="auto"/>
          <w:sz w:val="24"/>
          <w:highlight w:val="none"/>
        </w:rPr>
      </w:pPr>
      <w:bookmarkStart w:id="58" w:name="_Toc13039"/>
      <w:bookmarkStart w:id="59" w:name="_Toc16885"/>
      <w:r>
        <w:rPr>
          <w:rFonts w:hint="eastAsia" w:ascii="华文仿宋" w:hAnsi="华文仿宋" w:eastAsia="华文仿宋" w:cs="华文仿宋"/>
          <w:b/>
          <w:color w:val="auto"/>
          <w:sz w:val="24"/>
          <w:highlight w:val="none"/>
        </w:rPr>
        <w:t>二、评审方法</w:t>
      </w:r>
      <w:bookmarkEnd w:id="58"/>
      <w:bookmarkEnd w:id="59"/>
    </w:p>
    <w:p w14:paraId="76D30954">
      <w:pPr>
        <w:spacing w:line="360" w:lineRule="auto"/>
        <w:ind w:firstLine="435"/>
        <w:outlineLvl w:val="2"/>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2.1初审</w:t>
      </w:r>
    </w:p>
    <w:p w14:paraId="1B42379B">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磋商小组对供应商的响应文件进行初审，以确定其是否满足磋商文件的实质性要求。初审表如下：</w:t>
      </w:r>
    </w:p>
    <w:tbl>
      <w:tblPr>
        <w:tblStyle w:val="22"/>
        <w:tblW w:w="51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651"/>
        <w:gridCol w:w="4559"/>
        <w:gridCol w:w="1891"/>
      </w:tblGrid>
      <w:tr w14:paraId="15F2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1F22277A">
            <w:pPr>
              <w:adjustRightInd w:val="0"/>
              <w:snapToGrid w:val="0"/>
              <w:spacing w:line="360" w:lineRule="auto"/>
              <w:ind w:right="-10"/>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b/>
                <w:color w:val="auto"/>
                <w:sz w:val="24"/>
                <w:szCs w:val="22"/>
                <w:highlight w:val="none"/>
                <w:lang w:val="en-US" w:eastAsia="zh-CN"/>
              </w:rPr>
              <w:t>初审</w:t>
            </w:r>
            <w:r>
              <w:rPr>
                <w:rFonts w:hint="eastAsia" w:ascii="华文仿宋" w:hAnsi="华文仿宋" w:eastAsia="华文仿宋" w:cs="华文仿宋"/>
                <w:b/>
                <w:color w:val="auto"/>
                <w:sz w:val="24"/>
                <w:szCs w:val="22"/>
                <w:highlight w:val="none"/>
              </w:rPr>
              <w:t>表</w:t>
            </w:r>
          </w:p>
        </w:tc>
      </w:tr>
      <w:tr w14:paraId="3414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tcBorders>
              <w:bottom w:val="single" w:color="auto" w:sz="4" w:space="0"/>
            </w:tcBorders>
            <w:vAlign w:val="center"/>
          </w:tcPr>
          <w:p w14:paraId="69957031">
            <w:pPr>
              <w:adjustRightInd w:val="0"/>
              <w:snapToGrid w:val="0"/>
              <w:spacing w:line="360" w:lineRule="auto"/>
              <w:ind w:right="-10"/>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序号</w:t>
            </w:r>
          </w:p>
        </w:tc>
        <w:tc>
          <w:tcPr>
            <w:tcW w:w="942" w:type="pct"/>
            <w:tcBorders>
              <w:bottom w:val="single" w:color="auto" w:sz="4" w:space="0"/>
            </w:tcBorders>
            <w:vAlign w:val="center"/>
          </w:tcPr>
          <w:p w14:paraId="148EB4E8">
            <w:pPr>
              <w:pStyle w:val="40"/>
              <w:pBdr>
                <w:bottom w:val="none" w:color="auto" w:sz="0" w:space="0"/>
              </w:pBdr>
              <w:tabs>
                <w:tab w:val="clear" w:pos="4153"/>
                <w:tab w:val="clear" w:pos="8306"/>
              </w:tabs>
              <w:snapToGrid w:val="0"/>
              <w:spacing w:line="360" w:lineRule="auto"/>
              <w:ind w:right="-10"/>
              <w:textAlignment w:val="auto"/>
              <w:rPr>
                <w:rFonts w:hint="eastAsia" w:ascii="华文仿宋" w:hAnsi="华文仿宋" w:eastAsia="华文仿宋" w:cs="华文仿宋"/>
                <w:color w:val="auto"/>
                <w:kern w:val="2"/>
                <w:szCs w:val="24"/>
                <w:highlight w:val="none"/>
                <w:lang w:val="en-US"/>
              </w:rPr>
            </w:pPr>
            <w:r>
              <w:rPr>
                <w:rFonts w:hint="eastAsia" w:ascii="华文仿宋" w:hAnsi="华文仿宋" w:eastAsia="华文仿宋" w:cs="华文仿宋"/>
                <w:color w:val="auto"/>
                <w:kern w:val="2"/>
                <w:szCs w:val="24"/>
                <w:highlight w:val="none"/>
                <w:lang w:val="en-US" w:eastAsia="zh-CN"/>
              </w:rPr>
              <w:t>审查指标</w:t>
            </w:r>
          </w:p>
        </w:tc>
        <w:tc>
          <w:tcPr>
            <w:tcW w:w="2602" w:type="pct"/>
            <w:tcBorders>
              <w:bottom w:val="single" w:color="auto" w:sz="4" w:space="0"/>
            </w:tcBorders>
            <w:vAlign w:val="center"/>
          </w:tcPr>
          <w:p w14:paraId="58B3C737">
            <w:pPr>
              <w:adjustRightInd w:val="0"/>
              <w:snapToGrid w:val="0"/>
              <w:spacing w:line="360" w:lineRule="auto"/>
              <w:ind w:right="-10"/>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审查标准</w:t>
            </w:r>
          </w:p>
        </w:tc>
        <w:tc>
          <w:tcPr>
            <w:tcW w:w="1077" w:type="pct"/>
            <w:tcBorders>
              <w:bottom w:val="single" w:color="auto" w:sz="4" w:space="0"/>
            </w:tcBorders>
            <w:vAlign w:val="center"/>
          </w:tcPr>
          <w:p w14:paraId="2348528B">
            <w:pPr>
              <w:adjustRightInd w:val="0"/>
              <w:snapToGrid w:val="0"/>
              <w:spacing w:line="360" w:lineRule="auto"/>
              <w:ind w:right="-10"/>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格式要求</w:t>
            </w:r>
          </w:p>
        </w:tc>
      </w:tr>
      <w:tr w14:paraId="64CE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7" w:type="pct"/>
            <w:tcBorders>
              <w:bottom w:val="single" w:color="auto" w:sz="4" w:space="0"/>
            </w:tcBorders>
            <w:vAlign w:val="center"/>
          </w:tcPr>
          <w:p w14:paraId="5A22E386">
            <w:pPr>
              <w:adjustRightInd w:val="0"/>
              <w:snapToGrid w:val="0"/>
              <w:spacing w:line="360" w:lineRule="auto"/>
              <w:ind w:right="-10" w:rightChars="0"/>
              <w:jc w:val="center"/>
              <w:rPr>
                <w:rFonts w:hint="eastAsia" w:ascii="华文仿宋" w:hAnsi="华文仿宋" w:eastAsia="华文仿宋" w:cs="华文仿宋"/>
                <w:color w:val="auto"/>
                <w:kern w:val="2"/>
                <w:sz w:val="24"/>
                <w:highlight w:val="none"/>
                <w:lang w:val="en-US" w:eastAsia="zh-CN" w:bidi="ar-SA"/>
              </w:rPr>
            </w:pPr>
            <w:r>
              <w:rPr>
                <w:rFonts w:hint="eastAsia" w:ascii="华文仿宋" w:hAnsi="华文仿宋" w:eastAsia="华文仿宋" w:cs="华文仿宋"/>
                <w:color w:val="auto"/>
                <w:sz w:val="24"/>
                <w:highlight w:val="none"/>
              </w:rPr>
              <w:t>1</w:t>
            </w:r>
          </w:p>
        </w:tc>
        <w:tc>
          <w:tcPr>
            <w:tcW w:w="942" w:type="pct"/>
            <w:tcBorders>
              <w:bottom w:val="single" w:color="auto" w:sz="4" w:space="0"/>
            </w:tcBorders>
            <w:vAlign w:val="center"/>
          </w:tcPr>
          <w:p w14:paraId="01142A6E">
            <w:pPr>
              <w:spacing w:after="50" w:line="360" w:lineRule="auto"/>
              <w:ind w:right="-10" w:rightChars="0"/>
              <w:jc w:val="center"/>
              <w:rPr>
                <w:rFonts w:hint="eastAsia" w:ascii="华文仿宋" w:hAnsi="华文仿宋" w:eastAsia="华文仿宋" w:cs="华文仿宋"/>
                <w:color w:val="auto"/>
                <w:kern w:val="2"/>
                <w:sz w:val="24"/>
                <w:szCs w:val="28"/>
                <w:highlight w:val="none"/>
                <w:lang w:val="en-US" w:eastAsia="zh-CN" w:bidi="ar-SA"/>
              </w:rPr>
            </w:pPr>
            <w:r>
              <w:rPr>
                <w:rFonts w:hint="eastAsia" w:ascii="华文仿宋" w:hAnsi="华文仿宋" w:eastAsia="华文仿宋" w:cs="华文仿宋"/>
                <w:color w:val="auto"/>
                <w:spacing w:val="9"/>
                <w:sz w:val="24"/>
                <w:szCs w:val="24"/>
                <w:highlight w:val="none"/>
              </w:rPr>
              <w:t>营业执照等证明</w:t>
            </w:r>
            <w:r>
              <w:rPr>
                <w:rFonts w:hint="eastAsia" w:ascii="华文仿宋" w:hAnsi="华文仿宋" w:eastAsia="华文仿宋" w:cs="华文仿宋"/>
                <w:color w:val="auto"/>
                <w:spacing w:val="-3"/>
                <w:sz w:val="24"/>
                <w:szCs w:val="24"/>
                <w:highlight w:val="none"/>
              </w:rPr>
              <w:t>文件</w:t>
            </w:r>
          </w:p>
        </w:tc>
        <w:tc>
          <w:tcPr>
            <w:tcW w:w="2602" w:type="pct"/>
            <w:tcBorders>
              <w:bottom w:val="single" w:color="auto" w:sz="4" w:space="0"/>
            </w:tcBorders>
            <w:vAlign w:val="center"/>
          </w:tcPr>
          <w:p w14:paraId="754F90C9">
            <w:pPr>
              <w:spacing w:after="50" w:line="360" w:lineRule="auto"/>
              <w:ind w:right="-10" w:rightChars="0"/>
              <w:jc w:val="left"/>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1</w:t>
            </w: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rPr>
              <w:t>为企业（包括合伙企业）的，应</w:t>
            </w:r>
            <w:r>
              <w:rPr>
                <w:rFonts w:hint="eastAsia" w:ascii="华文仿宋" w:hAnsi="华文仿宋" w:eastAsia="华文仿宋" w:cs="华文仿宋"/>
                <w:color w:val="auto"/>
                <w:sz w:val="24"/>
                <w:szCs w:val="24"/>
                <w:highlight w:val="none"/>
                <w:lang w:val="en-US" w:eastAsia="zh-CN"/>
              </w:rPr>
              <w:t>提</w:t>
            </w:r>
            <w:r>
              <w:rPr>
                <w:rFonts w:hint="eastAsia" w:ascii="华文仿宋" w:hAnsi="华文仿宋" w:eastAsia="华文仿宋" w:cs="华文仿宋"/>
                <w:color w:val="auto"/>
                <w:sz w:val="24"/>
                <w:szCs w:val="24"/>
                <w:highlight w:val="none"/>
              </w:rPr>
              <w:t>供有效的营业执照；</w:t>
            </w:r>
          </w:p>
          <w:p w14:paraId="102B7890">
            <w:pPr>
              <w:spacing w:after="50" w:line="360" w:lineRule="auto"/>
              <w:ind w:right="-10" w:rightChars="0"/>
              <w:jc w:val="left"/>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2</w:t>
            </w: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rPr>
              <w:t>为事业单位的，应</w:t>
            </w:r>
            <w:r>
              <w:rPr>
                <w:rFonts w:hint="eastAsia" w:ascii="华文仿宋" w:hAnsi="华文仿宋" w:eastAsia="华文仿宋" w:cs="华文仿宋"/>
                <w:color w:val="auto"/>
                <w:sz w:val="24"/>
                <w:szCs w:val="24"/>
                <w:highlight w:val="none"/>
                <w:lang w:val="en-US" w:eastAsia="zh-CN"/>
              </w:rPr>
              <w:t>提</w:t>
            </w:r>
            <w:r>
              <w:rPr>
                <w:rFonts w:hint="eastAsia" w:ascii="华文仿宋" w:hAnsi="华文仿宋" w:eastAsia="华文仿宋" w:cs="华文仿宋"/>
                <w:color w:val="auto"/>
                <w:sz w:val="24"/>
                <w:szCs w:val="24"/>
                <w:highlight w:val="none"/>
              </w:rPr>
              <w:t>供有效的事业单位法人证书；</w:t>
            </w:r>
          </w:p>
          <w:p w14:paraId="4D0779DE">
            <w:pPr>
              <w:spacing w:after="50" w:line="360" w:lineRule="auto"/>
              <w:ind w:right="-10" w:rightChars="0"/>
              <w:jc w:val="left"/>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3</w:t>
            </w: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rPr>
              <w:t>是非企业机构的，应</w:t>
            </w:r>
            <w:r>
              <w:rPr>
                <w:rFonts w:hint="eastAsia" w:ascii="华文仿宋" w:hAnsi="华文仿宋" w:eastAsia="华文仿宋" w:cs="华文仿宋"/>
                <w:color w:val="auto"/>
                <w:sz w:val="24"/>
                <w:szCs w:val="24"/>
                <w:highlight w:val="none"/>
                <w:lang w:val="en-US" w:eastAsia="zh-CN"/>
              </w:rPr>
              <w:t>提</w:t>
            </w:r>
            <w:r>
              <w:rPr>
                <w:rFonts w:hint="eastAsia" w:ascii="华文仿宋" w:hAnsi="华文仿宋" w:eastAsia="华文仿宋" w:cs="华文仿宋"/>
                <w:color w:val="auto"/>
                <w:sz w:val="24"/>
                <w:szCs w:val="24"/>
                <w:highlight w:val="none"/>
              </w:rPr>
              <w:t>供有效的执业许可证</w:t>
            </w:r>
            <w:r>
              <w:rPr>
                <w:rFonts w:hint="eastAsia" w:ascii="华文仿宋" w:hAnsi="华文仿宋" w:eastAsia="华文仿宋" w:cs="华文仿宋"/>
                <w:color w:val="auto"/>
                <w:sz w:val="24"/>
                <w:szCs w:val="24"/>
                <w:highlight w:val="none"/>
                <w:lang w:val="en-US" w:eastAsia="zh-CN"/>
              </w:rPr>
              <w:t>或</w:t>
            </w:r>
            <w:r>
              <w:rPr>
                <w:rFonts w:hint="eastAsia" w:ascii="华文仿宋" w:hAnsi="华文仿宋" w:eastAsia="华文仿宋" w:cs="华文仿宋"/>
                <w:color w:val="auto"/>
                <w:sz w:val="24"/>
                <w:szCs w:val="24"/>
                <w:highlight w:val="none"/>
              </w:rPr>
              <w:t>登记证书等证明文件；</w:t>
            </w:r>
          </w:p>
          <w:p w14:paraId="3F2C1E92">
            <w:pPr>
              <w:spacing w:after="50" w:line="360" w:lineRule="auto"/>
              <w:ind w:right="-10" w:rightChars="0"/>
              <w:jc w:val="left"/>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4</w:t>
            </w: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rPr>
              <w:t>是个体工商户的，应</w:t>
            </w:r>
            <w:r>
              <w:rPr>
                <w:rFonts w:hint="eastAsia" w:ascii="华文仿宋" w:hAnsi="华文仿宋" w:eastAsia="华文仿宋" w:cs="华文仿宋"/>
                <w:color w:val="auto"/>
                <w:sz w:val="24"/>
                <w:szCs w:val="24"/>
                <w:highlight w:val="none"/>
                <w:lang w:val="en-US" w:eastAsia="zh-CN"/>
              </w:rPr>
              <w:t>提</w:t>
            </w:r>
            <w:r>
              <w:rPr>
                <w:rFonts w:hint="eastAsia" w:ascii="华文仿宋" w:hAnsi="华文仿宋" w:eastAsia="华文仿宋" w:cs="华文仿宋"/>
                <w:color w:val="auto"/>
                <w:sz w:val="24"/>
                <w:szCs w:val="24"/>
                <w:highlight w:val="none"/>
              </w:rPr>
              <w:t>供有效的个体工商户营业执照；</w:t>
            </w:r>
          </w:p>
          <w:p w14:paraId="3207FD3C">
            <w:pPr>
              <w:spacing w:after="50" w:line="360" w:lineRule="auto"/>
              <w:ind w:right="-10" w:rightChars="0"/>
              <w:jc w:val="left"/>
              <w:rPr>
                <w:rFonts w:hint="eastAsia" w:ascii="华文仿宋" w:hAnsi="华文仿宋" w:eastAsia="华文仿宋" w:cs="华文仿宋"/>
                <w:color w:val="auto"/>
                <w:kern w:val="2"/>
                <w:sz w:val="24"/>
                <w:szCs w:val="28"/>
                <w:highlight w:val="none"/>
                <w:lang w:val="en-US" w:eastAsia="zh-CN" w:bidi="ar-SA"/>
              </w:rPr>
            </w:pP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5</w:t>
            </w: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rPr>
              <w:t>是自然人的，应</w:t>
            </w:r>
            <w:r>
              <w:rPr>
                <w:rFonts w:hint="eastAsia" w:ascii="华文仿宋" w:hAnsi="华文仿宋" w:eastAsia="华文仿宋" w:cs="华文仿宋"/>
                <w:color w:val="auto"/>
                <w:sz w:val="24"/>
                <w:szCs w:val="24"/>
                <w:highlight w:val="none"/>
                <w:lang w:val="en-US" w:eastAsia="zh-CN"/>
              </w:rPr>
              <w:t>提</w:t>
            </w:r>
            <w:r>
              <w:rPr>
                <w:rFonts w:hint="eastAsia" w:ascii="华文仿宋" w:hAnsi="华文仿宋" w:eastAsia="华文仿宋" w:cs="华文仿宋"/>
                <w:color w:val="auto"/>
                <w:sz w:val="24"/>
                <w:szCs w:val="24"/>
                <w:highlight w:val="none"/>
              </w:rPr>
              <w:t>供有效的自然人身份证明。</w:t>
            </w:r>
          </w:p>
        </w:tc>
        <w:tc>
          <w:tcPr>
            <w:tcW w:w="1077" w:type="pct"/>
            <w:vAlign w:val="center"/>
          </w:tcPr>
          <w:p w14:paraId="5065987B">
            <w:pPr>
              <w:spacing w:line="360" w:lineRule="auto"/>
              <w:jc w:val="left"/>
              <w:rPr>
                <w:rFonts w:hint="eastAsia" w:ascii="华文仿宋" w:hAnsi="华文仿宋" w:eastAsia="华文仿宋" w:cs="华文仿宋"/>
                <w:color w:val="auto"/>
                <w:kern w:val="2"/>
                <w:sz w:val="24"/>
                <w:highlight w:val="none"/>
                <w:lang w:val="en-US" w:eastAsia="zh-CN" w:bidi="ar-SA"/>
              </w:rPr>
            </w:pPr>
            <w:r>
              <w:rPr>
                <w:rFonts w:hint="eastAsia" w:ascii="华文仿宋" w:hAnsi="华文仿宋" w:eastAsia="华文仿宋" w:cs="华文仿宋"/>
                <w:b w:val="0"/>
                <w:bCs w:val="0"/>
                <w:color w:val="auto"/>
                <w:sz w:val="24"/>
                <w:szCs w:val="24"/>
                <w:highlight w:val="none"/>
              </w:rPr>
              <w:t>提供</w:t>
            </w:r>
            <w:r>
              <w:rPr>
                <w:rFonts w:hint="eastAsia" w:ascii="华文仿宋" w:hAnsi="华文仿宋" w:eastAsia="华文仿宋" w:cs="华文仿宋"/>
                <w:b w:val="0"/>
                <w:bCs w:val="0"/>
                <w:color w:val="auto"/>
                <w:sz w:val="24"/>
                <w:szCs w:val="24"/>
                <w:highlight w:val="none"/>
                <w:lang w:val="en-US" w:eastAsia="zh-CN"/>
              </w:rPr>
              <w:t>材料</w:t>
            </w:r>
            <w:r>
              <w:rPr>
                <w:rFonts w:hint="eastAsia" w:ascii="华文仿宋" w:hAnsi="华文仿宋" w:eastAsia="华文仿宋" w:cs="华文仿宋"/>
                <w:b w:val="0"/>
                <w:bCs w:val="0"/>
                <w:color w:val="auto"/>
                <w:sz w:val="24"/>
                <w:szCs w:val="24"/>
                <w:highlight w:val="none"/>
                <w:lang w:eastAsia="zh-CN"/>
              </w:rPr>
              <w:t>复印件</w:t>
            </w:r>
            <w:r>
              <w:rPr>
                <w:rFonts w:hint="eastAsia" w:ascii="华文仿宋" w:hAnsi="华文仿宋" w:eastAsia="华文仿宋" w:cs="华文仿宋"/>
                <w:b w:val="0"/>
                <w:bCs w:val="0"/>
                <w:color w:val="auto"/>
                <w:sz w:val="24"/>
                <w:szCs w:val="24"/>
                <w:highlight w:val="none"/>
                <w:lang w:val="en-US" w:eastAsia="zh-CN"/>
              </w:rPr>
              <w:t>或电子证照打印件</w:t>
            </w:r>
            <w:r>
              <w:rPr>
                <w:rFonts w:hint="eastAsia" w:ascii="华文仿宋" w:hAnsi="华文仿宋" w:eastAsia="华文仿宋" w:cs="华文仿宋"/>
                <w:b w:val="0"/>
                <w:bCs w:val="0"/>
                <w:color w:val="auto"/>
                <w:sz w:val="24"/>
                <w:szCs w:val="24"/>
                <w:highlight w:val="none"/>
              </w:rPr>
              <w:t>，应完整的体现出</w:t>
            </w:r>
            <w:r>
              <w:rPr>
                <w:rFonts w:hint="eastAsia" w:ascii="华文仿宋" w:hAnsi="华文仿宋" w:eastAsia="华文仿宋" w:cs="华文仿宋"/>
                <w:b w:val="0"/>
                <w:bCs w:val="0"/>
                <w:color w:val="auto"/>
                <w:sz w:val="24"/>
                <w:szCs w:val="24"/>
                <w:highlight w:val="none"/>
                <w:lang w:val="en-US" w:eastAsia="zh-CN"/>
              </w:rPr>
              <w:t>材料或电子证照</w:t>
            </w:r>
            <w:r>
              <w:rPr>
                <w:rFonts w:hint="eastAsia" w:ascii="华文仿宋" w:hAnsi="华文仿宋" w:eastAsia="华文仿宋" w:cs="华文仿宋"/>
                <w:b w:val="0"/>
                <w:bCs w:val="0"/>
                <w:color w:val="auto"/>
                <w:sz w:val="24"/>
                <w:szCs w:val="24"/>
                <w:highlight w:val="none"/>
              </w:rPr>
              <w:t>全部内容。</w:t>
            </w:r>
          </w:p>
        </w:tc>
      </w:tr>
      <w:tr w14:paraId="2166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7" w:type="pct"/>
            <w:tcBorders>
              <w:bottom w:val="single" w:color="auto" w:sz="4" w:space="0"/>
            </w:tcBorders>
            <w:vAlign w:val="center"/>
          </w:tcPr>
          <w:p w14:paraId="0F1BC3D0">
            <w:pPr>
              <w:adjustRightInd w:val="0"/>
              <w:snapToGrid w:val="0"/>
              <w:spacing w:line="360" w:lineRule="auto"/>
              <w:ind w:right="-10" w:rightChars="0"/>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2</w:t>
            </w:r>
          </w:p>
        </w:tc>
        <w:tc>
          <w:tcPr>
            <w:tcW w:w="942" w:type="pct"/>
            <w:tcBorders>
              <w:bottom w:val="single" w:color="auto" w:sz="4" w:space="0"/>
            </w:tcBorders>
            <w:vAlign w:val="center"/>
          </w:tcPr>
          <w:p w14:paraId="521B8A19">
            <w:pPr>
              <w:spacing w:after="50" w:line="360" w:lineRule="auto"/>
              <w:ind w:right="-10" w:rightChars="0"/>
              <w:jc w:val="center"/>
              <w:rPr>
                <w:rFonts w:hint="eastAsia" w:ascii="华文仿宋" w:hAnsi="华文仿宋" w:eastAsia="华文仿宋" w:cs="华文仿宋"/>
                <w:color w:val="auto"/>
                <w:sz w:val="24"/>
                <w:szCs w:val="28"/>
                <w:highlight w:val="none"/>
                <w:lang w:val="en-US"/>
              </w:rPr>
            </w:pPr>
            <w:r>
              <w:rPr>
                <w:rFonts w:hint="eastAsia" w:ascii="华文仿宋" w:hAnsi="华文仿宋" w:eastAsia="华文仿宋" w:cs="华文仿宋"/>
                <w:color w:val="auto"/>
                <w:sz w:val="24"/>
                <w:szCs w:val="18"/>
                <w:highlight w:val="none"/>
                <w:lang w:val="en-US" w:eastAsia="zh-CN"/>
              </w:rPr>
              <w:t>供应商资格声明书</w:t>
            </w:r>
          </w:p>
        </w:tc>
        <w:tc>
          <w:tcPr>
            <w:tcW w:w="2602" w:type="pct"/>
            <w:tcBorders>
              <w:bottom w:val="single" w:color="auto" w:sz="4" w:space="0"/>
            </w:tcBorders>
            <w:vAlign w:val="center"/>
          </w:tcPr>
          <w:p w14:paraId="07C86E7D">
            <w:pPr>
              <w:spacing w:after="50" w:line="360" w:lineRule="auto"/>
              <w:ind w:right="-10" w:rightChars="0"/>
              <w:jc w:val="left"/>
              <w:rPr>
                <w:rFonts w:hint="eastAsia" w:ascii="华文仿宋" w:hAnsi="华文仿宋" w:eastAsia="华文仿宋" w:cs="华文仿宋"/>
                <w:color w:val="auto"/>
                <w:sz w:val="24"/>
                <w:szCs w:val="28"/>
                <w:highlight w:val="none"/>
              </w:rPr>
            </w:pPr>
            <w:r>
              <w:rPr>
                <w:rFonts w:hint="eastAsia" w:ascii="华文仿宋" w:hAnsi="华文仿宋" w:eastAsia="华文仿宋" w:cs="华文仿宋"/>
                <w:color w:val="auto"/>
                <w:sz w:val="24"/>
                <w:szCs w:val="24"/>
                <w:highlight w:val="none"/>
                <w:lang w:val="en-US" w:eastAsia="zh-CN"/>
              </w:rPr>
              <w:t>提</w:t>
            </w:r>
            <w:r>
              <w:rPr>
                <w:rFonts w:hint="eastAsia" w:ascii="华文仿宋" w:hAnsi="华文仿宋" w:eastAsia="华文仿宋" w:cs="华文仿宋"/>
                <w:color w:val="auto"/>
                <w:sz w:val="24"/>
                <w:szCs w:val="24"/>
                <w:highlight w:val="none"/>
              </w:rPr>
              <w:t>供符合</w:t>
            </w:r>
            <w:r>
              <w:rPr>
                <w:rFonts w:hint="eastAsia" w:ascii="华文仿宋" w:hAnsi="华文仿宋" w:eastAsia="华文仿宋" w:cs="华文仿宋"/>
                <w:color w:val="auto"/>
                <w:sz w:val="24"/>
                <w:szCs w:val="24"/>
                <w:highlight w:val="none"/>
                <w:lang w:val="en-US" w:eastAsia="zh-CN"/>
              </w:rPr>
              <w:t>磋商</w:t>
            </w:r>
            <w:r>
              <w:rPr>
                <w:rFonts w:hint="eastAsia" w:ascii="华文仿宋" w:hAnsi="华文仿宋" w:eastAsia="华文仿宋" w:cs="华文仿宋"/>
                <w:color w:val="auto"/>
                <w:sz w:val="24"/>
                <w:szCs w:val="24"/>
                <w:highlight w:val="none"/>
              </w:rPr>
              <w:t>文件要求的《</w:t>
            </w: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rPr>
              <w:t>资格声明书》</w:t>
            </w:r>
            <w:r>
              <w:rPr>
                <w:rFonts w:hint="eastAsia" w:ascii="华文仿宋" w:hAnsi="华文仿宋" w:eastAsia="华文仿宋" w:cs="华文仿宋"/>
                <w:color w:val="auto"/>
                <w:sz w:val="24"/>
                <w:szCs w:val="24"/>
                <w:highlight w:val="none"/>
                <w:lang w:eastAsia="zh-CN"/>
              </w:rPr>
              <w:t>。</w:t>
            </w:r>
          </w:p>
        </w:tc>
        <w:tc>
          <w:tcPr>
            <w:tcW w:w="1077" w:type="pct"/>
            <w:vAlign w:val="center"/>
          </w:tcPr>
          <w:p w14:paraId="4D099A9B">
            <w:pPr>
              <w:spacing w:line="360" w:lineRule="auto"/>
              <w:jc w:val="left"/>
              <w:rPr>
                <w:rFonts w:hint="eastAsia" w:ascii="华文仿宋" w:hAnsi="华文仿宋" w:eastAsia="华文仿宋" w:cs="华文仿宋"/>
                <w:b w:val="0"/>
                <w:bCs w:val="0"/>
                <w:color w:val="auto"/>
                <w:sz w:val="24"/>
                <w:szCs w:val="24"/>
                <w:highlight w:val="none"/>
                <w:lang w:val="en-US" w:eastAsia="zh-CN"/>
              </w:rPr>
            </w:pPr>
            <w:r>
              <w:rPr>
                <w:rFonts w:hint="eastAsia" w:ascii="华文仿宋" w:hAnsi="华文仿宋" w:eastAsia="华文仿宋" w:cs="华文仿宋"/>
                <w:color w:val="auto"/>
                <w:sz w:val="24"/>
                <w:highlight w:val="none"/>
              </w:rPr>
              <w:t>详见第六章</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文件格式</w:t>
            </w:r>
            <w:r>
              <w:rPr>
                <w:rFonts w:hint="eastAsia" w:ascii="华文仿宋" w:hAnsi="华文仿宋" w:eastAsia="华文仿宋" w:cs="华文仿宋"/>
                <w:color w:val="auto"/>
                <w:sz w:val="24"/>
                <w:highlight w:val="none"/>
                <w:lang w:eastAsia="zh-CN"/>
              </w:rPr>
              <w:t>。</w:t>
            </w:r>
          </w:p>
        </w:tc>
      </w:tr>
      <w:tr w14:paraId="4EAA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tcBorders>
              <w:bottom w:val="single" w:color="auto" w:sz="4" w:space="0"/>
            </w:tcBorders>
            <w:vAlign w:val="center"/>
          </w:tcPr>
          <w:p w14:paraId="6383542D">
            <w:pPr>
              <w:adjustRightInd w:val="0"/>
              <w:snapToGrid w:val="0"/>
              <w:spacing w:line="360" w:lineRule="auto"/>
              <w:ind w:right="-10"/>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3</w:t>
            </w:r>
          </w:p>
        </w:tc>
        <w:tc>
          <w:tcPr>
            <w:tcW w:w="942" w:type="pct"/>
            <w:tcBorders>
              <w:bottom w:val="single" w:color="auto" w:sz="4" w:space="0"/>
            </w:tcBorders>
            <w:vAlign w:val="center"/>
          </w:tcPr>
          <w:p w14:paraId="79E8DE55">
            <w:pPr>
              <w:spacing w:after="50" w:line="360" w:lineRule="auto"/>
              <w:ind w:right="-10"/>
              <w:jc w:val="center"/>
              <w:rPr>
                <w:rFonts w:hint="eastAsia" w:ascii="华文仿宋" w:hAnsi="华文仿宋" w:eastAsia="华文仿宋" w:cs="华文仿宋"/>
                <w:color w:val="auto"/>
                <w:sz w:val="24"/>
                <w:szCs w:val="28"/>
                <w:highlight w:val="none"/>
              </w:rPr>
            </w:pPr>
            <w:r>
              <w:rPr>
                <w:rFonts w:hint="eastAsia" w:ascii="华文仿宋" w:hAnsi="华文仿宋" w:eastAsia="华文仿宋" w:cs="华文仿宋"/>
                <w:color w:val="auto"/>
                <w:sz w:val="24"/>
                <w:szCs w:val="18"/>
                <w:highlight w:val="none"/>
                <w:lang w:val="en-US" w:eastAsia="zh-CN"/>
              </w:rPr>
              <w:t>供应商</w:t>
            </w:r>
            <w:r>
              <w:rPr>
                <w:rFonts w:hint="eastAsia" w:ascii="华文仿宋" w:hAnsi="华文仿宋" w:eastAsia="华文仿宋" w:cs="华文仿宋"/>
                <w:color w:val="auto"/>
                <w:sz w:val="24"/>
                <w:szCs w:val="24"/>
                <w:highlight w:val="none"/>
              </w:rPr>
              <w:t>信用记录</w:t>
            </w:r>
          </w:p>
        </w:tc>
        <w:tc>
          <w:tcPr>
            <w:tcW w:w="2602" w:type="pct"/>
            <w:tcBorders>
              <w:bottom w:val="single" w:color="auto" w:sz="4" w:space="0"/>
            </w:tcBorders>
            <w:vAlign w:val="center"/>
          </w:tcPr>
          <w:p w14:paraId="7E84773D">
            <w:pPr>
              <w:spacing w:after="50" w:line="360" w:lineRule="auto"/>
              <w:ind w:right="-10" w:rightChars="0"/>
              <w:jc w:val="left"/>
              <w:rPr>
                <w:rFonts w:hint="eastAsia" w:ascii="华文仿宋" w:hAnsi="华文仿宋" w:eastAsia="华文仿宋" w:cs="华文仿宋"/>
                <w:color w:val="auto"/>
                <w:highlight w:val="none"/>
              </w:rPr>
            </w:pP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lang w:val="zh-CN" w:eastAsia="zh-CN"/>
              </w:rPr>
              <w:t>不得存在</w:t>
            </w: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lang w:val="zh-CN" w:eastAsia="zh-CN"/>
              </w:rPr>
              <w:t>须知正文第1</w:t>
            </w:r>
            <w:r>
              <w:rPr>
                <w:rFonts w:hint="eastAsia" w:ascii="华文仿宋" w:hAnsi="华文仿宋" w:eastAsia="华文仿宋" w:cs="华文仿宋"/>
                <w:color w:val="auto"/>
                <w:sz w:val="24"/>
                <w:szCs w:val="24"/>
                <w:highlight w:val="none"/>
                <w:lang w:val="en-US" w:eastAsia="zh-CN"/>
              </w:rPr>
              <w:t>4</w:t>
            </w:r>
            <w:r>
              <w:rPr>
                <w:rFonts w:hint="eastAsia" w:ascii="华文仿宋" w:hAnsi="华文仿宋" w:eastAsia="华文仿宋" w:cs="华文仿宋"/>
                <w:color w:val="auto"/>
                <w:sz w:val="24"/>
                <w:szCs w:val="24"/>
                <w:highlight w:val="none"/>
                <w:lang w:val="zh-CN" w:eastAsia="zh-CN"/>
              </w:rPr>
              <w:t>.</w:t>
            </w:r>
            <w:r>
              <w:rPr>
                <w:rFonts w:hint="eastAsia" w:ascii="华文仿宋" w:hAnsi="华文仿宋" w:eastAsia="华文仿宋" w:cs="华文仿宋"/>
                <w:color w:val="auto"/>
                <w:sz w:val="24"/>
                <w:szCs w:val="24"/>
                <w:highlight w:val="none"/>
                <w:lang w:val="en-US" w:eastAsia="zh-CN"/>
              </w:rPr>
              <w:t>3条中</w:t>
            </w:r>
            <w:r>
              <w:rPr>
                <w:rFonts w:hint="eastAsia" w:ascii="华文仿宋" w:hAnsi="华文仿宋" w:eastAsia="华文仿宋" w:cs="华文仿宋"/>
                <w:color w:val="auto"/>
                <w:sz w:val="24"/>
                <w:szCs w:val="28"/>
                <w:highlight w:val="none"/>
              </w:rPr>
              <w:t>的</w:t>
            </w:r>
            <w:r>
              <w:rPr>
                <w:rFonts w:hint="eastAsia" w:ascii="华文仿宋" w:hAnsi="华文仿宋" w:eastAsia="华文仿宋" w:cs="华文仿宋"/>
                <w:color w:val="auto"/>
                <w:sz w:val="24"/>
                <w:szCs w:val="18"/>
                <w:highlight w:val="none"/>
              </w:rPr>
              <w:t>不良信用记录情形</w:t>
            </w:r>
          </w:p>
        </w:tc>
        <w:tc>
          <w:tcPr>
            <w:tcW w:w="1077" w:type="pct"/>
            <w:tcBorders>
              <w:bottom w:val="single" w:color="auto" w:sz="4" w:space="0"/>
            </w:tcBorders>
            <w:vAlign w:val="center"/>
          </w:tcPr>
          <w:p w14:paraId="5F844795">
            <w:pPr>
              <w:spacing w:line="360" w:lineRule="auto"/>
              <w:jc w:val="left"/>
              <w:rPr>
                <w:rFonts w:hint="eastAsia" w:ascii="华文仿宋" w:hAnsi="华文仿宋" w:eastAsia="华文仿宋" w:cs="华文仿宋"/>
                <w:color w:val="auto"/>
                <w:kern w:val="2"/>
                <w:sz w:val="21"/>
                <w:highlight w:val="none"/>
                <w:lang w:val="en-US" w:eastAsia="zh-CN" w:bidi="ar-SA"/>
              </w:rPr>
            </w:pPr>
            <w:r>
              <w:rPr>
                <w:rFonts w:hint="eastAsia" w:ascii="华文仿宋" w:hAnsi="华文仿宋" w:eastAsia="华文仿宋" w:cs="华文仿宋"/>
                <w:color w:val="auto"/>
                <w:sz w:val="24"/>
                <w:szCs w:val="24"/>
                <w:highlight w:val="none"/>
              </w:rPr>
              <w:t>无须</w:t>
            </w:r>
            <w:r>
              <w:rPr>
                <w:rFonts w:hint="eastAsia" w:ascii="华文仿宋" w:hAnsi="华文仿宋" w:eastAsia="华文仿宋" w:cs="华文仿宋"/>
                <w:color w:val="auto"/>
                <w:sz w:val="24"/>
                <w:szCs w:val="24"/>
                <w:highlight w:val="none"/>
                <w:lang w:val="en-US" w:eastAsia="zh-CN"/>
              </w:rPr>
              <w:t>供应商提</w:t>
            </w:r>
            <w:r>
              <w:rPr>
                <w:rFonts w:hint="eastAsia" w:ascii="华文仿宋" w:hAnsi="华文仿宋" w:eastAsia="华文仿宋" w:cs="华文仿宋"/>
                <w:color w:val="auto"/>
                <w:sz w:val="24"/>
                <w:szCs w:val="24"/>
                <w:highlight w:val="none"/>
              </w:rPr>
              <w:t>供，由采购人或采购代理机构查询。</w:t>
            </w:r>
          </w:p>
        </w:tc>
      </w:tr>
      <w:tr w14:paraId="0F19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tcBorders>
              <w:bottom w:val="single" w:color="auto" w:sz="4" w:space="0"/>
            </w:tcBorders>
            <w:vAlign w:val="center"/>
          </w:tcPr>
          <w:p w14:paraId="7A82E28F">
            <w:pPr>
              <w:adjustRightInd w:val="0"/>
              <w:snapToGrid w:val="0"/>
              <w:spacing w:line="360" w:lineRule="auto"/>
              <w:ind w:right="-10" w:rightChars="0"/>
              <w:jc w:val="center"/>
              <w:rPr>
                <w:rFonts w:hint="eastAsia" w:ascii="华文仿宋" w:hAnsi="华文仿宋" w:eastAsia="华文仿宋" w:cs="华文仿宋"/>
                <w:color w:val="auto"/>
                <w:kern w:val="2"/>
                <w:sz w:val="24"/>
                <w:highlight w:val="none"/>
                <w:lang w:val="en-US" w:eastAsia="zh-CN" w:bidi="ar-SA"/>
              </w:rPr>
            </w:pPr>
            <w:r>
              <w:rPr>
                <w:rFonts w:hint="eastAsia" w:ascii="华文仿宋" w:hAnsi="华文仿宋" w:eastAsia="华文仿宋" w:cs="华文仿宋"/>
                <w:color w:val="auto"/>
                <w:sz w:val="24"/>
                <w:highlight w:val="none"/>
                <w:lang w:val="en-US" w:eastAsia="zh-CN"/>
              </w:rPr>
              <w:t>4</w:t>
            </w:r>
          </w:p>
        </w:tc>
        <w:tc>
          <w:tcPr>
            <w:tcW w:w="942" w:type="pct"/>
            <w:tcBorders>
              <w:bottom w:val="single" w:color="auto" w:sz="4" w:space="0"/>
            </w:tcBorders>
            <w:vAlign w:val="center"/>
          </w:tcPr>
          <w:p w14:paraId="1620357A">
            <w:pPr>
              <w:spacing w:after="50" w:line="360" w:lineRule="auto"/>
              <w:ind w:right="-10"/>
              <w:jc w:val="center"/>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szCs w:val="24"/>
                <w:highlight w:val="none"/>
              </w:rPr>
              <w:t>中小企业证明文件</w:t>
            </w:r>
          </w:p>
        </w:tc>
        <w:tc>
          <w:tcPr>
            <w:tcW w:w="2602" w:type="pct"/>
            <w:tcBorders>
              <w:bottom w:val="single" w:color="auto" w:sz="4" w:space="0"/>
            </w:tcBorders>
            <w:vAlign w:val="top"/>
          </w:tcPr>
          <w:p w14:paraId="51AD3BE5">
            <w:pPr>
              <w:spacing w:after="50" w:line="360" w:lineRule="auto"/>
              <w:ind w:right="-10"/>
              <w:jc w:val="left"/>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szCs w:val="28"/>
                <w:highlight w:val="none"/>
              </w:rPr>
              <w:t>符合</w:t>
            </w:r>
            <w:r>
              <w:rPr>
                <w:rFonts w:hint="eastAsia" w:ascii="华文仿宋" w:hAnsi="华文仿宋" w:eastAsia="华文仿宋" w:cs="华文仿宋"/>
                <w:color w:val="auto"/>
                <w:sz w:val="24"/>
                <w:szCs w:val="28"/>
                <w:highlight w:val="none"/>
                <w:lang w:val="en-US" w:eastAsia="zh-CN"/>
              </w:rPr>
              <w:t>申请人的</w:t>
            </w:r>
            <w:r>
              <w:rPr>
                <w:rFonts w:hint="eastAsia" w:ascii="华文仿宋" w:hAnsi="华文仿宋" w:eastAsia="华文仿宋" w:cs="华文仿宋"/>
                <w:color w:val="auto"/>
                <w:sz w:val="24"/>
                <w:szCs w:val="28"/>
                <w:highlight w:val="none"/>
              </w:rPr>
              <w:t>资格</w:t>
            </w:r>
            <w:r>
              <w:rPr>
                <w:rFonts w:hint="eastAsia" w:ascii="华文仿宋" w:hAnsi="华文仿宋" w:eastAsia="华文仿宋" w:cs="华文仿宋"/>
                <w:color w:val="auto"/>
                <w:sz w:val="24"/>
                <w:szCs w:val="28"/>
                <w:highlight w:val="none"/>
                <w:lang w:val="en-US" w:eastAsia="zh-CN"/>
              </w:rPr>
              <w:t>要求</w:t>
            </w:r>
            <w:r>
              <w:rPr>
                <w:rFonts w:hint="eastAsia" w:ascii="华文仿宋" w:hAnsi="华文仿宋" w:eastAsia="华文仿宋" w:cs="华文仿宋"/>
                <w:color w:val="auto"/>
                <w:sz w:val="24"/>
                <w:szCs w:val="28"/>
                <w:highlight w:val="none"/>
              </w:rPr>
              <w:t>中落实政府采购政策需满足的资格要求</w:t>
            </w:r>
            <w:r>
              <w:rPr>
                <w:rFonts w:hint="eastAsia" w:ascii="华文仿宋" w:hAnsi="华文仿宋" w:eastAsia="华文仿宋" w:cs="华文仿宋"/>
                <w:color w:val="auto"/>
                <w:sz w:val="24"/>
                <w:szCs w:val="28"/>
                <w:highlight w:val="none"/>
                <w:lang w:eastAsia="zh-CN"/>
              </w:rPr>
              <w:t>：</w:t>
            </w:r>
          </w:p>
          <w:p w14:paraId="2568CE28">
            <w:pPr>
              <w:spacing w:after="50" w:line="360" w:lineRule="auto"/>
              <w:ind w:right="-10"/>
              <w:jc w:val="left"/>
              <w:rPr>
                <w:rFonts w:hint="eastAsia" w:ascii="华文仿宋" w:hAnsi="华文仿宋" w:eastAsia="华文仿宋" w:cs="华文仿宋"/>
                <w:color w:val="auto"/>
                <w:sz w:val="24"/>
                <w:szCs w:val="24"/>
                <w:highlight w:val="none"/>
                <w:lang w:val="en-US" w:eastAsia="en-US"/>
              </w:rPr>
            </w:pP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1</w:t>
            </w: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rPr>
              <w:t>专门面向中小企业采购</w:t>
            </w:r>
            <w:r>
              <w:rPr>
                <w:rFonts w:hint="eastAsia" w:ascii="华文仿宋" w:hAnsi="华文仿宋" w:eastAsia="华文仿宋" w:cs="华文仿宋"/>
                <w:color w:val="auto"/>
                <w:sz w:val="24"/>
                <w:szCs w:val="24"/>
                <w:highlight w:val="none"/>
                <w:lang w:val="en-US" w:eastAsia="zh-CN"/>
              </w:rPr>
              <w:t>的</w:t>
            </w: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lang w:val="en-US" w:eastAsia="zh-CN"/>
              </w:rPr>
              <w:t>供应商</w:t>
            </w:r>
            <w:r>
              <w:rPr>
                <w:rFonts w:hint="eastAsia" w:ascii="华文仿宋" w:hAnsi="华文仿宋" w:eastAsia="华文仿宋" w:cs="华文仿宋"/>
                <w:color w:val="auto"/>
                <w:sz w:val="24"/>
                <w:szCs w:val="24"/>
                <w:highlight w:val="none"/>
              </w:rPr>
              <w:t>应</w:t>
            </w:r>
            <w:r>
              <w:rPr>
                <w:rFonts w:hint="eastAsia" w:ascii="华文仿宋" w:hAnsi="华文仿宋" w:eastAsia="华文仿宋" w:cs="华文仿宋"/>
                <w:color w:val="auto"/>
                <w:sz w:val="24"/>
                <w:szCs w:val="24"/>
                <w:highlight w:val="none"/>
                <w:lang w:val="en-US" w:eastAsia="zh-CN"/>
              </w:rPr>
              <w:t>提</w:t>
            </w:r>
            <w:r>
              <w:rPr>
                <w:rFonts w:hint="eastAsia" w:ascii="华文仿宋" w:hAnsi="华文仿宋" w:eastAsia="华文仿宋" w:cs="华文仿宋"/>
                <w:color w:val="auto"/>
                <w:sz w:val="24"/>
                <w:szCs w:val="24"/>
                <w:highlight w:val="none"/>
              </w:rPr>
              <w:t>供《中小企业声明函》或《残疾人福利性单位声明函》或由省级以上监狱管理局、戒毒管理局（含新疆生产建设兵团）出具的属于监狱企业的证明文件。</w:t>
            </w:r>
          </w:p>
        </w:tc>
        <w:tc>
          <w:tcPr>
            <w:tcW w:w="1077" w:type="pct"/>
            <w:tcBorders>
              <w:bottom w:val="single" w:color="auto" w:sz="4" w:space="0"/>
            </w:tcBorders>
            <w:vAlign w:val="center"/>
          </w:tcPr>
          <w:p w14:paraId="4978C713">
            <w:pPr>
              <w:spacing w:after="50" w:line="360" w:lineRule="auto"/>
              <w:ind w:right="-10"/>
              <w:jc w:val="center"/>
              <w:rPr>
                <w:rFonts w:hint="eastAsia" w:ascii="华文仿宋" w:hAnsi="华文仿宋" w:eastAsia="华文仿宋" w:cs="华文仿宋"/>
                <w:color w:val="auto"/>
                <w:sz w:val="24"/>
                <w:szCs w:val="24"/>
                <w:highlight w:val="none"/>
                <w:lang w:val="en-US" w:eastAsia="zh-CN"/>
              </w:rPr>
            </w:pPr>
            <w:r>
              <w:rPr>
                <w:rFonts w:hint="eastAsia" w:ascii="华文仿宋" w:hAnsi="华文仿宋" w:eastAsia="华文仿宋" w:cs="华文仿宋"/>
                <w:color w:val="auto"/>
                <w:sz w:val="24"/>
                <w:highlight w:val="none"/>
              </w:rPr>
              <w:t>详见第六章</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文件格式</w:t>
            </w:r>
            <w:r>
              <w:rPr>
                <w:rFonts w:hint="eastAsia" w:ascii="华文仿宋" w:hAnsi="华文仿宋" w:eastAsia="华文仿宋" w:cs="华文仿宋"/>
                <w:color w:val="auto"/>
                <w:sz w:val="24"/>
                <w:highlight w:val="none"/>
                <w:lang w:eastAsia="zh-CN"/>
              </w:rPr>
              <w:t>。</w:t>
            </w:r>
          </w:p>
        </w:tc>
      </w:tr>
      <w:tr w14:paraId="1B1F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Align w:val="center"/>
          </w:tcPr>
          <w:p w14:paraId="7D74907F">
            <w:pPr>
              <w:adjustRightInd w:val="0"/>
              <w:snapToGrid w:val="0"/>
              <w:spacing w:line="360" w:lineRule="auto"/>
              <w:ind w:right="-10" w:rightChars="0"/>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5</w:t>
            </w:r>
          </w:p>
        </w:tc>
        <w:tc>
          <w:tcPr>
            <w:tcW w:w="942" w:type="pct"/>
            <w:vAlign w:val="center"/>
          </w:tcPr>
          <w:p w14:paraId="1110C323">
            <w:pPr>
              <w:spacing w:after="50" w:line="360" w:lineRule="auto"/>
              <w:ind w:right="-10" w:rightChars="0"/>
              <w:jc w:val="center"/>
              <w:rPr>
                <w:rFonts w:hint="eastAsia" w:ascii="华文仿宋" w:hAnsi="华文仿宋" w:eastAsia="华文仿宋" w:cs="华文仿宋"/>
                <w:color w:val="auto"/>
                <w:sz w:val="24"/>
                <w:szCs w:val="28"/>
                <w:highlight w:val="none"/>
              </w:rPr>
            </w:pPr>
            <w:r>
              <w:rPr>
                <w:rFonts w:hint="eastAsia" w:ascii="华文仿宋" w:hAnsi="华文仿宋" w:eastAsia="华文仿宋" w:cs="华文仿宋"/>
                <w:color w:val="auto"/>
                <w:sz w:val="24"/>
                <w:szCs w:val="28"/>
                <w:highlight w:val="none"/>
                <w:lang w:val="en-US" w:eastAsia="zh-CN"/>
              </w:rPr>
              <w:t>磋商响应函</w:t>
            </w:r>
          </w:p>
        </w:tc>
        <w:tc>
          <w:tcPr>
            <w:tcW w:w="2602" w:type="pct"/>
            <w:vAlign w:val="center"/>
          </w:tcPr>
          <w:p w14:paraId="38AE8706">
            <w:pPr>
              <w:spacing w:after="50" w:line="360" w:lineRule="auto"/>
              <w:ind w:right="-10" w:rightChars="0"/>
              <w:jc w:val="center"/>
              <w:rPr>
                <w:rFonts w:hint="eastAsia" w:ascii="华文仿宋" w:hAnsi="华文仿宋" w:eastAsia="华文仿宋" w:cs="华文仿宋"/>
                <w:color w:val="auto"/>
                <w:sz w:val="24"/>
                <w:szCs w:val="28"/>
                <w:highlight w:val="none"/>
                <w:lang w:eastAsia="zh-CN"/>
              </w:rPr>
            </w:pPr>
            <w:r>
              <w:rPr>
                <w:rFonts w:hint="eastAsia" w:ascii="华文仿宋" w:hAnsi="华文仿宋" w:eastAsia="华文仿宋" w:cs="华文仿宋"/>
                <w:color w:val="auto"/>
                <w:sz w:val="24"/>
                <w:szCs w:val="28"/>
                <w:highlight w:val="none"/>
              </w:rPr>
              <w:t>格式、填写要求符合</w:t>
            </w:r>
            <w:r>
              <w:rPr>
                <w:rFonts w:hint="eastAsia" w:ascii="华文仿宋" w:hAnsi="华文仿宋" w:eastAsia="华文仿宋" w:cs="华文仿宋"/>
                <w:color w:val="auto"/>
                <w:sz w:val="24"/>
                <w:szCs w:val="28"/>
                <w:highlight w:val="none"/>
                <w:lang w:val="en-US" w:eastAsia="zh-CN"/>
              </w:rPr>
              <w:t>磋商</w:t>
            </w:r>
            <w:r>
              <w:rPr>
                <w:rFonts w:hint="eastAsia" w:ascii="华文仿宋" w:hAnsi="华文仿宋" w:eastAsia="华文仿宋" w:cs="华文仿宋"/>
                <w:color w:val="auto"/>
                <w:sz w:val="24"/>
                <w:szCs w:val="28"/>
                <w:highlight w:val="none"/>
              </w:rPr>
              <w:t>文件规定并加盖</w:t>
            </w:r>
            <w:r>
              <w:rPr>
                <w:rFonts w:hint="eastAsia" w:ascii="华文仿宋" w:hAnsi="华文仿宋" w:eastAsia="华文仿宋" w:cs="华文仿宋"/>
                <w:color w:val="auto"/>
                <w:sz w:val="24"/>
                <w:szCs w:val="28"/>
                <w:highlight w:val="none"/>
                <w:lang w:val="en-US" w:eastAsia="zh-CN"/>
              </w:rPr>
              <w:t>供应商</w:t>
            </w:r>
            <w:r>
              <w:rPr>
                <w:rFonts w:hint="eastAsia" w:ascii="华文仿宋" w:hAnsi="华文仿宋" w:eastAsia="华文仿宋" w:cs="华文仿宋"/>
                <w:color w:val="auto"/>
                <w:sz w:val="24"/>
                <w:szCs w:val="28"/>
                <w:highlight w:val="none"/>
                <w:lang w:eastAsia="zh-CN"/>
              </w:rPr>
              <w:t>盖章</w:t>
            </w:r>
          </w:p>
        </w:tc>
        <w:tc>
          <w:tcPr>
            <w:tcW w:w="1077" w:type="pct"/>
            <w:vAlign w:val="center"/>
          </w:tcPr>
          <w:p w14:paraId="58724908">
            <w:pPr>
              <w:adjustRightInd w:val="0"/>
              <w:snapToGrid w:val="0"/>
              <w:spacing w:line="360" w:lineRule="auto"/>
              <w:ind w:right="-10" w:rightChars="0"/>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详见第六章</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文件格式</w:t>
            </w:r>
            <w:r>
              <w:rPr>
                <w:rFonts w:hint="eastAsia" w:ascii="华文仿宋" w:hAnsi="华文仿宋" w:eastAsia="华文仿宋" w:cs="华文仿宋"/>
                <w:color w:val="auto"/>
                <w:sz w:val="24"/>
                <w:highlight w:val="none"/>
                <w:lang w:eastAsia="zh-CN"/>
              </w:rPr>
              <w:t>。</w:t>
            </w:r>
          </w:p>
        </w:tc>
      </w:tr>
      <w:tr w14:paraId="5E2D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Align w:val="center"/>
          </w:tcPr>
          <w:p w14:paraId="11468AC8">
            <w:pPr>
              <w:adjustRightInd w:val="0"/>
              <w:snapToGrid w:val="0"/>
              <w:spacing w:line="360" w:lineRule="auto"/>
              <w:ind w:right="-10" w:rightChars="0"/>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6</w:t>
            </w:r>
          </w:p>
        </w:tc>
        <w:tc>
          <w:tcPr>
            <w:tcW w:w="942" w:type="pct"/>
            <w:vAlign w:val="center"/>
          </w:tcPr>
          <w:p w14:paraId="661F28B7">
            <w:pPr>
              <w:spacing w:after="50" w:line="360" w:lineRule="auto"/>
              <w:ind w:right="-10" w:rightChars="0"/>
              <w:jc w:val="center"/>
              <w:rPr>
                <w:rFonts w:hint="eastAsia" w:ascii="华文仿宋" w:hAnsi="华文仿宋" w:eastAsia="华文仿宋" w:cs="华文仿宋"/>
                <w:color w:val="auto"/>
                <w:spacing w:val="10"/>
                <w:sz w:val="24"/>
                <w:szCs w:val="24"/>
                <w:highlight w:val="none"/>
              </w:rPr>
            </w:pPr>
            <w:r>
              <w:rPr>
                <w:rFonts w:hint="eastAsia" w:ascii="华文仿宋" w:hAnsi="华文仿宋" w:eastAsia="华文仿宋" w:cs="华文仿宋"/>
                <w:color w:val="auto"/>
                <w:sz w:val="24"/>
                <w:szCs w:val="28"/>
                <w:highlight w:val="none"/>
              </w:rPr>
              <w:t>授权书</w:t>
            </w:r>
          </w:p>
        </w:tc>
        <w:tc>
          <w:tcPr>
            <w:tcW w:w="2602" w:type="pct"/>
            <w:vAlign w:val="center"/>
          </w:tcPr>
          <w:p w14:paraId="55A8FD53">
            <w:pPr>
              <w:spacing w:after="50" w:line="360" w:lineRule="auto"/>
              <w:ind w:right="-10" w:rightChars="0"/>
              <w:jc w:val="center"/>
              <w:rPr>
                <w:rFonts w:hint="eastAsia" w:ascii="华文仿宋" w:hAnsi="华文仿宋" w:eastAsia="华文仿宋" w:cs="华文仿宋"/>
                <w:color w:val="auto"/>
                <w:spacing w:val="10"/>
                <w:sz w:val="24"/>
                <w:szCs w:val="24"/>
                <w:highlight w:val="none"/>
                <w:lang w:eastAsia="zh-CN"/>
              </w:rPr>
            </w:pPr>
            <w:r>
              <w:rPr>
                <w:rFonts w:hint="eastAsia" w:ascii="华文仿宋" w:hAnsi="华文仿宋" w:eastAsia="华文仿宋" w:cs="华文仿宋"/>
                <w:color w:val="auto"/>
                <w:sz w:val="24"/>
                <w:szCs w:val="28"/>
                <w:highlight w:val="none"/>
              </w:rPr>
              <w:t>格式、填写要求符合</w:t>
            </w:r>
            <w:r>
              <w:rPr>
                <w:rFonts w:hint="eastAsia" w:ascii="华文仿宋" w:hAnsi="华文仿宋" w:eastAsia="华文仿宋" w:cs="华文仿宋"/>
                <w:color w:val="auto"/>
                <w:spacing w:val="10"/>
                <w:sz w:val="24"/>
                <w:szCs w:val="24"/>
                <w:highlight w:val="none"/>
                <w:lang w:val="en-US" w:eastAsia="zh-CN"/>
              </w:rPr>
              <w:t>磋商</w:t>
            </w:r>
            <w:r>
              <w:rPr>
                <w:rFonts w:hint="eastAsia" w:ascii="华文仿宋" w:hAnsi="华文仿宋" w:eastAsia="华文仿宋" w:cs="华文仿宋"/>
                <w:color w:val="auto"/>
                <w:sz w:val="24"/>
                <w:szCs w:val="28"/>
                <w:highlight w:val="none"/>
              </w:rPr>
              <w:t>文件规定并加盖</w:t>
            </w:r>
            <w:r>
              <w:rPr>
                <w:rFonts w:hint="eastAsia" w:ascii="华文仿宋" w:hAnsi="华文仿宋" w:eastAsia="华文仿宋" w:cs="华文仿宋"/>
                <w:color w:val="auto"/>
                <w:sz w:val="24"/>
                <w:highlight w:val="none"/>
                <w:lang w:val="en-US" w:eastAsia="zh-CN"/>
              </w:rPr>
              <w:t>供应商</w:t>
            </w:r>
            <w:r>
              <w:rPr>
                <w:rFonts w:hint="eastAsia" w:ascii="华文仿宋" w:hAnsi="华文仿宋" w:eastAsia="华文仿宋" w:cs="华文仿宋"/>
                <w:color w:val="auto"/>
                <w:sz w:val="24"/>
                <w:szCs w:val="28"/>
                <w:highlight w:val="none"/>
                <w:lang w:eastAsia="zh-CN"/>
              </w:rPr>
              <w:t>盖章</w:t>
            </w:r>
          </w:p>
        </w:tc>
        <w:tc>
          <w:tcPr>
            <w:tcW w:w="1077" w:type="pct"/>
            <w:vAlign w:val="center"/>
          </w:tcPr>
          <w:p w14:paraId="4CA1440D">
            <w:pPr>
              <w:adjustRightInd w:val="0"/>
              <w:snapToGrid w:val="0"/>
              <w:spacing w:line="360" w:lineRule="auto"/>
              <w:ind w:right="-10" w:rightChars="0"/>
              <w:jc w:val="center"/>
              <w:rPr>
                <w:rFonts w:hint="eastAsia" w:ascii="华文仿宋" w:hAnsi="华文仿宋" w:eastAsia="华文仿宋" w:cs="华文仿宋"/>
                <w:b w:val="0"/>
                <w:bCs w:val="0"/>
                <w:color w:val="auto"/>
                <w:sz w:val="24"/>
                <w:szCs w:val="24"/>
                <w:highlight w:val="none"/>
              </w:rPr>
            </w:pPr>
            <w:r>
              <w:rPr>
                <w:rFonts w:hint="eastAsia" w:ascii="华文仿宋" w:hAnsi="华文仿宋" w:eastAsia="华文仿宋" w:cs="华文仿宋"/>
                <w:color w:val="auto"/>
                <w:sz w:val="24"/>
                <w:highlight w:val="none"/>
              </w:rPr>
              <w:t>法定代表人参加</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的无需此件，提供身份证明即可。详见第六章</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文件格式</w:t>
            </w:r>
            <w:r>
              <w:rPr>
                <w:rFonts w:hint="eastAsia" w:ascii="华文仿宋" w:hAnsi="华文仿宋" w:eastAsia="华文仿宋" w:cs="华文仿宋"/>
                <w:color w:val="auto"/>
                <w:sz w:val="24"/>
                <w:highlight w:val="none"/>
                <w:lang w:eastAsia="zh-CN"/>
              </w:rPr>
              <w:t>。</w:t>
            </w:r>
          </w:p>
        </w:tc>
      </w:tr>
      <w:tr w14:paraId="06AB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Align w:val="center"/>
          </w:tcPr>
          <w:p w14:paraId="3897A89A">
            <w:pPr>
              <w:adjustRightInd w:val="0"/>
              <w:snapToGrid w:val="0"/>
              <w:spacing w:line="360" w:lineRule="auto"/>
              <w:ind w:right="-10" w:rightChars="0"/>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7</w:t>
            </w:r>
          </w:p>
        </w:tc>
        <w:tc>
          <w:tcPr>
            <w:tcW w:w="942" w:type="pct"/>
            <w:vAlign w:val="center"/>
          </w:tcPr>
          <w:p w14:paraId="2A7A4DA8">
            <w:pPr>
              <w:spacing w:after="50" w:line="360" w:lineRule="auto"/>
              <w:ind w:right="-10" w:rightChars="0"/>
              <w:jc w:val="center"/>
              <w:rPr>
                <w:rFonts w:hint="eastAsia" w:ascii="华文仿宋" w:hAnsi="华文仿宋" w:eastAsia="华文仿宋" w:cs="华文仿宋"/>
                <w:color w:val="auto"/>
                <w:spacing w:val="10"/>
                <w:sz w:val="24"/>
                <w:szCs w:val="24"/>
                <w:highlight w:val="none"/>
              </w:rPr>
            </w:pPr>
            <w:r>
              <w:rPr>
                <w:rFonts w:hint="eastAsia" w:ascii="华文仿宋" w:hAnsi="华文仿宋" w:eastAsia="华文仿宋" w:cs="华文仿宋"/>
                <w:color w:val="auto"/>
                <w:sz w:val="24"/>
                <w:szCs w:val="28"/>
                <w:highlight w:val="none"/>
                <w:lang w:val="en-US" w:eastAsia="zh-CN"/>
              </w:rPr>
              <w:t>磋商</w:t>
            </w:r>
            <w:r>
              <w:rPr>
                <w:rFonts w:hint="eastAsia" w:ascii="华文仿宋" w:hAnsi="华文仿宋" w:eastAsia="华文仿宋" w:cs="华文仿宋"/>
                <w:color w:val="auto"/>
                <w:sz w:val="24"/>
                <w:szCs w:val="28"/>
                <w:highlight w:val="none"/>
              </w:rPr>
              <w:t>报价</w:t>
            </w:r>
          </w:p>
        </w:tc>
        <w:tc>
          <w:tcPr>
            <w:tcW w:w="2602" w:type="pct"/>
            <w:vAlign w:val="center"/>
          </w:tcPr>
          <w:p w14:paraId="29096852">
            <w:pPr>
              <w:spacing w:after="50" w:line="360" w:lineRule="auto"/>
              <w:ind w:right="-10" w:rightChars="0"/>
              <w:jc w:val="center"/>
              <w:rPr>
                <w:rFonts w:hint="eastAsia" w:ascii="华文仿宋" w:hAnsi="华文仿宋" w:eastAsia="华文仿宋" w:cs="华文仿宋"/>
                <w:color w:val="auto"/>
                <w:spacing w:val="10"/>
                <w:sz w:val="24"/>
                <w:szCs w:val="24"/>
                <w:highlight w:val="none"/>
              </w:rPr>
            </w:pPr>
            <w:r>
              <w:rPr>
                <w:rFonts w:hint="eastAsia" w:ascii="华文仿宋" w:hAnsi="华文仿宋" w:eastAsia="华文仿宋" w:cs="华文仿宋"/>
                <w:color w:val="auto"/>
                <w:sz w:val="24"/>
                <w:szCs w:val="28"/>
                <w:highlight w:val="none"/>
              </w:rPr>
              <w:t>符合</w:t>
            </w:r>
            <w:r>
              <w:rPr>
                <w:rFonts w:hint="eastAsia" w:ascii="华文仿宋" w:hAnsi="华文仿宋" w:eastAsia="华文仿宋" w:cs="华文仿宋"/>
                <w:color w:val="auto"/>
                <w:spacing w:val="10"/>
                <w:sz w:val="24"/>
                <w:szCs w:val="24"/>
                <w:highlight w:val="none"/>
                <w:lang w:val="en-US" w:eastAsia="zh-CN"/>
              </w:rPr>
              <w:t>磋商</w:t>
            </w:r>
            <w:r>
              <w:rPr>
                <w:rFonts w:hint="eastAsia" w:ascii="华文仿宋" w:hAnsi="华文仿宋" w:eastAsia="华文仿宋" w:cs="华文仿宋"/>
                <w:color w:val="auto"/>
                <w:sz w:val="24"/>
                <w:highlight w:val="none"/>
              </w:rPr>
              <w:t>文件</w:t>
            </w:r>
            <w:r>
              <w:rPr>
                <w:rFonts w:hint="eastAsia" w:ascii="华文仿宋" w:hAnsi="华文仿宋" w:eastAsia="华文仿宋" w:cs="华文仿宋"/>
                <w:color w:val="auto"/>
                <w:sz w:val="24"/>
                <w:highlight w:val="none"/>
                <w:lang w:val="en-US" w:eastAsia="zh-CN"/>
              </w:rPr>
              <w:t>供应商</w:t>
            </w:r>
            <w:r>
              <w:rPr>
                <w:rFonts w:hint="eastAsia" w:ascii="华文仿宋" w:hAnsi="华文仿宋" w:eastAsia="华文仿宋" w:cs="华文仿宋"/>
                <w:color w:val="auto"/>
                <w:sz w:val="24"/>
                <w:highlight w:val="none"/>
              </w:rPr>
              <w:t>须知正文第</w:t>
            </w:r>
            <w:r>
              <w:rPr>
                <w:rFonts w:hint="eastAsia" w:ascii="华文仿宋" w:hAnsi="华文仿宋" w:eastAsia="华文仿宋" w:cs="华文仿宋"/>
                <w:color w:val="auto"/>
                <w:sz w:val="24"/>
                <w:highlight w:val="none"/>
                <w:lang w:val="en-US" w:eastAsia="zh-CN"/>
              </w:rPr>
              <w:t>9</w:t>
            </w:r>
            <w:r>
              <w:rPr>
                <w:rFonts w:hint="eastAsia" w:ascii="华文仿宋" w:hAnsi="华文仿宋" w:eastAsia="华文仿宋" w:cs="华文仿宋"/>
                <w:color w:val="auto"/>
                <w:sz w:val="24"/>
                <w:highlight w:val="none"/>
              </w:rPr>
              <w:t>条要求</w:t>
            </w:r>
          </w:p>
        </w:tc>
        <w:tc>
          <w:tcPr>
            <w:tcW w:w="1077" w:type="pct"/>
            <w:vAlign w:val="center"/>
          </w:tcPr>
          <w:p w14:paraId="13DB9DDA">
            <w:pPr>
              <w:adjustRightInd w:val="0"/>
              <w:snapToGrid w:val="0"/>
              <w:spacing w:line="360" w:lineRule="auto"/>
              <w:ind w:right="-10" w:rightChars="0"/>
              <w:jc w:val="center"/>
              <w:rPr>
                <w:rFonts w:hint="eastAsia" w:ascii="华文仿宋" w:hAnsi="华文仿宋" w:eastAsia="华文仿宋" w:cs="华文仿宋"/>
                <w:b w:val="0"/>
                <w:bCs w:val="0"/>
                <w:color w:val="auto"/>
                <w:sz w:val="24"/>
                <w:szCs w:val="24"/>
                <w:highlight w:val="none"/>
              </w:rPr>
            </w:pPr>
            <w:r>
              <w:rPr>
                <w:rFonts w:hint="eastAsia" w:ascii="华文仿宋" w:hAnsi="华文仿宋" w:eastAsia="华文仿宋" w:cs="华文仿宋"/>
                <w:color w:val="auto"/>
                <w:sz w:val="24"/>
                <w:highlight w:val="none"/>
              </w:rPr>
              <w:t>详见第六章</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文件格式</w:t>
            </w:r>
            <w:r>
              <w:rPr>
                <w:rFonts w:hint="eastAsia" w:ascii="华文仿宋" w:hAnsi="华文仿宋" w:eastAsia="华文仿宋" w:cs="华文仿宋"/>
                <w:color w:val="auto"/>
                <w:sz w:val="24"/>
                <w:highlight w:val="none"/>
                <w:lang w:eastAsia="zh-CN"/>
              </w:rPr>
              <w:t>。</w:t>
            </w:r>
          </w:p>
        </w:tc>
      </w:tr>
      <w:tr w14:paraId="5B98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Align w:val="center"/>
          </w:tcPr>
          <w:p w14:paraId="2968977C">
            <w:pPr>
              <w:adjustRightInd w:val="0"/>
              <w:snapToGrid w:val="0"/>
              <w:spacing w:line="360" w:lineRule="auto"/>
              <w:ind w:right="-10" w:rightChars="0"/>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8</w:t>
            </w:r>
          </w:p>
        </w:tc>
        <w:tc>
          <w:tcPr>
            <w:tcW w:w="942" w:type="pct"/>
            <w:vAlign w:val="center"/>
          </w:tcPr>
          <w:p w14:paraId="0C37A2F5">
            <w:pPr>
              <w:spacing w:after="50" w:line="360" w:lineRule="auto"/>
              <w:ind w:right="-10" w:rightChars="0"/>
              <w:jc w:val="center"/>
              <w:rPr>
                <w:rFonts w:hint="eastAsia" w:ascii="华文仿宋" w:hAnsi="华文仿宋" w:eastAsia="华文仿宋" w:cs="华文仿宋"/>
                <w:color w:val="auto"/>
                <w:spacing w:val="10"/>
                <w:sz w:val="24"/>
                <w:szCs w:val="24"/>
                <w:highlight w:val="none"/>
              </w:rPr>
            </w:pPr>
            <w:r>
              <w:rPr>
                <w:rFonts w:hint="eastAsia" w:ascii="华文仿宋" w:hAnsi="华文仿宋" w:eastAsia="华文仿宋" w:cs="华文仿宋"/>
                <w:color w:val="auto"/>
                <w:sz w:val="24"/>
                <w:szCs w:val="28"/>
                <w:highlight w:val="none"/>
              </w:rPr>
              <w:t>商务响应情况</w:t>
            </w:r>
          </w:p>
        </w:tc>
        <w:tc>
          <w:tcPr>
            <w:tcW w:w="2602" w:type="pct"/>
            <w:vAlign w:val="center"/>
          </w:tcPr>
          <w:p w14:paraId="2F9F2A87">
            <w:pPr>
              <w:spacing w:after="50" w:line="360" w:lineRule="auto"/>
              <w:ind w:right="-10" w:rightChars="0"/>
              <w:jc w:val="center"/>
              <w:rPr>
                <w:rFonts w:hint="eastAsia" w:ascii="华文仿宋" w:hAnsi="华文仿宋" w:eastAsia="华文仿宋" w:cs="华文仿宋"/>
                <w:color w:val="auto"/>
                <w:spacing w:val="10"/>
                <w:sz w:val="24"/>
                <w:szCs w:val="24"/>
                <w:highlight w:val="none"/>
              </w:rPr>
            </w:pPr>
            <w:r>
              <w:rPr>
                <w:rFonts w:hint="eastAsia" w:ascii="华文仿宋" w:hAnsi="华文仿宋" w:eastAsia="华文仿宋" w:cs="华文仿宋"/>
                <w:color w:val="auto"/>
                <w:sz w:val="24"/>
                <w:szCs w:val="28"/>
                <w:highlight w:val="none"/>
              </w:rPr>
              <w:t>符合</w:t>
            </w:r>
            <w:r>
              <w:rPr>
                <w:rFonts w:hint="eastAsia" w:ascii="华文仿宋" w:hAnsi="华文仿宋" w:eastAsia="华文仿宋" w:cs="华文仿宋"/>
                <w:color w:val="auto"/>
                <w:spacing w:val="10"/>
                <w:sz w:val="24"/>
                <w:szCs w:val="24"/>
                <w:highlight w:val="none"/>
                <w:lang w:val="en-US" w:eastAsia="zh-CN"/>
              </w:rPr>
              <w:t>磋商</w:t>
            </w:r>
            <w:r>
              <w:rPr>
                <w:rFonts w:hint="eastAsia" w:ascii="华文仿宋" w:hAnsi="华文仿宋" w:eastAsia="华文仿宋" w:cs="华文仿宋"/>
                <w:color w:val="auto"/>
                <w:sz w:val="24"/>
                <w:szCs w:val="28"/>
                <w:highlight w:val="none"/>
              </w:rPr>
              <w:t>文件采购需求中对付款方式、</w:t>
            </w:r>
            <w:r>
              <w:rPr>
                <w:rFonts w:hint="eastAsia" w:ascii="华文仿宋" w:hAnsi="华文仿宋" w:eastAsia="华文仿宋" w:cs="华文仿宋"/>
                <w:color w:val="auto"/>
                <w:sz w:val="24"/>
                <w:szCs w:val="28"/>
                <w:highlight w:val="none"/>
                <w:lang w:val="en-US" w:eastAsia="zh-CN"/>
              </w:rPr>
              <w:t>服务地点</w:t>
            </w:r>
            <w:r>
              <w:rPr>
                <w:rFonts w:hint="eastAsia" w:ascii="华文仿宋" w:hAnsi="华文仿宋" w:eastAsia="华文仿宋" w:cs="华文仿宋"/>
                <w:color w:val="auto"/>
                <w:sz w:val="24"/>
                <w:szCs w:val="28"/>
                <w:highlight w:val="none"/>
              </w:rPr>
              <w:t>、</w:t>
            </w:r>
            <w:r>
              <w:rPr>
                <w:rFonts w:hint="eastAsia" w:ascii="华文仿宋" w:hAnsi="华文仿宋" w:eastAsia="华文仿宋" w:cs="华文仿宋"/>
                <w:color w:val="auto"/>
                <w:sz w:val="24"/>
                <w:szCs w:val="28"/>
                <w:highlight w:val="none"/>
                <w:lang w:val="en-US" w:eastAsia="zh-CN"/>
              </w:rPr>
              <w:t>服务期限等实质性</w:t>
            </w:r>
            <w:r>
              <w:rPr>
                <w:rFonts w:hint="eastAsia" w:ascii="华文仿宋" w:hAnsi="华文仿宋" w:eastAsia="华文仿宋" w:cs="华文仿宋"/>
                <w:color w:val="auto"/>
                <w:sz w:val="24"/>
                <w:szCs w:val="28"/>
                <w:highlight w:val="none"/>
              </w:rPr>
              <w:t>要求</w:t>
            </w:r>
          </w:p>
        </w:tc>
        <w:tc>
          <w:tcPr>
            <w:tcW w:w="1077" w:type="pct"/>
            <w:vAlign w:val="center"/>
          </w:tcPr>
          <w:p w14:paraId="0D4D984C">
            <w:pPr>
              <w:adjustRightInd w:val="0"/>
              <w:snapToGrid w:val="0"/>
              <w:spacing w:line="360" w:lineRule="auto"/>
              <w:ind w:right="-10" w:rightChars="0"/>
              <w:jc w:val="center"/>
              <w:rPr>
                <w:rFonts w:hint="eastAsia" w:ascii="华文仿宋" w:hAnsi="华文仿宋" w:eastAsia="华文仿宋" w:cs="华文仿宋"/>
                <w:b w:val="0"/>
                <w:bCs w:val="0"/>
                <w:color w:val="auto"/>
                <w:sz w:val="24"/>
                <w:szCs w:val="24"/>
                <w:highlight w:val="none"/>
              </w:rPr>
            </w:pPr>
            <w:r>
              <w:rPr>
                <w:rFonts w:hint="eastAsia" w:ascii="华文仿宋" w:hAnsi="华文仿宋" w:eastAsia="华文仿宋" w:cs="华文仿宋"/>
                <w:color w:val="auto"/>
                <w:sz w:val="24"/>
                <w:highlight w:val="none"/>
              </w:rPr>
              <w:t>详见第六章</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文件格式</w:t>
            </w:r>
            <w:r>
              <w:rPr>
                <w:rFonts w:hint="eastAsia" w:ascii="华文仿宋" w:hAnsi="华文仿宋" w:eastAsia="华文仿宋" w:cs="华文仿宋"/>
                <w:color w:val="auto"/>
                <w:sz w:val="24"/>
                <w:highlight w:val="none"/>
                <w:lang w:eastAsia="zh-CN"/>
              </w:rPr>
              <w:t>。</w:t>
            </w:r>
          </w:p>
        </w:tc>
      </w:tr>
      <w:tr w14:paraId="26C8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Align w:val="center"/>
          </w:tcPr>
          <w:p w14:paraId="1318C817">
            <w:pPr>
              <w:adjustRightInd w:val="0"/>
              <w:snapToGrid w:val="0"/>
              <w:spacing w:line="360" w:lineRule="auto"/>
              <w:ind w:right="-10" w:rightChars="0"/>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9</w:t>
            </w:r>
          </w:p>
        </w:tc>
        <w:tc>
          <w:tcPr>
            <w:tcW w:w="942" w:type="pct"/>
            <w:vAlign w:val="center"/>
          </w:tcPr>
          <w:p w14:paraId="0F81F654">
            <w:pPr>
              <w:spacing w:line="360" w:lineRule="auto"/>
              <w:outlineLvl w:val="2"/>
              <w:rPr>
                <w:rFonts w:hint="eastAsia" w:ascii="华文仿宋" w:hAnsi="华文仿宋" w:eastAsia="华文仿宋" w:cs="华文仿宋"/>
                <w:color w:val="auto"/>
                <w:spacing w:val="10"/>
                <w:sz w:val="24"/>
                <w:szCs w:val="24"/>
                <w:highlight w:val="none"/>
              </w:rPr>
            </w:pPr>
            <w:r>
              <w:rPr>
                <w:rFonts w:hint="eastAsia" w:ascii="华文仿宋" w:hAnsi="华文仿宋" w:eastAsia="华文仿宋" w:cs="华文仿宋"/>
                <w:color w:val="auto"/>
                <w:sz w:val="24"/>
                <w:szCs w:val="28"/>
                <w:highlight w:val="none"/>
                <w:lang w:val="en-US" w:eastAsia="zh-CN"/>
              </w:rPr>
              <w:t>技术</w:t>
            </w:r>
            <w:r>
              <w:rPr>
                <w:rFonts w:hint="eastAsia" w:ascii="华文仿宋" w:hAnsi="华文仿宋" w:eastAsia="华文仿宋" w:cs="华文仿宋"/>
                <w:color w:val="auto"/>
                <w:sz w:val="24"/>
                <w:szCs w:val="28"/>
                <w:highlight w:val="none"/>
              </w:rPr>
              <w:t>响应情况</w:t>
            </w:r>
          </w:p>
        </w:tc>
        <w:tc>
          <w:tcPr>
            <w:tcW w:w="2602" w:type="pct"/>
            <w:vAlign w:val="center"/>
          </w:tcPr>
          <w:p w14:paraId="756F5005">
            <w:pPr>
              <w:spacing w:after="50" w:line="360" w:lineRule="auto"/>
              <w:ind w:right="-10" w:rightChars="0"/>
              <w:jc w:val="center"/>
              <w:rPr>
                <w:rFonts w:hint="eastAsia" w:ascii="华文仿宋" w:hAnsi="华文仿宋" w:eastAsia="华文仿宋" w:cs="华文仿宋"/>
                <w:color w:val="auto"/>
                <w:spacing w:val="10"/>
                <w:sz w:val="24"/>
                <w:szCs w:val="24"/>
                <w:highlight w:val="none"/>
                <w:lang w:eastAsia="zh-CN"/>
              </w:rPr>
            </w:pPr>
            <w:r>
              <w:rPr>
                <w:rFonts w:hint="eastAsia" w:ascii="华文仿宋" w:hAnsi="华文仿宋" w:eastAsia="华文仿宋" w:cs="华文仿宋"/>
                <w:color w:val="auto"/>
                <w:sz w:val="24"/>
                <w:szCs w:val="28"/>
                <w:highlight w:val="none"/>
              </w:rPr>
              <w:t>符合</w:t>
            </w:r>
            <w:r>
              <w:rPr>
                <w:rFonts w:hint="eastAsia" w:ascii="华文仿宋" w:hAnsi="华文仿宋" w:eastAsia="华文仿宋" w:cs="华文仿宋"/>
                <w:color w:val="auto"/>
                <w:sz w:val="24"/>
                <w:szCs w:val="28"/>
                <w:highlight w:val="none"/>
                <w:lang w:val="en-US" w:eastAsia="zh-CN"/>
              </w:rPr>
              <w:t>磋商</w:t>
            </w:r>
            <w:r>
              <w:rPr>
                <w:rFonts w:hint="eastAsia" w:ascii="华文仿宋" w:hAnsi="华文仿宋" w:eastAsia="华文仿宋" w:cs="华文仿宋"/>
                <w:color w:val="auto"/>
                <w:sz w:val="24"/>
                <w:szCs w:val="28"/>
                <w:highlight w:val="none"/>
              </w:rPr>
              <w:t>文件采购需求中技术参数</w:t>
            </w:r>
            <w:r>
              <w:rPr>
                <w:rFonts w:hint="eastAsia" w:ascii="华文仿宋" w:hAnsi="华文仿宋" w:eastAsia="华文仿宋" w:cs="华文仿宋"/>
                <w:color w:val="auto"/>
                <w:sz w:val="24"/>
                <w:szCs w:val="28"/>
                <w:highlight w:val="none"/>
                <w:lang w:val="en-US" w:eastAsia="zh-CN"/>
              </w:rPr>
              <w:t>等实质性</w:t>
            </w:r>
            <w:r>
              <w:rPr>
                <w:rFonts w:hint="eastAsia" w:ascii="华文仿宋" w:hAnsi="华文仿宋" w:eastAsia="华文仿宋" w:cs="华文仿宋"/>
                <w:color w:val="auto"/>
                <w:sz w:val="24"/>
                <w:szCs w:val="28"/>
                <w:highlight w:val="none"/>
              </w:rPr>
              <w:t>要求</w:t>
            </w:r>
          </w:p>
        </w:tc>
        <w:tc>
          <w:tcPr>
            <w:tcW w:w="1077" w:type="pct"/>
            <w:vAlign w:val="center"/>
          </w:tcPr>
          <w:p w14:paraId="6A98DBF7">
            <w:pPr>
              <w:adjustRightInd w:val="0"/>
              <w:snapToGrid w:val="0"/>
              <w:spacing w:line="360" w:lineRule="auto"/>
              <w:ind w:right="-10" w:rightChars="0"/>
              <w:jc w:val="center"/>
              <w:rPr>
                <w:rFonts w:hint="eastAsia" w:ascii="华文仿宋" w:hAnsi="华文仿宋" w:eastAsia="华文仿宋" w:cs="华文仿宋"/>
                <w:b w:val="0"/>
                <w:bCs w:val="0"/>
                <w:color w:val="auto"/>
                <w:sz w:val="24"/>
                <w:szCs w:val="24"/>
                <w:highlight w:val="none"/>
              </w:rPr>
            </w:pPr>
            <w:r>
              <w:rPr>
                <w:rFonts w:hint="eastAsia" w:ascii="华文仿宋" w:hAnsi="华文仿宋" w:eastAsia="华文仿宋" w:cs="华文仿宋"/>
                <w:color w:val="auto"/>
                <w:sz w:val="24"/>
                <w:highlight w:val="none"/>
              </w:rPr>
              <w:t>详见第六章</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文件格式</w:t>
            </w:r>
            <w:r>
              <w:rPr>
                <w:rFonts w:hint="eastAsia" w:ascii="华文仿宋" w:hAnsi="华文仿宋" w:eastAsia="华文仿宋" w:cs="华文仿宋"/>
                <w:color w:val="auto"/>
                <w:sz w:val="24"/>
                <w:highlight w:val="none"/>
                <w:lang w:eastAsia="zh-CN"/>
              </w:rPr>
              <w:t>。</w:t>
            </w:r>
          </w:p>
        </w:tc>
      </w:tr>
      <w:tr w14:paraId="42A8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Align w:val="center"/>
          </w:tcPr>
          <w:p w14:paraId="7C80C1E2">
            <w:pPr>
              <w:adjustRightInd w:val="0"/>
              <w:snapToGrid w:val="0"/>
              <w:spacing w:line="360" w:lineRule="auto"/>
              <w:ind w:right="-10" w:rightChars="0"/>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14</w:t>
            </w:r>
          </w:p>
        </w:tc>
        <w:tc>
          <w:tcPr>
            <w:tcW w:w="942" w:type="pct"/>
            <w:vAlign w:val="center"/>
          </w:tcPr>
          <w:p w14:paraId="0E95AD60">
            <w:pPr>
              <w:spacing w:after="50" w:line="360" w:lineRule="auto"/>
              <w:ind w:right="-10" w:rightChars="0"/>
              <w:jc w:val="center"/>
              <w:rPr>
                <w:rFonts w:hint="eastAsia" w:ascii="华文仿宋" w:hAnsi="华文仿宋" w:eastAsia="华文仿宋" w:cs="华文仿宋"/>
                <w:color w:val="auto"/>
                <w:spacing w:val="10"/>
                <w:sz w:val="24"/>
                <w:szCs w:val="24"/>
                <w:highlight w:val="none"/>
              </w:rPr>
            </w:pPr>
            <w:r>
              <w:rPr>
                <w:rFonts w:hint="eastAsia" w:ascii="华文仿宋" w:hAnsi="华文仿宋" w:eastAsia="华文仿宋" w:cs="华文仿宋"/>
                <w:color w:val="auto"/>
                <w:sz w:val="24"/>
                <w:szCs w:val="28"/>
                <w:highlight w:val="none"/>
              </w:rPr>
              <w:t>其他要求</w:t>
            </w:r>
          </w:p>
        </w:tc>
        <w:tc>
          <w:tcPr>
            <w:tcW w:w="2602" w:type="pct"/>
            <w:vAlign w:val="center"/>
          </w:tcPr>
          <w:p w14:paraId="5137AB75">
            <w:pPr>
              <w:spacing w:after="50" w:line="360" w:lineRule="auto"/>
              <w:ind w:right="-10" w:rightChars="0"/>
              <w:jc w:val="center"/>
              <w:rPr>
                <w:rFonts w:hint="eastAsia" w:ascii="华文仿宋" w:hAnsi="华文仿宋" w:eastAsia="华文仿宋" w:cs="华文仿宋"/>
                <w:color w:val="auto"/>
                <w:spacing w:val="10"/>
                <w:sz w:val="24"/>
                <w:szCs w:val="24"/>
                <w:highlight w:val="none"/>
              </w:rPr>
            </w:pPr>
            <w:r>
              <w:rPr>
                <w:rFonts w:hint="eastAsia" w:ascii="华文仿宋" w:hAnsi="华文仿宋" w:eastAsia="华文仿宋" w:cs="华文仿宋"/>
                <w:color w:val="auto"/>
                <w:sz w:val="24"/>
                <w:szCs w:val="28"/>
                <w:highlight w:val="none"/>
              </w:rPr>
              <w:t>符合法律、行政法规规定的其他条件或</w:t>
            </w:r>
            <w:r>
              <w:rPr>
                <w:rFonts w:hint="eastAsia" w:ascii="华文仿宋" w:hAnsi="华文仿宋" w:eastAsia="华文仿宋" w:cs="华文仿宋"/>
                <w:color w:val="auto"/>
                <w:sz w:val="24"/>
                <w:szCs w:val="28"/>
                <w:highlight w:val="none"/>
                <w:lang w:val="en-US" w:eastAsia="zh-CN"/>
              </w:rPr>
              <w:t>磋商</w:t>
            </w:r>
            <w:r>
              <w:rPr>
                <w:rFonts w:hint="eastAsia" w:ascii="华文仿宋" w:hAnsi="华文仿宋" w:eastAsia="华文仿宋" w:cs="华文仿宋"/>
                <w:color w:val="auto"/>
                <w:sz w:val="24"/>
                <w:szCs w:val="28"/>
                <w:highlight w:val="none"/>
              </w:rPr>
              <w:t>文件列明的其他</w:t>
            </w:r>
            <w:r>
              <w:rPr>
                <w:rFonts w:hint="eastAsia" w:ascii="华文仿宋" w:hAnsi="华文仿宋" w:eastAsia="华文仿宋" w:cs="华文仿宋"/>
                <w:color w:val="auto"/>
                <w:sz w:val="24"/>
                <w:szCs w:val="28"/>
                <w:highlight w:val="none"/>
                <w:lang w:val="en-US" w:eastAsia="zh-CN"/>
              </w:rPr>
              <w:t>实质性</w:t>
            </w:r>
            <w:r>
              <w:rPr>
                <w:rFonts w:hint="eastAsia" w:ascii="华文仿宋" w:hAnsi="华文仿宋" w:eastAsia="华文仿宋" w:cs="华文仿宋"/>
                <w:color w:val="auto"/>
                <w:sz w:val="24"/>
                <w:szCs w:val="28"/>
                <w:highlight w:val="none"/>
              </w:rPr>
              <w:t>要求</w:t>
            </w:r>
          </w:p>
        </w:tc>
        <w:tc>
          <w:tcPr>
            <w:tcW w:w="1077" w:type="pct"/>
            <w:vAlign w:val="center"/>
          </w:tcPr>
          <w:p w14:paraId="69A7546D">
            <w:pPr>
              <w:adjustRightInd w:val="0"/>
              <w:snapToGrid w:val="0"/>
              <w:spacing w:line="360" w:lineRule="auto"/>
              <w:ind w:right="-10" w:rightChars="0"/>
              <w:jc w:val="center"/>
              <w:rPr>
                <w:rFonts w:hint="eastAsia" w:ascii="华文仿宋" w:hAnsi="华文仿宋" w:eastAsia="华文仿宋" w:cs="华文仿宋"/>
                <w:b w:val="0"/>
                <w:bCs w:val="0"/>
                <w:color w:val="auto"/>
                <w:sz w:val="24"/>
                <w:szCs w:val="24"/>
                <w:highlight w:val="none"/>
              </w:rPr>
            </w:pPr>
          </w:p>
        </w:tc>
      </w:tr>
    </w:tbl>
    <w:p w14:paraId="333F559B">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b/>
          <w:bCs/>
          <w:color w:val="auto"/>
          <w:sz w:val="24"/>
          <w:highlight w:val="none"/>
        </w:rPr>
        <w:t>初审指标通过标准：</w:t>
      </w:r>
      <w:r>
        <w:rPr>
          <w:rFonts w:hint="eastAsia" w:ascii="华文仿宋" w:hAnsi="华文仿宋" w:eastAsia="华文仿宋" w:cs="华文仿宋"/>
          <w:color w:val="auto"/>
          <w:sz w:val="24"/>
          <w:highlight w:val="none"/>
        </w:rPr>
        <w:t>供应商必须通过初审表中的全部评审指标。</w:t>
      </w:r>
    </w:p>
    <w:p w14:paraId="32A459D7">
      <w:pPr>
        <w:spacing w:line="360" w:lineRule="auto"/>
        <w:ind w:firstLine="435"/>
        <w:outlineLvl w:val="2"/>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2.2</w:t>
      </w:r>
      <w:r>
        <w:rPr>
          <w:rFonts w:hint="eastAsia" w:ascii="华文仿宋" w:hAnsi="华文仿宋" w:eastAsia="华文仿宋" w:cs="华文仿宋"/>
          <w:color w:val="auto"/>
          <w:sz w:val="24"/>
          <w:highlight w:val="none"/>
        </w:rPr>
        <w:t>异常低价</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审查</w:t>
      </w:r>
    </w:p>
    <w:tbl>
      <w:tblPr>
        <w:tblStyle w:val="22"/>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adjustRightInd w:val="0"/>
              <w:snapToGrid w:val="0"/>
              <w:spacing w:line="360" w:lineRule="auto"/>
              <w:ind w:right="-10" w:rightChars="0"/>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b/>
                <w:bCs/>
                <w:color w:val="auto"/>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spacing w:line="360" w:lineRule="auto"/>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序号</w:t>
            </w:r>
          </w:p>
        </w:tc>
        <w:tc>
          <w:tcPr>
            <w:tcW w:w="1450" w:type="dxa"/>
            <w:tcBorders>
              <w:bottom w:val="single" w:color="auto" w:sz="4" w:space="0"/>
            </w:tcBorders>
            <w:vAlign w:val="center"/>
          </w:tcPr>
          <w:p w14:paraId="242D7536">
            <w:pPr>
              <w:spacing w:line="360" w:lineRule="auto"/>
              <w:ind w:firstLine="240" w:firstLineChars="100"/>
              <w:jc w:val="center"/>
              <w:rPr>
                <w:rFonts w:hint="eastAsia" w:ascii="华文仿宋" w:hAnsi="华文仿宋" w:eastAsia="华文仿宋" w:cs="华文仿宋"/>
                <w:color w:val="auto"/>
                <w:kern w:val="2"/>
                <w:szCs w:val="24"/>
                <w:highlight w:val="none"/>
              </w:rPr>
            </w:pPr>
            <w:r>
              <w:rPr>
                <w:rFonts w:hint="eastAsia" w:ascii="华文仿宋" w:hAnsi="华文仿宋" w:eastAsia="华文仿宋" w:cs="华文仿宋"/>
                <w:color w:val="auto"/>
                <w:sz w:val="24"/>
                <w:highlight w:val="none"/>
                <w:lang w:val="en-US" w:eastAsia="zh-CN"/>
              </w:rPr>
              <w:t>评审指标</w:t>
            </w:r>
          </w:p>
        </w:tc>
        <w:tc>
          <w:tcPr>
            <w:tcW w:w="4439" w:type="dxa"/>
            <w:tcBorders>
              <w:bottom w:val="single" w:color="auto" w:sz="4" w:space="0"/>
            </w:tcBorders>
            <w:vAlign w:val="center"/>
          </w:tcPr>
          <w:p w14:paraId="63EC8315">
            <w:pPr>
              <w:spacing w:line="360" w:lineRule="auto"/>
              <w:ind w:firstLine="240" w:firstLineChars="100"/>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3262601">
            <w:pPr>
              <w:spacing w:line="360" w:lineRule="auto"/>
              <w:ind w:firstLine="240" w:firstLineChars="100"/>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p>
        </w:tc>
        <w:tc>
          <w:tcPr>
            <w:tcW w:w="1450" w:type="dxa"/>
            <w:tcBorders>
              <w:bottom w:val="single" w:color="auto" w:sz="4" w:space="0"/>
            </w:tcBorders>
            <w:vAlign w:val="center"/>
          </w:tcPr>
          <w:p w14:paraId="4828CEF5">
            <w:pPr>
              <w:spacing w:line="360" w:lineRule="auto"/>
              <w:rPr>
                <w:rFonts w:hint="eastAsia" w:ascii="华文仿宋" w:hAnsi="华文仿宋" w:eastAsia="华文仿宋" w:cs="华文仿宋"/>
                <w:color w:val="auto"/>
                <w:sz w:val="24"/>
                <w:szCs w:val="28"/>
                <w:highlight w:val="none"/>
              </w:rPr>
            </w:pPr>
            <w:r>
              <w:rPr>
                <w:rFonts w:hint="eastAsia" w:ascii="华文仿宋" w:hAnsi="华文仿宋" w:eastAsia="华文仿宋" w:cs="华文仿宋"/>
                <w:color w:val="auto"/>
                <w:sz w:val="24"/>
                <w:highlight w:val="none"/>
                <w:lang w:val="en-US" w:eastAsia="zh-CN"/>
              </w:rPr>
              <w:t>异常低价响应审查</w:t>
            </w:r>
          </w:p>
        </w:tc>
        <w:tc>
          <w:tcPr>
            <w:tcW w:w="4439" w:type="dxa"/>
            <w:tcBorders>
              <w:bottom w:val="single" w:color="auto" w:sz="4" w:space="0"/>
            </w:tcBorders>
            <w:vAlign w:val="center"/>
          </w:tcPr>
          <w:p w14:paraId="14855D12">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仿宋" w:hAnsi="华文仿宋" w:eastAsia="华文仿宋" w:cs="华文仿宋"/>
                <w:b w:val="0"/>
                <w:bCs w:val="0"/>
                <w:i w:val="0"/>
                <w:iCs w:val="0"/>
                <w:color w:val="auto"/>
                <w:sz w:val="24"/>
                <w:szCs w:val="24"/>
                <w:highlight w:val="none"/>
                <w:u w:val="none"/>
                <w:lang w:val="en-US" w:eastAsia="zh-CN"/>
              </w:rPr>
            </w:pPr>
            <w:r>
              <w:rPr>
                <w:rFonts w:hint="eastAsia" w:ascii="华文仿宋" w:hAnsi="华文仿宋" w:eastAsia="华文仿宋" w:cs="华文仿宋"/>
                <w:b w:val="0"/>
                <w:bCs w:val="0"/>
                <w:i w:val="0"/>
                <w:iCs w:val="0"/>
                <w:color w:val="auto"/>
                <w:sz w:val="24"/>
                <w:szCs w:val="24"/>
                <w:highlight w:val="none"/>
                <w:u w:val="none"/>
                <w:lang w:val="en-US" w:eastAsia="zh-CN"/>
              </w:rPr>
              <w:t>（1）报价＜全部通过初审供应商响应报价平均值×</w:t>
            </w:r>
            <w:r>
              <w:rPr>
                <w:rFonts w:hint="eastAsia" w:ascii="华文仿宋" w:hAnsi="华文仿宋" w:eastAsia="华文仿宋" w:cs="华文仿宋"/>
                <w:b w:val="0"/>
                <w:bCs w:val="0"/>
                <w:i w:val="0"/>
                <w:iCs w:val="0"/>
                <w:color w:val="auto"/>
                <w:sz w:val="24"/>
                <w:szCs w:val="24"/>
                <w:highlight w:val="none"/>
                <w:u w:val="single"/>
                <w:lang w:val="en-US" w:eastAsia="zh-CN"/>
              </w:rPr>
              <w:t>50%</w:t>
            </w:r>
            <w:r>
              <w:rPr>
                <w:rFonts w:hint="eastAsia" w:ascii="华文仿宋" w:hAnsi="华文仿宋" w:eastAsia="华文仿宋" w:cs="华文仿宋"/>
                <w:b w:val="0"/>
                <w:bCs w:val="0"/>
                <w:i w:val="0"/>
                <w:iCs w:val="0"/>
                <w:color w:val="auto"/>
                <w:sz w:val="24"/>
                <w:szCs w:val="24"/>
                <w:highlight w:val="none"/>
                <w:u w:val="none"/>
                <w:lang w:val="en-US" w:eastAsia="zh-CN"/>
              </w:rPr>
              <w:t>；</w:t>
            </w:r>
          </w:p>
          <w:p w14:paraId="12D6E1A2">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仿宋" w:hAnsi="华文仿宋" w:eastAsia="华文仿宋" w:cs="华文仿宋"/>
                <w:b w:val="0"/>
                <w:bCs w:val="0"/>
                <w:i w:val="0"/>
                <w:iCs w:val="0"/>
                <w:color w:val="auto"/>
                <w:sz w:val="24"/>
                <w:szCs w:val="24"/>
                <w:highlight w:val="none"/>
                <w:u w:val="none"/>
                <w:lang w:val="en-US" w:eastAsia="zh-CN"/>
              </w:rPr>
            </w:pPr>
            <w:r>
              <w:rPr>
                <w:rFonts w:hint="eastAsia" w:ascii="华文仿宋" w:hAnsi="华文仿宋" w:eastAsia="华文仿宋" w:cs="华文仿宋"/>
                <w:b w:val="0"/>
                <w:bCs w:val="0"/>
                <w:i w:val="0"/>
                <w:iCs w:val="0"/>
                <w:color w:val="auto"/>
                <w:sz w:val="24"/>
                <w:szCs w:val="24"/>
                <w:highlight w:val="none"/>
                <w:u w:val="none"/>
                <w:lang w:val="en-US" w:eastAsia="zh-CN"/>
              </w:rPr>
              <w:t>（2）报价＜通过初审的次低报价供应商响应报价×</w:t>
            </w:r>
            <w:r>
              <w:rPr>
                <w:rFonts w:hint="eastAsia" w:ascii="华文仿宋" w:hAnsi="华文仿宋" w:eastAsia="华文仿宋" w:cs="华文仿宋"/>
                <w:b w:val="0"/>
                <w:bCs w:val="0"/>
                <w:i w:val="0"/>
                <w:iCs w:val="0"/>
                <w:color w:val="auto"/>
                <w:sz w:val="24"/>
                <w:szCs w:val="24"/>
                <w:highlight w:val="none"/>
                <w:u w:val="single"/>
                <w:lang w:val="en-US" w:eastAsia="zh-CN"/>
              </w:rPr>
              <w:t>50%</w:t>
            </w:r>
            <w:r>
              <w:rPr>
                <w:rFonts w:hint="eastAsia" w:ascii="华文仿宋" w:hAnsi="华文仿宋" w:eastAsia="华文仿宋" w:cs="华文仿宋"/>
                <w:b w:val="0"/>
                <w:bCs w:val="0"/>
                <w:i w:val="0"/>
                <w:iCs w:val="0"/>
                <w:color w:val="auto"/>
                <w:sz w:val="24"/>
                <w:szCs w:val="24"/>
                <w:highlight w:val="none"/>
                <w:u w:val="none"/>
                <w:lang w:val="en-US" w:eastAsia="zh-CN"/>
              </w:rPr>
              <w:t>；</w:t>
            </w:r>
          </w:p>
          <w:p w14:paraId="595C90C5">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仿宋" w:hAnsi="华文仿宋" w:eastAsia="华文仿宋" w:cs="华文仿宋"/>
                <w:b w:val="0"/>
                <w:bCs w:val="0"/>
                <w:i w:val="0"/>
                <w:iCs w:val="0"/>
                <w:color w:val="auto"/>
                <w:sz w:val="24"/>
                <w:szCs w:val="24"/>
                <w:highlight w:val="none"/>
                <w:u w:val="none"/>
                <w:lang w:val="en-US" w:eastAsia="zh-CN"/>
              </w:rPr>
            </w:pPr>
            <w:r>
              <w:rPr>
                <w:rFonts w:hint="eastAsia" w:ascii="华文仿宋" w:hAnsi="华文仿宋" w:eastAsia="华文仿宋" w:cs="华文仿宋"/>
                <w:b w:val="0"/>
                <w:bCs w:val="0"/>
                <w:i w:val="0"/>
                <w:iCs w:val="0"/>
                <w:color w:val="auto"/>
                <w:sz w:val="24"/>
                <w:szCs w:val="24"/>
                <w:highlight w:val="none"/>
                <w:u w:val="none"/>
                <w:lang w:val="en-US" w:eastAsia="zh-CN"/>
              </w:rPr>
              <w:t>（3）报价＜采购项目最高限价（如采购项目未设定最高限价的，以采购项目预算金额作为最高限价）×</w:t>
            </w:r>
            <w:r>
              <w:rPr>
                <w:rFonts w:hint="eastAsia" w:ascii="华文仿宋" w:hAnsi="华文仿宋" w:eastAsia="华文仿宋" w:cs="华文仿宋"/>
                <w:b w:val="0"/>
                <w:bCs w:val="0"/>
                <w:i w:val="0"/>
                <w:iCs w:val="0"/>
                <w:color w:val="auto"/>
                <w:sz w:val="24"/>
                <w:szCs w:val="24"/>
                <w:highlight w:val="none"/>
                <w:u w:val="single"/>
                <w:lang w:val="en-US" w:eastAsia="zh-CN"/>
              </w:rPr>
              <w:t>45%</w:t>
            </w:r>
            <w:r>
              <w:rPr>
                <w:rFonts w:hint="eastAsia" w:ascii="华文仿宋" w:hAnsi="华文仿宋" w:eastAsia="华文仿宋" w:cs="华文仿宋"/>
                <w:b w:val="0"/>
                <w:bCs w:val="0"/>
                <w:i w:val="0"/>
                <w:iCs w:val="0"/>
                <w:color w:val="auto"/>
                <w:sz w:val="24"/>
                <w:szCs w:val="24"/>
                <w:highlight w:val="none"/>
                <w:u w:val="none"/>
                <w:lang w:val="en-US" w:eastAsia="zh-CN"/>
              </w:rPr>
              <w:t>；</w:t>
            </w:r>
          </w:p>
          <w:p w14:paraId="6545F9B4">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仿宋" w:hAnsi="华文仿宋" w:eastAsia="华文仿宋" w:cs="华文仿宋"/>
                <w:b w:val="0"/>
                <w:bCs w:val="0"/>
                <w:i w:val="0"/>
                <w:iCs w:val="0"/>
                <w:color w:val="auto"/>
                <w:sz w:val="24"/>
                <w:szCs w:val="24"/>
                <w:highlight w:val="none"/>
                <w:u w:val="none"/>
                <w:lang w:val="en-US" w:eastAsia="zh-CN"/>
              </w:rPr>
            </w:pPr>
            <w:r>
              <w:rPr>
                <w:rFonts w:hint="eastAsia" w:ascii="华文仿宋" w:hAnsi="华文仿宋" w:eastAsia="华文仿宋" w:cs="华文仿宋"/>
                <w:b w:val="0"/>
                <w:bCs w:val="0"/>
                <w:i w:val="0"/>
                <w:iCs w:val="0"/>
                <w:color w:val="auto"/>
                <w:sz w:val="24"/>
                <w:szCs w:val="24"/>
                <w:highlight w:val="none"/>
                <w:u w:val="none"/>
                <w:lang w:val="en-US" w:eastAsia="zh-CN"/>
              </w:rPr>
              <w:t>（4）磋商小组基于专业判断，认为供应商报价过低，有可能影响产品质量或者不能诚信履约的其他情形。</w:t>
            </w:r>
          </w:p>
          <w:p w14:paraId="5325CC06">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仿宋" w:hAnsi="华文仿宋" w:eastAsia="华文仿宋" w:cs="华文仿宋"/>
                <w:b w:val="0"/>
                <w:bCs w:val="0"/>
                <w:i w:val="0"/>
                <w:iCs w:val="0"/>
                <w:color w:val="auto"/>
                <w:sz w:val="24"/>
                <w:szCs w:val="24"/>
                <w:highlight w:val="none"/>
                <w:u w:val="none"/>
                <w:lang w:val="en-US" w:eastAsia="zh-CN"/>
              </w:rPr>
            </w:pPr>
            <w:r>
              <w:rPr>
                <w:rFonts w:hint="eastAsia" w:ascii="华文仿宋" w:hAnsi="华文仿宋" w:eastAsia="华文仿宋" w:cs="华文仿宋"/>
                <w:b w:val="0"/>
                <w:bCs w:val="0"/>
                <w:i w:val="0"/>
                <w:iCs w:val="0"/>
                <w:color w:val="auto"/>
                <w:sz w:val="24"/>
                <w:szCs w:val="24"/>
                <w:highlight w:val="none"/>
                <w:u w:val="none"/>
                <w:lang w:val="en-US" w:eastAsia="zh-CN"/>
              </w:rPr>
              <w:t>提醒：</w:t>
            </w:r>
          </w:p>
          <w:p w14:paraId="5CB21018">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仿宋" w:hAnsi="华文仿宋" w:eastAsia="华文仿宋" w:cs="华文仿宋"/>
                <w:b w:val="0"/>
                <w:bCs w:val="0"/>
                <w:i w:val="0"/>
                <w:iCs w:val="0"/>
                <w:color w:val="auto"/>
                <w:sz w:val="24"/>
                <w:szCs w:val="24"/>
                <w:highlight w:val="none"/>
                <w:u w:val="none"/>
                <w:lang w:val="en-US" w:eastAsia="zh-CN"/>
              </w:rPr>
            </w:pPr>
            <w:r>
              <w:rPr>
                <w:rFonts w:hint="eastAsia" w:ascii="华文仿宋" w:hAnsi="华文仿宋" w:eastAsia="华文仿宋" w:cs="华文仿宋"/>
                <w:b w:val="0"/>
                <w:bCs w:val="0"/>
                <w:i w:val="0"/>
                <w:iCs w:val="0"/>
                <w:color w:val="auto"/>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17901286">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仿宋" w:hAnsi="华文仿宋" w:eastAsia="华文仿宋" w:cs="华文仿宋"/>
                <w:b w:val="0"/>
                <w:bCs w:val="0"/>
                <w:i w:val="0"/>
                <w:iCs w:val="0"/>
                <w:color w:val="auto"/>
                <w:sz w:val="24"/>
                <w:szCs w:val="24"/>
                <w:highlight w:val="none"/>
                <w:u w:val="none"/>
                <w:lang w:val="en-US" w:eastAsia="zh-CN"/>
              </w:rPr>
            </w:pPr>
            <w:r>
              <w:rPr>
                <w:rFonts w:hint="eastAsia" w:ascii="华文仿宋" w:hAnsi="华文仿宋" w:eastAsia="华文仿宋" w:cs="华文仿宋"/>
                <w:b w:val="0"/>
                <w:bCs w:val="0"/>
                <w:i w:val="0"/>
                <w:iCs w:val="0"/>
                <w:color w:val="auto"/>
                <w:sz w:val="24"/>
                <w:szCs w:val="24"/>
                <w:highlight w:val="none"/>
                <w:u w:val="none"/>
                <w:lang w:val="en-US" w:eastAsia="zh-CN"/>
              </w:rPr>
              <w:t>（2）上述报价均为供应商最后报价。</w:t>
            </w:r>
          </w:p>
        </w:tc>
        <w:tc>
          <w:tcPr>
            <w:tcW w:w="2260" w:type="dxa"/>
            <w:vAlign w:val="center"/>
          </w:tcPr>
          <w:p w14:paraId="4F4E35CC">
            <w:pPr>
              <w:spacing w:line="360" w:lineRule="auto"/>
              <w:ind w:firstLine="240" w:firstLineChars="100"/>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注：</w:t>
      </w:r>
    </w:p>
    <w:p w14:paraId="153DDD6B">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磋商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华文仿宋" w:hAnsi="华文仿宋" w:eastAsia="华文仿宋" w:cs="华文仿宋"/>
          <w:color w:val="auto"/>
          <w:sz w:val="24"/>
          <w:highlight w:val="none"/>
          <w:lang w:eastAsia="zh-CN"/>
        </w:rPr>
        <w:t>（</w:t>
      </w:r>
      <w:r>
        <w:rPr>
          <w:rFonts w:hint="eastAsia" w:ascii="华文仿宋" w:hAnsi="华文仿宋" w:eastAsia="华文仿宋" w:cs="华文仿宋"/>
          <w:color w:val="auto"/>
          <w:sz w:val="24"/>
          <w:highlight w:val="none"/>
          <w:lang w:val="en-US" w:eastAsia="zh-CN"/>
        </w:rPr>
        <w:t>3</w:t>
      </w:r>
      <w:r>
        <w:rPr>
          <w:rFonts w:hint="eastAsia" w:ascii="华文仿宋" w:hAnsi="华文仿宋" w:eastAsia="华文仿宋" w:cs="华文仿宋"/>
          <w:color w:val="auto"/>
          <w:sz w:val="24"/>
          <w:highlight w:val="none"/>
          <w:lang w:eastAsia="zh-CN"/>
        </w:rPr>
        <w:t>）</w:t>
      </w:r>
      <w:r>
        <w:rPr>
          <w:rFonts w:hint="eastAsia" w:ascii="华文仿宋" w:hAnsi="华文仿宋" w:eastAsia="华文仿宋" w:cs="华文仿宋"/>
          <w:color w:val="auto"/>
          <w:sz w:val="24"/>
          <w:highlight w:val="none"/>
        </w:rPr>
        <w:t>项情形，供应商已随响应文件一并提交相关书面说明及必要的证明材料的，在评审现场可不再重复提交。</w:t>
      </w:r>
    </w:p>
    <w:p w14:paraId="5A95ACF3">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rPr>
        <w:t>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14:paraId="76AE4267">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p>
    <w:p w14:paraId="25FAD4AF">
      <w:pPr>
        <w:spacing w:line="360" w:lineRule="auto"/>
        <w:ind w:firstLine="435"/>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2.</w:t>
      </w:r>
      <w:r>
        <w:rPr>
          <w:rFonts w:hint="eastAsia" w:ascii="华文仿宋" w:hAnsi="华文仿宋" w:eastAsia="华文仿宋" w:cs="华文仿宋"/>
          <w:b/>
          <w:color w:val="auto"/>
          <w:sz w:val="24"/>
          <w:highlight w:val="none"/>
          <w:lang w:val="en-US" w:eastAsia="zh-CN"/>
        </w:rPr>
        <w:t>3</w:t>
      </w:r>
      <w:r>
        <w:rPr>
          <w:rFonts w:hint="eastAsia" w:ascii="华文仿宋" w:hAnsi="华文仿宋" w:eastAsia="华文仿宋" w:cs="华文仿宋"/>
          <w:b/>
          <w:color w:val="auto"/>
          <w:sz w:val="24"/>
          <w:highlight w:val="none"/>
        </w:rPr>
        <w:t>综合评分</w:t>
      </w:r>
    </w:p>
    <w:p w14:paraId="1E82D528">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w:t>
      </w:r>
      <w:r>
        <w:rPr>
          <w:rFonts w:hint="eastAsia" w:ascii="华文仿宋" w:hAnsi="华文仿宋" w:eastAsia="华文仿宋" w:cs="华文仿宋"/>
          <w:color w:val="auto"/>
          <w:sz w:val="24"/>
          <w:highlight w:val="none"/>
          <w:lang w:val="en-US" w:eastAsia="zh-CN"/>
        </w:rPr>
        <w:t>3</w:t>
      </w:r>
      <w:r>
        <w:rPr>
          <w:rFonts w:hint="eastAsia" w:ascii="华文仿宋" w:hAnsi="华文仿宋" w:eastAsia="华文仿宋" w:cs="华文仿宋"/>
          <w:color w:val="auto"/>
          <w:sz w:val="24"/>
          <w:highlight w:val="none"/>
        </w:rPr>
        <w:t>.1磋商小组按照下表对进入综合评分的所有供应商的响应文件进行综合评分。</w:t>
      </w:r>
    </w:p>
    <w:p w14:paraId="5A302DE9">
      <w:pPr>
        <w:spacing w:line="360" w:lineRule="auto"/>
        <w:ind w:firstLine="435"/>
        <w:rPr>
          <w:rFonts w:hint="eastAsia" w:ascii="华文仿宋" w:hAnsi="华文仿宋" w:eastAsia="华文仿宋" w:cs="华文仿宋"/>
          <w:color w:val="auto"/>
          <w:highlight w:val="none"/>
        </w:rPr>
      </w:pPr>
      <w:r>
        <w:rPr>
          <w:rFonts w:hint="eastAsia" w:ascii="华文仿宋" w:hAnsi="华文仿宋" w:eastAsia="华文仿宋" w:cs="华文仿宋"/>
          <w:color w:val="auto"/>
          <w:sz w:val="24"/>
          <w:highlight w:val="none"/>
        </w:rPr>
        <w:t>2.</w:t>
      </w:r>
      <w:r>
        <w:rPr>
          <w:rFonts w:hint="eastAsia" w:ascii="华文仿宋" w:hAnsi="华文仿宋" w:eastAsia="华文仿宋" w:cs="华文仿宋"/>
          <w:color w:val="auto"/>
          <w:sz w:val="24"/>
          <w:highlight w:val="none"/>
          <w:lang w:val="en-US" w:eastAsia="zh-CN"/>
        </w:rPr>
        <w:t>3</w:t>
      </w:r>
      <w:r>
        <w:rPr>
          <w:rFonts w:hint="eastAsia" w:ascii="华文仿宋" w:hAnsi="华文仿宋" w:eastAsia="华文仿宋" w:cs="华文仿宋"/>
          <w:color w:val="auto"/>
          <w:sz w:val="24"/>
          <w:highlight w:val="none"/>
        </w:rPr>
        <w:t>.2本项目综合评分满分为100分，其中：技术资信分值占总分值的权重为</w:t>
      </w:r>
      <w:r>
        <w:rPr>
          <w:rFonts w:hint="eastAsia" w:ascii="华文仿宋" w:hAnsi="华文仿宋" w:eastAsia="华文仿宋" w:cs="华文仿宋"/>
          <w:color w:val="auto"/>
          <w:sz w:val="24"/>
          <w:highlight w:val="none"/>
          <w:u w:val="single"/>
          <w:lang w:val="en-US" w:eastAsia="zh-CN"/>
        </w:rPr>
        <w:t>80</w:t>
      </w:r>
      <w:r>
        <w:rPr>
          <w:rFonts w:hint="eastAsia" w:ascii="华文仿宋" w:hAnsi="华文仿宋" w:eastAsia="华文仿宋" w:cs="华文仿宋"/>
          <w:color w:val="auto"/>
          <w:sz w:val="24"/>
          <w:highlight w:val="none"/>
        </w:rPr>
        <w:t>%，价格分值占总分值的权重为</w:t>
      </w:r>
      <w:r>
        <w:rPr>
          <w:rFonts w:hint="eastAsia" w:ascii="华文仿宋" w:hAnsi="华文仿宋" w:eastAsia="华文仿宋" w:cs="华文仿宋"/>
          <w:color w:val="auto"/>
          <w:sz w:val="24"/>
          <w:highlight w:val="none"/>
          <w:u w:val="single"/>
          <w:lang w:val="en-US" w:eastAsia="zh-CN"/>
        </w:rPr>
        <w:t>20</w:t>
      </w:r>
      <w:r>
        <w:rPr>
          <w:rFonts w:hint="eastAsia" w:ascii="华文仿宋" w:hAnsi="华文仿宋" w:eastAsia="华文仿宋" w:cs="华文仿宋"/>
          <w:color w:val="auto"/>
          <w:sz w:val="24"/>
          <w:highlight w:val="none"/>
        </w:rPr>
        <w:t>%。具体评分细则如下：</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0CFC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2C6657E2">
            <w:pPr>
              <w:spacing w:line="360" w:lineRule="auto"/>
              <w:jc w:val="center"/>
              <w:rPr>
                <w:rFonts w:hint="eastAsia" w:ascii="华文仿宋" w:hAnsi="华文仿宋" w:eastAsia="华文仿宋" w:cs="华文仿宋"/>
                <w:b/>
                <w:bCs/>
                <w:color w:val="auto"/>
                <w:sz w:val="24"/>
                <w:highlight w:val="none"/>
              </w:rPr>
            </w:pPr>
            <w:r>
              <w:rPr>
                <w:rFonts w:hint="eastAsia" w:ascii="华文仿宋" w:hAnsi="华文仿宋" w:eastAsia="华文仿宋" w:cs="华文仿宋"/>
                <w:b/>
                <w:bCs/>
                <w:color w:val="auto"/>
                <w:sz w:val="24"/>
                <w:highlight w:val="none"/>
              </w:rPr>
              <w:t>类别</w:t>
            </w:r>
          </w:p>
        </w:tc>
        <w:tc>
          <w:tcPr>
            <w:tcW w:w="1009" w:type="pct"/>
            <w:tcBorders>
              <w:top w:val="single" w:color="auto" w:sz="4" w:space="0"/>
              <w:left w:val="single" w:color="auto" w:sz="4" w:space="0"/>
              <w:bottom w:val="single" w:color="auto" w:sz="4" w:space="0"/>
              <w:right w:val="single" w:color="auto" w:sz="4" w:space="0"/>
            </w:tcBorders>
            <w:vAlign w:val="center"/>
          </w:tcPr>
          <w:p w14:paraId="292231AA">
            <w:pPr>
              <w:spacing w:line="360" w:lineRule="auto"/>
              <w:jc w:val="center"/>
              <w:rPr>
                <w:rFonts w:hint="eastAsia" w:ascii="华文仿宋" w:hAnsi="华文仿宋" w:eastAsia="华文仿宋" w:cs="华文仿宋"/>
                <w:b/>
                <w:bCs/>
                <w:color w:val="auto"/>
                <w:sz w:val="24"/>
                <w:highlight w:val="none"/>
              </w:rPr>
            </w:pPr>
            <w:r>
              <w:rPr>
                <w:rFonts w:hint="eastAsia" w:ascii="华文仿宋" w:hAnsi="华文仿宋" w:eastAsia="华文仿宋" w:cs="华文仿宋"/>
                <w:b/>
                <w:bCs/>
                <w:color w:val="auto"/>
                <w:sz w:val="24"/>
                <w:highlight w:val="none"/>
              </w:rPr>
              <w:t>评分内容</w:t>
            </w:r>
          </w:p>
        </w:tc>
        <w:tc>
          <w:tcPr>
            <w:tcW w:w="2197" w:type="pct"/>
            <w:tcBorders>
              <w:top w:val="single" w:color="auto" w:sz="4" w:space="0"/>
              <w:left w:val="single" w:color="auto" w:sz="4" w:space="0"/>
              <w:bottom w:val="single" w:color="auto" w:sz="4" w:space="0"/>
              <w:right w:val="single" w:color="auto" w:sz="4" w:space="0"/>
            </w:tcBorders>
            <w:vAlign w:val="center"/>
          </w:tcPr>
          <w:p w14:paraId="407A0665">
            <w:pPr>
              <w:spacing w:line="360" w:lineRule="auto"/>
              <w:jc w:val="center"/>
              <w:rPr>
                <w:rFonts w:hint="eastAsia" w:ascii="华文仿宋" w:hAnsi="华文仿宋" w:eastAsia="华文仿宋" w:cs="华文仿宋"/>
                <w:b/>
                <w:bCs/>
                <w:color w:val="auto"/>
                <w:sz w:val="24"/>
                <w:highlight w:val="none"/>
              </w:rPr>
            </w:pPr>
            <w:r>
              <w:rPr>
                <w:rFonts w:hint="eastAsia" w:ascii="华文仿宋" w:hAnsi="华文仿宋" w:eastAsia="华文仿宋" w:cs="华文仿宋"/>
                <w:b/>
                <w:bCs/>
                <w:color w:val="auto"/>
                <w:sz w:val="24"/>
                <w:highlight w:val="none"/>
              </w:rPr>
              <w:t>评分标准</w:t>
            </w:r>
          </w:p>
        </w:tc>
        <w:tc>
          <w:tcPr>
            <w:tcW w:w="928" w:type="pct"/>
            <w:tcBorders>
              <w:top w:val="single" w:color="auto" w:sz="4" w:space="0"/>
              <w:left w:val="single" w:color="auto" w:sz="4" w:space="0"/>
              <w:bottom w:val="single" w:color="auto" w:sz="4" w:space="0"/>
              <w:right w:val="single" w:color="auto" w:sz="4" w:space="0"/>
            </w:tcBorders>
            <w:vAlign w:val="center"/>
          </w:tcPr>
          <w:p w14:paraId="0E342E24">
            <w:pPr>
              <w:spacing w:line="360" w:lineRule="auto"/>
              <w:jc w:val="center"/>
              <w:rPr>
                <w:rFonts w:hint="eastAsia" w:ascii="华文仿宋" w:hAnsi="华文仿宋" w:eastAsia="华文仿宋" w:cs="华文仿宋"/>
                <w:b/>
                <w:bCs/>
                <w:color w:val="auto"/>
                <w:sz w:val="24"/>
                <w:highlight w:val="none"/>
              </w:rPr>
            </w:pPr>
            <w:r>
              <w:rPr>
                <w:rFonts w:hint="eastAsia" w:ascii="华文仿宋" w:hAnsi="华文仿宋" w:eastAsia="华文仿宋" w:cs="华文仿宋"/>
                <w:b/>
                <w:bCs/>
                <w:color w:val="auto"/>
                <w:sz w:val="24"/>
                <w:highlight w:val="none"/>
              </w:rPr>
              <w:t>分值范围</w:t>
            </w:r>
          </w:p>
        </w:tc>
      </w:tr>
      <w:tr w14:paraId="7E6D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single" w:color="auto" w:sz="4" w:space="0"/>
              <w:left w:val="single" w:color="auto" w:sz="4" w:space="0"/>
              <w:right w:val="single" w:color="auto" w:sz="4" w:space="0"/>
            </w:tcBorders>
            <w:vAlign w:val="center"/>
          </w:tcPr>
          <w:p w14:paraId="6511DB5E">
            <w:pPr>
              <w:spacing w:line="360" w:lineRule="auto"/>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技术资信分</w:t>
            </w:r>
          </w:p>
          <w:p w14:paraId="1DA53BB0">
            <w:pPr>
              <w:spacing w:line="360" w:lineRule="auto"/>
              <w:jc w:val="center"/>
              <w:rPr>
                <w:rFonts w:hint="eastAsia" w:ascii="华文仿宋" w:hAnsi="华文仿宋" w:eastAsia="华文仿宋" w:cs="华文仿宋"/>
                <w:b/>
                <w:bCs/>
                <w:color w:val="auto"/>
                <w:sz w:val="24"/>
                <w:highlight w:val="none"/>
              </w:rPr>
            </w:pP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u w:val="single"/>
                <w:lang w:val="en-US" w:eastAsia="zh-CN"/>
              </w:rPr>
              <w:t>80</w:t>
            </w:r>
            <w:r>
              <w:rPr>
                <w:rFonts w:hint="eastAsia" w:ascii="华文仿宋" w:hAnsi="华文仿宋" w:eastAsia="华文仿宋" w:cs="华文仿宋"/>
                <w:color w:val="auto"/>
                <w:sz w:val="24"/>
                <w:highlight w:val="none"/>
              </w:rPr>
              <w:t>分）</w:t>
            </w:r>
          </w:p>
        </w:tc>
        <w:tc>
          <w:tcPr>
            <w:tcW w:w="1009" w:type="pct"/>
            <w:tcBorders>
              <w:top w:val="single" w:color="auto" w:sz="4" w:space="0"/>
              <w:left w:val="single" w:color="auto" w:sz="4" w:space="0"/>
              <w:bottom w:val="single" w:color="auto" w:sz="4" w:space="0"/>
              <w:right w:val="single" w:color="auto" w:sz="4" w:space="0"/>
            </w:tcBorders>
            <w:vAlign w:val="center"/>
          </w:tcPr>
          <w:p w14:paraId="5ABEB180">
            <w:pPr>
              <w:spacing w:line="360" w:lineRule="auto"/>
              <w:jc w:val="center"/>
              <w:rPr>
                <w:rFonts w:hint="eastAsia" w:ascii="华文仿宋" w:hAnsi="华文仿宋" w:eastAsia="华文仿宋" w:cs="华文仿宋"/>
                <w:bCs/>
                <w:color w:val="auto"/>
                <w:sz w:val="24"/>
                <w:highlight w:val="none"/>
                <w:lang w:val="en-US" w:eastAsia="zh-CN"/>
              </w:rPr>
            </w:pPr>
            <w:r>
              <w:rPr>
                <w:rFonts w:hint="eastAsia" w:ascii="华文仿宋" w:hAnsi="华文仿宋" w:eastAsia="华文仿宋" w:cs="华文仿宋"/>
                <w:bCs/>
                <w:color w:val="auto"/>
                <w:sz w:val="24"/>
                <w:highlight w:val="none"/>
                <w:lang w:val="en-US" w:eastAsia="zh-CN"/>
              </w:rPr>
              <w:t>业绩</w:t>
            </w:r>
          </w:p>
        </w:tc>
        <w:tc>
          <w:tcPr>
            <w:tcW w:w="2197" w:type="pct"/>
            <w:tcBorders>
              <w:top w:val="single" w:color="auto" w:sz="4" w:space="0"/>
              <w:left w:val="single" w:color="auto" w:sz="4" w:space="0"/>
              <w:bottom w:val="single" w:color="auto" w:sz="4" w:space="0"/>
              <w:right w:val="single" w:color="auto" w:sz="4" w:space="0"/>
            </w:tcBorders>
            <w:vAlign w:val="center"/>
          </w:tcPr>
          <w:p w14:paraId="5D2773FF">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供应商自2022年1月1日（时间以合同签订时间为准）至今具有的司法、仲裁领域庭审信息化系统（含远程庭审、庭审音视频、智慧庭审）建设或维保项目业绩的，每提供1个得5分，未提供的不得分，本条满分10分。</w:t>
            </w:r>
          </w:p>
          <w:p w14:paraId="329E8007">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注：提供合同复印件加盖供应商公章，合同内容须体现出是国内安全服务类内容等相关内容，否则不得分。</w:t>
            </w:r>
          </w:p>
        </w:tc>
        <w:tc>
          <w:tcPr>
            <w:tcW w:w="928" w:type="pct"/>
            <w:tcBorders>
              <w:top w:val="single" w:color="auto" w:sz="4" w:space="0"/>
              <w:left w:val="single" w:color="auto" w:sz="4" w:space="0"/>
              <w:bottom w:val="single" w:color="auto" w:sz="4" w:space="0"/>
              <w:right w:val="single" w:color="auto" w:sz="4" w:space="0"/>
            </w:tcBorders>
            <w:vAlign w:val="center"/>
          </w:tcPr>
          <w:p w14:paraId="6054DD39">
            <w:pPr>
              <w:spacing w:line="360" w:lineRule="auto"/>
              <w:jc w:val="center"/>
              <w:rPr>
                <w:rFonts w:hint="eastAsia" w:ascii="华文仿宋" w:hAnsi="华文仿宋" w:eastAsia="华文仿宋" w:cs="华文仿宋"/>
                <w:b/>
                <w:bCs/>
                <w:color w:val="auto"/>
                <w:sz w:val="24"/>
                <w:highlight w:val="none"/>
                <w:lang w:val="en-US" w:eastAsia="zh-CN"/>
              </w:rPr>
            </w:pPr>
            <w:r>
              <w:rPr>
                <w:rFonts w:hint="eastAsia" w:ascii="华文仿宋" w:hAnsi="华文仿宋" w:eastAsia="华文仿宋" w:cs="华文仿宋"/>
                <w:b/>
                <w:bCs/>
                <w:color w:val="auto"/>
                <w:sz w:val="24"/>
                <w:highlight w:val="none"/>
                <w:lang w:val="en-US" w:eastAsia="zh-CN"/>
              </w:rPr>
              <w:t>0-10分</w:t>
            </w:r>
          </w:p>
        </w:tc>
      </w:tr>
      <w:tr w14:paraId="0E02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continue"/>
            <w:tcBorders>
              <w:left w:val="single" w:color="auto" w:sz="4" w:space="0"/>
              <w:right w:val="single" w:color="auto" w:sz="4" w:space="0"/>
            </w:tcBorders>
            <w:vAlign w:val="center"/>
          </w:tcPr>
          <w:p w14:paraId="62427C1B">
            <w:pPr>
              <w:spacing w:line="360" w:lineRule="auto"/>
              <w:ind w:firstLine="435"/>
              <w:jc w:val="center"/>
              <w:rPr>
                <w:rFonts w:hint="eastAsia" w:ascii="华文仿宋" w:hAnsi="华文仿宋" w:eastAsia="华文仿宋" w:cs="华文仿宋"/>
                <w:b/>
                <w:bCs/>
                <w:color w:val="auto"/>
                <w:sz w:val="24"/>
                <w:highlight w:val="none"/>
              </w:rPr>
            </w:pPr>
          </w:p>
        </w:tc>
        <w:tc>
          <w:tcPr>
            <w:tcW w:w="1009" w:type="pct"/>
            <w:tcBorders>
              <w:top w:val="single" w:color="auto" w:sz="4" w:space="0"/>
              <w:left w:val="single" w:color="auto" w:sz="4" w:space="0"/>
              <w:bottom w:val="single" w:color="auto" w:sz="4" w:space="0"/>
              <w:right w:val="single" w:color="auto" w:sz="4" w:space="0"/>
            </w:tcBorders>
            <w:vAlign w:val="center"/>
          </w:tcPr>
          <w:p w14:paraId="5E354BD8">
            <w:pPr>
              <w:spacing w:line="360" w:lineRule="auto"/>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配备人员</w:t>
            </w:r>
          </w:p>
        </w:tc>
        <w:tc>
          <w:tcPr>
            <w:tcW w:w="2197" w:type="pct"/>
            <w:tcBorders>
              <w:top w:val="single" w:color="auto" w:sz="4" w:space="0"/>
              <w:left w:val="single" w:color="auto" w:sz="4" w:space="0"/>
              <w:bottom w:val="single" w:color="auto" w:sz="4" w:space="0"/>
              <w:right w:val="single" w:color="auto" w:sz="4" w:space="0"/>
            </w:tcBorders>
            <w:vAlign w:val="center"/>
          </w:tcPr>
          <w:p w14:paraId="090E1156">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1.项目负责人：具有信息系统项目管理师或</w:t>
            </w:r>
            <w:r>
              <w:rPr>
                <w:rFonts w:hint="eastAsia" w:ascii="华文仿宋" w:hAnsi="华文仿宋" w:eastAsia="华文仿宋" w:cs="华文仿宋"/>
                <w:strike w:val="0"/>
                <w:dstrike w:val="0"/>
                <w:color w:val="auto"/>
                <w:sz w:val="24"/>
                <w:highlight w:val="none"/>
                <w:lang w:val="en-US" w:eastAsia="zh-CN"/>
              </w:rPr>
              <w:t>系统规划与管理师证书</w:t>
            </w:r>
            <w:r>
              <w:rPr>
                <w:rFonts w:hint="eastAsia" w:ascii="华文仿宋" w:hAnsi="华文仿宋" w:eastAsia="华文仿宋" w:cs="华文仿宋"/>
                <w:color w:val="auto"/>
                <w:sz w:val="24"/>
                <w:highlight w:val="none"/>
                <w:lang w:val="en-US" w:eastAsia="zh-CN"/>
              </w:rPr>
              <w:t>得5分，满分5分。</w:t>
            </w:r>
          </w:p>
          <w:p w14:paraId="60482A57">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2.技术团队成员</w:t>
            </w:r>
          </w:p>
          <w:p w14:paraId="5D20838A">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系统集成项目管理工程师或信息系统项目管理师证书的得5分，满分5分。</w:t>
            </w:r>
          </w:p>
          <w:p w14:paraId="00BC983C">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注：投标文件里需包含：（1）提供人员名单，格式自行拟定；（2）人员相应证书扫描件；（3）上述人员须持有社保部门出具的本单位为其缴纳的投标前近三个月内任意一个月的养老保险证明（证明文件两个月内有效），或供应商提供承诺已为上述人员缴纳养老保险证明的承诺书（格式自拟）。</w:t>
            </w:r>
          </w:p>
        </w:tc>
        <w:tc>
          <w:tcPr>
            <w:tcW w:w="928" w:type="pct"/>
            <w:tcBorders>
              <w:top w:val="single" w:color="auto" w:sz="4" w:space="0"/>
              <w:left w:val="single" w:color="auto" w:sz="4" w:space="0"/>
              <w:bottom w:val="single" w:color="auto" w:sz="4" w:space="0"/>
              <w:right w:val="single" w:color="auto" w:sz="4" w:space="0"/>
            </w:tcBorders>
            <w:vAlign w:val="center"/>
          </w:tcPr>
          <w:p w14:paraId="482C374B">
            <w:pPr>
              <w:spacing w:line="360" w:lineRule="auto"/>
              <w:jc w:val="center"/>
              <w:rPr>
                <w:rFonts w:hint="eastAsia" w:ascii="华文仿宋" w:hAnsi="华文仿宋" w:eastAsia="华文仿宋" w:cs="华文仿宋"/>
                <w:b/>
                <w:bCs/>
                <w:color w:val="auto"/>
                <w:sz w:val="24"/>
                <w:highlight w:val="none"/>
                <w:lang w:val="en-US" w:eastAsia="zh-CN"/>
              </w:rPr>
            </w:pPr>
            <w:r>
              <w:rPr>
                <w:rFonts w:hint="eastAsia" w:ascii="华文仿宋" w:hAnsi="华文仿宋" w:eastAsia="华文仿宋" w:cs="华文仿宋"/>
                <w:b/>
                <w:bCs/>
                <w:color w:val="auto"/>
                <w:sz w:val="24"/>
                <w:highlight w:val="none"/>
                <w:lang w:val="en-US" w:eastAsia="zh-CN"/>
              </w:rPr>
              <w:t>0-10分</w:t>
            </w:r>
          </w:p>
        </w:tc>
      </w:tr>
      <w:tr w14:paraId="0DE2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continue"/>
            <w:tcBorders>
              <w:left w:val="single" w:color="auto" w:sz="4" w:space="0"/>
              <w:right w:val="single" w:color="auto" w:sz="4" w:space="0"/>
            </w:tcBorders>
            <w:vAlign w:val="center"/>
          </w:tcPr>
          <w:p w14:paraId="5960BDB0">
            <w:pPr>
              <w:spacing w:line="360" w:lineRule="auto"/>
              <w:ind w:firstLine="435"/>
              <w:jc w:val="center"/>
              <w:rPr>
                <w:rFonts w:hint="eastAsia" w:ascii="华文仿宋" w:hAnsi="华文仿宋" w:eastAsia="华文仿宋" w:cs="华文仿宋"/>
                <w:b/>
                <w:bCs/>
                <w:color w:val="auto"/>
                <w:sz w:val="24"/>
                <w:highlight w:val="none"/>
              </w:rPr>
            </w:pPr>
          </w:p>
        </w:tc>
        <w:tc>
          <w:tcPr>
            <w:tcW w:w="1009" w:type="pct"/>
            <w:tcBorders>
              <w:top w:val="single" w:color="auto" w:sz="4" w:space="0"/>
              <w:left w:val="single" w:color="auto" w:sz="4" w:space="0"/>
              <w:bottom w:val="single" w:color="auto" w:sz="4" w:space="0"/>
              <w:right w:val="single" w:color="auto" w:sz="4" w:space="0"/>
            </w:tcBorders>
            <w:vAlign w:val="center"/>
          </w:tcPr>
          <w:p w14:paraId="47DBFC96">
            <w:pPr>
              <w:spacing w:line="360" w:lineRule="auto"/>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售后承诺</w:t>
            </w:r>
          </w:p>
        </w:tc>
        <w:tc>
          <w:tcPr>
            <w:tcW w:w="2197" w:type="pct"/>
            <w:tcBorders>
              <w:top w:val="single" w:color="auto" w:sz="4" w:space="0"/>
              <w:left w:val="single" w:color="auto" w:sz="4" w:space="0"/>
              <w:bottom w:val="single" w:color="auto" w:sz="4" w:space="0"/>
              <w:right w:val="single" w:color="auto" w:sz="4" w:space="0"/>
            </w:tcBorders>
            <w:vAlign w:val="center"/>
          </w:tcPr>
          <w:p w14:paraId="3DDE520C">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供应商的</w:t>
            </w:r>
            <w:r>
              <w:rPr>
                <w:rFonts w:hint="eastAsia" w:ascii="华文仿宋" w:hAnsi="华文仿宋" w:eastAsia="华文仿宋" w:cs="华文仿宋"/>
                <w:b/>
                <w:bCs/>
                <w:color w:val="auto"/>
                <w:sz w:val="24"/>
                <w:highlight w:val="none"/>
                <w:lang w:val="en-US" w:eastAsia="zh-CN"/>
              </w:rPr>
              <w:t>书面承诺并加盖公章</w:t>
            </w:r>
            <w:r>
              <w:rPr>
                <w:rFonts w:hint="eastAsia" w:ascii="华文仿宋" w:hAnsi="华文仿宋" w:eastAsia="华文仿宋" w:cs="华文仿宋"/>
                <w:color w:val="auto"/>
                <w:sz w:val="24"/>
                <w:highlight w:val="none"/>
                <w:lang w:val="en-US" w:eastAsia="zh-CN"/>
              </w:rPr>
              <w:t>：</w:t>
            </w:r>
          </w:p>
          <w:p w14:paraId="6BE84B96">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（1）承诺服务台接到报修后技术响应时间≤30分钟的得4分，≤2小时的得2分，≤4小时的得1分，超过4小时不得分；</w:t>
            </w:r>
          </w:p>
          <w:p w14:paraId="7BD948D6">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（2）承诺为本项目成交后设立服务点与备件存放点，并提供人员、备件投入清单的，得4分；</w:t>
            </w:r>
          </w:p>
          <w:p w14:paraId="0B5D4D04">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（3）提供备品备件储备清单（含名称、规格、数量、存放地点、补充周期），且储备数量满足本项目关键设备快速更换需要的，得2分</w:t>
            </w:r>
          </w:p>
        </w:tc>
        <w:tc>
          <w:tcPr>
            <w:tcW w:w="928" w:type="pct"/>
            <w:tcBorders>
              <w:top w:val="single" w:color="auto" w:sz="4" w:space="0"/>
              <w:left w:val="single" w:color="auto" w:sz="4" w:space="0"/>
              <w:bottom w:val="single" w:color="auto" w:sz="4" w:space="0"/>
              <w:right w:val="single" w:color="auto" w:sz="4" w:space="0"/>
            </w:tcBorders>
            <w:vAlign w:val="center"/>
          </w:tcPr>
          <w:p w14:paraId="5011C42B">
            <w:pPr>
              <w:spacing w:line="360" w:lineRule="auto"/>
              <w:jc w:val="center"/>
              <w:rPr>
                <w:rFonts w:hint="eastAsia" w:ascii="华文仿宋" w:hAnsi="华文仿宋" w:eastAsia="华文仿宋" w:cs="华文仿宋"/>
                <w:b/>
                <w:bCs/>
                <w:color w:val="auto"/>
                <w:sz w:val="24"/>
                <w:highlight w:val="none"/>
                <w:lang w:val="en-US" w:eastAsia="zh-CN"/>
              </w:rPr>
            </w:pPr>
            <w:r>
              <w:rPr>
                <w:rFonts w:hint="eastAsia" w:ascii="华文仿宋" w:hAnsi="华文仿宋" w:eastAsia="华文仿宋" w:cs="华文仿宋"/>
                <w:b/>
                <w:bCs/>
                <w:color w:val="auto"/>
                <w:sz w:val="24"/>
                <w:highlight w:val="none"/>
                <w:lang w:val="en-US" w:eastAsia="zh-CN"/>
              </w:rPr>
              <w:t>0-10分</w:t>
            </w:r>
          </w:p>
        </w:tc>
      </w:tr>
      <w:tr w14:paraId="15C8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continue"/>
            <w:tcBorders>
              <w:left w:val="single" w:color="auto" w:sz="4" w:space="0"/>
              <w:right w:val="single" w:color="auto" w:sz="4" w:space="0"/>
            </w:tcBorders>
            <w:vAlign w:val="center"/>
          </w:tcPr>
          <w:p w14:paraId="0F96E2B7">
            <w:pPr>
              <w:spacing w:line="360" w:lineRule="auto"/>
              <w:ind w:firstLine="435"/>
              <w:jc w:val="center"/>
              <w:rPr>
                <w:rFonts w:hint="eastAsia" w:ascii="华文仿宋" w:hAnsi="华文仿宋" w:eastAsia="华文仿宋" w:cs="华文仿宋"/>
                <w:b/>
                <w:bCs/>
                <w:color w:val="auto"/>
                <w:sz w:val="24"/>
                <w:highlight w:val="none"/>
              </w:rPr>
            </w:pPr>
          </w:p>
        </w:tc>
        <w:tc>
          <w:tcPr>
            <w:tcW w:w="1009" w:type="pct"/>
            <w:tcBorders>
              <w:top w:val="single" w:color="auto" w:sz="4" w:space="0"/>
              <w:left w:val="single" w:color="auto" w:sz="4" w:space="0"/>
              <w:bottom w:val="single" w:color="auto" w:sz="4" w:space="0"/>
              <w:right w:val="single" w:color="auto" w:sz="4" w:space="0"/>
            </w:tcBorders>
            <w:vAlign w:val="center"/>
          </w:tcPr>
          <w:p w14:paraId="527BC98B">
            <w:pPr>
              <w:spacing w:line="360" w:lineRule="auto"/>
              <w:jc w:val="center"/>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服务承诺</w:t>
            </w:r>
          </w:p>
        </w:tc>
        <w:tc>
          <w:tcPr>
            <w:tcW w:w="2197" w:type="pct"/>
            <w:tcBorders>
              <w:top w:val="single" w:color="auto" w:sz="4" w:space="0"/>
              <w:left w:val="single" w:color="auto" w:sz="4" w:space="0"/>
              <w:bottom w:val="single" w:color="auto" w:sz="4" w:space="0"/>
              <w:right w:val="single" w:color="auto" w:sz="4" w:space="0"/>
            </w:tcBorders>
            <w:shd w:val="clear" w:color="auto" w:fill="auto"/>
            <w:vAlign w:val="center"/>
          </w:tcPr>
          <w:p w14:paraId="09B12804">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在满足采购文件实质性要求的前提下，供应商提供可量化、可考核的优于要求的承诺：</w:t>
            </w:r>
          </w:p>
          <w:p w14:paraId="3F59AA1B">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（1）承诺系统可用率优于99.5%，每提高0.1个百分点加1分，最高3分；</w:t>
            </w:r>
          </w:p>
          <w:p w14:paraId="5A4E080E">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（2）提供免费增值服务（如备用整机无偿借用、增加巡检频次、扩大损耗件免费更换范围、增加专项培训次数等），每项1分，最高3分；</w:t>
            </w:r>
          </w:p>
          <w:p w14:paraId="6D145503">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（3）承诺配合完成等级保护测评并免费整改至通过，得3分；</w:t>
            </w:r>
          </w:p>
          <w:p w14:paraId="44AA7C4B">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（4）其他优于采购文件要求且可量化、可考核的承诺（如缩短报告交付时限、增加现场驻场时间等），每项0.5分，最高1分。承诺内容须具体、可考核；空洞或无量化指标的承诺不得分。</w:t>
            </w:r>
          </w:p>
        </w:tc>
        <w:tc>
          <w:tcPr>
            <w:tcW w:w="928" w:type="pct"/>
            <w:tcBorders>
              <w:top w:val="single" w:color="auto" w:sz="4" w:space="0"/>
              <w:left w:val="single" w:color="auto" w:sz="4" w:space="0"/>
              <w:bottom w:val="single" w:color="auto" w:sz="4" w:space="0"/>
              <w:right w:val="single" w:color="auto" w:sz="4" w:space="0"/>
            </w:tcBorders>
            <w:vAlign w:val="center"/>
          </w:tcPr>
          <w:p w14:paraId="31B5C5FF">
            <w:pPr>
              <w:spacing w:line="360" w:lineRule="auto"/>
              <w:jc w:val="center"/>
              <w:rPr>
                <w:rFonts w:hint="eastAsia" w:ascii="华文仿宋" w:hAnsi="华文仿宋" w:eastAsia="华文仿宋" w:cs="华文仿宋"/>
                <w:b/>
                <w:bCs/>
                <w:color w:val="auto"/>
                <w:sz w:val="24"/>
                <w:highlight w:val="none"/>
                <w:lang w:val="en-US" w:eastAsia="zh-CN"/>
              </w:rPr>
            </w:pPr>
            <w:r>
              <w:rPr>
                <w:rFonts w:hint="eastAsia" w:ascii="华文仿宋" w:hAnsi="华文仿宋" w:eastAsia="华文仿宋" w:cs="华文仿宋"/>
                <w:b/>
                <w:bCs/>
                <w:color w:val="auto"/>
                <w:sz w:val="24"/>
                <w:highlight w:val="none"/>
                <w:lang w:val="en-US" w:eastAsia="zh-CN"/>
              </w:rPr>
              <w:t>0-10</w:t>
            </w:r>
          </w:p>
        </w:tc>
      </w:tr>
      <w:tr w14:paraId="6095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continue"/>
            <w:tcBorders>
              <w:left w:val="single" w:color="auto" w:sz="4" w:space="0"/>
              <w:right w:val="single" w:color="auto" w:sz="4" w:space="0"/>
            </w:tcBorders>
            <w:vAlign w:val="center"/>
          </w:tcPr>
          <w:p w14:paraId="3A417043">
            <w:pPr>
              <w:spacing w:line="360" w:lineRule="auto"/>
              <w:ind w:firstLine="435"/>
              <w:jc w:val="center"/>
              <w:rPr>
                <w:rFonts w:hint="eastAsia" w:ascii="华文仿宋" w:hAnsi="华文仿宋" w:eastAsia="华文仿宋" w:cs="华文仿宋"/>
                <w:b/>
                <w:bCs/>
                <w:color w:val="auto"/>
                <w:sz w:val="24"/>
                <w:highlight w:val="none"/>
              </w:rPr>
            </w:pPr>
          </w:p>
        </w:tc>
        <w:tc>
          <w:tcPr>
            <w:tcW w:w="1009" w:type="pct"/>
            <w:tcBorders>
              <w:top w:val="single" w:color="auto" w:sz="4" w:space="0"/>
              <w:left w:val="single" w:color="auto" w:sz="4" w:space="0"/>
              <w:bottom w:val="single" w:color="auto" w:sz="4" w:space="0"/>
              <w:right w:val="single" w:color="auto" w:sz="4" w:space="0"/>
            </w:tcBorders>
            <w:vAlign w:val="center"/>
          </w:tcPr>
          <w:p w14:paraId="290690A2">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1.仲裁业务流程理解与场景适配方案</w:t>
            </w:r>
          </w:p>
        </w:tc>
        <w:tc>
          <w:tcPr>
            <w:tcW w:w="2197" w:type="pct"/>
            <w:tcBorders>
              <w:top w:val="single" w:color="auto" w:sz="4" w:space="0"/>
              <w:left w:val="single" w:color="auto" w:sz="4" w:space="0"/>
              <w:bottom w:val="single" w:color="auto" w:sz="4" w:space="0"/>
              <w:right w:val="single" w:color="auto" w:sz="4" w:space="0"/>
            </w:tcBorders>
            <w:vAlign w:val="center"/>
          </w:tcPr>
          <w:p w14:paraId="6D7E96BD">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1.业务流程理解与信息化依赖分析：完整覆盖劳动人事争议仲裁受理立案、庭前准备、庭审（含远程庭审）、调解、结案归档五个环节，并逐环节说明其对本系统功能、设备与数据的依赖关系：</w:t>
            </w:r>
          </w:p>
          <w:p w14:paraId="1A0ECF8E">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（1）针对各环节有明确的系统维保实施方案，对各个环节专业性、制度要求、系统要求熟悉，实施方案有详细明确操作内容的得5分；</w:t>
            </w:r>
          </w:p>
          <w:p w14:paraId="3BC2B9FE">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（2）针对各环节基本了解，各环节对应的系统操作基本熟悉，实施内容明确的得3分；</w:t>
            </w:r>
          </w:p>
          <w:p w14:paraId="52C96C04">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（3）对各环节内容不熟悉，与项目系统的流程不能匹配，实施内容空洞的得1分。</w:t>
            </w:r>
          </w:p>
          <w:p w14:paraId="4009EC38">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（4）未提供不得分。</w:t>
            </w:r>
          </w:p>
          <w:p w14:paraId="138AD1B0">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2.典型业务场景运维保障与优化建议：针对庭审现场指挥、证据展示与笔录、庭审录音录像与归档、无纸化会议材料分发与表决四类场景，逐类提出具体运维保障措施或优化建议：</w:t>
            </w:r>
          </w:p>
          <w:p w14:paraId="562C688C">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（1）针对各环节有明确的系统维保实施方案，对各个环节专业性、制度要求、系统要求熟悉，运维保障措施或优化有详细明确操作内容的得5分；</w:t>
            </w:r>
          </w:p>
          <w:p w14:paraId="25EC98D5">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（2）针对各环节基本了解，各环节对应的系统操作基本熟悉，运维保障措施或优化明确的得3分；</w:t>
            </w:r>
          </w:p>
          <w:p w14:paraId="5A08B66D">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（3）对各环节内容不熟悉，与项目系统的流程不能匹配，运维保障措施或优化空洞的得1分。</w:t>
            </w:r>
          </w:p>
          <w:p w14:paraId="5AA17A22">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（4）未提供不得分。</w:t>
            </w:r>
          </w:p>
          <w:p w14:paraId="50BBDB59">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仅照抄采购需求而无业务流程描述与针对性措施的，本项不得分。本项评审的是响应文件所载方案内容，不以供应商是否具有仲裁行业业绩、是否承接过仲裁机构项目作为评审条件</w:t>
            </w:r>
          </w:p>
        </w:tc>
        <w:tc>
          <w:tcPr>
            <w:tcW w:w="928" w:type="pct"/>
            <w:tcBorders>
              <w:top w:val="single" w:color="auto" w:sz="4" w:space="0"/>
              <w:left w:val="single" w:color="auto" w:sz="4" w:space="0"/>
              <w:bottom w:val="single" w:color="auto" w:sz="4" w:space="0"/>
              <w:right w:val="single" w:color="auto" w:sz="4" w:space="0"/>
            </w:tcBorders>
            <w:vAlign w:val="center"/>
          </w:tcPr>
          <w:p w14:paraId="11856581">
            <w:pPr>
              <w:spacing w:line="360" w:lineRule="auto"/>
              <w:jc w:val="center"/>
              <w:rPr>
                <w:rFonts w:hint="eastAsia" w:ascii="华文仿宋" w:hAnsi="华文仿宋" w:eastAsia="华文仿宋" w:cs="华文仿宋"/>
                <w:b/>
                <w:bCs/>
                <w:color w:val="auto"/>
                <w:sz w:val="24"/>
                <w:highlight w:val="none"/>
                <w:lang w:val="en-US" w:eastAsia="zh-CN"/>
              </w:rPr>
            </w:pPr>
            <w:r>
              <w:rPr>
                <w:rFonts w:hint="eastAsia" w:ascii="华文仿宋" w:hAnsi="华文仿宋" w:eastAsia="华文仿宋" w:cs="华文仿宋"/>
                <w:b/>
                <w:bCs/>
                <w:color w:val="auto"/>
                <w:sz w:val="24"/>
                <w:highlight w:val="none"/>
                <w:lang w:val="en-US" w:eastAsia="zh-CN"/>
              </w:rPr>
              <w:t>0-10分</w:t>
            </w:r>
          </w:p>
        </w:tc>
      </w:tr>
      <w:tr w14:paraId="53CA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continue"/>
            <w:tcBorders>
              <w:left w:val="single" w:color="auto" w:sz="4" w:space="0"/>
              <w:right w:val="single" w:color="auto" w:sz="4" w:space="0"/>
            </w:tcBorders>
            <w:vAlign w:val="center"/>
          </w:tcPr>
          <w:p w14:paraId="223D5A7C">
            <w:pPr>
              <w:spacing w:line="360" w:lineRule="auto"/>
              <w:ind w:firstLine="435"/>
              <w:jc w:val="center"/>
              <w:rPr>
                <w:rFonts w:hint="eastAsia" w:ascii="华文仿宋" w:hAnsi="华文仿宋" w:eastAsia="华文仿宋" w:cs="华文仿宋"/>
                <w:b/>
                <w:bCs/>
                <w:color w:val="auto"/>
                <w:sz w:val="24"/>
                <w:highlight w:val="none"/>
              </w:rPr>
            </w:pPr>
          </w:p>
        </w:tc>
        <w:tc>
          <w:tcPr>
            <w:tcW w:w="1009" w:type="pct"/>
            <w:tcBorders>
              <w:top w:val="single" w:color="auto" w:sz="4" w:space="0"/>
              <w:left w:val="single" w:color="auto" w:sz="4" w:space="0"/>
              <w:bottom w:val="single" w:color="auto" w:sz="4" w:space="0"/>
              <w:right w:val="single" w:color="auto" w:sz="4" w:space="0"/>
            </w:tcBorders>
            <w:vAlign w:val="center"/>
          </w:tcPr>
          <w:p w14:paraId="7E7DDAD9">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2.硬件维保实施方案</w:t>
            </w:r>
          </w:p>
        </w:tc>
        <w:tc>
          <w:tcPr>
            <w:tcW w:w="2197" w:type="pct"/>
            <w:tcBorders>
              <w:top w:val="single" w:color="auto" w:sz="4" w:space="0"/>
              <w:left w:val="single" w:color="auto" w:sz="4" w:space="0"/>
              <w:bottom w:val="single" w:color="auto" w:sz="4" w:space="0"/>
              <w:right w:val="single" w:color="auto" w:sz="4" w:space="0"/>
            </w:tcBorders>
            <w:vAlign w:val="center"/>
          </w:tcPr>
          <w:p w14:paraId="49F10632">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供应商根据本项目特点编制硬件维保实施方案，内容包括前期调研与方案编制。前期调研包含项目启动工作、信息收集和分析、工具准备；方案编制包含维保内容确定、工具测试方法确定、维保方案编制等内容。磋商小组按下列标准分档评审：</w:t>
            </w:r>
          </w:p>
          <w:p w14:paraId="446CFEF7">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方案满足本项目维保实施的要求，准备工作详尽，调研范围、方法、工具、资源、时间安排等详细齐全，人员和工具配备充足，能考虑到数据采集、存储和分析的合规性、安全性；周/月/季/年分级保养计划与采购需求逐项对应，6类子系统作业动作、工艺标准与工具仪表明确且具有本项目针对性；作业责任人、时段安排、风险控制与恢复措施明确可行的，得10分；（2）方案基本满足本项目维保实施的要求，时间、资源安排基本合理，主要内容齐全，但细节不够完善，人员或工具安排偏紧，部分环节针对性一般的，得7分；</w:t>
            </w:r>
          </w:p>
          <w:p w14:paraId="246B0694">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（3）方案与本项目维保实施要求符合度不高，调研计划缺乏灵活性，预见性不足，人员配备或工具配置明显不足，执行策略较模糊的，得4分；</w:t>
            </w:r>
          </w:p>
          <w:p w14:paraId="231B8309">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（4）工作内容描述差、照抄采购需求而无本项目针对性，或未提供的，不得分。</w:t>
            </w:r>
          </w:p>
        </w:tc>
        <w:tc>
          <w:tcPr>
            <w:tcW w:w="928" w:type="pct"/>
            <w:tcBorders>
              <w:top w:val="single" w:color="auto" w:sz="4" w:space="0"/>
              <w:left w:val="single" w:color="auto" w:sz="4" w:space="0"/>
              <w:bottom w:val="single" w:color="auto" w:sz="4" w:space="0"/>
              <w:right w:val="single" w:color="auto" w:sz="4" w:space="0"/>
            </w:tcBorders>
            <w:vAlign w:val="center"/>
          </w:tcPr>
          <w:p w14:paraId="5EA6C328">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华文仿宋" w:hAnsi="华文仿宋" w:eastAsia="华文仿宋" w:cs="华文仿宋"/>
                <w:b/>
                <w:bCs/>
                <w:color w:val="auto"/>
                <w:sz w:val="24"/>
                <w:highlight w:val="none"/>
              </w:rPr>
            </w:pPr>
            <w:r>
              <w:rPr>
                <w:rFonts w:hint="eastAsia" w:ascii="华文仿宋" w:hAnsi="华文仿宋" w:eastAsia="华文仿宋" w:cs="华文仿宋"/>
                <w:b w:val="0"/>
                <w:bCs w:val="0"/>
                <w:color w:val="auto"/>
                <w:sz w:val="24"/>
                <w:highlight w:val="none"/>
                <w:lang w:val="en-US" w:eastAsia="zh-CN"/>
              </w:rPr>
              <w:t>0-10分</w:t>
            </w:r>
          </w:p>
        </w:tc>
      </w:tr>
      <w:tr w14:paraId="262C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continue"/>
            <w:tcBorders>
              <w:left w:val="single" w:color="auto" w:sz="4" w:space="0"/>
              <w:right w:val="single" w:color="auto" w:sz="4" w:space="0"/>
            </w:tcBorders>
            <w:vAlign w:val="center"/>
          </w:tcPr>
          <w:p w14:paraId="3057552D">
            <w:pPr>
              <w:spacing w:line="360" w:lineRule="auto"/>
              <w:ind w:firstLine="435"/>
              <w:jc w:val="center"/>
              <w:rPr>
                <w:rFonts w:hint="eastAsia" w:ascii="华文仿宋" w:hAnsi="华文仿宋" w:eastAsia="华文仿宋" w:cs="华文仿宋"/>
                <w:b/>
                <w:bCs/>
                <w:color w:val="auto"/>
                <w:sz w:val="24"/>
                <w:highlight w:val="none"/>
              </w:rPr>
            </w:pPr>
          </w:p>
        </w:tc>
        <w:tc>
          <w:tcPr>
            <w:tcW w:w="1009" w:type="pct"/>
            <w:tcBorders>
              <w:top w:val="single" w:color="auto" w:sz="4" w:space="0"/>
              <w:left w:val="single" w:color="auto" w:sz="4" w:space="0"/>
              <w:bottom w:val="single" w:color="auto" w:sz="4" w:space="0"/>
              <w:right w:val="single" w:color="auto" w:sz="4" w:space="0"/>
            </w:tcBorders>
            <w:vAlign w:val="center"/>
          </w:tcPr>
          <w:p w14:paraId="3B864A5F">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3.软件系统维保与数据备份方案</w:t>
            </w:r>
          </w:p>
        </w:tc>
        <w:tc>
          <w:tcPr>
            <w:tcW w:w="2197" w:type="pct"/>
            <w:tcBorders>
              <w:top w:val="single" w:color="auto" w:sz="4" w:space="0"/>
              <w:left w:val="single" w:color="auto" w:sz="4" w:space="0"/>
              <w:bottom w:val="single" w:color="auto" w:sz="4" w:space="0"/>
              <w:right w:val="single" w:color="auto" w:sz="4" w:space="0"/>
            </w:tcBorders>
            <w:vAlign w:val="center"/>
          </w:tcPr>
          <w:p w14:paraId="0168973B">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供应商根据本项目特点编制软件系统维保与数据备份方案，内容包括系统软件与应用软件运维（补丁评估—测试—推送闭环、配置备份、账号与权限管理、重大版本升级回滚）、备份与恢复（备份策略、介质异地或异介质保存、RTO≤4小时与RPO≤24小时的实现路径、季度恢复演练安排）、数据一致性校验方法与恢复演练记录模板等。磋商小组按下列标准分档评审：</w:t>
            </w:r>
          </w:p>
          <w:p w14:paraId="04F18E91">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 方案符合本项目特点，内容全面完善，运维、备份恢复、一致性校验与演练记录模板齐全，服务内容细致可行、贴合项目需求具有针对性，可提供用户现场服务，应急事件处置措施完备的，得10分；</w:t>
            </w:r>
          </w:p>
          <w:p w14:paraId="2FDED0B4">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（2） 方案基本符合本项目特点，内容基本完善，基本贴合项目需求，有针对性的描述，能提供用户现场服务，但应急事件处置措施较简单的，得7分；</w:t>
            </w:r>
          </w:p>
          <w:p w14:paraId="209C4260">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（3） 方案完整但与本项目符合度不高，未提及用户现场服务的具体措施，未针对应急事件提出具体处置措施的，得4分；</w:t>
            </w:r>
          </w:p>
          <w:p w14:paraId="73AEB9E6">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（4） 方案内容差、出现与本项目无关内容，或未提供的，不得分。</w:t>
            </w:r>
          </w:p>
        </w:tc>
        <w:tc>
          <w:tcPr>
            <w:tcW w:w="928" w:type="pct"/>
            <w:tcBorders>
              <w:top w:val="single" w:color="auto" w:sz="4" w:space="0"/>
              <w:left w:val="single" w:color="auto" w:sz="4" w:space="0"/>
              <w:bottom w:val="single" w:color="auto" w:sz="4" w:space="0"/>
              <w:right w:val="single" w:color="auto" w:sz="4" w:space="0"/>
            </w:tcBorders>
            <w:vAlign w:val="center"/>
          </w:tcPr>
          <w:p w14:paraId="263CFBFC">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华文仿宋" w:hAnsi="华文仿宋" w:eastAsia="华文仿宋" w:cs="华文仿宋"/>
                <w:b/>
                <w:bCs/>
                <w:color w:val="auto"/>
                <w:sz w:val="24"/>
                <w:highlight w:val="none"/>
              </w:rPr>
            </w:pPr>
            <w:r>
              <w:rPr>
                <w:rFonts w:hint="eastAsia" w:ascii="华文仿宋" w:hAnsi="华文仿宋" w:eastAsia="华文仿宋" w:cs="华文仿宋"/>
                <w:b w:val="0"/>
                <w:bCs w:val="0"/>
                <w:color w:val="auto"/>
                <w:sz w:val="24"/>
                <w:highlight w:val="none"/>
                <w:lang w:val="en-US" w:eastAsia="zh-CN"/>
              </w:rPr>
              <w:t>0-10分</w:t>
            </w:r>
          </w:p>
        </w:tc>
      </w:tr>
      <w:tr w14:paraId="3396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continue"/>
            <w:tcBorders>
              <w:left w:val="single" w:color="auto" w:sz="4" w:space="0"/>
              <w:right w:val="single" w:color="auto" w:sz="4" w:space="0"/>
            </w:tcBorders>
            <w:vAlign w:val="center"/>
          </w:tcPr>
          <w:p w14:paraId="357260A4">
            <w:pPr>
              <w:spacing w:line="360" w:lineRule="auto"/>
              <w:ind w:firstLine="435"/>
              <w:jc w:val="center"/>
              <w:rPr>
                <w:rFonts w:hint="eastAsia" w:ascii="华文仿宋" w:hAnsi="华文仿宋" w:eastAsia="华文仿宋" w:cs="华文仿宋"/>
                <w:b/>
                <w:bCs/>
                <w:color w:val="auto"/>
                <w:sz w:val="24"/>
                <w:highlight w:val="none"/>
              </w:rPr>
            </w:pPr>
          </w:p>
        </w:tc>
        <w:tc>
          <w:tcPr>
            <w:tcW w:w="1009" w:type="pct"/>
            <w:tcBorders>
              <w:top w:val="single" w:color="auto" w:sz="4" w:space="0"/>
              <w:left w:val="single" w:color="auto" w:sz="4" w:space="0"/>
              <w:bottom w:val="single" w:color="auto" w:sz="4" w:space="0"/>
              <w:right w:val="single" w:color="auto" w:sz="4" w:space="0"/>
            </w:tcBorders>
            <w:vAlign w:val="center"/>
          </w:tcPr>
          <w:p w14:paraId="7A196B5D">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4.省级、市级数据对接与共享专项方案</w:t>
            </w:r>
          </w:p>
        </w:tc>
        <w:tc>
          <w:tcPr>
            <w:tcW w:w="2197" w:type="pct"/>
            <w:tcBorders>
              <w:top w:val="single" w:color="auto" w:sz="4" w:space="0"/>
              <w:left w:val="single" w:color="auto" w:sz="4" w:space="0"/>
              <w:bottom w:val="single" w:color="auto" w:sz="4" w:space="0"/>
              <w:right w:val="single" w:color="auto" w:sz="4" w:space="0"/>
            </w:tcBorders>
            <w:vAlign w:val="center"/>
          </w:tcPr>
          <w:p w14:paraId="25C52B31">
            <w:pPr>
              <w:spacing w:line="360" w:lineRule="auto"/>
              <w:jc w:val="left"/>
              <w:rPr>
                <w:rFonts w:hint="eastAsia" w:ascii="华文仿宋" w:hAnsi="华文仿宋" w:eastAsia="华文仿宋" w:cs="华文仿宋"/>
                <w:color w:val="auto"/>
                <w:sz w:val="24"/>
                <w:highlight w:val="none"/>
                <w:lang w:val="en-US" w:eastAsia="zh-CN"/>
              </w:rPr>
            </w:pPr>
            <w:bookmarkStart w:id="60" w:name="OLE_LINK1"/>
            <w:r>
              <w:rPr>
                <w:rFonts w:hint="eastAsia" w:ascii="华文仿宋" w:hAnsi="华文仿宋" w:eastAsia="华文仿宋" w:cs="华文仿宋"/>
                <w:color w:val="auto"/>
                <w:sz w:val="24"/>
                <w:highlight w:val="none"/>
                <w:lang w:val="en-US" w:eastAsia="zh-CN"/>
              </w:rPr>
              <w:t>供应商应结合本项目维保工作实际，制定数据对接与共享专项维保方案。方案应围绕保障现有数据对接链路稳定、数据准确、故障快速处置等维保核心目标编制，内容涵盖省级平台对接维保、市级数据汇聚运维、市—县两级贯通保障、数据一致性核对与异常处置等部分，方案表述清晰、具备可操作性。磋商小组按下列标准分档评审：</w:t>
            </w:r>
          </w:p>
          <w:p w14:paraId="2BF00715">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（1） 方案贴合本项目数据对接实际，上述内容完整，实施路径清晰、责任分工明确、时限安排合理，具有具体的操作实施方案和针对本项目的描述的，得10分；</w:t>
            </w:r>
          </w:p>
          <w:p w14:paraId="42B86F6F">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（2） 方案基本贴合本项目数据对接实际，主要内容基本完整，有一定实施路径和针对描述，但部分环节不够细化、操作方案一般的，得7分；</w:t>
            </w:r>
          </w:p>
          <w:p w14:paraId="76788C9C">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（3） 方案内容完整但与本项目符合度不高，实施路径笼统，未针对省级平台、市级汇聚、市—县贯通提出具体措施的，得4分；</w:t>
            </w:r>
          </w:p>
          <w:p w14:paraId="1169875A">
            <w:pPr>
              <w:spacing w:line="360" w:lineRule="auto"/>
              <w:jc w:val="lef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（4） 方案内容差、抄袭采购需求而无实施路径，或未提供的，不得分。</w:t>
            </w:r>
            <w:bookmarkEnd w:id="60"/>
          </w:p>
        </w:tc>
        <w:tc>
          <w:tcPr>
            <w:tcW w:w="928" w:type="pct"/>
            <w:tcBorders>
              <w:top w:val="single" w:color="auto" w:sz="4" w:space="0"/>
              <w:left w:val="single" w:color="auto" w:sz="4" w:space="0"/>
              <w:bottom w:val="single" w:color="auto" w:sz="4" w:space="0"/>
              <w:right w:val="single" w:color="auto" w:sz="4" w:space="0"/>
            </w:tcBorders>
            <w:vAlign w:val="center"/>
          </w:tcPr>
          <w:p w14:paraId="322E2CE8">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华文仿宋" w:hAnsi="华文仿宋" w:eastAsia="华文仿宋" w:cs="华文仿宋"/>
                <w:b w:val="0"/>
                <w:bCs w:val="0"/>
                <w:color w:val="auto"/>
                <w:sz w:val="24"/>
                <w:highlight w:val="none"/>
                <w:lang w:val="en-US" w:eastAsia="zh-CN"/>
              </w:rPr>
            </w:pPr>
            <w:r>
              <w:rPr>
                <w:rFonts w:hint="eastAsia" w:ascii="华文仿宋" w:hAnsi="华文仿宋" w:eastAsia="华文仿宋" w:cs="华文仿宋"/>
                <w:b w:val="0"/>
                <w:bCs w:val="0"/>
                <w:color w:val="auto"/>
                <w:sz w:val="24"/>
                <w:highlight w:val="none"/>
                <w:lang w:val="en-US" w:eastAsia="zh-CN"/>
              </w:rPr>
              <w:t>0-10分</w:t>
            </w:r>
          </w:p>
        </w:tc>
      </w:tr>
      <w:tr w14:paraId="17A0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left w:val="single" w:color="auto" w:sz="4" w:space="0"/>
              <w:right w:val="single" w:color="auto" w:sz="4" w:space="0"/>
            </w:tcBorders>
            <w:vAlign w:val="center"/>
          </w:tcPr>
          <w:p w14:paraId="77F42B04">
            <w:pPr>
              <w:spacing w:line="360" w:lineRule="auto"/>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价格分</w:t>
            </w:r>
          </w:p>
          <w:p w14:paraId="53890B7A">
            <w:pPr>
              <w:spacing w:line="360" w:lineRule="auto"/>
              <w:jc w:val="center"/>
              <w:rPr>
                <w:rFonts w:hint="eastAsia" w:ascii="华文仿宋" w:hAnsi="华文仿宋" w:eastAsia="华文仿宋" w:cs="华文仿宋"/>
                <w:b/>
                <w:bCs/>
                <w:color w:val="auto"/>
                <w:sz w:val="24"/>
                <w:highlight w:val="none"/>
              </w:rPr>
            </w:pP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u w:val="single"/>
                <w:lang w:val="en-US" w:eastAsia="zh-CN"/>
              </w:rPr>
              <w:t>20</w:t>
            </w:r>
            <w:r>
              <w:rPr>
                <w:rFonts w:hint="eastAsia" w:ascii="华文仿宋" w:hAnsi="华文仿宋" w:eastAsia="华文仿宋" w:cs="华文仿宋"/>
                <w:color w:val="auto"/>
                <w:sz w:val="24"/>
                <w:highlight w:val="none"/>
              </w:rPr>
              <w:t>分）</w:t>
            </w:r>
          </w:p>
        </w:tc>
        <w:tc>
          <w:tcPr>
            <w:tcW w:w="4134" w:type="pct"/>
            <w:gridSpan w:val="3"/>
            <w:tcBorders>
              <w:top w:val="single" w:color="auto" w:sz="4" w:space="0"/>
              <w:left w:val="single" w:color="auto" w:sz="4" w:space="0"/>
              <w:bottom w:val="single" w:color="auto" w:sz="4" w:space="0"/>
              <w:right w:val="single" w:color="auto" w:sz="4" w:space="0"/>
            </w:tcBorders>
            <w:vAlign w:val="center"/>
          </w:tcPr>
          <w:p w14:paraId="1C2CC80E">
            <w:pPr>
              <w:spacing w:line="360" w:lineRule="auto"/>
              <w:jc w:val="left"/>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价格分统一采用低价优先法，即满足磋商文件要求且最后报价最低的供应商的价格为磋商基准价，其价格分为满分</w:t>
            </w:r>
            <w:r>
              <w:rPr>
                <w:rFonts w:hint="eastAsia" w:ascii="华文仿宋" w:hAnsi="华文仿宋" w:eastAsia="华文仿宋" w:cs="华文仿宋"/>
                <w:color w:val="auto"/>
                <w:sz w:val="24"/>
                <w:highlight w:val="none"/>
                <w:u w:val="single"/>
                <w:lang w:val="en-US" w:eastAsia="zh-CN"/>
              </w:rPr>
              <w:t>20</w:t>
            </w:r>
            <w:r>
              <w:rPr>
                <w:rFonts w:hint="eastAsia" w:ascii="华文仿宋" w:hAnsi="华文仿宋" w:eastAsia="华文仿宋" w:cs="华文仿宋"/>
                <w:color w:val="auto"/>
                <w:sz w:val="24"/>
                <w:highlight w:val="none"/>
              </w:rPr>
              <w:t>分。其他供应商的价格分统一按照下列公式计算：</w:t>
            </w:r>
          </w:p>
          <w:p w14:paraId="2545735E">
            <w:pPr>
              <w:spacing w:line="360" w:lineRule="auto"/>
              <w:jc w:val="left"/>
              <w:rPr>
                <w:rFonts w:hint="eastAsia" w:ascii="华文仿宋" w:hAnsi="华文仿宋" w:eastAsia="华文仿宋" w:cs="华文仿宋"/>
                <w:b/>
                <w:bCs/>
                <w:color w:val="auto"/>
                <w:sz w:val="24"/>
                <w:highlight w:val="none"/>
              </w:rPr>
            </w:pPr>
            <w:r>
              <w:rPr>
                <w:rFonts w:hint="eastAsia" w:ascii="华文仿宋" w:hAnsi="华文仿宋" w:eastAsia="华文仿宋" w:cs="华文仿宋"/>
                <w:color w:val="auto"/>
                <w:sz w:val="24"/>
                <w:highlight w:val="none"/>
              </w:rPr>
              <w:t>磋商报价得分＝（磋商基准价/最后磋商报价）×</w:t>
            </w:r>
            <w:r>
              <w:rPr>
                <w:rFonts w:hint="eastAsia" w:ascii="华文仿宋" w:hAnsi="华文仿宋" w:eastAsia="华文仿宋" w:cs="华文仿宋"/>
                <w:color w:val="auto"/>
                <w:sz w:val="24"/>
                <w:highlight w:val="none"/>
                <w:u w:val="single"/>
                <w:lang w:val="en-US" w:eastAsia="zh-CN"/>
              </w:rPr>
              <w:t>20</w:t>
            </w:r>
            <w:r>
              <w:rPr>
                <w:rFonts w:hint="eastAsia" w:ascii="华文仿宋" w:hAnsi="华文仿宋" w:eastAsia="华文仿宋" w:cs="华文仿宋"/>
                <w:color w:val="auto"/>
                <w:sz w:val="24"/>
                <w:highlight w:val="none"/>
              </w:rPr>
              <w:t>％×100</w:t>
            </w:r>
          </w:p>
        </w:tc>
      </w:tr>
    </w:tbl>
    <w:p w14:paraId="03FA309C">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w:t>
      </w:r>
      <w:r>
        <w:rPr>
          <w:rFonts w:hint="eastAsia" w:ascii="华文仿宋" w:hAnsi="华文仿宋" w:eastAsia="华文仿宋" w:cs="华文仿宋"/>
          <w:color w:val="auto"/>
          <w:sz w:val="24"/>
          <w:highlight w:val="none"/>
          <w:lang w:val="en-US" w:eastAsia="zh-CN"/>
        </w:rPr>
        <w:t>3</w:t>
      </w:r>
      <w:r>
        <w:rPr>
          <w:rFonts w:hint="eastAsia" w:ascii="华文仿宋" w:hAnsi="华文仿宋" w:eastAsia="华文仿宋" w:cs="华文仿宋"/>
          <w:color w:val="auto"/>
          <w:sz w:val="24"/>
          <w:highlight w:val="none"/>
        </w:rPr>
        <w:t>.3分值汇总</w:t>
      </w:r>
    </w:p>
    <w:p w14:paraId="161F1136">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（1）磋商小组各成员应当独立对每个有效响应的文件进行评价、打分，然后汇总每个供应商每项评分因素的得分，再取各位评委评分之平均值，四舍五入保留至小数点后两位数，得到该供应商的技术资信分。</w:t>
      </w:r>
    </w:p>
    <w:p w14:paraId="59938E87">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（2）将每个供应商的技术资信分加上根据上述标准计算出的价格分，即为该供应商的综合总得分。</w:t>
      </w:r>
    </w:p>
    <w:p w14:paraId="0DD34D74">
      <w:pPr>
        <w:widowControl/>
        <w:jc w:val="left"/>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br w:type="page"/>
      </w:r>
    </w:p>
    <w:p w14:paraId="2277A901">
      <w:pPr>
        <w:spacing w:line="360" w:lineRule="auto"/>
        <w:jc w:val="center"/>
        <w:outlineLvl w:val="0"/>
        <w:rPr>
          <w:rFonts w:hint="eastAsia" w:ascii="华文仿宋" w:hAnsi="华文仿宋" w:eastAsia="华文仿宋" w:cs="华文仿宋"/>
          <w:b/>
          <w:color w:val="auto"/>
          <w:sz w:val="28"/>
          <w:highlight w:val="none"/>
        </w:rPr>
      </w:pPr>
      <w:bookmarkStart w:id="61" w:name="_Toc63440929"/>
      <w:bookmarkStart w:id="62" w:name="_Toc355"/>
      <w:r>
        <w:rPr>
          <w:rFonts w:hint="eastAsia" w:ascii="华文仿宋" w:hAnsi="华文仿宋" w:eastAsia="华文仿宋" w:cs="华文仿宋"/>
          <w:b/>
          <w:color w:val="auto"/>
          <w:sz w:val="28"/>
          <w:highlight w:val="none"/>
        </w:rPr>
        <w:t>第五章政府采购合同</w:t>
      </w:r>
      <w:bookmarkEnd w:id="61"/>
      <w:bookmarkEnd w:id="62"/>
    </w:p>
    <w:p w14:paraId="7508F0FB">
      <w:pPr>
        <w:spacing w:line="480" w:lineRule="auto"/>
        <w:jc w:val="center"/>
        <w:rPr>
          <w:rFonts w:hint="eastAsia" w:ascii="华文仿宋" w:hAnsi="华文仿宋" w:eastAsia="华文仿宋" w:cs="华文仿宋"/>
          <w:b/>
          <w:color w:val="auto"/>
          <w:sz w:val="24"/>
          <w:highlight w:val="none"/>
        </w:rPr>
      </w:pPr>
    </w:p>
    <w:p w14:paraId="0B18DDD1">
      <w:pPr>
        <w:spacing w:line="480" w:lineRule="auto"/>
        <w:jc w:val="center"/>
        <w:rPr>
          <w:rFonts w:hint="eastAsia" w:ascii="华文仿宋" w:hAnsi="华文仿宋" w:eastAsia="华文仿宋" w:cs="华文仿宋"/>
          <w:b/>
          <w:color w:val="auto"/>
          <w:sz w:val="24"/>
          <w:highlight w:val="none"/>
        </w:rPr>
      </w:pPr>
    </w:p>
    <w:p w14:paraId="7972953F">
      <w:pPr>
        <w:spacing w:line="480" w:lineRule="auto"/>
        <w:jc w:val="center"/>
        <w:rPr>
          <w:rFonts w:hint="eastAsia" w:ascii="华文仿宋" w:hAnsi="华文仿宋" w:eastAsia="华文仿宋" w:cs="华文仿宋"/>
          <w:b/>
          <w:color w:val="auto"/>
          <w:sz w:val="24"/>
          <w:highlight w:val="none"/>
        </w:rPr>
      </w:pPr>
    </w:p>
    <w:p w14:paraId="1369DA74">
      <w:pPr>
        <w:spacing w:line="480" w:lineRule="auto"/>
        <w:jc w:val="center"/>
        <w:outlineLvl w:val="1"/>
        <w:rPr>
          <w:rFonts w:hint="eastAsia" w:ascii="华文仿宋" w:hAnsi="华文仿宋" w:eastAsia="华文仿宋" w:cs="华文仿宋"/>
          <w:b/>
          <w:color w:val="auto"/>
          <w:sz w:val="32"/>
          <w:szCs w:val="32"/>
          <w:highlight w:val="none"/>
        </w:rPr>
      </w:pPr>
      <w:r>
        <w:rPr>
          <w:rFonts w:hint="eastAsia" w:ascii="华文仿宋" w:hAnsi="华文仿宋" w:eastAsia="华文仿宋" w:cs="华文仿宋"/>
          <w:b/>
          <w:color w:val="auto"/>
          <w:sz w:val="32"/>
          <w:szCs w:val="32"/>
          <w:highlight w:val="none"/>
        </w:rPr>
        <w:t>政府采购合同参考范本</w:t>
      </w:r>
    </w:p>
    <w:p w14:paraId="6095CD12">
      <w:pPr>
        <w:spacing w:line="480" w:lineRule="auto"/>
        <w:jc w:val="center"/>
        <w:outlineLvl w:val="1"/>
        <w:rPr>
          <w:rFonts w:hint="eastAsia" w:ascii="华文仿宋" w:hAnsi="华文仿宋" w:eastAsia="华文仿宋" w:cs="华文仿宋"/>
          <w:b/>
          <w:color w:val="auto"/>
          <w:sz w:val="32"/>
          <w:szCs w:val="32"/>
          <w:highlight w:val="none"/>
        </w:rPr>
      </w:pPr>
      <w:r>
        <w:rPr>
          <w:rFonts w:hint="eastAsia" w:ascii="华文仿宋" w:hAnsi="华文仿宋" w:eastAsia="华文仿宋" w:cs="华文仿宋"/>
          <w:b/>
          <w:color w:val="auto"/>
          <w:sz w:val="32"/>
          <w:szCs w:val="32"/>
          <w:highlight w:val="none"/>
        </w:rPr>
        <w:t>（服务类）</w:t>
      </w:r>
    </w:p>
    <w:p w14:paraId="466E0370">
      <w:pPr>
        <w:spacing w:line="480" w:lineRule="auto"/>
        <w:jc w:val="center"/>
        <w:rPr>
          <w:rFonts w:hint="eastAsia" w:ascii="华文仿宋" w:hAnsi="华文仿宋" w:eastAsia="华文仿宋" w:cs="华文仿宋"/>
          <w:b/>
          <w:color w:val="auto"/>
          <w:sz w:val="24"/>
          <w:highlight w:val="none"/>
        </w:rPr>
      </w:pPr>
    </w:p>
    <w:p w14:paraId="114BE070">
      <w:pPr>
        <w:spacing w:line="480" w:lineRule="auto"/>
        <w:jc w:val="center"/>
        <w:rPr>
          <w:rFonts w:hint="eastAsia" w:ascii="华文仿宋" w:hAnsi="华文仿宋" w:eastAsia="华文仿宋" w:cs="华文仿宋"/>
          <w:b/>
          <w:color w:val="auto"/>
          <w:sz w:val="24"/>
          <w:highlight w:val="none"/>
        </w:rPr>
      </w:pPr>
    </w:p>
    <w:p w14:paraId="53F776F8">
      <w:pPr>
        <w:spacing w:line="480" w:lineRule="auto"/>
        <w:jc w:val="center"/>
        <w:rPr>
          <w:rFonts w:hint="eastAsia" w:ascii="华文仿宋" w:hAnsi="华文仿宋" w:eastAsia="华文仿宋" w:cs="华文仿宋"/>
          <w:b/>
          <w:color w:val="auto"/>
          <w:sz w:val="24"/>
          <w:highlight w:val="none"/>
        </w:rPr>
      </w:pPr>
    </w:p>
    <w:p w14:paraId="750953C3">
      <w:pPr>
        <w:spacing w:line="360" w:lineRule="auto"/>
        <w:jc w:val="center"/>
        <w:outlineLvl w:val="1"/>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第一部分合同书</w:t>
      </w:r>
    </w:p>
    <w:p w14:paraId="7473D2AA">
      <w:pPr>
        <w:spacing w:line="480" w:lineRule="auto"/>
        <w:jc w:val="center"/>
        <w:rPr>
          <w:rFonts w:hint="eastAsia" w:ascii="华文仿宋" w:hAnsi="华文仿宋" w:eastAsia="华文仿宋" w:cs="华文仿宋"/>
          <w:b/>
          <w:color w:val="auto"/>
          <w:sz w:val="24"/>
          <w:highlight w:val="none"/>
        </w:rPr>
      </w:pPr>
    </w:p>
    <w:p w14:paraId="3B123CBE">
      <w:pPr>
        <w:spacing w:line="480" w:lineRule="auto"/>
        <w:jc w:val="center"/>
        <w:rPr>
          <w:rFonts w:hint="eastAsia" w:ascii="华文仿宋" w:hAnsi="华文仿宋" w:eastAsia="华文仿宋" w:cs="华文仿宋"/>
          <w:b/>
          <w:color w:val="auto"/>
          <w:sz w:val="24"/>
          <w:highlight w:val="none"/>
        </w:rPr>
      </w:pPr>
    </w:p>
    <w:p w14:paraId="51141FF8">
      <w:pPr>
        <w:spacing w:line="480" w:lineRule="auto"/>
        <w:jc w:val="center"/>
        <w:rPr>
          <w:rFonts w:hint="eastAsia" w:ascii="华文仿宋" w:hAnsi="华文仿宋" w:eastAsia="华文仿宋" w:cs="华文仿宋"/>
          <w:b/>
          <w:color w:val="auto"/>
          <w:sz w:val="24"/>
          <w:highlight w:val="none"/>
        </w:rPr>
      </w:pPr>
    </w:p>
    <w:p w14:paraId="04021C61">
      <w:pPr>
        <w:spacing w:before="120" w:line="480" w:lineRule="auto"/>
        <w:ind w:left="960"/>
        <w:rPr>
          <w:rFonts w:hint="eastAsia" w:ascii="华文仿宋" w:hAnsi="华文仿宋" w:eastAsia="华文仿宋" w:cs="华文仿宋"/>
          <w:color w:val="auto"/>
          <w:sz w:val="24"/>
          <w:highlight w:val="none"/>
          <w:u w:val="single"/>
        </w:rPr>
      </w:pPr>
      <w:r>
        <w:rPr>
          <w:rFonts w:hint="eastAsia" w:ascii="华文仿宋" w:hAnsi="华文仿宋" w:eastAsia="华文仿宋" w:cs="华文仿宋"/>
          <w:color w:val="auto"/>
          <w:sz w:val="24"/>
          <w:highlight w:val="none"/>
        </w:rPr>
        <w:t>项目名称：</w:t>
      </w:r>
      <w:r>
        <w:rPr>
          <w:rFonts w:hint="eastAsia" w:ascii="华文仿宋" w:hAnsi="华文仿宋" w:eastAsia="华文仿宋" w:cs="华文仿宋"/>
          <w:i/>
          <w:iCs/>
          <w:color w:val="auto"/>
          <w:sz w:val="24"/>
          <w:highlight w:val="none"/>
        </w:rPr>
        <w:t>（分包项目须填写完整的分包号及分包名称）</w:t>
      </w:r>
    </w:p>
    <w:p w14:paraId="23122B3B">
      <w:pPr>
        <w:spacing w:before="120" w:line="480" w:lineRule="auto"/>
        <w:ind w:left="960"/>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rPr>
        <w:t>项目编号：</w:t>
      </w:r>
    </w:p>
    <w:p w14:paraId="5B3B5B92">
      <w:pPr>
        <w:spacing w:before="120" w:line="480" w:lineRule="auto"/>
        <w:ind w:left="960"/>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rPr>
        <w:t>甲方（采购人）：</w:t>
      </w:r>
    </w:p>
    <w:p w14:paraId="6160F78E">
      <w:pPr>
        <w:spacing w:before="120" w:line="480" w:lineRule="auto"/>
        <w:ind w:left="960"/>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rPr>
        <w:t>乙方（成交供应商）：</w:t>
      </w:r>
    </w:p>
    <w:p w14:paraId="2A0FC771">
      <w:pPr>
        <w:spacing w:before="120" w:line="480" w:lineRule="auto"/>
        <w:ind w:firstLine="960" w:firstLineChars="400"/>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rPr>
        <w:t>签订地：</w:t>
      </w:r>
    </w:p>
    <w:p w14:paraId="1BA30088">
      <w:pPr>
        <w:spacing w:before="120" w:line="480" w:lineRule="auto"/>
        <w:ind w:firstLine="960" w:firstLineChars="400"/>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签订日期：年月日</w:t>
      </w:r>
    </w:p>
    <w:p w14:paraId="3F816F85">
      <w:pPr>
        <w:widowControl/>
        <w:jc w:val="left"/>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br w:type="page"/>
      </w:r>
    </w:p>
    <w:p w14:paraId="1D6CA193">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highlight w:val="none"/>
          <w:lang w:val="zh-CN"/>
        </w:rPr>
        <w:t>以下简称：甲方</w:t>
      </w:r>
      <w:r>
        <w:rPr>
          <w:rFonts w:hint="eastAsia" w:ascii="华文仿宋" w:hAnsi="华文仿宋" w:eastAsia="华文仿宋" w:cs="华文仿宋"/>
          <w:color w:val="auto"/>
          <w:sz w:val="24"/>
          <w:highlight w:val="none"/>
        </w:rPr>
        <w:t>）通过组织的</w:t>
      </w:r>
      <w:r>
        <w:rPr>
          <w:rFonts w:hint="eastAsia" w:ascii="华文仿宋" w:hAnsi="华文仿宋" w:eastAsia="华文仿宋" w:cs="华文仿宋"/>
          <w:color w:val="auto"/>
          <w:sz w:val="24"/>
          <w:highlight w:val="none"/>
          <w:u w:val="single"/>
        </w:rPr>
        <w:t>竞争性磋商</w:t>
      </w:r>
      <w:r>
        <w:rPr>
          <w:rFonts w:hint="eastAsia" w:ascii="华文仿宋" w:hAnsi="华文仿宋" w:eastAsia="华文仿宋" w:cs="华文仿宋"/>
          <w:color w:val="auto"/>
          <w:sz w:val="24"/>
          <w:highlight w:val="none"/>
        </w:rPr>
        <w:t>方式采购活动，经</w:t>
      </w:r>
      <w:r>
        <w:rPr>
          <w:rFonts w:hint="eastAsia" w:ascii="华文仿宋" w:hAnsi="华文仿宋" w:eastAsia="华文仿宋" w:cs="华文仿宋"/>
          <w:color w:val="auto"/>
          <w:sz w:val="24"/>
          <w:highlight w:val="none"/>
          <w:u w:val="single"/>
        </w:rPr>
        <w:t>磋商小组</w:t>
      </w:r>
      <w:r>
        <w:rPr>
          <w:rFonts w:hint="eastAsia" w:ascii="华文仿宋" w:hAnsi="华文仿宋" w:eastAsia="华文仿宋" w:cs="华文仿宋"/>
          <w:color w:val="auto"/>
          <w:sz w:val="24"/>
          <w:highlight w:val="none"/>
        </w:rPr>
        <w:t>评定，（</w:t>
      </w:r>
      <w:r>
        <w:rPr>
          <w:rFonts w:hint="eastAsia" w:ascii="华文仿宋" w:hAnsi="华文仿宋" w:eastAsia="华文仿宋" w:cs="华文仿宋"/>
          <w:color w:val="auto"/>
          <w:sz w:val="24"/>
          <w:highlight w:val="none"/>
          <w:lang w:val="zh-CN"/>
        </w:rPr>
        <w:t>以下简称：乙方</w:t>
      </w:r>
      <w:r>
        <w:rPr>
          <w:rFonts w:hint="eastAsia" w:ascii="华文仿宋" w:hAnsi="华文仿宋" w:eastAsia="华文仿宋" w:cs="华文仿宋"/>
          <w:color w:val="auto"/>
          <w:sz w:val="24"/>
          <w:highlight w:val="none"/>
        </w:rPr>
        <w:t>）为本项目成交供应商，现按照采购文件确定的事项签订本合同。</w:t>
      </w:r>
    </w:p>
    <w:p w14:paraId="0903C70C">
      <w:pPr>
        <w:spacing w:line="360" w:lineRule="auto"/>
        <w:ind w:firstLine="435"/>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1BAFD38E">
      <w:pPr>
        <w:spacing w:line="360" w:lineRule="auto"/>
        <w:ind w:firstLine="437"/>
        <w:outlineLvl w:val="2"/>
        <w:rPr>
          <w:rFonts w:hint="eastAsia" w:ascii="华文仿宋" w:hAnsi="华文仿宋" w:eastAsia="华文仿宋" w:cs="华文仿宋"/>
          <w:b/>
          <w:bCs/>
          <w:color w:val="auto"/>
          <w:sz w:val="24"/>
          <w:highlight w:val="none"/>
          <w:lang w:val="zh-CN"/>
        </w:rPr>
      </w:pPr>
      <w:bookmarkStart w:id="63" w:name="_Toc2232"/>
      <w:bookmarkStart w:id="64" w:name="_Toc3029"/>
      <w:bookmarkStart w:id="65" w:name="_Toc24059"/>
      <w:r>
        <w:rPr>
          <w:rFonts w:hint="eastAsia" w:ascii="华文仿宋" w:hAnsi="华文仿宋" w:eastAsia="华文仿宋" w:cs="华文仿宋"/>
          <w:b/>
          <w:bCs/>
          <w:color w:val="auto"/>
          <w:sz w:val="24"/>
          <w:highlight w:val="none"/>
          <w:lang w:val="zh-CN"/>
        </w:rPr>
        <w:t>1.1合同组成部分</w:t>
      </w:r>
      <w:bookmarkEnd w:id="63"/>
      <w:bookmarkEnd w:id="64"/>
      <w:bookmarkEnd w:id="65"/>
    </w:p>
    <w:p w14:paraId="0A86F7A5">
      <w:pPr>
        <w:spacing w:line="360" w:lineRule="auto"/>
        <w:ind w:firstLine="435"/>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6BE01506">
      <w:pPr>
        <w:spacing w:line="360" w:lineRule="auto"/>
        <w:ind w:firstLine="435"/>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lang w:val="zh-CN"/>
        </w:rPr>
        <w:t>1.1.1本合同及其补充合同、变更协议；</w:t>
      </w:r>
    </w:p>
    <w:p w14:paraId="45414318">
      <w:pPr>
        <w:spacing w:line="360" w:lineRule="auto"/>
        <w:ind w:firstLine="435"/>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lang w:val="zh-CN"/>
        </w:rPr>
        <w:t>1.1.2成交通知书；</w:t>
      </w:r>
    </w:p>
    <w:p w14:paraId="7E58A307">
      <w:pPr>
        <w:spacing w:line="360" w:lineRule="auto"/>
        <w:ind w:firstLine="435"/>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lang w:val="zh-CN"/>
        </w:rPr>
        <w:t>1.1.3响应文件（含澄清或者说明文件）；</w:t>
      </w:r>
    </w:p>
    <w:p w14:paraId="360EB513">
      <w:pPr>
        <w:spacing w:line="360" w:lineRule="auto"/>
        <w:ind w:firstLine="435"/>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lang w:val="zh-CN"/>
        </w:rPr>
        <w:t>1.1.4磋商文件（含澄清或者修改文件）；</w:t>
      </w:r>
    </w:p>
    <w:p w14:paraId="519C6529">
      <w:pPr>
        <w:spacing w:line="360" w:lineRule="auto"/>
        <w:ind w:firstLine="435"/>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lang w:val="zh-CN"/>
        </w:rPr>
        <w:t>1.1.5其他相关采购文件。</w:t>
      </w:r>
    </w:p>
    <w:p w14:paraId="5A12C8EF">
      <w:pPr>
        <w:spacing w:line="360" w:lineRule="auto"/>
        <w:ind w:firstLine="437"/>
        <w:outlineLvl w:val="2"/>
        <w:rPr>
          <w:rFonts w:hint="eastAsia" w:ascii="华文仿宋" w:hAnsi="华文仿宋" w:eastAsia="华文仿宋" w:cs="华文仿宋"/>
          <w:b/>
          <w:bCs/>
          <w:color w:val="auto"/>
          <w:sz w:val="24"/>
          <w:highlight w:val="none"/>
          <w:lang w:val="zh-CN"/>
        </w:rPr>
      </w:pPr>
      <w:bookmarkStart w:id="66" w:name="_Toc22185"/>
      <w:bookmarkStart w:id="67" w:name="_Toc6773"/>
      <w:bookmarkStart w:id="68" w:name="_Toc6311"/>
      <w:bookmarkStart w:id="69" w:name="_Toc2918"/>
      <w:bookmarkStart w:id="70" w:name="_Toc18585"/>
      <w:r>
        <w:rPr>
          <w:rFonts w:hint="eastAsia" w:ascii="华文仿宋" w:hAnsi="华文仿宋" w:eastAsia="华文仿宋" w:cs="华文仿宋"/>
          <w:b/>
          <w:bCs/>
          <w:color w:val="auto"/>
          <w:sz w:val="24"/>
          <w:highlight w:val="none"/>
          <w:lang w:val="zh-CN"/>
        </w:rPr>
        <w:t>1.2</w:t>
      </w:r>
      <w:bookmarkEnd w:id="66"/>
      <w:bookmarkEnd w:id="67"/>
      <w:bookmarkEnd w:id="68"/>
      <w:bookmarkEnd w:id="69"/>
      <w:bookmarkEnd w:id="70"/>
      <w:r>
        <w:rPr>
          <w:rFonts w:hint="eastAsia" w:ascii="华文仿宋" w:hAnsi="华文仿宋" w:eastAsia="华文仿宋" w:cs="华文仿宋"/>
          <w:b/>
          <w:bCs/>
          <w:color w:val="auto"/>
          <w:sz w:val="24"/>
          <w:highlight w:val="none"/>
          <w:lang w:val="zh-CN"/>
        </w:rPr>
        <w:t>服务</w:t>
      </w:r>
    </w:p>
    <w:p w14:paraId="3B0C6DB3">
      <w:pPr>
        <w:spacing w:line="360" w:lineRule="auto"/>
        <w:ind w:firstLine="435"/>
        <w:rPr>
          <w:rFonts w:hint="eastAsia" w:ascii="华文仿宋" w:hAnsi="华文仿宋" w:eastAsia="华文仿宋" w:cs="华文仿宋"/>
          <w:color w:val="auto"/>
          <w:sz w:val="24"/>
          <w:highlight w:val="none"/>
          <w:u w:val="single"/>
        </w:rPr>
      </w:pPr>
      <w:r>
        <w:rPr>
          <w:rFonts w:hint="eastAsia" w:ascii="华文仿宋" w:hAnsi="华文仿宋" w:eastAsia="华文仿宋" w:cs="华文仿宋"/>
          <w:color w:val="auto"/>
          <w:sz w:val="24"/>
          <w:highlight w:val="none"/>
        </w:rPr>
        <w:t>1.2.1服务名称：；</w:t>
      </w:r>
    </w:p>
    <w:p w14:paraId="313F6109">
      <w:pPr>
        <w:spacing w:line="360" w:lineRule="auto"/>
        <w:ind w:firstLine="435"/>
        <w:rPr>
          <w:rFonts w:hint="eastAsia" w:ascii="华文仿宋" w:hAnsi="华文仿宋" w:eastAsia="华文仿宋" w:cs="华文仿宋"/>
          <w:color w:val="auto"/>
          <w:sz w:val="24"/>
          <w:highlight w:val="none"/>
          <w:u w:val="single"/>
        </w:rPr>
      </w:pPr>
      <w:r>
        <w:rPr>
          <w:rFonts w:hint="eastAsia" w:ascii="华文仿宋" w:hAnsi="华文仿宋" w:eastAsia="华文仿宋" w:cs="华文仿宋"/>
          <w:color w:val="auto"/>
          <w:sz w:val="24"/>
          <w:highlight w:val="none"/>
        </w:rPr>
        <w:t>1.2.2服务内容：；</w:t>
      </w:r>
    </w:p>
    <w:p w14:paraId="567D7AF2">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1.2.3服务质量：。</w:t>
      </w:r>
    </w:p>
    <w:p w14:paraId="682EBAE7">
      <w:pPr>
        <w:spacing w:line="360" w:lineRule="auto"/>
        <w:ind w:firstLine="437"/>
        <w:outlineLvl w:val="2"/>
        <w:rPr>
          <w:rFonts w:hint="eastAsia" w:ascii="华文仿宋" w:hAnsi="华文仿宋" w:eastAsia="华文仿宋" w:cs="华文仿宋"/>
          <w:b/>
          <w:bCs/>
          <w:color w:val="auto"/>
          <w:sz w:val="24"/>
          <w:highlight w:val="none"/>
          <w:lang w:val="zh-CN"/>
        </w:rPr>
      </w:pPr>
      <w:bookmarkStart w:id="71" w:name="_Toc21631"/>
      <w:bookmarkStart w:id="72" w:name="_Toc23292"/>
      <w:bookmarkStart w:id="73" w:name="_Toc21551"/>
      <w:r>
        <w:rPr>
          <w:rFonts w:hint="eastAsia" w:ascii="华文仿宋" w:hAnsi="华文仿宋" w:eastAsia="华文仿宋" w:cs="华文仿宋"/>
          <w:b/>
          <w:bCs/>
          <w:color w:val="auto"/>
          <w:sz w:val="24"/>
          <w:highlight w:val="none"/>
          <w:lang w:val="zh-CN"/>
        </w:rPr>
        <w:t>1.3价款</w:t>
      </w:r>
      <w:bookmarkEnd w:id="71"/>
      <w:bookmarkEnd w:id="72"/>
      <w:bookmarkEnd w:id="73"/>
    </w:p>
    <w:p w14:paraId="5837E2CD">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本合同总价为：￥元（大写：人民币元）。</w:t>
      </w:r>
    </w:p>
    <w:p w14:paraId="15139D19">
      <w:pPr>
        <w:spacing w:line="360" w:lineRule="auto"/>
        <w:ind w:firstLine="435"/>
        <w:rPr>
          <w:rFonts w:hint="eastAsia" w:ascii="华文仿宋" w:hAnsi="华文仿宋" w:eastAsia="华文仿宋" w:cs="华文仿宋"/>
          <w:color w:val="auto"/>
          <w:sz w:val="24"/>
          <w:highlight w:val="none"/>
          <w:u w:val="single"/>
        </w:rPr>
      </w:pPr>
      <w:r>
        <w:rPr>
          <w:rFonts w:hint="eastAsia" w:ascii="华文仿宋" w:hAnsi="华文仿宋" w:eastAsia="华文仿宋" w:cs="华文仿宋"/>
          <w:color w:val="auto"/>
          <w:sz w:val="24"/>
          <w:highlight w:val="none"/>
        </w:rPr>
        <w:t>分项价格：</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4316"/>
        <w:gridCol w:w="12"/>
        <w:gridCol w:w="3225"/>
        <w:gridCol w:w="12"/>
      </w:tblGrid>
      <w:tr w14:paraId="385E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vAlign w:val="center"/>
          </w:tcPr>
          <w:p w14:paraId="2622C0E8">
            <w:pPr>
              <w:jc w:val="center"/>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lang w:val="zh-CN"/>
              </w:rPr>
              <w:t>序号</w:t>
            </w:r>
          </w:p>
        </w:tc>
        <w:tc>
          <w:tcPr>
            <w:tcW w:w="2532" w:type="pct"/>
            <w:vAlign w:val="center"/>
          </w:tcPr>
          <w:p w14:paraId="4B45132D">
            <w:pPr>
              <w:pStyle w:val="52"/>
              <w:ind w:firstLine="200"/>
              <w:jc w:val="center"/>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分项名称</w:t>
            </w:r>
          </w:p>
        </w:tc>
        <w:tc>
          <w:tcPr>
            <w:tcW w:w="1899" w:type="pct"/>
            <w:gridSpan w:val="2"/>
            <w:vAlign w:val="center"/>
          </w:tcPr>
          <w:p w14:paraId="513D0FEE">
            <w:pPr>
              <w:pStyle w:val="52"/>
              <w:jc w:val="center"/>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分项价格</w:t>
            </w:r>
          </w:p>
        </w:tc>
      </w:tr>
      <w:tr w14:paraId="145F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5F47BF36">
            <w:pPr>
              <w:jc w:val="center"/>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lang w:val="zh-CN"/>
              </w:rPr>
              <w:t>1</w:t>
            </w:r>
          </w:p>
        </w:tc>
        <w:tc>
          <w:tcPr>
            <w:tcW w:w="2532" w:type="pct"/>
            <w:vAlign w:val="center"/>
          </w:tcPr>
          <w:p w14:paraId="541887E1">
            <w:pPr>
              <w:pStyle w:val="52"/>
              <w:ind w:firstLine="200"/>
              <w:jc w:val="center"/>
              <w:rPr>
                <w:rFonts w:hint="eastAsia" w:ascii="华文仿宋" w:hAnsi="华文仿宋" w:eastAsia="华文仿宋" w:cs="华文仿宋"/>
                <w:color w:val="auto"/>
                <w:sz w:val="24"/>
                <w:szCs w:val="24"/>
                <w:highlight w:val="none"/>
              </w:rPr>
            </w:pPr>
          </w:p>
        </w:tc>
        <w:tc>
          <w:tcPr>
            <w:tcW w:w="1899" w:type="pct"/>
            <w:gridSpan w:val="2"/>
            <w:vAlign w:val="center"/>
          </w:tcPr>
          <w:p w14:paraId="6C01EFC6">
            <w:pPr>
              <w:pStyle w:val="52"/>
              <w:ind w:firstLine="200"/>
              <w:jc w:val="center"/>
              <w:rPr>
                <w:rFonts w:hint="eastAsia" w:ascii="华文仿宋" w:hAnsi="华文仿宋" w:eastAsia="华文仿宋" w:cs="华文仿宋"/>
                <w:color w:val="auto"/>
                <w:sz w:val="24"/>
                <w:szCs w:val="24"/>
                <w:highlight w:val="none"/>
              </w:rPr>
            </w:pPr>
          </w:p>
        </w:tc>
      </w:tr>
      <w:tr w14:paraId="4685F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69ECAB5E">
            <w:pPr>
              <w:jc w:val="center"/>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lang w:val="zh-CN"/>
              </w:rPr>
              <w:t>2</w:t>
            </w:r>
          </w:p>
        </w:tc>
        <w:tc>
          <w:tcPr>
            <w:tcW w:w="2532" w:type="pct"/>
            <w:vAlign w:val="center"/>
          </w:tcPr>
          <w:p w14:paraId="412B7499">
            <w:pPr>
              <w:pStyle w:val="52"/>
              <w:ind w:firstLine="200"/>
              <w:jc w:val="center"/>
              <w:rPr>
                <w:rFonts w:hint="eastAsia" w:ascii="华文仿宋" w:hAnsi="华文仿宋" w:eastAsia="华文仿宋" w:cs="华文仿宋"/>
                <w:color w:val="auto"/>
                <w:sz w:val="24"/>
                <w:szCs w:val="24"/>
                <w:highlight w:val="none"/>
              </w:rPr>
            </w:pPr>
          </w:p>
        </w:tc>
        <w:tc>
          <w:tcPr>
            <w:tcW w:w="1899" w:type="pct"/>
            <w:gridSpan w:val="2"/>
            <w:vAlign w:val="center"/>
          </w:tcPr>
          <w:p w14:paraId="03DBD819">
            <w:pPr>
              <w:pStyle w:val="52"/>
              <w:ind w:firstLine="200"/>
              <w:jc w:val="center"/>
              <w:rPr>
                <w:rFonts w:hint="eastAsia" w:ascii="华文仿宋" w:hAnsi="华文仿宋" w:eastAsia="华文仿宋" w:cs="华文仿宋"/>
                <w:color w:val="auto"/>
                <w:sz w:val="24"/>
                <w:szCs w:val="24"/>
                <w:highlight w:val="none"/>
              </w:rPr>
            </w:pPr>
          </w:p>
        </w:tc>
      </w:tr>
      <w:tr w14:paraId="17EC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5CDE2FB8">
            <w:pPr>
              <w:jc w:val="center"/>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lang w:val="zh-CN"/>
              </w:rPr>
              <w:t>3</w:t>
            </w:r>
          </w:p>
        </w:tc>
        <w:tc>
          <w:tcPr>
            <w:tcW w:w="2532" w:type="pct"/>
            <w:vAlign w:val="center"/>
          </w:tcPr>
          <w:p w14:paraId="735A8E5B">
            <w:pPr>
              <w:pStyle w:val="52"/>
              <w:ind w:firstLine="200"/>
              <w:jc w:val="center"/>
              <w:rPr>
                <w:rFonts w:hint="eastAsia" w:ascii="华文仿宋" w:hAnsi="华文仿宋" w:eastAsia="华文仿宋" w:cs="华文仿宋"/>
                <w:color w:val="auto"/>
                <w:sz w:val="24"/>
                <w:szCs w:val="24"/>
                <w:highlight w:val="none"/>
              </w:rPr>
            </w:pPr>
          </w:p>
        </w:tc>
        <w:tc>
          <w:tcPr>
            <w:tcW w:w="1899" w:type="pct"/>
            <w:gridSpan w:val="2"/>
            <w:vAlign w:val="center"/>
          </w:tcPr>
          <w:p w14:paraId="1E0C3E2C">
            <w:pPr>
              <w:pStyle w:val="52"/>
              <w:ind w:firstLine="200"/>
              <w:jc w:val="center"/>
              <w:rPr>
                <w:rFonts w:hint="eastAsia" w:ascii="华文仿宋" w:hAnsi="华文仿宋" w:eastAsia="华文仿宋" w:cs="华文仿宋"/>
                <w:color w:val="auto"/>
                <w:sz w:val="24"/>
                <w:szCs w:val="24"/>
                <w:highlight w:val="none"/>
              </w:rPr>
            </w:pPr>
          </w:p>
        </w:tc>
      </w:tr>
      <w:tr w14:paraId="695F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6EE40221">
            <w:pPr>
              <w:jc w:val="center"/>
              <w:rPr>
                <w:rFonts w:hint="eastAsia" w:ascii="华文仿宋" w:hAnsi="华文仿宋" w:eastAsia="华文仿宋" w:cs="华文仿宋"/>
                <w:color w:val="auto"/>
                <w:sz w:val="24"/>
                <w:highlight w:val="none"/>
                <w:lang w:val="zh-CN"/>
              </w:rPr>
            </w:pPr>
            <w:r>
              <w:rPr>
                <w:rFonts w:hint="eastAsia" w:ascii="华文仿宋" w:hAnsi="华文仿宋" w:eastAsia="华文仿宋" w:cs="华文仿宋"/>
                <w:color w:val="auto"/>
                <w:sz w:val="24"/>
                <w:highlight w:val="none"/>
                <w:lang w:val="zh-CN"/>
              </w:rPr>
              <w:t>……</w:t>
            </w:r>
          </w:p>
        </w:tc>
        <w:tc>
          <w:tcPr>
            <w:tcW w:w="2532" w:type="pct"/>
            <w:vAlign w:val="center"/>
          </w:tcPr>
          <w:p w14:paraId="77D01260">
            <w:pPr>
              <w:pStyle w:val="52"/>
              <w:ind w:firstLine="200"/>
              <w:jc w:val="center"/>
              <w:rPr>
                <w:rFonts w:hint="eastAsia" w:ascii="华文仿宋" w:hAnsi="华文仿宋" w:eastAsia="华文仿宋" w:cs="华文仿宋"/>
                <w:color w:val="auto"/>
                <w:sz w:val="24"/>
                <w:szCs w:val="24"/>
                <w:highlight w:val="none"/>
              </w:rPr>
            </w:pPr>
          </w:p>
        </w:tc>
        <w:tc>
          <w:tcPr>
            <w:tcW w:w="1899" w:type="pct"/>
            <w:gridSpan w:val="2"/>
            <w:vAlign w:val="center"/>
          </w:tcPr>
          <w:p w14:paraId="0564B603">
            <w:pPr>
              <w:pStyle w:val="52"/>
              <w:ind w:firstLine="200"/>
              <w:jc w:val="center"/>
              <w:rPr>
                <w:rFonts w:hint="eastAsia" w:ascii="华文仿宋" w:hAnsi="华文仿宋" w:eastAsia="华文仿宋" w:cs="华文仿宋"/>
                <w:color w:val="auto"/>
                <w:sz w:val="24"/>
                <w:szCs w:val="24"/>
                <w:highlight w:val="none"/>
              </w:rPr>
            </w:pPr>
          </w:p>
        </w:tc>
      </w:tr>
      <w:tr w14:paraId="2B07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01" w:type="pct"/>
            <w:gridSpan w:val="3"/>
            <w:vAlign w:val="center"/>
          </w:tcPr>
          <w:p w14:paraId="78C96820">
            <w:pPr>
              <w:pStyle w:val="52"/>
              <w:ind w:firstLine="200"/>
              <w:jc w:val="center"/>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总价</w:t>
            </w:r>
          </w:p>
        </w:tc>
        <w:tc>
          <w:tcPr>
            <w:tcW w:w="1899" w:type="pct"/>
            <w:gridSpan w:val="2"/>
            <w:vAlign w:val="center"/>
          </w:tcPr>
          <w:p w14:paraId="396B454A">
            <w:pPr>
              <w:pStyle w:val="52"/>
              <w:ind w:firstLine="200"/>
              <w:jc w:val="center"/>
              <w:rPr>
                <w:rFonts w:hint="eastAsia" w:ascii="华文仿宋" w:hAnsi="华文仿宋" w:eastAsia="华文仿宋" w:cs="华文仿宋"/>
                <w:color w:val="auto"/>
                <w:sz w:val="24"/>
                <w:szCs w:val="24"/>
                <w:highlight w:val="none"/>
              </w:rPr>
            </w:pPr>
          </w:p>
        </w:tc>
      </w:tr>
    </w:tbl>
    <w:p w14:paraId="061275F7">
      <w:pPr>
        <w:spacing w:line="360" w:lineRule="auto"/>
        <w:ind w:firstLine="437"/>
        <w:outlineLvl w:val="2"/>
        <w:rPr>
          <w:rFonts w:hint="eastAsia" w:ascii="华文仿宋" w:hAnsi="华文仿宋" w:eastAsia="华文仿宋" w:cs="华文仿宋"/>
          <w:b/>
          <w:bCs/>
          <w:color w:val="auto"/>
          <w:sz w:val="24"/>
          <w:highlight w:val="none"/>
          <w:lang w:val="zh-CN"/>
        </w:rPr>
      </w:pPr>
      <w:bookmarkStart w:id="74" w:name="_Toc10340"/>
      <w:bookmarkStart w:id="75" w:name="_Toc1814"/>
      <w:bookmarkStart w:id="76" w:name="_Toc22618"/>
      <w:r>
        <w:rPr>
          <w:rFonts w:hint="eastAsia" w:ascii="华文仿宋" w:hAnsi="华文仿宋" w:eastAsia="华文仿宋" w:cs="华文仿宋"/>
          <w:b/>
          <w:bCs/>
          <w:color w:val="auto"/>
          <w:sz w:val="24"/>
          <w:highlight w:val="none"/>
          <w:lang w:val="zh-CN"/>
        </w:rPr>
        <w:t>1.4付款方式和发票开具方式</w:t>
      </w:r>
      <w:bookmarkEnd w:id="74"/>
      <w:bookmarkEnd w:id="75"/>
      <w:bookmarkEnd w:id="76"/>
    </w:p>
    <w:p w14:paraId="71BA608B">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1.4.1付款方式：；</w:t>
      </w:r>
    </w:p>
    <w:p w14:paraId="4EF80F62">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1.4.2发票开具方式：。</w:t>
      </w:r>
    </w:p>
    <w:p w14:paraId="220564D3">
      <w:pPr>
        <w:spacing w:line="360" w:lineRule="auto"/>
        <w:ind w:firstLine="437"/>
        <w:outlineLvl w:val="2"/>
        <w:rPr>
          <w:rFonts w:hint="eastAsia" w:ascii="华文仿宋" w:hAnsi="华文仿宋" w:eastAsia="华文仿宋" w:cs="华文仿宋"/>
          <w:b/>
          <w:bCs/>
          <w:color w:val="auto"/>
          <w:sz w:val="24"/>
          <w:highlight w:val="none"/>
          <w:lang w:val="zh-CN"/>
        </w:rPr>
      </w:pPr>
      <w:bookmarkStart w:id="77" w:name="_Toc2846"/>
      <w:bookmarkStart w:id="78" w:name="_Toc32071"/>
      <w:bookmarkStart w:id="79" w:name="_Toc19304"/>
      <w:r>
        <w:rPr>
          <w:rFonts w:hint="eastAsia" w:ascii="华文仿宋" w:hAnsi="华文仿宋" w:eastAsia="华文仿宋" w:cs="华文仿宋"/>
          <w:b/>
          <w:bCs/>
          <w:color w:val="auto"/>
          <w:sz w:val="24"/>
          <w:highlight w:val="none"/>
          <w:lang w:val="zh-CN"/>
        </w:rPr>
        <w:t>1.5服务期限、地点和方式</w:t>
      </w:r>
      <w:bookmarkEnd w:id="77"/>
      <w:bookmarkEnd w:id="78"/>
      <w:bookmarkEnd w:id="79"/>
    </w:p>
    <w:p w14:paraId="52FD8320">
      <w:pPr>
        <w:spacing w:line="360" w:lineRule="auto"/>
        <w:ind w:firstLine="435"/>
        <w:rPr>
          <w:rFonts w:hint="eastAsia" w:ascii="华文仿宋" w:hAnsi="华文仿宋" w:eastAsia="华文仿宋" w:cs="华文仿宋"/>
          <w:color w:val="auto"/>
          <w:sz w:val="24"/>
          <w:highlight w:val="none"/>
          <w:u w:val="single"/>
        </w:rPr>
      </w:pPr>
      <w:r>
        <w:rPr>
          <w:rFonts w:hint="eastAsia" w:ascii="华文仿宋" w:hAnsi="华文仿宋" w:eastAsia="华文仿宋" w:cs="华文仿宋"/>
          <w:color w:val="auto"/>
          <w:sz w:val="24"/>
          <w:highlight w:val="none"/>
        </w:rPr>
        <w:t>1.5.1服务期限：；</w:t>
      </w:r>
    </w:p>
    <w:p w14:paraId="78834CC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1.5.2服务地点：；</w:t>
      </w:r>
    </w:p>
    <w:p w14:paraId="0C9EDF90">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1.5.3服务方式：。</w:t>
      </w:r>
    </w:p>
    <w:p w14:paraId="022B4E2C">
      <w:pPr>
        <w:spacing w:line="360" w:lineRule="auto"/>
        <w:ind w:firstLine="437"/>
        <w:outlineLvl w:val="2"/>
        <w:rPr>
          <w:rFonts w:hint="eastAsia" w:ascii="华文仿宋" w:hAnsi="华文仿宋" w:eastAsia="华文仿宋" w:cs="华文仿宋"/>
          <w:b/>
          <w:bCs/>
          <w:color w:val="auto"/>
          <w:sz w:val="24"/>
          <w:highlight w:val="none"/>
          <w:lang w:val="zh-CN"/>
        </w:rPr>
      </w:pPr>
      <w:bookmarkStart w:id="80" w:name="_Toc27250"/>
      <w:bookmarkStart w:id="81" w:name="_Toc21423"/>
      <w:bookmarkStart w:id="82" w:name="_Toc19554"/>
      <w:r>
        <w:rPr>
          <w:rFonts w:hint="eastAsia" w:ascii="华文仿宋" w:hAnsi="华文仿宋" w:eastAsia="华文仿宋" w:cs="华文仿宋"/>
          <w:b/>
          <w:bCs/>
          <w:color w:val="auto"/>
          <w:sz w:val="24"/>
          <w:highlight w:val="none"/>
          <w:lang w:val="zh-CN"/>
        </w:rPr>
        <w:t>1.6违约责任</w:t>
      </w:r>
      <w:bookmarkEnd w:id="80"/>
      <w:bookmarkEnd w:id="81"/>
      <w:bookmarkEnd w:id="82"/>
    </w:p>
    <w:p w14:paraId="4AA07172">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1.6.1除不可抗力外，如果乙方没有按照本合同约定的期限、地点和方式履行，那么甲方可要求乙方支付违约金，违约金按每迟延履行一日的应提供而未提供服务价格的%计算，最高限额为本合同总价的%；迟延履行的违约金计算数额达到前述最高限额之日起，甲方有权在要求乙方支付违约金的同时，书面通知乙方解除本合同；</w:t>
      </w:r>
    </w:p>
    <w:p w14:paraId="7972BFF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1.6.2除不可抗力外，如果甲方没有按照本合同约定的付款方式付款，那么乙方可要求甲方支付违约金，违约金按每迟延付款一日的应付而未付款的%计算，最高限额为本合同总价的%；迟延付款的违约金计算数额达到前述最高限额之日起，乙方有权在要求甲方支付违约金的同时，书面通知甲方解除本合同；</w:t>
      </w:r>
    </w:p>
    <w:p w14:paraId="668EEA43">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1B9F64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8D7D082">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B930A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1.6.6如果出现政府采购监督管理部门在处理投诉事项期间，书面通知甲方暂停采购活动的情形，或者询问或质疑事项可能影响成交结果的，导致甲方中止履行合同的情形，均不视为甲方违约。</w:t>
      </w:r>
    </w:p>
    <w:p w14:paraId="69569A1F">
      <w:pPr>
        <w:spacing w:line="360" w:lineRule="auto"/>
        <w:ind w:firstLine="435"/>
        <w:rPr>
          <w:rFonts w:hint="eastAsia" w:ascii="华文仿宋" w:hAnsi="华文仿宋" w:eastAsia="华文仿宋" w:cs="华文仿宋"/>
          <w:color w:val="auto"/>
          <w:sz w:val="24"/>
          <w:highlight w:val="none"/>
        </w:rPr>
      </w:pPr>
      <w:bookmarkStart w:id="83" w:name="_Toc15583"/>
      <w:bookmarkStart w:id="84" w:name="_Toc16021"/>
      <w:bookmarkStart w:id="85" w:name="_Toc28375"/>
      <w:r>
        <w:rPr>
          <w:rFonts w:hint="eastAsia" w:ascii="华文仿宋" w:hAnsi="华文仿宋" w:eastAsia="华文仿宋" w:cs="华文仿宋"/>
          <w:color w:val="auto"/>
          <w:sz w:val="24"/>
          <w:highlight w:val="none"/>
        </w:rPr>
        <w:t>1.6.7因甲方未按合同约定支付价款、未按合同约定受领标的物、擅自解除合同</w:t>
      </w:r>
      <w:r>
        <w:rPr>
          <w:rFonts w:hint="eastAsia" w:ascii="华文仿宋" w:hAnsi="华文仿宋" w:eastAsia="华文仿宋" w:cs="华文仿宋"/>
          <w:color w:val="auto"/>
          <w:sz w:val="24"/>
          <w:szCs w:val="24"/>
          <w:highlight w:val="none"/>
          <w:lang w:eastAsia="zh-CN"/>
        </w:rPr>
        <w:t>、</w:t>
      </w:r>
      <w:r>
        <w:rPr>
          <w:rFonts w:hint="eastAsia" w:ascii="华文仿宋" w:hAnsi="华文仿宋" w:eastAsia="华文仿宋" w:cs="华文仿宋"/>
          <w:color w:val="auto"/>
          <w:sz w:val="24"/>
          <w:szCs w:val="24"/>
          <w:highlight w:val="none"/>
        </w:rPr>
        <w:t>逾期退还履约保证金</w:t>
      </w:r>
      <w:r>
        <w:rPr>
          <w:rFonts w:hint="eastAsia" w:ascii="华文仿宋" w:hAnsi="华文仿宋" w:eastAsia="华文仿宋" w:cs="华文仿宋"/>
          <w:color w:val="auto"/>
          <w:sz w:val="24"/>
          <w:highlight w:val="none"/>
        </w:rPr>
        <w:t>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5F78DA8C">
      <w:pPr>
        <w:spacing w:line="360" w:lineRule="auto"/>
        <w:ind w:firstLine="437"/>
        <w:outlineLvl w:val="2"/>
        <w:rPr>
          <w:rFonts w:hint="eastAsia" w:ascii="华文仿宋" w:hAnsi="华文仿宋" w:eastAsia="华文仿宋" w:cs="华文仿宋"/>
          <w:b/>
          <w:bCs/>
          <w:color w:val="auto"/>
          <w:sz w:val="24"/>
          <w:highlight w:val="none"/>
          <w:lang w:val="zh-CN"/>
        </w:rPr>
      </w:pPr>
      <w:r>
        <w:rPr>
          <w:rFonts w:hint="eastAsia" w:ascii="华文仿宋" w:hAnsi="华文仿宋" w:eastAsia="华文仿宋" w:cs="华文仿宋"/>
          <w:b/>
          <w:bCs/>
          <w:color w:val="auto"/>
          <w:sz w:val="24"/>
          <w:highlight w:val="none"/>
          <w:lang w:val="zh-CN"/>
        </w:rPr>
        <w:t>1.7合同争议的解决</w:t>
      </w:r>
      <w:bookmarkEnd w:id="83"/>
      <w:bookmarkEnd w:id="84"/>
      <w:bookmarkEnd w:id="85"/>
    </w:p>
    <w:p w14:paraId="77B7817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本合同履行过程中发生的任何争议，双方当事人均可通过和解或者调解解决；不愿和解、调解或者和解、调解不成的，可以选择下列第</w:t>
      </w:r>
      <w:r>
        <w:rPr>
          <w:rFonts w:hint="eastAsia" w:ascii="华文仿宋" w:hAnsi="华文仿宋" w:eastAsia="华文仿宋" w:cs="华文仿宋"/>
          <w:color w:val="auto"/>
          <w:sz w:val="24"/>
          <w:highlight w:val="none"/>
          <w:u w:val="single"/>
          <w:lang w:val="en-US" w:eastAsia="zh-CN"/>
        </w:rPr>
        <w:t xml:space="preserve">   </w:t>
      </w:r>
      <w:r>
        <w:rPr>
          <w:rFonts w:hint="eastAsia" w:ascii="华文仿宋" w:hAnsi="华文仿宋" w:eastAsia="华文仿宋" w:cs="华文仿宋"/>
          <w:color w:val="auto"/>
          <w:sz w:val="24"/>
          <w:highlight w:val="none"/>
        </w:rPr>
        <w:t>种方式解决：</w:t>
      </w:r>
    </w:p>
    <w:p w14:paraId="74EF13DE">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1.7.1将争议提交仲裁委员会依申请仲裁时其现行有效的仲裁规则裁决；</w:t>
      </w:r>
    </w:p>
    <w:p w14:paraId="573DA2D0">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1.7.2向人民法院起诉。</w:t>
      </w:r>
    </w:p>
    <w:p w14:paraId="3DFBCEF3">
      <w:pPr>
        <w:spacing w:line="360" w:lineRule="auto"/>
        <w:ind w:firstLine="437"/>
        <w:outlineLvl w:val="2"/>
        <w:rPr>
          <w:rFonts w:hint="eastAsia" w:ascii="华文仿宋" w:hAnsi="华文仿宋" w:eastAsia="华文仿宋" w:cs="华文仿宋"/>
          <w:b/>
          <w:bCs/>
          <w:color w:val="auto"/>
          <w:sz w:val="24"/>
          <w:highlight w:val="none"/>
          <w:lang w:val="zh-CN"/>
        </w:rPr>
      </w:pPr>
      <w:bookmarkStart w:id="86" w:name="_Toc7245"/>
      <w:bookmarkStart w:id="87" w:name="_Toc11173"/>
      <w:bookmarkStart w:id="88" w:name="_Toc15322"/>
      <w:r>
        <w:rPr>
          <w:rFonts w:hint="eastAsia" w:ascii="华文仿宋" w:hAnsi="华文仿宋" w:eastAsia="华文仿宋" w:cs="华文仿宋"/>
          <w:b/>
          <w:bCs/>
          <w:color w:val="auto"/>
          <w:sz w:val="24"/>
          <w:highlight w:val="none"/>
          <w:lang w:val="zh-CN"/>
        </w:rPr>
        <w:t>1.8合同生效</w:t>
      </w:r>
      <w:bookmarkEnd w:id="86"/>
      <w:bookmarkEnd w:id="87"/>
      <w:bookmarkEnd w:id="88"/>
      <w:bookmarkStart w:id="260" w:name="_GoBack"/>
      <w:bookmarkEnd w:id="260"/>
    </w:p>
    <w:p w14:paraId="7C12DA62">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本合同自双方当事人盖章时生效。</w:t>
      </w:r>
    </w:p>
    <w:p w14:paraId="113B4F80">
      <w:pPr>
        <w:autoSpaceDE w:val="0"/>
        <w:autoSpaceDN w:val="0"/>
        <w:adjustRightInd w:val="0"/>
        <w:spacing w:line="560" w:lineRule="exact"/>
        <w:rPr>
          <w:rFonts w:hint="eastAsia" w:ascii="华文仿宋" w:hAnsi="华文仿宋" w:eastAsia="华文仿宋" w:cs="华文仿宋"/>
          <w:color w:val="auto"/>
          <w:sz w:val="24"/>
          <w:highlight w:val="none"/>
          <w:lang w:val="zh-CN"/>
        </w:rPr>
      </w:pPr>
    </w:p>
    <w:p w14:paraId="4988652C">
      <w:pPr>
        <w:autoSpaceDE w:val="0"/>
        <w:autoSpaceDN w:val="0"/>
        <w:adjustRightInd w:val="0"/>
        <w:spacing w:line="560" w:lineRule="exact"/>
        <w:rPr>
          <w:rFonts w:hint="eastAsia" w:ascii="华文仿宋" w:hAnsi="华文仿宋" w:eastAsia="华文仿宋" w:cs="华文仿宋"/>
          <w:color w:val="auto"/>
          <w:sz w:val="24"/>
          <w:highlight w:val="none"/>
          <w:lang w:val="zh-CN"/>
        </w:rPr>
      </w:pPr>
    </w:p>
    <w:p w14:paraId="45F7A010">
      <w:pPr>
        <w:autoSpaceDE w:val="0"/>
        <w:autoSpaceDN w:val="0"/>
        <w:adjustRightInd w:val="0"/>
        <w:spacing w:line="560" w:lineRule="exact"/>
        <w:rPr>
          <w:rFonts w:hint="eastAsia" w:ascii="华文仿宋" w:hAnsi="华文仿宋" w:eastAsia="华文仿宋" w:cs="华文仿宋"/>
          <w:color w:val="auto"/>
          <w:sz w:val="24"/>
          <w:highlight w:val="none"/>
          <w:lang w:val="zh-CN"/>
        </w:rPr>
      </w:pPr>
    </w:p>
    <w:p w14:paraId="5EF188A8">
      <w:pPr>
        <w:autoSpaceDE w:val="0"/>
        <w:autoSpaceDN w:val="0"/>
        <w:adjustRightInd w:val="0"/>
        <w:spacing w:line="560" w:lineRule="exact"/>
        <w:rPr>
          <w:rFonts w:hint="eastAsia" w:ascii="华文仿宋" w:hAnsi="华文仿宋" w:eastAsia="华文仿宋" w:cs="华文仿宋"/>
          <w:bCs/>
          <w:color w:val="auto"/>
          <w:sz w:val="24"/>
          <w:szCs w:val="24"/>
          <w:highlight w:val="none"/>
          <w:lang w:val="zh-CN"/>
        </w:rPr>
      </w:pPr>
      <w:bookmarkStart w:id="89" w:name="_Toc331685783"/>
      <w:r>
        <w:rPr>
          <w:rFonts w:hint="eastAsia" w:ascii="华文仿宋" w:hAnsi="华文仿宋" w:eastAsia="华文仿宋" w:cs="华文仿宋"/>
          <w:bCs/>
          <w:color w:val="auto"/>
          <w:sz w:val="24"/>
          <w:szCs w:val="24"/>
          <w:highlight w:val="none"/>
          <w:lang w:val="zh-CN"/>
        </w:rPr>
        <w:t>甲方：</w:t>
      </w:r>
      <w:r>
        <w:rPr>
          <w:rFonts w:hint="eastAsia" w:ascii="华文仿宋" w:hAnsi="华文仿宋" w:eastAsia="华文仿宋" w:cs="华文仿宋"/>
          <w:bCs/>
          <w:color w:val="auto"/>
          <w:sz w:val="24"/>
          <w:szCs w:val="24"/>
          <w:highlight w:val="none"/>
          <w:u w:val="single"/>
          <w:lang w:val="zh-CN"/>
        </w:rPr>
        <w:t>（单位盖章）</w:t>
      </w:r>
      <w:r>
        <w:rPr>
          <w:rFonts w:hint="eastAsia" w:ascii="华文仿宋" w:hAnsi="华文仿宋" w:eastAsia="华文仿宋" w:cs="华文仿宋"/>
          <w:bCs/>
          <w:color w:val="auto"/>
          <w:sz w:val="24"/>
          <w:szCs w:val="24"/>
          <w:highlight w:val="none"/>
          <w:lang w:val="zh-CN"/>
        </w:rPr>
        <w:t>乙方：</w:t>
      </w:r>
      <w:r>
        <w:rPr>
          <w:rFonts w:hint="eastAsia" w:ascii="华文仿宋" w:hAnsi="华文仿宋" w:eastAsia="华文仿宋" w:cs="华文仿宋"/>
          <w:bCs/>
          <w:color w:val="auto"/>
          <w:sz w:val="24"/>
          <w:szCs w:val="24"/>
          <w:highlight w:val="none"/>
          <w:u w:val="single"/>
          <w:lang w:val="zh-CN"/>
        </w:rPr>
        <w:t>（单位盖章）</w:t>
      </w:r>
    </w:p>
    <w:p w14:paraId="08C3CFD4">
      <w:pPr>
        <w:autoSpaceDE w:val="0"/>
        <w:autoSpaceDN w:val="0"/>
        <w:adjustRightInd w:val="0"/>
        <w:spacing w:line="560" w:lineRule="exact"/>
        <w:rPr>
          <w:rFonts w:hint="eastAsia" w:ascii="华文仿宋" w:hAnsi="华文仿宋" w:eastAsia="华文仿宋" w:cs="华文仿宋"/>
          <w:color w:val="auto"/>
          <w:sz w:val="24"/>
          <w:szCs w:val="24"/>
          <w:highlight w:val="none"/>
          <w:lang w:val="zh-CN"/>
        </w:rPr>
      </w:pPr>
      <w:r>
        <w:rPr>
          <w:rFonts w:hint="eastAsia" w:ascii="华文仿宋" w:hAnsi="华文仿宋" w:eastAsia="华文仿宋" w:cs="华文仿宋"/>
          <w:color w:val="auto"/>
          <w:sz w:val="24"/>
          <w:szCs w:val="24"/>
          <w:highlight w:val="none"/>
          <w:lang w:val="zh-CN"/>
        </w:rPr>
        <w:t>法定代表人法定代表人</w:t>
      </w:r>
    </w:p>
    <w:p w14:paraId="19559207">
      <w:pPr>
        <w:autoSpaceDE w:val="0"/>
        <w:autoSpaceDN w:val="0"/>
        <w:adjustRightInd w:val="0"/>
        <w:spacing w:line="560" w:lineRule="exact"/>
        <w:rPr>
          <w:rFonts w:hint="eastAsia" w:ascii="华文仿宋" w:hAnsi="华文仿宋" w:eastAsia="华文仿宋" w:cs="华文仿宋"/>
          <w:color w:val="auto"/>
          <w:sz w:val="24"/>
          <w:szCs w:val="24"/>
          <w:highlight w:val="none"/>
          <w:lang w:val="zh-CN"/>
        </w:rPr>
      </w:pPr>
      <w:r>
        <w:rPr>
          <w:rFonts w:hint="eastAsia" w:ascii="华文仿宋" w:hAnsi="华文仿宋" w:eastAsia="华文仿宋" w:cs="华文仿宋"/>
          <w:color w:val="auto"/>
          <w:sz w:val="24"/>
          <w:szCs w:val="24"/>
          <w:highlight w:val="none"/>
          <w:lang w:val="zh-CN"/>
        </w:rPr>
        <w:t>或授权代表（签字）：或授权代表（签字）：</w:t>
      </w:r>
    </w:p>
    <w:p w14:paraId="7CB3795D">
      <w:pPr>
        <w:widowControl/>
        <w:spacing w:line="560" w:lineRule="exact"/>
        <w:jc w:val="left"/>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时间：年月日时间：年月日</w:t>
      </w:r>
    </w:p>
    <w:p w14:paraId="6BF04849">
      <w:pPr>
        <w:widowControl/>
        <w:spacing w:line="560" w:lineRule="exact"/>
        <w:jc w:val="left"/>
        <w:rPr>
          <w:rFonts w:hint="eastAsia" w:ascii="华文仿宋" w:hAnsi="华文仿宋" w:eastAsia="华文仿宋" w:cs="华文仿宋"/>
          <w:bCs/>
          <w:color w:val="auto"/>
          <w:sz w:val="24"/>
          <w:szCs w:val="24"/>
          <w:highlight w:val="none"/>
        </w:rPr>
      </w:pPr>
      <w:r>
        <w:rPr>
          <w:rFonts w:hint="eastAsia" w:ascii="华文仿宋" w:hAnsi="华文仿宋" w:eastAsia="华文仿宋" w:cs="华文仿宋"/>
          <w:bCs/>
          <w:color w:val="auto"/>
          <w:sz w:val="24"/>
          <w:szCs w:val="24"/>
          <w:highlight w:val="none"/>
        </w:rPr>
        <w:t>乙方账户信息</w:t>
      </w:r>
    </w:p>
    <w:p w14:paraId="6D7F7D11">
      <w:pPr>
        <w:widowControl/>
        <w:spacing w:line="560" w:lineRule="exact"/>
        <w:jc w:val="left"/>
        <w:rPr>
          <w:rFonts w:hint="eastAsia" w:ascii="华文仿宋" w:hAnsi="华文仿宋" w:eastAsia="华文仿宋" w:cs="华文仿宋"/>
          <w:bCs/>
          <w:color w:val="auto"/>
          <w:sz w:val="24"/>
          <w:szCs w:val="24"/>
          <w:highlight w:val="none"/>
          <w:u w:val="single"/>
          <w:lang w:eastAsia="zh-CN"/>
        </w:rPr>
      </w:pPr>
      <w:r>
        <w:rPr>
          <w:rFonts w:hint="eastAsia" w:ascii="华文仿宋" w:hAnsi="华文仿宋" w:eastAsia="华文仿宋" w:cs="华文仿宋"/>
          <w:bCs/>
          <w:color w:val="auto"/>
          <w:sz w:val="24"/>
          <w:szCs w:val="24"/>
          <w:highlight w:val="none"/>
        </w:rPr>
        <w:t>户名：</w:t>
      </w:r>
    </w:p>
    <w:p w14:paraId="0D6C75C3">
      <w:pPr>
        <w:widowControl/>
        <w:spacing w:line="560" w:lineRule="exact"/>
        <w:jc w:val="left"/>
        <w:rPr>
          <w:rFonts w:hint="eastAsia" w:ascii="华文仿宋" w:hAnsi="华文仿宋" w:eastAsia="华文仿宋" w:cs="华文仿宋"/>
          <w:bCs/>
          <w:color w:val="auto"/>
          <w:sz w:val="24"/>
          <w:szCs w:val="24"/>
          <w:highlight w:val="none"/>
          <w:u w:val="single"/>
          <w:lang w:eastAsia="zh-CN"/>
        </w:rPr>
      </w:pPr>
      <w:r>
        <w:rPr>
          <w:rFonts w:hint="eastAsia" w:ascii="华文仿宋" w:hAnsi="华文仿宋" w:eastAsia="华文仿宋" w:cs="华文仿宋"/>
          <w:bCs/>
          <w:color w:val="auto"/>
          <w:sz w:val="24"/>
          <w:szCs w:val="24"/>
          <w:highlight w:val="none"/>
        </w:rPr>
        <w:t>账号：</w:t>
      </w:r>
    </w:p>
    <w:p w14:paraId="53DF2DB9">
      <w:pPr>
        <w:widowControl/>
        <w:spacing w:line="560" w:lineRule="exact"/>
        <w:jc w:val="left"/>
        <w:rPr>
          <w:rFonts w:hint="eastAsia" w:ascii="华文仿宋" w:hAnsi="华文仿宋" w:eastAsia="华文仿宋" w:cs="华文仿宋"/>
          <w:bCs/>
          <w:color w:val="auto"/>
          <w:sz w:val="24"/>
          <w:szCs w:val="24"/>
          <w:highlight w:val="none"/>
          <w:u w:val="single"/>
          <w:lang w:eastAsia="zh-CN"/>
        </w:rPr>
      </w:pPr>
      <w:r>
        <w:rPr>
          <w:rFonts w:hint="eastAsia" w:ascii="华文仿宋" w:hAnsi="华文仿宋" w:eastAsia="华文仿宋" w:cs="华文仿宋"/>
          <w:bCs/>
          <w:color w:val="auto"/>
          <w:sz w:val="24"/>
          <w:szCs w:val="24"/>
          <w:highlight w:val="none"/>
        </w:rPr>
        <w:t>开户银行：</w:t>
      </w:r>
    </w:p>
    <w:p w14:paraId="46D171F5">
      <w:pPr>
        <w:widowControl/>
        <w:jc w:val="left"/>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br w:type="page"/>
      </w:r>
    </w:p>
    <w:p w14:paraId="036E2A2D">
      <w:pPr>
        <w:spacing w:line="360" w:lineRule="auto"/>
        <w:jc w:val="center"/>
        <w:outlineLvl w:val="1"/>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第二部分合同一般条款</w:t>
      </w:r>
      <w:bookmarkEnd w:id="89"/>
    </w:p>
    <w:p w14:paraId="5C397B7D">
      <w:pPr>
        <w:spacing w:line="360" w:lineRule="auto"/>
        <w:ind w:firstLine="437"/>
        <w:outlineLvl w:val="2"/>
        <w:rPr>
          <w:rFonts w:hint="eastAsia" w:ascii="华文仿宋" w:hAnsi="华文仿宋" w:eastAsia="华文仿宋" w:cs="华文仿宋"/>
          <w:b/>
          <w:bCs/>
          <w:color w:val="auto"/>
          <w:sz w:val="24"/>
          <w:highlight w:val="none"/>
          <w:lang w:val="zh-CN"/>
        </w:rPr>
      </w:pPr>
      <w:bookmarkStart w:id="90" w:name="_Ref467379109"/>
      <w:bookmarkStart w:id="91" w:name="_Toc259093669"/>
      <w:bookmarkStart w:id="92" w:name="_Ref467378404"/>
      <w:bookmarkStart w:id="93" w:name="_Ref467378463"/>
      <w:bookmarkStart w:id="94" w:name="_Toc28763"/>
      <w:bookmarkStart w:id="95" w:name="_Ref467379214"/>
      <w:bookmarkStart w:id="96" w:name="_Ref467379195"/>
      <w:bookmarkStart w:id="97" w:name="_Toc16917"/>
      <w:bookmarkStart w:id="98" w:name="_Ref467379094"/>
      <w:bookmarkStart w:id="99" w:name="_Toc487900349"/>
      <w:bookmarkStart w:id="100" w:name="_Ref467378499"/>
      <w:bookmarkStart w:id="101" w:name="_Ref467379225"/>
      <w:bookmarkStart w:id="102" w:name="_Ref467379205"/>
      <w:bookmarkStart w:id="103" w:name="_Ref467379101"/>
      <w:bookmarkStart w:id="104" w:name="_Toc279701240"/>
      <w:bookmarkStart w:id="105" w:name="_Toc19614"/>
      <w:r>
        <w:rPr>
          <w:rFonts w:hint="eastAsia" w:ascii="华文仿宋" w:hAnsi="华文仿宋" w:eastAsia="华文仿宋" w:cs="华文仿宋"/>
          <w:b/>
          <w:bCs/>
          <w:color w:val="auto"/>
          <w:sz w:val="24"/>
          <w:highlight w:val="none"/>
          <w:lang w:val="zh-CN"/>
        </w:rPr>
        <w:t>2.1定义</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174F840D">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本合同中的下列词语应按以下内容进行解释：</w:t>
      </w:r>
    </w:p>
    <w:p w14:paraId="64CC4375">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2.1.1“合同”系指采购人和成交供应商签订的载明双方当事人所达成的协议，并包括所有的附件、附录和构成合同的其他文件。</w:t>
      </w:r>
    </w:p>
    <w:p w14:paraId="77EC3EF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2.1.2“合同价”系指根据合同约定，成交供应商在完全履行合同义务后，采购人应支付给成交供应商的价格。</w:t>
      </w:r>
    </w:p>
    <w:p w14:paraId="3046FE58">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2.1.3“服务”系指成交供应商根据合同约定应向采购人履行的除货物和工程以外的其他政府采购对象，包括采购人自身需要的服务和向社会公众提供的公共服务。</w:t>
      </w:r>
    </w:p>
    <w:p w14:paraId="74ADA628">
      <w:pPr>
        <w:spacing w:line="360" w:lineRule="auto"/>
        <w:ind w:firstLine="435"/>
        <w:rPr>
          <w:rFonts w:hint="eastAsia" w:ascii="华文仿宋" w:hAnsi="华文仿宋" w:eastAsia="华文仿宋" w:cs="华文仿宋"/>
          <w:color w:val="auto"/>
          <w:sz w:val="24"/>
          <w:highlight w:val="none"/>
        </w:rPr>
      </w:pPr>
      <w:bookmarkStart w:id="106" w:name="_Ref467378840"/>
      <w:r>
        <w:rPr>
          <w:rFonts w:hint="eastAsia" w:ascii="华文仿宋" w:hAnsi="华文仿宋" w:eastAsia="华文仿宋" w:cs="华文仿宋"/>
          <w:color w:val="auto"/>
          <w:sz w:val="24"/>
          <w:highlight w:val="none"/>
        </w:rPr>
        <w:t>2.1.4“甲方”系指与成交供应商签署合同的采购人</w:t>
      </w:r>
      <w:bookmarkEnd w:id="106"/>
      <w:r>
        <w:rPr>
          <w:rFonts w:hint="eastAsia" w:ascii="华文仿宋" w:hAnsi="华文仿宋" w:eastAsia="华文仿宋" w:cs="华文仿宋"/>
          <w:color w:val="auto"/>
          <w:sz w:val="24"/>
          <w:highlight w:val="none"/>
        </w:rPr>
        <w:t>；采购人委托采购代理机构代表其与乙方签订合同的，采购人的授权委托书作为合同附件。</w:t>
      </w:r>
    </w:p>
    <w:p w14:paraId="1FD7268E">
      <w:pPr>
        <w:spacing w:line="360" w:lineRule="auto"/>
        <w:ind w:firstLine="435"/>
        <w:rPr>
          <w:rFonts w:hint="eastAsia" w:ascii="华文仿宋" w:hAnsi="华文仿宋" w:eastAsia="华文仿宋" w:cs="华文仿宋"/>
          <w:color w:val="auto"/>
          <w:sz w:val="24"/>
          <w:highlight w:val="none"/>
        </w:rPr>
      </w:pPr>
      <w:bookmarkStart w:id="107" w:name="_Ref467379400"/>
      <w:r>
        <w:rPr>
          <w:rFonts w:hint="eastAsia" w:ascii="华文仿宋" w:hAnsi="华文仿宋" w:eastAsia="华文仿宋" w:cs="华文仿宋"/>
          <w:color w:val="auto"/>
          <w:sz w:val="24"/>
          <w:highlight w:val="none"/>
        </w:rPr>
        <w:t>2.1.5“乙方”系指根据合同约定提供服务的成交供应商</w:t>
      </w:r>
      <w:bookmarkEnd w:id="107"/>
      <w:r>
        <w:rPr>
          <w:rFonts w:hint="eastAsia" w:ascii="华文仿宋" w:hAnsi="华文仿宋" w:eastAsia="华文仿宋" w:cs="华文仿宋"/>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253967D5">
      <w:pPr>
        <w:spacing w:line="360" w:lineRule="auto"/>
        <w:ind w:firstLine="435"/>
        <w:rPr>
          <w:rFonts w:hint="eastAsia" w:ascii="华文仿宋" w:hAnsi="华文仿宋" w:eastAsia="华文仿宋" w:cs="华文仿宋"/>
          <w:color w:val="auto"/>
          <w:sz w:val="24"/>
          <w:highlight w:val="none"/>
        </w:rPr>
      </w:pPr>
      <w:bookmarkStart w:id="108" w:name="_Ref467379436"/>
      <w:r>
        <w:rPr>
          <w:rFonts w:hint="eastAsia" w:ascii="华文仿宋" w:hAnsi="华文仿宋" w:eastAsia="华文仿宋" w:cs="华文仿宋"/>
          <w:color w:val="auto"/>
          <w:sz w:val="24"/>
          <w:highlight w:val="none"/>
        </w:rPr>
        <w:t>2.1.6“现场”系指合同约定提供服务的地点。</w:t>
      </w:r>
      <w:bookmarkEnd w:id="108"/>
    </w:p>
    <w:p w14:paraId="52138D64">
      <w:pPr>
        <w:spacing w:line="360" w:lineRule="auto"/>
        <w:ind w:firstLine="437"/>
        <w:outlineLvl w:val="2"/>
        <w:rPr>
          <w:rFonts w:hint="eastAsia" w:ascii="华文仿宋" w:hAnsi="华文仿宋" w:eastAsia="华文仿宋" w:cs="华文仿宋"/>
          <w:b/>
          <w:bCs/>
          <w:color w:val="auto"/>
          <w:sz w:val="24"/>
          <w:highlight w:val="none"/>
          <w:lang w:val="zh-CN"/>
        </w:rPr>
      </w:pPr>
      <w:bookmarkStart w:id="109" w:name="_Toc32504"/>
      <w:bookmarkStart w:id="110" w:name="_Toc27635"/>
      <w:bookmarkStart w:id="111" w:name="_Toc279701241"/>
      <w:bookmarkStart w:id="112" w:name="_Toc13336"/>
      <w:bookmarkStart w:id="113" w:name="_Toc259093670"/>
      <w:bookmarkStart w:id="114" w:name="_Toc487900350"/>
      <w:r>
        <w:rPr>
          <w:rFonts w:hint="eastAsia" w:ascii="华文仿宋" w:hAnsi="华文仿宋" w:eastAsia="华文仿宋" w:cs="华文仿宋"/>
          <w:b/>
          <w:bCs/>
          <w:color w:val="auto"/>
          <w:sz w:val="24"/>
          <w:highlight w:val="none"/>
          <w:lang w:val="zh-CN"/>
        </w:rPr>
        <w:t>2.2技术规范</w:t>
      </w:r>
      <w:bookmarkEnd w:id="109"/>
      <w:bookmarkEnd w:id="110"/>
      <w:bookmarkEnd w:id="111"/>
      <w:bookmarkEnd w:id="112"/>
      <w:bookmarkEnd w:id="113"/>
      <w:bookmarkEnd w:id="114"/>
    </w:p>
    <w:p w14:paraId="149FEFDB">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339BF40E">
      <w:pPr>
        <w:spacing w:line="360" w:lineRule="auto"/>
        <w:ind w:firstLine="437"/>
        <w:outlineLvl w:val="2"/>
        <w:rPr>
          <w:rFonts w:hint="eastAsia" w:ascii="华文仿宋" w:hAnsi="华文仿宋" w:eastAsia="华文仿宋" w:cs="华文仿宋"/>
          <w:b/>
          <w:bCs/>
          <w:color w:val="auto"/>
          <w:sz w:val="24"/>
          <w:highlight w:val="none"/>
          <w:lang w:val="zh-CN"/>
        </w:rPr>
      </w:pPr>
      <w:bookmarkStart w:id="115" w:name="_Toc487900351"/>
      <w:bookmarkStart w:id="116" w:name="_Toc9829"/>
      <w:bookmarkStart w:id="117" w:name="_Toc279701242"/>
      <w:bookmarkStart w:id="118" w:name="_Toc259093671"/>
      <w:bookmarkStart w:id="119" w:name="_Toc27853"/>
      <w:bookmarkStart w:id="120" w:name="_Toc31634"/>
      <w:r>
        <w:rPr>
          <w:rFonts w:hint="eastAsia" w:ascii="华文仿宋" w:hAnsi="华文仿宋" w:eastAsia="华文仿宋" w:cs="华文仿宋"/>
          <w:b/>
          <w:bCs/>
          <w:color w:val="auto"/>
          <w:sz w:val="24"/>
          <w:highlight w:val="none"/>
          <w:lang w:val="zh-CN"/>
        </w:rPr>
        <w:t>2.3知识产权</w:t>
      </w:r>
      <w:bookmarkEnd w:id="115"/>
      <w:bookmarkEnd w:id="116"/>
      <w:bookmarkEnd w:id="117"/>
      <w:bookmarkEnd w:id="118"/>
      <w:bookmarkEnd w:id="119"/>
      <w:bookmarkEnd w:id="120"/>
    </w:p>
    <w:p w14:paraId="5F1F8045">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0857609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2.3.2具有知识产权的计算机软件等货物的知识产权归属，详见</w:t>
      </w:r>
      <w:r>
        <w:rPr>
          <w:rFonts w:hint="eastAsia" w:ascii="华文仿宋" w:hAnsi="华文仿宋" w:eastAsia="华文仿宋" w:cs="华文仿宋"/>
          <w:b/>
          <w:i/>
          <w:color w:val="auto"/>
          <w:sz w:val="24"/>
          <w:highlight w:val="none"/>
          <w:u w:val="single"/>
        </w:rPr>
        <w:t>合同专用条款</w:t>
      </w:r>
      <w:r>
        <w:rPr>
          <w:rFonts w:hint="eastAsia" w:ascii="华文仿宋" w:hAnsi="华文仿宋" w:eastAsia="华文仿宋" w:cs="华文仿宋"/>
          <w:color w:val="auto"/>
          <w:sz w:val="24"/>
          <w:highlight w:val="none"/>
        </w:rPr>
        <w:t>。</w:t>
      </w:r>
    </w:p>
    <w:p w14:paraId="797823E9">
      <w:pPr>
        <w:spacing w:line="360" w:lineRule="auto"/>
        <w:ind w:firstLine="437"/>
        <w:outlineLvl w:val="2"/>
        <w:rPr>
          <w:rFonts w:hint="eastAsia" w:ascii="华文仿宋" w:hAnsi="华文仿宋" w:eastAsia="华文仿宋" w:cs="华文仿宋"/>
          <w:b/>
          <w:bCs/>
          <w:color w:val="auto"/>
          <w:sz w:val="24"/>
          <w:highlight w:val="none"/>
          <w:lang w:val="zh-CN"/>
        </w:rPr>
      </w:pPr>
      <w:bookmarkStart w:id="121" w:name="_Ref467379536"/>
      <w:bookmarkStart w:id="122" w:name="_Ref467378591"/>
      <w:bookmarkStart w:id="123" w:name="_Ref467379527"/>
      <w:bookmarkStart w:id="124" w:name="_Toc487900354"/>
      <w:bookmarkStart w:id="125" w:name="_Ref467379542"/>
      <w:bookmarkStart w:id="126" w:name="_Toc259093674"/>
      <w:bookmarkStart w:id="127" w:name="_Ref467378541"/>
      <w:bookmarkStart w:id="128" w:name="_Toc279701245"/>
      <w:bookmarkStart w:id="129" w:name="_Toc30272"/>
      <w:bookmarkStart w:id="130" w:name="_Toc26182"/>
      <w:bookmarkStart w:id="131" w:name="_Toc19074"/>
      <w:r>
        <w:rPr>
          <w:rFonts w:hint="eastAsia" w:ascii="华文仿宋" w:hAnsi="华文仿宋" w:eastAsia="华文仿宋" w:cs="华文仿宋"/>
          <w:b/>
          <w:bCs/>
          <w:color w:val="auto"/>
          <w:sz w:val="24"/>
          <w:highlight w:val="none"/>
          <w:lang w:val="zh-CN"/>
        </w:rPr>
        <w:t>2.</w:t>
      </w:r>
      <w:bookmarkEnd w:id="121"/>
      <w:bookmarkEnd w:id="122"/>
      <w:bookmarkEnd w:id="123"/>
      <w:bookmarkEnd w:id="124"/>
      <w:bookmarkEnd w:id="125"/>
      <w:bookmarkEnd w:id="126"/>
      <w:bookmarkEnd w:id="127"/>
      <w:bookmarkEnd w:id="128"/>
      <w:r>
        <w:rPr>
          <w:rFonts w:hint="eastAsia" w:ascii="华文仿宋" w:hAnsi="华文仿宋" w:eastAsia="华文仿宋" w:cs="华文仿宋"/>
          <w:b/>
          <w:bCs/>
          <w:color w:val="auto"/>
          <w:sz w:val="24"/>
          <w:highlight w:val="none"/>
          <w:lang w:val="zh-CN"/>
        </w:rPr>
        <w:t>4履约检查和问题反馈</w:t>
      </w:r>
      <w:bookmarkEnd w:id="129"/>
      <w:bookmarkEnd w:id="130"/>
      <w:bookmarkEnd w:id="131"/>
    </w:p>
    <w:p w14:paraId="4C2A88EB">
      <w:pPr>
        <w:spacing w:line="360" w:lineRule="auto"/>
        <w:ind w:firstLine="435"/>
        <w:rPr>
          <w:rFonts w:hint="eastAsia" w:ascii="华文仿宋" w:hAnsi="华文仿宋" w:eastAsia="华文仿宋" w:cs="华文仿宋"/>
          <w:color w:val="auto"/>
          <w:sz w:val="24"/>
          <w:highlight w:val="none"/>
        </w:rPr>
      </w:pPr>
      <w:bookmarkStart w:id="132" w:name="_Toc186431854"/>
      <w:bookmarkStart w:id="133" w:name="_Ref467379793"/>
      <w:bookmarkStart w:id="134" w:name="_Toc279701247"/>
      <w:bookmarkStart w:id="135" w:name="_Toc487900357"/>
      <w:bookmarkStart w:id="136" w:name="_Toc259093676"/>
      <w:bookmarkStart w:id="137" w:name="_Ref467379807"/>
      <w:r>
        <w:rPr>
          <w:rFonts w:hint="eastAsia" w:ascii="华文仿宋" w:hAnsi="华文仿宋" w:eastAsia="华文仿宋" w:cs="华文仿宋"/>
          <w:color w:val="auto"/>
          <w:sz w:val="24"/>
          <w:highlight w:val="none"/>
        </w:rPr>
        <w:t>2.4.1甲方有权在其认为必要时，对乙方是否能够按照合同约定提供服务进行履约检查，以确保乙方所提供的服务能够依约满足甲方项目需求，但不得因履约检查妨碍乙方的正常工作，乙方应予积极配合；</w:t>
      </w:r>
    </w:p>
    <w:p w14:paraId="3E85AEC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2.4.2合同履行期间，甲方有权将履行过程中出现的问题反馈给乙方，双方当事人应以书面形式约定需要完善和改进的内容</w:t>
      </w:r>
      <w:bookmarkEnd w:id="132"/>
      <w:bookmarkStart w:id="138" w:name="_Toc186431855"/>
      <w:r>
        <w:rPr>
          <w:rFonts w:hint="eastAsia" w:ascii="华文仿宋" w:hAnsi="华文仿宋" w:eastAsia="华文仿宋" w:cs="华文仿宋"/>
          <w:color w:val="auto"/>
          <w:sz w:val="24"/>
          <w:highlight w:val="none"/>
        </w:rPr>
        <w:t>。</w:t>
      </w:r>
    </w:p>
    <w:bookmarkEnd w:id="138"/>
    <w:p w14:paraId="2BF0261D">
      <w:pPr>
        <w:spacing w:line="360" w:lineRule="auto"/>
        <w:ind w:firstLine="437"/>
        <w:outlineLvl w:val="2"/>
        <w:rPr>
          <w:rFonts w:hint="eastAsia" w:ascii="华文仿宋" w:hAnsi="华文仿宋" w:eastAsia="华文仿宋" w:cs="华文仿宋"/>
          <w:b/>
          <w:bCs/>
          <w:color w:val="auto"/>
          <w:sz w:val="24"/>
          <w:highlight w:val="none"/>
          <w:lang w:val="zh-CN"/>
        </w:rPr>
      </w:pPr>
      <w:bookmarkStart w:id="139" w:name="_Toc7836"/>
      <w:bookmarkStart w:id="140" w:name="_Toc28451"/>
      <w:bookmarkStart w:id="141" w:name="_Toc19219"/>
      <w:r>
        <w:rPr>
          <w:rFonts w:hint="eastAsia" w:ascii="华文仿宋" w:hAnsi="华文仿宋" w:eastAsia="华文仿宋" w:cs="华文仿宋"/>
          <w:b/>
          <w:bCs/>
          <w:color w:val="auto"/>
          <w:sz w:val="24"/>
          <w:highlight w:val="none"/>
          <w:lang w:val="zh-CN"/>
        </w:rPr>
        <w:t>2.5结算方式和付款条件</w:t>
      </w:r>
      <w:bookmarkEnd w:id="133"/>
      <w:bookmarkEnd w:id="134"/>
      <w:bookmarkEnd w:id="135"/>
      <w:bookmarkEnd w:id="136"/>
      <w:bookmarkEnd w:id="137"/>
      <w:bookmarkEnd w:id="139"/>
      <w:bookmarkEnd w:id="140"/>
      <w:bookmarkEnd w:id="141"/>
    </w:p>
    <w:p w14:paraId="2749A369">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详见</w:t>
      </w:r>
      <w:r>
        <w:rPr>
          <w:rFonts w:hint="eastAsia" w:ascii="华文仿宋" w:hAnsi="华文仿宋" w:eastAsia="华文仿宋" w:cs="华文仿宋"/>
          <w:b/>
          <w:i/>
          <w:color w:val="auto"/>
          <w:sz w:val="24"/>
          <w:highlight w:val="none"/>
          <w:u w:val="single"/>
        </w:rPr>
        <w:t>合同专用条款</w:t>
      </w:r>
      <w:r>
        <w:rPr>
          <w:rFonts w:hint="eastAsia" w:ascii="华文仿宋" w:hAnsi="华文仿宋" w:eastAsia="华文仿宋" w:cs="华文仿宋"/>
          <w:color w:val="auto"/>
          <w:sz w:val="24"/>
          <w:highlight w:val="none"/>
        </w:rPr>
        <w:t>。</w:t>
      </w:r>
    </w:p>
    <w:p w14:paraId="1CAEEE16">
      <w:pPr>
        <w:spacing w:line="360" w:lineRule="auto"/>
        <w:ind w:firstLine="437"/>
        <w:outlineLvl w:val="2"/>
        <w:rPr>
          <w:rFonts w:hint="eastAsia" w:ascii="华文仿宋" w:hAnsi="华文仿宋" w:eastAsia="华文仿宋" w:cs="华文仿宋"/>
          <w:b/>
          <w:bCs/>
          <w:color w:val="auto"/>
          <w:sz w:val="24"/>
          <w:highlight w:val="none"/>
          <w:lang w:val="zh-CN"/>
        </w:rPr>
      </w:pPr>
      <w:bookmarkStart w:id="142" w:name="_Ref467379863"/>
      <w:bookmarkStart w:id="143" w:name="_Toc487900358"/>
      <w:bookmarkStart w:id="144" w:name="_Ref467379923"/>
      <w:bookmarkStart w:id="145" w:name="_Toc279701248"/>
      <w:bookmarkStart w:id="146" w:name="_Toc259093677"/>
      <w:bookmarkStart w:id="147" w:name="_Ref467379852"/>
      <w:bookmarkStart w:id="148" w:name="_Toc16110"/>
      <w:bookmarkStart w:id="149" w:name="_Toc3225"/>
      <w:bookmarkStart w:id="150" w:name="_Toc774"/>
      <w:r>
        <w:rPr>
          <w:rFonts w:hint="eastAsia" w:ascii="华文仿宋" w:hAnsi="华文仿宋" w:eastAsia="华文仿宋" w:cs="华文仿宋"/>
          <w:b/>
          <w:bCs/>
          <w:color w:val="auto"/>
          <w:sz w:val="24"/>
          <w:highlight w:val="none"/>
          <w:lang w:val="zh-CN"/>
        </w:rPr>
        <w:t>2.6技术资料</w:t>
      </w:r>
      <w:bookmarkEnd w:id="142"/>
      <w:bookmarkEnd w:id="143"/>
      <w:bookmarkEnd w:id="144"/>
      <w:bookmarkEnd w:id="145"/>
      <w:bookmarkEnd w:id="146"/>
      <w:bookmarkEnd w:id="147"/>
      <w:r>
        <w:rPr>
          <w:rFonts w:hint="eastAsia" w:ascii="华文仿宋" w:hAnsi="华文仿宋" w:eastAsia="华文仿宋" w:cs="华文仿宋"/>
          <w:b/>
          <w:bCs/>
          <w:color w:val="auto"/>
          <w:sz w:val="24"/>
          <w:highlight w:val="none"/>
          <w:lang w:val="zh-CN"/>
        </w:rPr>
        <w:t>和保密义务</w:t>
      </w:r>
      <w:bookmarkEnd w:id="148"/>
      <w:bookmarkEnd w:id="149"/>
      <w:bookmarkEnd w:id="150"/>
    </w:p>
    <w:p w14:paraId="3F340186">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2.6.1乙方有权依据合同约定和项目需要，向甲方了解有关情况，调阅有关资料等，甲方应予积极配合；</w:t>
      </w:r>
    </w:p>
    <w:p w14:paraId="3BDDFE6D">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2.6.2乙方有义务妥善保管和保护由甲方提供的前款信息和资料等；</w:t>
      </w:r>
    </w:p>
    <w:p w14:paraId="1AE9FEB3">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2773DA57">
      <w:pPr>
        <w:spacing w:line="360" w:lineRule="auto"/>
        <w:ind w:firstLine="437"/>
        <w:outlineLvl w:val="2"/>
        <w:rPr>
          <w:rFonts w:hint="eastAsia" w:ascii="华文仿宋" w:hAnsi="华文仿宋" w:eastAsia="华文仿宋" w:cs="华文仿宋"/>
          <w:b/>
          <w:bCs/>
          <w:color w:val="auto"/>
          <w:sz w:val="24"/>
          <w:highlight w:val="none"/>
          <w:lang w:val="zh-CN"/>
        </w:rPr>
      </w:pPr>
      <w:bookmarkStart w:id="151" w:name="_Toc7860"/>
      <w:r>
        <w:rPr>
          <w:rFonts w:hint="eastAsia" w:ascii="华文仿宋" w:hAnsi="华文仿宋" w:eastAsia="华文仿宋" w:cs="华文仿宋"/>
          <w:b/>
          <w:bCs/>
          <w:color w:val="auto"/>
          <w:sz w:val="24"/>
          <w:highlight w:val="none"/>
          <w:lang w:val="zh-CN"/>
        </w:rPr>
        <w:t>2.7质量保证</w:t>
      </w:r>
      <w:bookmarkEnd w:id="151"/>
    </w:p>
    <w:p w14:paraId="6537BF4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2.7.1乙方应建立和完善履行合同的内部质量保证体系，并提供相关内部规章制度给甲方，以便甲方进行监督检查；</w:t>
      </w:r>
    </w:p>
    <w:p w14:paraId="56AF231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2.7.2乙方应保证履行合同的人员数量和素质、软件和硬件设备的配置、场地、环境和设施等满足全面履行合同的要求，并应接受甲方的监督检查。</w:t>
      </w:r>
    </w:p>
    <w:p w14:paraId="03324FB6">
      <w:pPr>
        <w:spacing w:line="360" w:lineRule="auto"/>
        <w:ind w:firstLine="437"/>
        <w:outlineLvl w:val="2"/>
        <w:rPr>
          <w:rFonts w:hint="eastAsia" w:ascii="华文仿宋" w:hAnsi="华文仿宋" w:eastAsia="华文仿宋" w:cs="华文仿宋"/>
          <w:b/>
          <w:color w:val="auto"/>
          <w:sz w:val="24"/>
          <w:highlight w:val="none"/>
        </w:rPr>
      </w:pPr>
      <w:bookmarkStart w:id="152" w:name="_Toc22267"/>
      <w:r>
        <w:rPr>
          <w:rFonts w:hint="eastAsia" w:ascii="华文仿宋" w:hAnsi="华文仿宋" w:eastAsia="华文仿宋" w:cs="华文仿宋"/>
          <w:b/>
          <w:color w:val="auto"/>
          <w:sz w:val="24"/>
          <w:highlight w:val="none"/>
        </w:rPr>
        <w:t>2.8延迟履行</w:t>
      </w:r>
      <w:bookmarkEnd w:id="152"/>
    </w:p>
    <w:p w14:paraId="027B7129">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6207EB0A">
      <w:pPr>
        <w:spacing w:line="360" w:lineRule="auto"/>
        <w:ind w:firstLine="437"/>
        <w:outlineLvl w:val="2"/>
        <w:rPr>
          <w:rFonts w:hint="eastAsia" w:ascii="华文仿宋" w:hAnsi="华文仿宋" w:eastAsia="华文仿宋" w:cs="华文仿宋"/>
          <w:b/>
          <w:bCs/>
          <w:color w:val="auto"/>
          <w:sz w:val="24"/>
          <w:highlight w:val="none"/>
          <w:lang w:val="zh-CN"/>
        </w:rPr>
      </w:pPr>
      <w:bookmarkStart w:id="153" w:name="_Toc7502"/>
      <w:bookmarkStart w:id="154" w:name="_Toc259093683"/>
      <w:bookmarkStart w:id="155" w:name="_Toc487900364"/>
      <w:bookmarkStart w:id="156" w:name="_Ref467378121"/>
      <w:bookmarkStart w:id="157" w:name="_Toc279701254"/>
      <w:r>
        <w:rPr>
          <w:rFonts w:hint="eastAsia" w:ascii="华文仿宋" w:hAnsi="华文仿宋" w:eastAsia="华文仿宋" w:cs="华文仿宋"/>
          <w:b/>
          <w:bCs/>
          <w:color w:val="auto"/>
          <w:sz w:val="24"/>
          <w:highlight w:val="none"/>
          <w:lang w:val="zh-CN"/>
        </w:rPr>
        <w:t>2.9合同变更</w:t>
      </w:r>
      <w:bookmarkEnd w:id="153"/>
    </w:p>
    <w:p w14:paraId="25D6898E">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2.9.1双方当事人协商一致，可以签订书面补充合同的形式变更合同，但不得违背采购文件确定的事项；</w:t>
      </w:r>
    </w:p>
    <w:p w14:paraId="035F1917">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2.9.2合同继续履行将损害国家利益和社会公共利益的，双方当事人应当以书面形式变更合同。有过错的一方应当承担赔偿责任，双方当事人都有过错的，各自承担相应的责任。</w:t>
      </w:r>
      <w:bookmarkStart w:id="158" w:name="_Toc487900369"/>
      <w:bookmarkStart w:id="159" w:name="_Toc279701259"/>
      <w:bookmarkStart w:id="160" w:name="_Toc259093688"/>
    </w:p>
    <w:p w14:paraId="1E73A301">
      <w:pPr>
        <w:spacing w:line="360" w:lineRule="auto"/>
        <w:ind w:firstLine="437"/>
        <w:outlineLvl w:val="2"/>
        <w:rPr>
          <w:rFonts w:hint="eastAsia" w:ascii="华文仿宋" w:hAnsi="华文仿宋" w:eastAsia="华文仿宋" w:cs="华文仿宋"/>
          <w:b/>
          <w:bCs/>
          <w:color w:val="auto"/>
          <w:sz w:val="24"/>
          <w:highlight w:val="none"/>
          <w:lang w:val="zh-CN"/>
        </w:rPr>
      </w:pPr>
      <w:bookmarkStart w:id="161" w:name="_Toc22955"/>
      <w:bookmarkStart w:id="162" w:name="_Toc10366"/>
      <w:bookmarkStart w:id="163" w:name="_Toc15237"/>
      <w:r>
        <w:rPr>
          <w:rFonts w:hint="eastAsia" w:ascii="华文仿宋" w:hAnsi="华文仿宋" w:eastAsia="华文仿宋" w:cs="华文仿宋"/>
          <w:b/>
          <w:bCs/>
          <w:color w:val="auto"/>
          <w:sz w:val="24"/>
          <w:highlight w:val="none"/>
          <w:lang w:val="zh-CN"/>
        </w:rPr>
        <w:t>2.10合同转让</w:t>
      </w:r>
      <w:bookmarkEnd w:id="158"/>
      <w:bookmarkEnd w:id="159"/>
      <w:bookmarkEnd w:id="160"/>
      <w:r>
        <w:rPr>
          <w:rFonts w:hint="eastAsia" w:ascii="华文仿宋" w:hAnsi="华文仿宋" w:eastAsia="华文仿宋" w:cs="华文仿宋"/>
          <w:b/>
          <w:bCs/>
          <w:color w:val="auto"/>
          <w:sz w:val="24"/>
          <w:highlight w:val="none"/>
          <w:lang w:val="zh-CN"/>
        </w:rPr>
        <w:t>和分包</w:t>
      </w:r>
      <w:bookmarkEnd w:id="161"/>
      <w:bookmarkEnd w:id="162"/>
      <w:bookmarkEnd w:id="163"/>
    </w:p>
    <w:p w14:paraId="34B32380">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C78BAE8">
      <w:pPr>
        <w:spacing w:line="360" w:lineRule="auto"/>
        <w:ind w:firstLine="437"/>
        <w:outlineLvl w:val="2"/>
        <w:rPr>
          <w:rFonts w:hint="eastAsia" w:ascii="华文仿宋" w:hAnsi="华文仿宋" w:eastAsia="华文仿宋" w:cs="华文仿宋"/>
          <w:b/>
          <w:bCs/>
          <w:color w:val="auto"/>
          <w:sz w:val="24"/>
          <w:highlight w:val="none"/>
          <w:lang w:val="zh-CN"/>
        </w:rPr>
      </w:pPr>
      <w:bookmarkStart w:id="164" w:name="_Toc16508"/>
      <w:bookmarkStart w:id="165" w:name="_Toc14066"/>
      <w:bookmarkStart w:id="166" w:name="_Toc13566"/>
      <w:r>
        <w:rPr>
          <w:rFonts w:hint="eastAsia" w:ascii="华文仿宋" w:hAnsi="华文仿宋" w:eastAsia="华文仿宋" w:cs="华文仿宋"/>
          <w:b/>
          <w:bCs/>
          <w:color w:val="auto"/>
          <w:sz w:val="24"/>
          <w:highlight w:val="none"/>
          <w:lang w:val="zh-CN"/>
        </w:rPr>
        <w:t>2.11不可抗力</w:t>
      </w:r>
      <w:bookmarkEnd w:id="164"/>
      <w:bookmarkEnd w:id="165"/>
      <w:bookmarkEnd w:id="166"/>
    </w:p>
    <w:p w14:paraId="79D8556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2.11.1如果任何一方遭遇法律规定的不可抗力，致使合同履行受阻时，履行合同的期限应予延长，延长的期限应相当于不可抗力所影响的时间；</w:t>
      </w:r>
    </w:p>
    <w:p w14:paraId="140FD3A6">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2.11.2因不可抗力致使不能实现合同目的的，当事人可以解除合同；</w:t>
      </w:r>
    </w:p>
    <w:p w14:paraId="3322C490">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2.11.3因不可抗力致使合同有变更必要的，双方当事人应在</w:t>
      </w:r>
      <w:r>
        <w:rPr>
          <w:rFonts w:hint="eastAsia" w:ascii="华文仿宋" w:hAnsi="华文仿宋" w:eastAsia="华文仿宋" w:cs="华文仿宋"/>
          <w:b/>
          <w:i/>
          <w:color w:val="auto"/>
          <w:sz w:val="24"/>
          <w:highlight w:val="none"/>
          <w:u w:val="single"/>
        </w:rPr>
        <w:t>合同专用条款</w:t>
      </w:r>
      <w:r>
        <w:rPr>
          <w:rFonts w:hint="eastAsia" w:ascii="华文仿宋" w:hAnsi="华文仿宋" w:eastAsia="华文仿宋" w:cs="华文仿宋"/>
          <w:color w:val="auto"/>
          <w:sz w:val="24"/>
          <w:highlight w:val="none"/>
        </w:rPr>
        <w:t>约定时间内以书面形式变更合同；</w:t>
      </w:r>
    </w:p>
    <w:p w14:paraId="5F479253">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2.11.4受不可抗力影响的一方在不可抗力发生后，应在</w:t>
      </w:r>
      <w:r>
        <w:rPr>
          <w:rFonts w:hint="eastAsia" w:ascii="华文仿宋" w:hAnsi="华文仿宋" w:eastAsia="华文仿宋" w:cs="华文仿宋"/>
          <w:b/>
          <w:i/>
          <w:color w:val="auto"/>
          <w:sz w:val="24"/>
          <w:highlight w:val="none"/>
          <w:u w:val="single"/>
        </w:rPr>
        <w:t>合同专用条款</w:t>
      </w:r>
      <w:r>
        <w:rPr>
          <w:rFonts w:hint="eastAsia" w:ascii="华文仿宋" w:hAnsi="华文仿宋" w:eastAsia="华文仿宋" w:cs="华文仿宋"/>
          <w:color w:val="auto"/>
          <w:sz w:val="24"/>
          <w:highlight w:val="none"/>
        </w:rPr>
        <w:t>约定时间内以书面形式通知对方当事人，并在</w:t>
      </w:r>
      <w:r>
        <w:rPr>
          <w:rFonts w:hint="eastAsia" w:ascii="华文仿宋" w:hAnsi="华文仿宋" w:eastAsia="华文仿宋" w:cs="华文仿宋"/>
          <w:b/>
          <w:i/>
          <w:color w:val="auto"/>
          <w:sz w:val="24"/>
          <w:highlight w:val="none"/>
          <w:u w:val="single"/>
        </w:rPr>
        <w:t>合同专用条款</w:t>
      </w:r>
      <w:r>
        <w:rPr>
          <w:rFonts w:hint="eastAsia" w:ascii="华文仿宋" w:hAnsi="华文仿宋" w:eastAsia="华文仿宋" w:cs="华文仿宋"/>
          <w:color w:val="auto"/>
          <w:sz w:val="24"/>
          <w:highlight w:val="none"/>
        </w:rPr>
        <w:t>约定时间内，将有关部门出具的证明文件送达对方当事人。</w:t>
      </w:r>
    </w:p>
    <w:p w14:paraId="5F4AAFD8">
      <w:pPr>
        <w:spacing w:line="360" w:lineRule="auto"/>
        <w:ind w:firstLine="437"/>
        <w:outlineLvl w:val="2"/>
        <w:rPr>
          <w:rFonts w:hint="eastAsia" w:ascii="华文仿宋" w:hAnsi="华文仿宋" w:eastAsia="华文仿宋" w:cs="华文仿宋"/>
          <w:b/>
          <w:bCs/>
          <w:color w:val="auto"/>
          <w:sz w:val="24"/>
          <w:highlight w:val="none"/>
          <w:lang w:val="zh-CN"/>
        </w:rPr>
      </w:pPr>
      <w:bookmarkStart w:id="167" w:name="_Toc689"/>
      <w:bookmarkStart w:id="168" w:name="_Toc259093684"/>
      <w:bookmarkStart w:id="169" w:name="_Toc279701255"/>
      <w:bookmarkStart w:id="170" w:name="_Toc487900365"/>
      <w:bookmarkStart w:id="171" w:name="_Toc30676"/>
      <w:bookmarkStart w:id="172" w:name="_Toc6969"/>
      <w:r>
        <w:rPr>
          <w:rFonts w:hint="eastAsia" w:ascii="华文仿宋" w:hAnsi="华文仿宋" w:eastAsia="华文仿宋" w:cs="华文仿宋"/>
          <w:b/>
          <w:bCs/>
          <w:color w:val="auto"/>
          <w:sz w:val="24"/>
          <w:highlight w:val="none"/>
          <w:lang w:val="zh-CN"/>
        </w:rPr>
        <w:t>2.12税费</w:t>
      </w:r>
      <w:bookmarkEnd w:id="167"/>
      <w:bookmarkEnd w:id="168"/>
      <w:bookmarkEnd w:id="169"/>
      <w:bookmarkEnd w:id="170"/>
      <w:bookmarkEnd w:id="171"/>
      <w:bookmarkEnd w:id="172"/>
    </w:p>
    <w:p w14:paraId="609F6E26">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与合同有关的一切税费，均按照中华人民共和国法律的相关规定缴纳。</w:t>
      </w:r>
    </w:p>
    <w:p w14:paraId="7249225E">
      <w:pPr>
        <w:spacing w:line="360" w:lineRule="auto"/>
        <w:ind w:firstLine="437"/>
        <w:outlineLvl w:val="2"/>
        <w:rPr>
          <w:rFonts w:hint="eastAsia" w:ascii="华文仿宋" w:hAnsi="华文仿宋" w:eastAsia="华文仿宋" w:cs="华文仿宋"/>
          <w:b/>
          <w:bCs/>
          <w:color w:val="auto"/>
          <w:sz w:val="24"/>
          <w:highlight w:val="none"/>
          <w:lang w:val="zh-CN"/>
        </w:rPr>
      </w:pPr>
      <w:bookmarkStart w:id="173" w:name="_Toc16959"/>
      <w:bookmarkStart w:id="174" w:name="_Toc487900368"/>
      <w:bookmarkStart w:id="175" w:name="_Toc7102"/>
      <w:bookmarkStart w:id="176" w:name="_Toc279701258"/>
      <w:bookmarkStart w:id="177" w:name="_Toc8298"/>
      <w:bookmarkStart w:id="178" w:name="_Toc259093687"/>
      <w:r>
        <w:rPr>
          <w:rFonts w:hint="eastAsia" w:ascii="华文仿宋" w:hAnsi="华文仿宋" w:eastAsia="华文仿宋" w:cs="华文仿宋"/>
          <w:b/>
          <w:bCs/>
          <w:color w:val="auto"/>
          <w:sz w:val="24"/>
          <w:highlight w:val="none"/>
          <w:lang w:val="zh-CN"/>
        </w:rPr>
        <w:t>2.13乙方破产</w:t>
      </w:r>
      <w:bookmarkEnd w:id="173"/>
      <w:bookmarkEnd w:id="174"/>
      <w:bookmarkEnd w:id="175"/>
      <w:bookmarkEnd w:id="176"/>
      <w:bookmarkEnd w:id="177"/>
      <w:bookmarkEnd w:id="178"/>
    </w:p>
    <w:p w14:paraId="47B04E8D">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F482F86">
      <w:pPr>
        <w:spacing w:line="360" w:lineRule="auto"/>
        <w:ind w:firstLine="437"/>
        <w:outlineLvl w:val="2"/>
        <w:rPr>
          <w:rFonts w:hint="eastAsia" w:ascii="华文仿宋" w:hAnsi="华文仿宋" w:eastAsia="华文仿宋" w:cs="华文仿宋"/>
          <w:b/>
          <w:color w:val="auto"/>
          <w:sz w:val="24"/>
          <w:highlight w:val="none"/>
        </w:rPr>
      </w:pPr>
      <w:bookmarkStart w:id="179" w:name="_Toc6134"/>
      <w:bookmarkStart w:id="180" w:name="_Toc15387"/>
      <w:bookmarkStart w:id="181" w:name="_Toc29333"/>
      <w:r>
        <w:rPr>
          <w:rFonts w:hint="eastAsia" w:ascii="华文仿宋" w:hAnsi="华文仿宋" w:eastAsia="华文仿宋" w:cs="华文仿宋"/>
          <w:b/>
          <w:bCs/>
          <w:color w:val="auto"/>
          <w:sz w:val="24"/>
          <w:highlight w:val="none"/>
          <w:lang w:val="zh-CN"/>
        </w:rPr>
        <w:t>2.14合同中止、终止</w:t>
      </w:r>
      <w:bookmarkEnd w:id="179"/>
      <w:bookmarkEnd w:id="180"/>
      <w:bookmarkEnd w:id="181"/>
    </w:p>
    <w:p w14:paraId="1E449DAB">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2.14.1双方当事人不得擅自中止或者终止合同；</w:t>
      </w:r>
    </w:p>
    <w:p w14:paraId="1561CC97">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2.14.2合同继续履行将损害国家利益和社会公共利益的，双方当事人应当中止或者终止合同。有过错的一方应当承担赔偿责任，双方当事人都有过错的，各自承担相应的责任。</w:t>
      </w:r>
    </w:p>
    <w:p w14:paraId="715270E6">
      <w:pPr>
        <w:spacing w:line="360" w:lineRule="auto"/>
        <w:ind w:firstLine="437"/>
        <w:outlineLvl w:val="2"/>
        <w:rPr>
          <w:rFonts w:hint="eastAsia" w:ascii="华文仿宋" w:hAnsi="华文仿宋" w:eastAsia="华文仿宋" w:cs="华文仿宋"/>
          <w:b/>
          <w:bCs/>
          <w:color w:val="auto"/>
          <w:sz w:val="24"/>
          <w:highlight w:val="none"/>
          <w:lang w:val="zh-CN"/>
        </w:rPr>
      </w:pPr>
      <w:bookmarkStart w:id="182" w:name="_Toc14563"/>
      <w:bookmarkStart w:id="183" w:name="_Toc1125"/>
      <w:bookmarkStart w:id="184" w:name="_Toc6596"/>
      <w:r>
        <w:rPr>
          <w:rFonts w:hint="eastAsia" w:ascii="华文仿宋" w:hAnsi="华文仿宋" w:eastAsia="华文仿宋" w:cs="华文仿宋"/>
          <w:b/>
          <w:bCs/>
          <w:color w:val="auto"/>
          <w:sz w:val="24"/>
          <w:highlight w:val="none"/>
          <w:lang w:val="zh-CN"/>
        </w:rPr>
        <w:t>2.15检验和验收</w:t>
      </w:r>
      <w:bookmarkEnd w:id="182"/>
      <w:bookmarkEnd w:id="183"/>
      <w:bookmarkEnd w:id="184"/>
    </w:p>
    <w:p w14:paraId="32BF249C">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2.15.1乙方按照</w:t>
      </w:r>
      <w:r>
        <w:rPr>
          <w:rFonts w:hint="eastAsia" w:ascii="华文仿宋" w:hAnsi="华文仿宋" w:eastAsia="华文仿宋" w:cs="华文仿宋"/>
          <w:b/>
          <w:i/>
          <w:color w:val="auto"/>
          <w:sz w:val="24"/>
          <w:highlight w:val="none"/>
          <w:u w:val="single"/>
        </w:rPr>
        <w:t>合同专用条款</w:t>
      </w:r>
      <w:r>
        <w:rPr>
          <w:rFonts w:hint="eastAsia" w:ascii="华文仿宋" w:hAnsi="华文仿宋" w:eastAsia="华文仿宋" w:cs="华文仿宋"/>
          <w:color w:val="auto"/>
          <w:sz w:val="24"/>
          <w:highlight w:val="none"/>
        </w:rPr>
        <w:t>的约定，定期提交服务报告，甲方按照</w:t>
      </w:r>
      <w:r>
        <w:rPr>
          <w:rFonts w:hint="eastAsia" w:ascii="华文仿宋" w:hAnsi="华文仿宋" w:eastAsia="华文仿宋" w:cs="华文仿宋"/>
          <w:b/>
          <w:i/>
          <w:color w:val="auto"/>
          <w:sz w:val="24"/>
          <w:highlight w:val="none"/>
          <w:u w:val="single"/>
        </w:rPr>
        <w:t>合同专用条款</w:t>
      </w:r>
      <w:r>
        <w:rPr>
          <w:rFonts w:hint="eastAsia" w:ascii="华文仿宋" w:hAnsi="华文仿宋" w:eastAsia="华文仿宋" w:cs="华文仿宋"/>
          <w:color w:val="auto"/>
          <w:sz w:val="24"/>
          <w:highlight w:val="none"/>
        </w:rPr>
        <w:t>的约定进行定期验收；</w:t>
      </w:r>
    </w:p>
    <w:p w14:paraId="5BCE0D4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6525779A">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2.15.3检验和验收标准、程序等具体内容以及前述验收书的效力详见</w:t>
      </w:r>
      <w:r>
        <w:rPr>
          <w:rFonts w:hint="eastAsia" w:ascii="华文仿宋" w:hAnsi="华文仿宋" w:eastAsia="华文仿宋" w:cs="华文仿宋"/>
          <w:b/>
          <w:i/>
          <w:color w:val="auto"/>
          <w:sz w:val="24"/>
          <w:highlight w:val="none"/>
          <w:u w:val="single"/>
        </w:rPr>
        <w:t>合同专用条款</w:t>
      </w:r>
      <w:r>
        <w:rPr>
          <w:rFonts w:hint="eastAsia" w:ascii="华文仿宋" w:hAnsi="华文仿宋" w:eastAsia="华文仿宋" w:cs="华文仿宋"/>
          <w:i/>
          <w:color w:val="auto"/>
          <w:sz w:val="24"/>
          <w:highlight w:val="none"/>
        </w:rPr>
        <w:t>。</w:t>
      </w:r>
    </w:p>
    <w:bookmarkEnd w:id="154"/>
    <w:bookmarkEnd w:id="155"/>
    <w:bookmarkEnd w:id="156"/>
    <w:bookmarkEnd w:id="157"/>
    <w:p w14:paraId="37BB26B5">
      <w:pPr>
        <w:spacing w:line="360" w:lineRule="auto"/>
        <w:ind w:firstLine="437"/>
        <w:outlineLvl w:val="2"/>
        <w:rPr>
          <w:rFonts w:hint="eastAsia" w:ascii="华文仿宋" w:hAnsi="华文仿宋" w:eastAsia="华文仿宋" w:cs="华文仿宋"/>
          <w:b/>
          <w:bCs/>
          <w:color w:val="auto"/>
          <w:sz w:val="24"/>
          <w:highlight w:val="none"/>
        </w:rPr>
      </w:pPr>
      <w:bookmarkStart w:id="185" w:name="_Toc279701263"/>
      <w:bookmarkStart w:id="186" w:name="_Toc259093692"/>
      <w:bookmarkStart w:id="187" w:name="_Toc12773"/>
      <w:bookmarkStart w:id="188" w:name="_Toc487900373"/>
      <w:bookmarkStart w:id="189" w:name="_Toc10330"/>
      <w:bookmarkStart w:id="190" w:name="_Toc18567"/>
      <w:r>
        <w:rPr>
          <w:rFonts w:hint="eastAsia" w:ascii="华文仿宋" w:hAnsi="华文仿宋" w:eastAsia="华文仿宋" w:cs="华文仿宋"/>
          <w:b/>
          <w:bCs/>
          <w:color w:val="auto"/>
          <w:sz w:val="24"/>
          <w:highlight w:val="none"/>
        </w:rPr>
        <w:t>2.16</w:t>
      </w:r>
      <w:r>
        <w:rPr>
          <w:rFonts w:hint="eastAsia" w:ascii="华文仿宋" w:hAnsi="华文仿宋" w:eastAsia="华文仿宋" w:cs="华文仿宋"/>
          <w:b/>
          <w:bCs/>
          <w:color w:val="auto"/>
          <w:sz w:val="24"/>
          <w:highlight w:val="none"/>
          <w:lang w:val="zh-CN"/>
        </w:rPr>
        <w:t>合同使用的文字和适用的法律</w:t>
      </w:r>
      <w:bookmarkEnd w:id="185"/>
      <w:bookmarkEnd w:id="186"/>
      <w:bookmarkEnd w:id="187"/>
      <w:bookmarkEnd w:id="188"/>
      <w:bookmarkEnd w:id="189"/>
      <w:bookmarkEnd w:id="190"/>
    </w:p>
    <w:p w14:paraId="1189C0CF">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2.16.1合同使用汉语书就、变更和解释；</w:t>
      </w:r>
    </w:p>
    <w:p w14:paraId="4CA6533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2.16.2合同适用中华人民共和国法律。</w:t>
      </w:r>
    </w:p>
    <w:p w14:paraId="0F595E4B">
      <w:pPr>
        <w:spacing w:line="360" w:lineRule="auto"/>
        <w:ind w:firstLine="437"/>
        <w:outlineLvl w:val="2"/>
        <w:rPr>
          <w:rFonts w:hint="eastAsia" w:ascii="华文仿宋" w:hAnsi="华文仿宋" w:eastAsia="华文仿宋" w:cs="华文仿宋"/>
          <w:b/>
          <w:color w:val="auto"/>
          <w:sz w:val="24"/>
          <w:highlight w:val="none"/>
        </w:rPr>
      </w:pPr>
      <w:bookmarkStart w:id="191" w:name="_Toc3148"/>
      <w:bookmarkStart w:id="192" w:name="_Toc259093693"/>
      <w:bookmarkStart w:id="193" w:name="_Toc16673"/>
      <w:bookmarkStart w:id="194" w:name="_Toc12004"/>
      <w:bookmarkStart w:id="195" w:name="_Toc279701264"/>
      <w:bookmarkStart w:id="196" w:name="_Toc487900374"/>
      <w:r>
        <w:rPr>
          <w:rFonts w:hint="eastAsia" w:ascii="华文仿宋" w:hAnsi="华文仿宋" w:eastAsia="华文仿宋" w:cs="华文仿宋"/>
          <w:b/>
          <w:bCs/>
          <w:color w:val="auto"/>
          <w:sz w:val="24"/>
          <w:highlight w:val="none"/>
          <w:lang w:val="zh-CN"/>
        </w:rPr>
        <w:t>2.17履约保证金</w:t>
      </w:r>
      <w:bookmarkEnd w:id="191"/>
      <w:bookmarkEnd w:id="192"/>
      <w:bookmarkEnd w:id="193"/>
      <w:bookmarkEnd w:id="194"/>
      <w:bookmarkEnd w:id="195"/>
    </w:p>
    <w:p w14:paraId="42883DB8">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2.17.1采购文件要求乙方提交履约保证金的，乙方应按</w:t>
      </w:r>
      <w:r>
        <w:rPr>
          <w:rFonts w:hint="eastAsia" w:ascii="华文仿宋" w:hAnsi="华文仿宋" w:eastAsia="华文仿宋" w:cs="华文仿宋"/>
          <w:b/>
          <w:i/>
          <w:color w:val="auto"/>
          <w:sz w:val="24"/>
          <w:highlight w:val="none"/>
          <w:u w:val="single"/>
        </w:rPr>
        <w:t>合同专用条款</w:t>
      </w:r>
      <w:r>
        <w:rPr>
          <w:rFonts w:hint="eastAsia" w:ascii="华文仿宋" w:hAnsi="华文仿宋" w:eastAsia="华文仿宋" w:cs="华文仿宋"/>
          <w:color w:val="auto"/>
          <w:sz w:val="24"/>
          <w:highlight w:val="none"/>
        </w:rPr>
        <w:t>约定的方式，以支票、汇票、本票或者金融机构、担保机构出具的保函等非现金形式提交；</w:t>
      </w:r>
    </w:p>
    <w:p w14:paraId="4231D940">
      <w:pPr>
        <w:spacing w:line="360" w:lineRule="auto"/>
        <w:ind w:firstLine="435"/>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rPr>
        <w:t>2.17.2履约保证金在</w:t>
      </w:r>
      <w:r>
        <w:rPr>
          <w:rFonts w:hint="eastAsia" w:ascii="华文仿宋" w:hAnsi="华文仿宋" w:eastAsia="华文仿宋" w:cs="华文仿宋"/>
          <w:b/>
          <w:i/>
          <w:color w:val="auto"/>
          <w:sz w:val="24"/>
          <w:highlight w:val="none"/>
          <w:u w:val="single"/>
        </w:rPr>
        <w:t>合同专用条款</w:t>
      </w:r>
      <w:r>
        <w:rPr>
          <w:rFonts w:hint="eastAsia" w:ascii="华文仿宋" w:hAnsi="华文仿宋" w:eastAsia="华文仿宋" w:cs="华文仿宋"/>
          <w:color w:val="auto"/>
          <w:sz w:val="24"/>
          <w:highlight w:val="none"/>
        </w:rPr>
        <w:t>约定期间内不予退还或者应完全有效，前述约定期间届满之日起个工作日内，甲方应将履约保证金退还乙方</w:t>
      </w:r>
      <w:r>
        <w:rPr>
          <w:rFonts w:hint="eastAsia" w:ascii="华文仿宋" w:hAnsi="华文仿宋" w:eastAsia="华文仿宋" w:cs="华文仿宋"/>
          <w:color w:val="auto"/>
          <w:sz w:val="24"/>
          <w:highlight w:val="none"/>
          <w:lang w:eastAsia="zh-CN"/>
        </w:rPr>
        <w:t>，</w:t>
      </w:r>
      <w:r>
        <w:rPr>
          <w:rFonts w:hint="eastAsia" w:ascii="华文仿宋" w:hAnsi="华文仿宋" w:eastAsia="华文仿宋" w:cs="华文仿宋"/>
          <w:color w:val="auto"/>
          <w:sz w:val="24"/>
          <w:szCs w:val="24"/>
          <w:highlight w:val="none"/>
          <w:lang w:val="en-US" w:eastAsia="zh-CN"/>
        </w:rPr>
        <w:t>甲方</w:t>
      </w:r>
      <w:r>
        <w:rPr>
          <w:rFonts w:hint="eastAsia" w:ascii="华文仿宋" w:hAnsi="华文仿宋" w:eastAsia="华文仿宋" w:cs="华文仿宋"/>
          <w:color w:val="auto"/>
          <w:sz w:val="24"/>
          <w:szCs w:val="24"/>
          <w:highlight w:val="none"/>
        </w:rPr>
        <w:t>逾期退还履约保证金</w:t>
      </w:r>
      <w:r>
        <w:rPr>
          <w:rFonts w:hint="eastAsia" w:ascii="华文仿宋" w:hAnsi="华文仿宋" w:eastAsia="华文仿宋" w:cs="华文仿宋"/>
          <w:color w:val="auto"/>
          <w:sz w:val="24"/>
          <w:szCs w:val="24"/>
          <w:highlight w:val="none"/>
          <w:lang w:val="en-US" w:eastAsia="zh-CN"/>
        </w:rPr>
        <w:t>应承担违约责任。</w:t>
      </w:r>
    </w:p>
    <w:p w14:paraId="7F3F93E5">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196"/>
    <w:p w14:paraId="5CB33DBE">
      <w:pPr>
        <w:spacing w:line="360" w:lineRule="auto"/>
        <w:ind w:firstLine="437"/>
        <w:outlineLvl w:val="2"/>
        <w:rPr>
          <w:rFonts w:hint="eastAsia" w:ascii="华文仿宋" w:hAnsi="华文仿宋" w:eastAsia="华文仿宋" w:cs="华文仿宋"/>
          <w:b/>
          <w:color w:val="auto"/>
          <w:sz w:val="24"/>
          <w:highlight w:val="none"/>
        </w:rPr>
      </w:pPr>
      <w:bookmarkStart w:id="197" w:name="_Toc19890"/>
      <w:bookmarkStart w:id="198" w:name="_Toc14001"/>
      <w:bookmarkStart w:id="199" w:name="_Toc6885"/>
      <w:r>
        <w:rPr>
          <w:rFonts w:hint="eastAsia" w:ascii="华文仿宋" w:hAnsi="华文仿宋" w:eastAsia="华文仿宋" w:cs="华文仿宋"/>
          <w:b/>
          <w:bCs/>
          <w:color w:val="auto"/>
          <w:sz w:val="24"/>
          <w:highlight w:val="none"/>
          <w:lang w:val="zh-CN"/>
        </w:rPr>
        <w:t>2.18合同份数</w:t>
      </w:r>
      <w:bookmarkEnd w:id="197"/>
      <w:bookmarkEnd w:id="198"/>
      <w:bookmarkEnd w:id="199"/>
    </w:p>
    <w:p w14:paraId="588AEA3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合同份数按</w:t>
      </w:r>
      <w:r>
        <w:rPr>
          <w:rFonts w:hint="eastAsia" w:ascii="华文仿宋" w:hAnsi="华文仿宋" w:eastAsia="华文仿宋" w:cs="华文仿宋"/>
          <w:b/>
          <w:i/>
          <w:color w:val="auto"/>
          <w:sz w:val="24"/>
          <w:highlight w:val="none"/>
          <w:u w:val="single"/>
        </w:rPr>
        <w:t>合同专用条款</w:t>
      </w:r>
      <w:r>
        <w:rPr>
          <w:rFonts w:hint="eastAsia" w:ascii="华文仿宋" w:hAnsi="华文仿宋" w:eastAsia="华文仿宋" w:cs="华文仿宋"/>
          <w:color w:val="auto"/>
          <w:sz w:val="24"/>
          <w:highlight w:val="none"/>
        </w:rPr>
        <w:t>规定，每份均具有同等法律效力。</w:t>
      </w:r>
    </w:p>
    <w:p w14:paraId="25CBC3B3">
      <w:pPr>
        <w:spacing w:line="360" w:lineRule="auto"/>
        <w:jc w:val="center"/>
        <w:outlineLvl w:val="1"/>
        <w:rPr>
          <w:rFonts w:hint="eastAsia" w:ascii="华文仿宋" w:hAnsi="华文仿宋" w:eastAsia="华文仿宋" w:cs="华文仿宋"/>
          <w:b/>
          <w:color w:val="auto"/>
          <w:sz w:val="24"/>
          <w:highlight w:val="none"/>
        </w:rPr>
      </w:pPr>
      <w:r>
        <w:rPr>
          <w:rFonts w:hint="eastAsia" w:ascii="华文仿宋" w:hAnsi="华文仿宋" w:eastAsia="华文仿宋" w:cs="华文仿宋"/>
          <w:color w:val="auto"/>
          <w:sz w:val="24"/>
          <w:highlight w:val="none"/>
        </w:rPr>
        <w:br w:type="page"/>
      </w:r>
      <w:bookmarkStart w:id="200" w:name="_Toc331685784"/>
      <w:r>
        <w:rPr>
          <w:rFonts w:hint="eastAsia" w:ascii="华文仿宋" w:hAnsi="华文仿宋" w:eastAsia="华文仿宋" w:cs="华文仿宋"/>
          <w:b/>
          <w:color w:val="auto"/>
          <w:sz w:val="24"/>
          <w:highlight w:val="none"/>
        </w:rPr>
        <w:t>第三部分合同专用条款</w:t>
      </w:r>
      <w:bookmarkEnd w:id="200"/>
    </w:p>
    <w:p w14:paraId="681DD672">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2"/>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794"/>
        <w:gridCol w:w="7568"/>
      </w:tblGrid>
      <w:tr w14:paraId="4BEE6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475" w:type="pct"/>
            <w:tcBorders>
              <w:left w:val="single" w:color="auto" w:sz="4" w:space="0"/>
            </w:tcBorders>
            <w:vAlign w:val="center"/>
          </w:tcPr>
          <w:p w14:paraId="60B3E8E9">
            <w:pPr>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条款号</w:t>
            </w:r>
          </w:p>
        </w:tc>
        <w:tc>
          <w:tcPr>
            <w:tcW w:w="4525" w:type="pct"/>
            <w:vAlign w:val="center"/>
          </w:tcPr>
          <w:p w14:paraId="68518FC8">
            <w:pPr>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约定内容</w:t>
            </w:r>
          </w:p>
        </w:tc>
      </w:tr>
      <w:tr w14:paraId="0CF24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475" w:type="pct"/>
            <w:tcBorders>
              <w:left w:val="single" w:color="auto" w:sz="4" w:space="0"/>
            </w:tcBorders>
            <w:vAlign w:val="center"/>
          </w:tcPr>
          <w:p w14:paraId="3F163A92">
            <w:pPr>
              <w:spacing w:line="560" w:lineRule="exact"/>
              <w:rPr>
                <w:rFonts w:hint="eastAsia" w:ascii="华文仿宋" w:hAnsi="华文仿宋" w:eastAsia="华文仿宋" w:cs="华文仿宋"/>
                <w:color w:val="auto"/>
                <w:sz w:val="24"/>
                <w:highlight w:val="none"/>
              </w:rPr>
            </w:pPr>
          </w:p>
        </w:tc>
        <w:tc>
          <w:tcPr>
            <w:tcW w:w="4525" w:type="pct"/>
            <w:vAlign w:val="center"/>
          </w:tcPr>
          <w:p w14:paraId="786F4F40">
            <w:pPr>
              <w:spacing w:line="560" w:lineRule="exact"/>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签订合同时双方协商一致。</w:t>
            </w:r>
          </w:p>
        </w:tc>
      </w:tr>
      <w:tr w14:paraId="73640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5" w:type="pct"/>
            <w:tcBorders>
              <w:left w:val="single" w:color="auto" w:sz="4" w:space="0"/>
            </w:tcBorders>
            <w:vAlign w:val="center"/>
          </w:tcPr>
          <w:p w14:paraId="4FD3D7F0">
            <w:pPr>
              <w:spacing w:line="560" w:lineRule="exact"/>
              <w:rPr>
                <w:rFonts w:hint="eastAsia" w:ascii="华文仿宋" w:hAnsi="华文仿宋" w:eastAsia="华文仿宋" w:cs="华文仿宋"/>
                <w:color w:val="auto"/>
                <w:sz w:val="24"/>
                <w:highlight w:val="none"/>
              </w:rPr>
            </w:pPr>
          </w:p>
        </w:tc>
        <w:tc>
          <w:tcPr>
            <w:tcW w:w="4525" w:type="pct"/>
            <w:vAlign w:val="center"/>
          </w:tcPr>
          <w:p w14:paraId="7BF48B34">
            <w:pPr>
              <w:spacing w:line="560" w:lineRule="exact"/>
              <w:rPr>
                <w:rFonts w:hint="eastAsia" w:ascii="华文仿宋" w:hAnsi="华文仿宋" w:eastAsia="华文仿宋" w:cs="华文仿宋"/>
                <w:color w:val="auto"/>
                <w:sz w:val="24"/>
                <w:highlight w:val="none"/>
              </w:rPr>
            </w:pPr>
          </w:p>
        </w:tc>
      </w:tr>
      <w:tr w14:paraId="53752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5" w:type="pct"/>
            <w:tcBorders>
              <w:left w:val="single" w:color="auto" w:sz="4" w:space="0"/>
            </w:tcBorders>
            <w:vAlign w:val="center"/>
          </w:tcPr>
          <w:p w14:paraId="4F8CDBD1">
            <w:pPr>
              <w:spacing w:line="560" w:lineRule="exact"/>
              <w:rPr>
                <w:rFonts w:hint="eastAsia" w:ascii="华文仿宋" w:hAnsi="华文仿宋" w:eastAsia="华文仿宋" w:cs="华文仿宋"/>
                <w:color w:val="auto"/>
                <w:sz w:val="24"/>
                <w:highlight w:val="none"/>
              </w:rPr>
            </w:pPr>
          </w:p>
        </w:tc>
        <w:tc>
          <w:tcPr>
            <w:tcW w:w="4525" w:type="pct"/>
            <w:vAlign w:val="center"/>
          </w:tcPr>
          <w:p w14:paraId="3DFDC5F0">
            <w:pPr>
              <w:spacing w:line="560" w:lineRule="exact"/>
              <w:rPr>
                <w:rFonts w:hint="eastAsia" w:ascii="华文仿宋" w:hAnsi="华文仿宋" w:eastAsia="华文仿宋" w:cs="华文仿宋"/>
                <w:color w:val="auto"/>
                <w:sz w:val="24"/>
                <w:highlight w:val="none"/>
              </w:rPr>
            </w:pPr>
          </w:p>
        </w:tc>
      </w:tr>
      <w:tr w14:paraId="2D680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52" w:hRule="atLeast"/>
          <w:jc w:val="center"/>
        </w:trPr>
        <w:tc>
          <w:tcPr>
            <w:tcW w:w="475" w:type="pct"/>
            <w:tcBorders>
              <w:left w:val="single" w:color="auto" w:sz="4" w:space="0"/>
            </w:tcBorders>
            <w:vAlign w:val="center"/>
          </w:tcPr>
          <w:p w14:paraId="46069ECB">
            <w:pPr>
              <w:spacing w:line="560" w:lineRule="exact"/>
              <w:rPr>
                <w:rFonts w:hint="eastAsia" w:ascii="华文仿宋" w:hAnsi="华文仿宋" w:eastAsia="华文仿宋" w:cs="华文仿宋"/>
                <w:color w:val="auto"/>
                <w:sz w:val="24"/>
                <w:highlight w:val="none"/>
              </w:rPr>
            </w:pPr>
          </w:p>
        </w:tc>
        <w:tc>
          <w:tcPr>
            <w:tcW w:w="4525" w:type="pct"/>
            <w:vAlign w:val="center"/>
          </w:tcPr>
          <w:p w14:paraId="707C5543">
            <w:pPr>
              <w:spacing w:line="560" w:lineRule="exact"/>
              <w:rPr>
                <w:rFonts w:hint="eastAsia" w:ascii="华文仿宋" w:hAnsi="华文仿宋" w:eastAsia="华文仿宋" w:cs="华文仿宋"/>
                <w:color w:val="auto"/>
                <w:sz w:val="24"/>
                <w:highlight w:val="none"/>
              </w:rPr>
            </w:pPr>
          </w:p>
        </w:tc>
      </w:tr>
      <w:tr w14:paraId="70A74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5" w:hRule="atLeast"/>
          <w:jc w:val="center"/>
        </w:trPr>
        <w:tc>
          <w:tcPr>
            <w:tcW w:w="475" w:type="pct"/>
            <w:tcBorders>
              <w:left w:val="single" w:color="auto" w:sz="4" w:space="0"/>
            </w:tcBorders>
            <w:vAlign w:val="center"/>
          </w:tcPr>
          <w:p w14:paraId="1DC480E8">
            <w:pPr>
              <w:spacing w:line="560" w:lineRule="exact"/>
              <w:rPr>
                <w:rFonts w:hint="eastAsia" w:ascii="华文仿宋" w:hAnsi="华文仿宋" w:eastAsia="华文仿宋" w:cs="华文仿宋"/>
                <w:color w:val="auto"/>
                <w:sz w:val="24"/>
                <w:highlight w:val="none"/>
              </w:rPr>
            </w:pPr>
          </w:p>
        </w:tc>
        <w:tc>
          <w:tcPr>
            <w:tcW w:w="4525" w:type="pct"/>
            <w:vAlign w:val="center"/>
          </w:tcPr>
          <w:p w14:paraId="13B8D0AD">
            <w:pPr>
              <w:spacing w:line="560" w:lineRule="exact"/>
              <w:rPr>
                <w:rFonts w:hint="eastAsia" w:ascii="华文仿宋" w:hAnsi="华文仿宋" w:eastAsia="华文仿宋" w:cs="华文仿宋"/>
                <w:color w:val="auto"/>
                <w:sz w:val="24"/>
                <w:highlight w:val="none"/>
                <w:u w:val="single"/>
              </w:rPr>
            </w:pPr>
          </w:p>
        </w:tc>
      </w:tr>
      <w:tr w14:paraId="5E08F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5" w:hRule="atLeast"/>
          <w:jc w:val="center"/>
        </w:trPr>
        <w:tc>
          <w:tcPr>
            <w:tcW w:w="475" w:type="pct"/>
            <w:tcBorders>
              <w:left w:val="single" w:color="auto" w:sz="4" w:space="0"/>
            </w:tcBorders>
            <w:vAlign w:val="center"/>
          </w:tcPr>
          <w:p w14:paraId="524CF4D5">
            <w:pPr>
              <w:spacing w:line="560" w:lineRule="exact"/>
              <w:rPr>
                <w:rFonts w:hint="eastAsia" w:ascii="华文仿宋" w:hAnsi="华文仿宋" w:eastAsia="华文仿宋" w:cs="华文仿宋"/>
                <w:color w:val="auto"/>
                <w:sz w:val="24"/>
                <w:highlight w:val="none"/>
              </w:rPr>
            </w:pPr>
          </w:p>
        </w:tc>
        <w:tc>
          <w:tcPr>
            <w:tcW w:w="4525" w:type="pct"/>
            <w:vAlign w:val="center"/>
          </w:tcPr>
          <w:p w14:paraId="1D5ADD0D">
            <w:pPr>
              <w:spacing w:line="560" w:lineRule="exact"/>
              <w:rPr>
                <w:rFonts w:hint="eastAsia" w:ascii="华文仿宋" w:hAnsi="华文仿宋" w:eastAsia="华文仿宋" w:cs="华文仿宋"/>
                <w:color w:val="auto"/>
                <w:sz w:val="24"/>
                <w:highlight w:val="none"/>
              </w:rPr>
            </w:pPr>
          </w:p>
        </w:tc>
      </w:tr>
      <w:tr w14:paraId="6B33B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5" w:type="pct"/>
            <w:tcBorders>
              <w:left w:val="single" w:color="auto" w:sz="4" w:space="0"/>
            </w:tcBorders>
            <w:vAlign w:val="center"/>
          </w:tcPr>
          <w:p w14:paraId="6E7BA04A">
            <w:pPr>
              <w:spacing w:line="560" w:lineRule="exact"/>
              <w:rPr>
                <w:rFonts w:hint="eastAsia" w:ascii="华文仿宋" w:hAnsi="华文仿宋" w:eastAsia="华文仿宋" w:cs="华文仿宋"/>
                <w:color w:val="auto"/>
                <w:sz w:val="24"/>
                <w:highlight w:val="none"/>
              </w:rPr>
            </w:pPr>
          </w:p>
        </w:tc>
        <w:tc>
          <w:tcPr>
            <w:tcW w:w="4525" w:type="pct"/>
            <w:vAlign w:val="center"/>
          </w:tcPr>
          <w:p w14:paraId="1CA7CAA1">
            <w:pPr>
              <w:spacing w:line="560" w:lineRule="exact"/>
              <w:rPr>
                <w:rFonts w:hint="eastAsia" w:ascii="华文仿宋" w:hAnsi="华文仿宋" w:eastAsia="华文仿宋" w:cs="华文仿宋"/>
                <w:color w:val="auto"/>
                <w:sz w:val="24"/>
                <w:highlight w:val="none"/>
                <w:u w:val="single"/>
              </w:rPr>
            </w:pPr>
          </w:p>
        </w:tc>
      </w:tr>
      <w:tr w14:paraId="3CF4C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5" w:type="pct"/>
            <w:tcBorders>
              <w:left w:val="single" w:color="auto" w:sz="4" w:space="0"/>
            </w:tcBorders>
            <w:vAlign w:val="center"/>
          </w:tcPr>
          <w:p w14:paraId="56588155">
            <w:pPr>
              <w:spacing w:line="560" w:lineRule="exact"/>
              <w:rPr>
                <w:rFonts w:hint="eastAsia" w:ascii="华文仿宋" w:hAnsi="华文仿宋" w:eastAsia="华文仿宋" w:cs="华文仿宋"/>
                <w:color w:val="auto"/>
                <w:sz w:val="24"/>
                <w:highlight w:val="none"/>
              </w:rPr>
            </w:pPr>
          </w:p>
        </w:tc>
        <w:tc>
          <w:tcPr>
            <w:tcW w:w="4525" w:type="pct"/>
            <w:vAlign w:val="center"/>
          </w:tcPr>
          <w:p w14:paraId="312E34FC">
            <w:pPr>
              <w:spacing w:line="560" w:lineRule="exact"/>
              <w:rPr>
                <w:rFonts w:hint="eastAsia" w:ascii="华文仿宋" w:hAnsi="华文仿宋" w:eastAsia="华文仿宋" w:cs="华文仿宋"/>
                <w:color w:val="auto"/>
                <w:sz w:val="24"/>
                <w:highlight w:val="none"/>
              </w:rPr>
            </w:pPr>
          </w:p>
        </w:tc>
      </w:tr>
      <w:tr w14:paraId="25F89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5" w:type="pct"/>
            <w:tcBorders>
              <w:left w:val="single" w:color="auto" w:sz="4" w:space="0"/>
            </w:tcBorders>
            <w:vAlign w:val="center"/>
          </w:tcPr>
          <w:p w14:paraId="02723414">
            <w:pPr>
              <w:spacing w:line="560" w:lineRule="exact"/>
              <w:rPr>
                <w:rFonts w:hint="eastAsia" w:ascii="华文仿宋" w:hAnsi="华文仿宋" w:eastAsia="华文仿宋" w:cs="华文仿宋"/>
                <w:color w:val="auto"/>
                <w:sz w:val="24"/>
                <w:highlight w:val="none"/>
              </w:rPr>
            </w:pPr>
          </w:p>
        </w:tc>
        <w:tc>
          <w:tcPr>
            <w:tcW w:w="4525" w:type="pct"/>
            <w:vAlign w:val="center"/>
          </w:tcPr>
          <w:p w14:paraId="643889F2">
            <w:pPr>
              <w:spacing w:line="560" w:lineRule="exact"/>
              <w:rPr>
                <w:rFonts w:hint="eastAsia" w:ascii="华文仿宋" w:hAnsi="华文仿宋" w:eastAsia="华文仿宋" w:cs="华文仿宋"/>
                <w:color w:val="auto"/>
                <w:sz w:val="24"/>
                <w:highlight w:val="none"/>
              </w:rPr>
            </w:pPr>
          </w:p>
        </w:tc>
      </w:tr>
      <w:tr w14:paraId="4BF4D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5" w:type="pct"/>
            <w:tcBorders>
              <w:left w:val="single" w:color="auto" w:sz="4" w:space="0"/>
            </w:tcBorders>
            <w:vAlign w:val="center"/>
          </w:tcPr>
          <w:p w14:paraId="10F7C3C9">
            <w:pPr>
              <w:spacing w:line="560" w:lineRule="exact"/>
              <w:rPr>
                <w:rFonts w:hint="eastAsia" w:ascii="华文仿宋" w:hAnsi="华文仿宋" w:eastAsia="华文仿宋" w:cs="华文仿宋"/>
                <w:color w:val="auto"/>
                <w:sz w:val="24"/>
                <w:highlight w:val="none"/>
              </w:rPr>
            </w:pPr>
          </w:p>
        </w:tc>
        <w:tc>
          <w:tcPr>
            <w:tcW w:w="4525" w:type="pct"/>
            <w:vAlign w:val="center"/>
          </w:tcPr>
          <w:p w14:paraId="364D61FE">
            <w:pPr>
              <w:spacing w:line="560" w:lineRule="exact"/>
              <w:rPr>
                <w:rFonts w:hint="eastAsia" w:ascii="华文仿宋" w:hAnsi="华文仿宋" w:eastAsia="华文仿宋" w:cs="华文仿宋"/>
                <w:color w:val="auto"/>
                <w:sz w:val="24"/>
                <w:highlight w:val="none"/>
              </w:rPr>
            </w:pPr>
          </w:p>
        </w:tc>
      </w:tr>
      <w:tr w14:paraId="60B08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5" w:hRule="atLeast"/>
          <w:jc w:val="center"/>
        </w:trPr>
        <w:tc>
          <w:tcPr>
            <w:tcW w:w="475" w:type="pct"/>
            <w:tcBorders>
              <w:top w:val="single" w:color="auto" w:sz="6" w:space="0"/>
              <w:left w:val="single" w:color="auto" w:sz="4" w:space="0"/>
              <w:bottom w:val="single" w:color="auto" w:sz="6" w:space="0"/>
              <w:right w:val="single" w:color="auto" w:sz="6" w:space="0"/>
            </w:tcBorders>
            <w:vAlign w:val="center"/>
          </w:tcPr>
          <w:p w14:paraId="03CA1111">
            <w:pPr>
              <w:spacing w:line="560" w:lineRule="exact"/>
              <w:rPr>
                <w:rFonts w:hint="eastAsia" w:ascii="华文仿宋" w:hAnsi="华文仿宋" w:eastAsia="华文仿宋" w:cs="华文仿宋"/>
                <w:color w:val="auto"/>
                <w:sz w:val="24"/>
                <w:highlight w:val="none"/>
              </w:rPr>
            </w:pPr>
          </w:p>
        </w:tc>
        <w:tc>
          <w:tcPr>
            <w:tcW w:w="4525" w:type="pct"/>
            <w:tcBorders>
              <w:top w:val="single" w:color="auto" w:sz="6" w:space="0"/>
              <w:left w:val="single" w:color="auto" w:sz="6" w:space="0"/>
              <w:bottom w:val="single" w:color="auto" w:sz="6" w:space="0"/>
              <w:right w:val="single" w:color="auto" w:sz="6" w:space="0"/>
            </w:tcBorders>
            <w:vAlign w:val="center"/>
          </w:tcPr>
          <w:p w14:paraId="4091A26E">
            <w:pPr>
              <w:spacing w:line="560" w:lineRule="exact"/>
              <w:rPr>
                <w:rFonts w:hint="eastAsia" w:ascii="华文仿宋" w:hAnsi="华文仿宋" w:eastAsia="华文仿宋" w:cs="华文仿宋"/>
                <w:color w:val="auto"/>
                <w:sz w:val="24"/>
                <w:highlight w:val="none"/>
              </w:rPr>
            </w:pPr>
          </w:p>
        </w:tc>
      </w:tr>
      <w:tr w14:paraId="6E764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5" w:hRule="atLeast"/>
          <w:jc w:val="center"/>
        </w:trPr>
        <w:tc>
          <w:tcPr>
            <w:tcW w:w="475" w:type="pct"/>
            <w:tcBorders>
              <w:top w:val="single" w:color="auto" w:sz="6" w:space="0"/>
              <w:left w:val="single" w:color="auto" w:sz="4" w:space="0"/>
              <w:bottom w:val="single" w:color="auto" w:sz="6" w:space="0"/>
              <w:right w:val="single" w:color="auto" w:sz="6" w:space="0"/>
            </w:tcBorders>
            <w:vAlign w:val="center"/>
          </w:tcPr>
          <w:p w14:paraId="3868E8A7">
            <w:pPr>
              <w:spacing w:line="560" w:lineRule="exact"/>
              <w:rPr>
                <w:rFonts w:hint="eastAsia" w:ascii="华文仿宋" w:hAnsi="华文仿宋" w:eastAsia="华文仿宋" w:cs="华文仿宋"/>
                <w:color w:val="auto"/>
                <w:sz w:val="24"/>
                <w:highlight w:val="none"/>
              </w:rPr>
            </w:pPr>
          </w:p>
        </w:tc>
        <w:tc>
          <w:tcPr>
            <w:tcW w:w="4525" w:type="pct"/>
            <w:tcBorders>
              <w:top w:val="single" w:color="auto" w:sz="6" w:space="0"/>
              <w:left w:val="single" w:color="auto" w:sz="6" w:space="0"/>
              <w:bottom w:val="single" w:color="auto" w:sz="6" w:space="0"/>
              <w:right w:val="single" w:color="auto" w:sz="6" w:space="0"/>
            </w:tcBorders>
            <w:vAlign w:val="center"/>
          </w:tcPr>
          <w:p w14:paraId="3EEDAAE2">
            <w:pPr>
              <w:spacing w:line="560" w:lineRule="exact"/>
              <w:rPr>
                <w:rFonts w:hint="eastAsia" w:ascii="华文仿宋" w:hAnsi="华文仿宋" w:eastAsia="华文仿宋" w:cs="华文仿宋"/>
                <w:color w:val="auto"/>
                <w:sz w:val="24"/>
                <w:highlight w:val="none"/>
              </w:rPr>
            </w:pPr>
          </w:p>
        </w:tc>
      </w:tr>
    </w:tbl>
    <w:p w14:paraId="023DACA5">
      <w:pPr>
        <w:spacing w:line="360" w:lineRule="auto"/>
        <w:rPr>
          <w:rFonts w:hint="eastAsia" w:ascii="华文仿宋" w:hAnsi="华文仿宋" w:eastAsia="华文仿宋" w:cs="华文仿宋"/>
          <w:color w:val="auto"/>
          <w:sz w:val="28"/>
          <w:szCs w:val="27"/>
          <w:highlight w:val="none"/>
        </w:rPr>
      </w:pPr>
      <w:r>
        <w:rPr>
          <w:rFonts w:hint="eastAsia" w:ascii="华文仿宋" w:hAnsi="华文仿宋" w:eastAsia="华文仿宋" w:cs="华文仿宋"/>
          <w:color w:val="auto"/>
          <w:sz w:val="28"/>
          <w:szCs w:val="27"/>
          <w:highlight w:val="none"/>
        </w:rPr>
        <w:br w:type="page"/>
      </w:r>
    </w:p>
    <w:p w14:paraId="67C6D185">
      <w:pPr>
        <w:spacing w:line="360" w:lineRule="auto"/>
        <w:jc w:val="center"/>
        <w:outlineLvl w:val="0"/>
        <w:rPr>
          <w:rFonts w:hint="eastAsia" w:ascii="华文仿宋" w:hAnsi="华文仿宋" w:eastAsia="华文仿宋" w:cs="华文仿宋"/>
          <w:b/>
          <w:color w:val="auto"/>
          <w:sz w:val="28"/>
          <w:highlight w:val="none"/>
        </w:rPr>
      </w:pPr>
      <w:bookmarkStart w:id="201" w:name="_Toc25148"/>
      <w:bookmarkStart w:id="202" w:name="_Toc2430"/>
      <w:r>
        <w:rPr>
          <w:rFonts w:hint="eastAsia" w:ascii="华文仿宋" w:hAnsi="华文仿宋" w:eastAsia="华文仿宋" w:cs="华文仿宋"/>
          <w:b/>
          <w:color w:val="auto"/>
          <w:sz w:val="28"/>
          <w:highlight w:val="none"/>
        </w:rPr>
        <w:t>第六章响应文件格式</w:t>
      </w:r>
      <w:bookmarkEnd w:id="201"/>
      <w:bookmarkEnd w:id="202"/>
    </w:p>
    <w:p w14:paraId="46054081">
      <w:pPr>
        <w:spacing w:line="900" w:lineRule="exact"/>
        <w:jc w:val="center"/>
        <w:rPr>
          <w:rFonts w:hint="eastAsia" w:ascii="华文仿宋" w:hAnsi="华文仿宋" w:eastAsia="华文仿宋" w:cs="华文仿宋"/>
          <w:b/>
          <w:color w:val="auto"/>
          <w:sz w:val="72"/>
          <w:highlight w:val="none"/>
        </w:rPr>
      </w:pPr>
    </w:p>
    <w:p w14:paraId="6F573118">
      <w:pPr>
        <w:spacing w:line="900" w:lineRule="exact"/>
        <w:jc w:val="center"/>
        <w:outlineLvl w:val="2"/>
        <w:rPr>
          <w:rFonts w:hint="eastAsia" w:ascii="华文仿宋" w:hAnsi="华文仿宋" w:eastAsia="华文仿宋" w:cs="华文仿宋"/>
          <w:b/>
          <w:color w:val="auto"/>
          <w:sz w:val="72"/>
          <w:highlight w:val="none"/>
        </w:rPr>
      </w:pPr>
      <w:r>
        <w:rPr>
          <w:rFonts w:hint="eastAsia" w:ascii="华文仿宋" w:hAnsi="华文仿宋" w:eastAsia="华文仿宋" w:cs="华文仿宋"/>
          <w:b/>
          <w:color w:val="auto"/>
          <w:sz w:val="72"/>
          <w:highlight w:val="none"/>
        </w:rPr>
        <w:t>响</w:t>
      </w:r>
    </w:p>
    <w:p w14:paraId="2D0955E4">
      <w:pPr>
        <w:spacing w:line="900" w:lineRule="exact"/>
        <w:jc w:val="center"/>
        <w:rPr>
          <w:rFonts w:hint="eastAsia" w:ascii="华文仿宋" w:hAnsi="华文仿宋" w:eastAsia="华文仿宋" w:cs="华文仿宋"/>
          <w:b/>
          <w:color w:val="auto"/>
          <w:sz w:val="72"/>
          <w:highlight w:val="none"/>
        </w:rPr>
      </w:pPr>
    </w:p>
    <w:p w14:paraId="6B63719C">
      <w:pPr>
        <w:spacing w:line="900" w:lineRule="exact"/>
        <w:jc w:val="center"/>
        <w:outlineLvl w:val="2"/>
        <w:rPr>
          <w:rFonts w:hint="eastAsia" w:ascii="华文仿宋" w:hAnsi="华文仿宋" w:eastAsia="华文仿宋" w:cs="华文仿宋"/>
          <w:b/>
          <w:color w:val="auto"/>
          <w:sz w:val="72"/>
          <w:highlight w:val="none"/>
        </w:rPr>
      </w:pPr>
      <w:r>
        <w:rPr>
          <w:rFonts w:hint="eastAsia" w:ascii="华文仿宋" w:hAnsi="华文仿宋" w:eastAsia="华文仿宋" w:cs="华文仿宋"/>
          <w:b/>
          <w:color w:val="auto"/>
          <w:sz w:val="72"/>
          <w:highlight w:val="none"/>
        </w:rPr>
        <w:t>应</w:t>
      </w:r>
    </w:p>
    <w:p w14:paraId="26E17C5F">
      <w:pPr>
        <w:spacing w:line="900" w:lineRule="exact"/>
        <w:jc w:val="center"/>
        <w:rPr>
          <w:rFonts w:hint="eastAsia" w:ascii="华文仿宋" w:hAnsi="华文仿宋" w:eastAsia="华文仿宋" w:cs="华文仿宋"/>
          <w:b/>
          <w:color w:val="auto"/>
          <w:sz w:val="72"/>
          <w:highlight w:val="none"/>
        </w:rPr>
      </w:pPr>
    </w:p>
    <w:p w14:paraId="43912E08">
      <w:pPr>
        <w:spacing w:line="900" w:lineRule="exact"/>
        <w:jc w:val="center"/>
        <w:outlineLvl w:val="2"/>
        <w:rPr>
          <w:rFonts w:hint="eastAsia" w:ascii="华文仿宋" w:hAnsi="华文仿宋" w:eastAsia="华文仿宋" w:cs="华文仿宋"/>
          <w:b/>
          <w:color w:val="auto"/>
          <w:sz w:val="72"/>
          <w:highlight w:val="none"/>
        </w:rPr>
      </w:pPr>
      <w:r>
        <w:rPr>
          <w:rFonts w:hint="eastAsia" w:ascii="华文仿宋" w:hAnsi="华文仿宋" w:eastAsia="华文仿宋" w:cs="华文仿宋"/>
          <w:b/>
          <w:color w:val="auto"/>
          <w:sz w:val="72"/>
          <w:highlight w:val="none"/>
        </w:rPr>
        <w:t>文</w:t>
      </w:r>
    </w:p>
    <w:p w14:paraId="4CA20475">
      <w:pPr>
        <w:spacing w:line="900" w:lineRule="exact"/>
        <w:jc w:val="center"/>
        <w:rPr>
          <w:rFonts w:hint="eastAsia" w:ascii="华文仿宋" w:hAnsi="华文仿宋" w:eastAsia="华文仿宋" w:cs="华文仿宋"/>
          <w:b/>
          <w:color w:val="auto"/>
          <w:sz w:val="72"/>
          <w:highlight w:val="none"/>
        </w:rPr>
      </w:pPr>
    </w:p>
    <w:p w14:paraId="6268AEA5">
      <w:pPr>
        <w:jc w:val="center"/>
        <w:outlineLvl w:val="2"/>
        <w:rPr>
          <w:rFonts w:hint="eastAsia" w:ascii="华文仿宋" w:hAnsi="华文仿宋" w:eastAsia="华文仿宋" w:cs="华文仿宋"/>
          <w:b/>
          <w:color w:val="auto"/>
          <w:sz w:val="72"/>
          <w:highlight w:val="none"/>
        </w:rPr>
      </w:pPr>
      <w:r>
        <w:rPr>
          <w:rFonts w:hint="eastAsia" w:ascii="华文仿宋" w:hAnsi="华文仿宋" w:eastAsia="华文仿宋" w:cs="华文仿宋"/>
          <w:b/>
          <w:color w:val="auto"/>
          <w:sz w:val="72"/>
          <w:highlight w:val="none"/>
        </w:rPr>
        <w:t>件</w:t>
      </w:r>
    </w:p>
    <w:p w14:paraId="4E44304B">
      <w:pPr>
        <w:spacing w:after="156" w:afterLines="50"/>
        <w:jc w:val="center"/>
        <w:rPr>
          <w:rFonts w:hint="eastAsia" w:ascii="华文仿宋" w:hAnsi="华文仿宋" w:eastAsia="华文仿宋" w:cs="华文仿宋"/>
          <w:b/>
          <w:color w:val="auto"/>
          <w:sz w:val="72"/>
          <w:highlight w:val="none"/>
        </w:rPr>
      </w:pPr>
    </w:p>
    <w:p w14:paraId="487640EE">
      <w:pPr>
        <w:spacing w:after="156" w:afterLines="50" w:line="500" w:lineRule="exact"/>
        <w:jc w:val="both"/>
        <w:rPr>
          <w:rFonts w:hint="eastAsia" w:ascii="华文仿宋" w:hAnsi="华文仿宋" w:eastAsia="华文仿宋" w:cs="华文仿宋"/>
          <w:b/>
          <w:color w:val="auto"/>
          <w:sz w:val="72"/>
          <w:highlight w:val="none"/>
        </w:rPr>
      </w:pPr>
    </w:p>
    <w:p w14:paraId="087BB38F">
      <w:pPr>
        <w:spacing w:after="156" w:afterLines="50" w:line="500" w:lineRule="exact"/>
        <w:jc w:val="center"/>
        <w:rPr>
          <w:rFonts w:hint="eastAsia" w:ascii="华文仿宋" w:hAnsi="华文仿宋" w:eastAsia="华文仿宋" w:cs="华文仿宋"/>
          <w:b/>
          <w:color w:val="auto"/>
          <w:sz w:val="28"/>
          <w:szCs w:val="28"/>
          <w:highlight w:val="none"/>
        </w:rPr>
      </w:pPr>
    </w:p>
    <w:p w14:paraId="72A1B507">
      <w:pPr>
        <w:tabs>
          <w:tab w:val="left" w:pos="2410"/>
        </w:tabs>
        <w:autoSpaceDE w:val="0"/>
        <w:autoSpaceDN w:val="0"/>
        <w:adjustRightInd w:val="0"/>
        <w:snapToGrid w:val="0"/>
        <w:spacing w:line="360" w:lineRule="auto"/>
        <w:ind w:firstLine="643" w:firstLineChars="200"/>
        <w:jc w:val="both"/>
        <w:outlineLvl w:val="9"/>
        <w:rPr>
          <w:rFonts w:hint="eastAsia" w:ascii="华文仿宋" w:hAnsi="华文仿宋" w:eastAsia="华文仿宋" w:cs="华文仿宋"/>
          <w:b/>
          <w:color w:val="auto"/>
          <w:spacing w:val="20"/>
          <w:kern w:val="0"/>
          <w:sz w:val="32"/>
          <w:szCs w:val="32"/>
          <w:highlight w:val="none"/>
          <w:lang w:val="en-US" w:eastAsia="zh-CN"/>
        </w:rPr>
      </w:pPr>
      <w:r>
        <w:rPr>
          <w:rFonts w:hint="eastAsia" w:ascii="华文仿宋" w:hAnsi="华文仿宋" w:eastAsia="华文仿宋" w:cs="华文仿宋"/>
          <w:b/>
          <w:color w:val="auto"/>
          <w:sz w:val="32"/>
          <w:highlight w:val="none"/>
        </w:rPr>
        <w:t>项目名称：</w:t>
      </w:r>
    </w:p>
    <w:p w14:paraId="26DE4C45">
      <w:pPr>
        <w:tabs>
          <w:tab w:val="left" w:pos="2410"/>
        </w:tabs>
        <w:autoSpaceDE w:val="0"/>
        <w:autoSpaceDN w:val="0"/>
        <w:adjustRightInd w:val="0"/>
        <w:snapToGrid w:val="0"/>
        <w:spacing w:line="360" w:lineRule="auto"/>
        <w:ind w:firstLine="643" w:firstLineChars="200"/>
        <w:jc w:val="both"/>
        <w:outlineLvl w:val="9"/>
        <w:rPr>
          <w:rFonts w:hint="eastAsia" w:ascii="华文仿宋" w:hAnsi="华文仿宋" w:eastAsia="华文仿宋" w:cs="华文仿宋"/>
          <w:b/>
          <w:color w:val="auto"/>
          <w:sz w:val="32"/>
          <w:highlight w:val="none"/>
          <w:u w:val="single"/>
          <w:lang w:eastAsia="zh-CN"/>
        </w:rPr>
      </w:pPr>
      <w:r>
        <w:rPr>
          <w:rFonts w:hint="eastAsia" w:ascii="华文仿宋" w:hAnsi="华文仿宋" w:eastAsia="华文仿宋" w:cs="华文仿宋"/>
          <w:b/>
          <w:color w:val="auto"/>
          <w:sz w:val="32"/>
          <w:highlight w:val="none"/>
          <w:lang w:val="en-US" w:eastAsia="zh-CN"/>
        </w:rPr>
        <w:t>供应商</w:t>
      </w:r>
      <w:r>
        <w:rPr>
          <w:rFonts w:hint="eastAsia" w:ascii="华文仿宋" w:hAnsi="华文仿宋" w:eastAsia="华文仿宋" w:cs="华文仿宋"/>
          <w:b/>
          <w:color w:val="auto"/>
          <w:sz w:val="32"/>
          <w:highlight w:val="none"/>
        </w:rPr>
        <w:t>：</w:t>
      </w:r>
    </w:p>
    <w:p w14:paraId="25F78089">
      <w:pPr>
        <w:spacing w:after="156" w:afterLines="50" w:line="500" w:lineRule="exact"/>
        <w:jc w:val="center"/>
        <w:outlineLvl w:val="9"/>
        <w:rPr>
          <w:rFonts w:hint="eastAsia" w:ascii="华文仿宋" w:hAnsi="华文仿宋" w:eastAsia="华文仿宋" w:cs="华文仿宋"/>
          <w:b/>
          <w:color w:val="auto"/>
          <w:sz w:val="32"/>
          <w:highlight w:val="none"/>
        </w:rPr>
      </w:pPr>
      <w:bookmarkStart w:id="203" w:name="_Toc8037"/>
      <w:r>
        <w:rPr>
          <w:rFonts w:hint="eastAsia" w:ascii="华文仿宋" w:hAnsi="华文仿宋" w:eastAsia="华文仿宋" w:cs="华文仿宋"/>
          <w:b/>
          <w:color w:val="auto"/>
          <w:sz w:val="32"/>
          <w:highlight w:val="none"/>
        </w:rPr>
        <w:t>年月日</w:t>
      </w:r>
      <w:bookmarkEnd w:id="203"/>
    </w:p>
    <w:p w14:paraId="7C95D6B0">
      <w:pPr>
        <w:widowControl/>
        <w:jc w:val="left"/>
        <w:rPr>
          <w:rFonts w:hint="eastAsia" w:ascii="华文仿宋" w:hAnsi="华文仿宋" w:eastAsia="华文仿宋" w:cs="华文仿宋"/>
          <w:b/>
          <w:color w:val="auto"/>
          <w:sz w:val="28"/>
          <w:highlight w:val="none"/>
        </w:rPr>
      </w:pPr>
      <w:r>
        <w:rPr>
          <w:rFonts w:hint="eastAsia" w:ascii="华文仿宋" w:hAnsi="华文仿宋" w:eastAsia="华文仿宋" w:cs="华文仿宋"/>
          <w:b/>
          <w:color w:val="auto"/>
          <w:sz w:val="28"/>
          <w:highlight w:val="none"/>
        </w:rPr>
        <w:br w:type="page"/>
      </w:r>
    </w:p>
    <w:p w14:paraId="19B9598F">
      <w:pPr>
        <w:spacing w:line="360" w:lineRule="auto"/>
        <w:jc w:val="center"/>
        <w:outlineLvl w:val="1"/>
        <w:rPr>
          <w:rFonts w:hint="eastAsia" w:ascii="华文仿宋" w:hAnsi="华文仿宋" w:eastAsia="华文仿宋" w:cs="华文仿宋"/>
          <w:b/>
          <w:color w:val="auto"/>
          <w:sz w:val="24"/>
          <w:highlight w:val="none"/>
        </w:rPr>
      </w:pPr>
      <w:bookmarkStart w:id="204" w:name="_Toc461053086"/>
      <w:bookmarkStart w:id="205" w:name="_Toc461056631"/>
      <w:bookmarkStart w:id="206" w:name="_Toc26791"/>
      <w:bookmarkStart w:id="207" w:name="_Toc5881"/>
      <w:bookmarkStart w:id="208" w:name="_Toc520983587"/>
      <w:r>
        <w:rPr>
          <w:rFonts w:hint="eastAsia" w:ascii="华文仿宋" w:hAnsi="华文仿宋" w:eastAsia="华文仿宋" w:cs="华文仿宋"/>
          <w:b/>
          <w:color w:val="auto"/>
          <w:sz w:val="24"/>
          <w:highlight w:val="none"/>
        </w:rPr>
        <w:t>一</w:t>
      </w:r>
      <w:bookmarkEnd w:id="204"/>
      <w:bookmarkEnd w:id="205"/>
      <w:r>
        <w:rPr>
          <w:rFonts w:hint="eastAsia" w:ascii="华文仿宋" w:hAnsi="华文仿宋" w:eastAsia="华文仿宋" w:cs="华文仿宋"/>
          <w:b/>
          <w:color w:val="auto"/>
          <w:sz w:val="24"/>
          <w:highlight w:val="none"/>
        </w:rPr>
        <w:t>、报价表格式</w:t>
      </w:r>
      <w:bookmarkEnd w:id="206"/>
      <w:bookmarkEnd w:id="207"/>
      <w:bookmarkEnd w:id="208"/>
    </w:p>
    <w:p w14:paraId="446639F9">
      <w:pPr>
        <w:spacing w:before="156" w:beforeLines="50" w:after="156" w:afterLines="50" w:line="360" w:lineRule="auto"/>
        <w:jc w:val="left"/>
        <w:outlineLvl w:val="2"/>
        <w:rPr>
          <w:rFonts w:hint="eastAsia" w:ascii="华文仿宋" w:hAnsi="华文仿宋" w:eastAsia="华文仿宋" w:cs="华文仿宋"/>
          <w:b/>
          <w:color w:val="auto"/>
          <w:sz w:val="24"/>
          <w:szCs w:val="28"/>
          <w:highlight w:val="none"/>
        </w:rPr>
      </w:pPr>
      <w:r>
        <w:rPr>
          <w:rFonts w:hint="eastAsia" w:ascii="华文仿宋" w:hAnsi="华文仿宋" w:eastAsia="华文仿宋" w:cs="华文仿宋"/>
          <w:b/>
          <w:color w:val="auto"/>
          <w:sz w:val="24"/>
          <w:szCs w:val="28"/>
          <w:highlight w:val="none"/>
        </w:rPr>
        <w:t>1-1报价表</w:t>
      </w:r>
    </w:p>
    <w:p w14:paraId="737EF59F">
      <w:pPr>
        <w:snapToGrid w:val="0"/>
        <w:spacing w:line="360" w:lineRule="auto"/>
        <w:jc w:val="left"/>
        <w:rPr>
          <w:rFonts w:hint="eastAsia" w:ascii="华文仿宋" w:hAnsi="华文仿宋" w:eastAsia="华文仿宋" w:cs="华文仿宋"/>
          <w:b/>
          <w:color w:val="auto"/>
          <w:sz w:val="24"/>
          <w:szCs w:val="28"/>
          <w:highlight w:val="none"/>
          <w:lang w:eastAsia="zh-CN"/>
        </w:rPr>
      </w:pPr>
      <w:r>
        <w:rPr>
          <w:rFonts w:hint="eastAsia" w:ascii="华文仿宋" w:hAnsi="华文仿宋" w:eastAsia="华文仿宋" w:cs="华文仿宋"/>
          <w:b/>
          <w:color w:val="auto"/>
          <w:sz w:val="24"/>
          <w:szCs w:val="28"/>
          <w:highlight w:val="none"/>
        </w:rPr>
        <w:t>项目名称：</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587C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B4C9337">
            <w:pPr>
              <w:spacing w:line="360" w:lineRule="auto"/>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供应商名称</w:t>
            </w:r>
          </w:p>
        </w:tc>
        <w:tc>
          <w:tcPr>
            <w:tcW w:w="3557" w:type="pct"/>
            <w:tcBorders>
              <w:left w:val="single" w:color="auto" w:sz="4" w:space="0"/>
            </w:tcBorders>
          </w:tcPr>
          <w:p w14:paraId="728BE9F4">
            <w:pPr>
              <w:spacing w:line="360" w:lineRule="auto"/>
              <w:rPr>
                <w:rFonts w:hint="eastAsia" w:ascii="华文仿宋" w:hAnsi="华文仿宋" w:eastAsia="华文仿宋" w:cs="华文仿宋"/>
                <w:b/>
                <w:color w:val="auto"/>
                <w:sz w:val="24"/>
                <w:highlight w:val="none"/>
              </w:rPr>
            </w:pPr>
          </w:p>
        </w:tc>
      </w:tr>
      <w:tr w14:paraId="63DC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090EC5DA">
            <w:pPr>
              <w:spacing w:line="360" w:lineRule="exact"/>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磋商范围</w:t>
            </w:r>
          </w:p>
        </w:tc>
        <w:tc>
          <w:tcPr>
            <w:tcW w:w="3557" w:type="pct"/>
            <w:tcBorders>
              <w:left w:val="single" w:color="auto" w:sz="4" w:space="0"/>
            </w:tcBorders>
            <w:vAlign w:val="center"/>
          </w:tcPr>
          <w:p w14:paraId="314BE3B2">
            <w:pPr>
              <w:widowControl/>
              <w:spacing w:line="360" w:lineRule="exact"/>
              <w:rPr>
                <w:rFonts w:hint="eastAsia" w:ascii="华文仿宋" w:hAnsi="华文仿宋" w:eastAsia="华文仿宋" w:cs="华文仿宋"/>
                <w:b/>
                <w:color w:val="auto"/>
                <w:sz w:val="24"/>
                <w:highlight w:val="none"/>
                <w:lang w:eastAsia="zh-CN"/>
              </w:rPr>
            </w:pPr>
            <w:r>
              <w:rPr>
                <w:rFonts w:hint="eastAsia" w:ascii="华文仿宋" w:hAnsi="华文仿宋" w:eastAsia="华文仿宋" w:cs="华文仿宋"/>
                <w:color w:val="auto"/>
                <w:sz w:val="24"/>
                <w:szCs w:val="28"/>
                <w:highlight w:val="none"/>
              </w:rPr>
              <w:t>全部</w:t>
            </w:r>
          </w:p>
        </w:tc>
      </w:tr>
      <w:tr w14:paraId="34B1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BA11716">
            <w:pPr>
              <w:spacing w:line="360" w:lineRule="auto"/>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报价</w:t>
            </w:r>
          </w:p>
          <w:p w14:paraId="69F337C5">
            <w:pPr>
              <w:spacing w:line="360" w:lineRule="auto"/>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（详见备注说明）</w:t>
            </w:r>
          </w:p>
        </w:tc>
        <w:tc>
          <w:tcPr>
            <w:tcW w:w="3557" w:type="pct"/>
            <w:vAlign w:val="center"/>
          </w:tcPr>
          <w:p w14:paraId="11263759">
            <w:pPr>
              <w:snapToGrid w:val="0"/>
              <w:spacing w:line="360" w:lineRule="auto"/>
              <w:rPr>
                <w:rFonts w:hint="eastAsia" w:ascii="华文仿宋" w:hAnsi="华文仿宋" w:eastAsia="华文仿宋" w:cs="华文仿宋"/>
                <w:color w:val="auto"/>
                <w:sz w:val="24"/>
                <w:szCs w:val="28"/>
                <w:highlight w:val="none"/>
              </w:rPr>
            </w:pPr>
          </w:p>
          <w:p w14:paraId="00CEDBB2">
            <w:pPr>
              <w:snapToGrid w:val="0"/>
              <w:spacing w:line="360" w:lineRule="auto"/>
              <w:jc w:val="left"/>
              <w:rPr>
                <w:rFonts w:hint="eastAsia" w:ascii="华文仿宋" w:hAnsi="华文仿宋" w:eastAsia="华文仿宋" w:cs="华文仿宋"/>
                <w:bCs/>
                <w:color w:val="auto"/>
                <w:sz w:val="24"/>
                <w:szCs w:val="24"/>
                <w:highlight w:val="none"/>
                <w:u w:val="single"/>
                <w:lang w:val="en-US" w:eastAsia="zh-CN"/>
              </w:rPr>
            </w:pPr>
            <w:r>
              <w:rPr>
                <w:rFonts w:hint="eastAsia" w:ascii="华文仿宋" w:hAnsi="华文仿宋" w:eastAsia="华文仿宋" w:cs="华文仿宋"/>
                <w:bCs/>
                <w:color w:val="auto"/>
                <w:sz w:val="24"/>
                <w:szCs w:val="24"/>
                <w:highlight w:val="none"/>
              </w:rPr>
              <w:t>大写：</w:t>
            </w:r>
            <w:r>
              <w:rPr>
                <w:rFonts w:hint="eastAsia" w:ascii="华文仿宋" w:hAnsi="华文仿宋" w:eastAsia="华文仿宋" w:cs="华文仿宋"/>
                <w:bCs/>
                <w:color w:val="auto"/>
                <w:sz w:val="24"/>
                <w:szCs w:val="24"/>
                <w:highlight w:val="none"/>
                <w:lang w:val="en-US" w:eastAsia="zh-CN"/>
              </w:rPr>
              <w:t>每</w:t>
            </w:r>
            <w:r>
              <w:rPr>
                <w:rFonts w:hint="eastAsia" w:ascii="华文仿宋" w:hAnsi="华文仿宋" w:eastAsia="华文仿宋" w:cs="华文仿宋"/>
                <w:bCs/>
                <w:color w:val="auto"/>
                <w:sz w:val="24"/>
                <w:szCs w:val="24"/>
                <w:highlight w:val="none"/>
                <w:u w:val="single"/>
                <w:lang w:val="en-US" w:eastAsia="zh-CN"/>
              </w:rPr>
              <w:t xml:space="preserve">年       </w:t>
            </w:r>
          </w:p>
          <w:p w14:paraId="10315E39">
            <w:pPr>
              <w:spacing w:line="360" w:lineRule="auto"/>
              <w:ind w:right="-670"/>
              <w:rPr>
                <w:rFonts w:hint="eastAsia" w:ascii="华文仿宋" w:hAnsi="华文仿宋" w:eastAsia="华文仿宋" w:cs="华文仿宋"/>
                <w:color w:val="auto"/>
                <w:sz w:val="24"/>
                <w:highlight w:val="none"/>
              </w:rPr>
            </w:pPr>
            <w:r>
              <w:rPr>
                <w:rFonts w:hint="eastAsia" w:ascii="华文仿宋" w:hAnsi="华文仿宋" w:eastAsia="华文仿宋" w:cs="华文仿宋"/>
                <w:bCs/>
                <w:color w:val="auto"/>
                <w:sz w:val="24"/>
                <w:szCs w:val="24"/>
                <w:highlight w:val="none"/>
              </w:rPr>
              <w:t>小写：</w:t>
            </w:r>
            <w:r>
              <w:rPr>
                <w:rFonts w:hint="eastAsia" w:ascii="华文仿宋" w:hAnsi="华文仿宋" w:eastAsia="华文仿宋" w:cs="华文仿宋"/>
                <w:bCs/>
                <w:color w:val="auto"/>
                <w:sz w:val="24"/>
                <w:szCs w:val="24"/>
                <w:highlight w:val="none"/>
                <w:u w:val="single"/>
                <w:lang w:val="en-US" w:eastAsia="zh-CN"/>
              </w:rPr>
              <w:t xml:space="preserve">       /年</w:t>
            </w:r>
          </w:p>
          <w:p w14:paraId="4936452F">
            <w:pPr>
              <w:snapToGrid w:val="0"/>
              <w:spacing w:line="360" w:lineRule="auto"/>
              <w:rPr>
                <w:rFonts w:hint="eastAsia" w:ascii="华文仿宋" w:hAnsi="华文仿宋" w:eastAsia="华文仿宋" w:cs="华文仿宋"/>
                <w:b/>
                <w:color w:val="auto"/>
                <w:sz w:val="24"/>
                <w:highlight w:val="none"/>
              </w:rPr>
            </w:pPr>
          </w:p>
        </w:tc>
      </w:tr>
      <w:tr w14:paraId="3E62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1A22BEBF">
            <w:pPr>
              <w:spacing w:line="360" w:lineRule="auto"/>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备注说明</w:t>
            </w:r>
          </w:p>
        </w:tc>
        <w:tc>
          <w:tcPr>
            <w:tcW w:w="3557" w:type="pct"/>
          </w:tcPr>
          <w:p w14:paraId="28B5F88B">
            <w:pPr>
              <w:spacing w:line="360" w:lineRule="auto"/>
              <w:rPr>
                <w:rFonts w:hint="eastAsia" w:ascii="华文仿宋" w:hAnsi="华文仿宋" w:eastAsia="华文仿宋" w:cs="华文仿宋"/>
                <w:b/>
                <w:color w:val="auto"/>
                <w:sz w:val="24"/>
                <w:highlight w:val="none"/>
              </w:rPr>
            </w:pPr>
          </w:p>
        </w:tc>
      </w:tr>
    </w:tbl>
    <w:p w14:paraId="01C994F2">
      <w:pPr>
        <w:spacing w:line="360" w:lineRule="auto"/>
        <w:ind w:firstLine="4800" w:firstLineChars="2000"/>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rPr>
        <w:t>供应商</w:t>
      </w:r>
      <w:r>
        <w:rPr>
          <w:rFonts w:hint="eastAsia" w:ascii="华文仿宋" w:hAnsi="华文仿宋" w:eastAsia="华文仿宋" w:cs="华文仿宋"/>
          <w:color w:val="auto"/>
          <w:sz w:val="24"/>
          <w:highlight w:val="none"/>
          <w:lang w:eastAsia="zh-CN"/>
        </w:rPr>
        <w:t>盖章</w:t>
      </w:r>
      <w:r>
        <w:rPr>
          <w:rFonts w:hint="eastAsia" w:ascii="华文仿宋" w:hAnsi="华文仿宋" w:eastAsia="华文仿宋" w:cs="华文仿宋"/>
          <w:color w:val="auto"/>
          <w:sz w:val="24"/>
          <w:highlight w:val="none"/>
        </w:rPr>
        <w:t>：</w:t>
      </w:r>
    </w:p>
    <w:p w14:paraId="0B66485B">
      <w:pPr>
        <w:spacing w:line="360" w:lineRule="auto"/>
        <w:ind w:firstLine="4800" w:firstLineChars="2000"/>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rPr>
        <w:t>日期：</w:t>
      </w:r>
    </w:p>
    <w:p w14:paraId="6EA74FCE">
      <w:pPr>
        <w:adjustRightInd w:val="0"/>
        <w:snapToGrid w:val="0"/>
        <w:spacing w:line="360" w:lineRule="auto"/>
        <w:rPr>
          <w:rFonts w:hint="eastAsia" w:ascii="华文仿宋" w:hAnsi="华文仿宋" w:eastAsia="华文仿宋" w:cs="华文仿宋"/>
          <w:b/>
          <w:bCs/>
          <w:color w:val="auto"/>
          <w:sz w:val="24"/>
          <w:szCs w:val="28"/>
          <w:highlight w:val="none"/>
        </w:rPr>
      </w:pPr>
      <w:r>
        <w:rPr>
          <w:rFonts w:hint="eastAsia" w:ascii="华文仿宋" w:hAnsi="华文仿宋" w:eastAsia="华文仿宋" w:cs="华文仿宋"/>
          <w:b/>
          <w:bCs/>
          <w:color w:val="auto"/>
          <w:sz w:val="24"/>
          <w:szCs w:val="28"/>
          <w:highlight w:val="none"/>
        </w:rPr>
        <w:t>注：</w:t>
      </w:r>
    </w:p>
    <w:p w14:paraId="2B3E707C">
      <w:pPr>
        <w:adjustRightInd w:val="0"/>
        <w:snapToGrid w:val="0"/>
        <w:spacing w:line="360" w:lineRule="auto"/>
        <w:ind w:firstLine="482" w:firstLineChars="200"/>
        <w:rPr>
          <w:rFonts w:hint="eastAsia" w:ascii="华文仿宋" w:hAnsi="华文仿宋" w:eastAsia="华文仿宋" w:cs="华文仿宋"/>
          <w:color w:val="auto"/>
          <w:sz w:val="24"/>
          <w:highlight w:val="none"/>
        </w:rPr>
      </w:pPr>
      <w:r>
        <w:rPr>
          <w:rFonts w:hint="eastAsia" w:ascii="华文仿宋" w:hAnsi="华文仿宋" w:eastAsia="华文仿宋" w:cs="华文仿宋"/>
          <w:b/>
          <w:bCs/>
          <w:color w:val="auto"/>
          <w:sz w:val="24"/>
          <w:szCs w:val="28"/>
          <w:highlight w:val="none"/>
        </w:rPr>
        <w:t>1.本表内容根据磋商文件要求包括了服务及其配套的设计、采购、制造、检测、试验、运输、保险、仓储、税费以及现场落地、安装及安装耗损、调试、培训、技术服务（包括技术资料、图纸的提供）质保期内的售后服务保障等所有费用。</w:t>
      </w:r>
    </w:p>
    <w:p w14:paraId="3EA70ECA">
      <w:pPr>
        <w:adjustRightInd w:val="0"/>
        <w:snapToGrid w:val="0"/>
        <w:spacing w:line="360" w:lineRule="auto"/>
        <w:ind w:firstLine="482" w:firstLineChars="200"/>
        <w:rPr>
          <w:rFonts w:hint="eastAsia" w:ascii="华文仿宋" w:hAnsi="华文仿宋" w:eastAsia="华文仿宋" w:cs="华文仿宋"/>
          <w:b/>
          <w:bCs/>
          <w:color w:val="auto"/>
          <w:sz w:val="24"/>
          <w:szCs w:val="28"/>
          <w:highlight w:val="none"/>
        </w:rPr>
      </w:pPr>
      <w:r>
        <w:rPr>
          <w:rFonts w:hint="eastAsia" w:ascii="华文仿宋" w:hAnsi="华文仿宋" w:eastAsia="华文仿宋" w:cs="华文仿宋"/>
          <w:b/>
          <w:bCs/>
          <w:color w:val="auto"/>
          <w:sz w:val="24"/>
          <w:szCs w:val="28"/>
          <w:highlight w:val="none"/>
        </w:rPr>
        <w:t>2.特殊事项在备注中注明。</w:t>
      </w:r>
    </w:p>
    <w:p w14:paraId="22822C07">
      <w:pPr>
        <w:adjustRightInd w:val="0"/>
        <w:snapToGrid w:val="0"/>
        <w:spacing w:line="360" w:lineRule="auto"/>
        <w:ind w:firstLine="482" w:firstLineChars="200"/>
        <w:rPr>
          <w:rFonts w:hint="eastAsia" w:ascii="华文仿宋" w:hAnsi="华文仿宋" w:eastAsia="华文仿宋" w:cs="华文仿宋"/>
          <w:b/>
          <w:bCs/>
          <w:color w:val="auto"/>
          <w:sz w:val="24"/>
          <w:szCs w:val="28"/>
          <w:highlight w:val="none"/>
          <w:lang w:val="en-US" w:eastAsia="zh-CN"/>
        </w:rPr>
      </w:pPr>
      <w:r>
        <w:rPr>
          <w:rFonts w:hint="eastAsia" w:ascii="华文仿宋" w:hAnsi="华文仿宋" w:eastAsia="华文仿宋" w:cs="华文仿宋"/>
          <w:b/>
          <w:bCs/>
          <w:color w:val="auto"/>
          <w:sz w:val="24"/>
          <w:szCs w:val="28"/>
          <w:highlight w:val="none"/>
          <w:lang w:val="en-US" w:eastAsia="zh-CN"/>
        </w:rPr>
        <w:t>3</w:t>
      </w:r>
      <w:r>
        <w:rPr>
          <w:rFonts w:hint="eastAsia" w:ascii="华文仿宋" w:hAnsi="华文仿宋" w:eastAsia="华文仿宋" w:cs="华文仿宋"/>
          <w:b/>
          <w:bCs/>
          <w:color w:val="auto"/>
          <w:sz w:val="24"/>
          <w:szCs w:val="28"/>
          <w:highlight w:val="none"/>
        </w:rPr>
        <w:t>.表中大写金额与小写金额不一致的，以大写金额为准。</w:t>
      </w:r>
    </w:p>
    <w:p w14:paraId="3D78A417">
      <w:pPr>
        <w:widowControl/>
        <w:jc w:val="left"/>
        <w:rPr>
          <w:rFonts w:hint="eastAsia" w:ascii="华文仿宋" w:hAnsi="华文仿宋" w:eastAsia="华文仿宋" w:cs="华文仿宋"/>
          <w:b/>
          <w:bCs/>
          <w:color w:val="auto"/>
          <w:sz w:val="24"/>
          <w:szCs w:val="28"/>
          <w:highlight w:val="none"/>
        </w:rPr>
      </w:pPr>
      <w:r>
        <w:rPr>
          <w:rFonts w:hint="eastAsia" w:ascii="华文仿宋" w:hAnsi="华文仿宋" w:eastAsia="华文仿宋" w:cs="华文仿宋"/>
          <w:b/>
          <w:bCs/>
          <w:color w:val="auto"/>
          <w:sz w:val="24"/>
          <w:szCs w:val="28"/>
          <w:highlight w:val="none"/>
        </w:rPr>
        <w:br w:type="page"/>
      </w:r>
    </w:p>
    <w:p w14:paraId="50D2A78E">
      <w:pPr>
        <w:spacing w:before="156" w:beforeLines="50" w:after="156" w:afterLines="50" w:line="360" w:lineRule="auto"/>
        <w:jc w:val="left"/>
        <w:outlineLvl w:val="2"/>
        <w:rPr>
          <w:rFonts w:hint="eastAsia" w:ascii="华文仿宋" w:hAnsi="华文仿宋" w:eastAsia="华文仿宋" w:cs="华文仿宋"/>
          <w:b/>
          <w:color w:val="auto"/>
          <w:sz w:val="24"/>
          <w:szCs w:val="28"/>
          <w:highlight w:val="none"/>
        </w:rPr>
      </w:pPr>
      <w:r>
        <w:rPr>
          <w:rFonts w:hint="eastAsia" w:ascii="华文仿宋" w:hAnsi="华文仿宋" w:eastAsia="华文仿宋" w:cs="华文仿宋"/>
          <w:b/>
          <w:color w:val="auto"/>
          <w:sz w:val="24"/>
          <w:szCs w:val="28"/>
          <w:highlight w:val="none"/>
        </w:rPr>
        <w:t>1-2分项报价明细表</w:t>
      </w:r>
    </w:p>
    <w:p w14:paraId="4C449600">
      <w:pPr>
        <w:pStyle w:val="47"/>
        <w:ind w:left="-108"/>
        <w:jc w:val="both"/>
        <w:rPr>
          <w:rFonts w:hint="eastAsia" w:ascii="华文仿宋" w:hAnsi="华文仿宋" w:eastAsia="华文仿宋" w:cs="华文仿宋"/>
          <w:b/>
          <w:bCs/>
          <w:i/>
          <w:iCs/>
          <w:color w:val="auto"/>
          <w:highlight w:val="none"/>
          <w:lang w:val="en-US" w:eastAsia="zh-CN"/>
        </w:rPr>
      </w:pPr>
      <w:r>
        <w:rPr>
          <w:rFonts w:hint="eastAsia" w:ascii="华文仿宋" w:hAnsi="华文仿宋" w:eastAsia="华文仿宋" w:cs="华文仿宋"/>
          <w:b/>
          <w:bCs/>
          <w:color w:val="auto"/>
          <w:highlight w:val="none"/>
          <w:lang w:val="en-US" w:eastAsia="zh-CN"/>
        </w:rPr>
        <w:t>服务部分</w:t>
      </w:r>
      <w:r>
        <w:rPr>
          <w:rFonts w:hint="eastAsia" w:ascii="华文仿宋" w:hAnsi="华文仿宋" w:eastAsia="华文仿宋" w:cs="华文仿宋"/>
          <w:b/>
          <w:bCs/>
          <w:i/>
          <w:iCs/>
          <w:color w:val="auto"/>
          <w:highlight w:val="none"/>
        </w:rPr>
        <w:t>（仅供参考，</w:t>
      </w:r>
      <w:r>
        <w:rPr>
          <w:rFonts w:hint="eastAsia" w:ascii="华文仿宋" w:hAnsi="华文仿宋" w:eastAsia="华文仿宋" w:cs="华文仿宋"/>
          <w:b/>
          <w:bCs/>
          <w:i/>
          <w:iCs/>
          <w:color w:val="auto"/>
          <w:highlight w:val="none"/>
          <w:lang w:val="en-US" w:eastAsia="zh-CN"/>
        </w:rPr>
        <w:t>供应商</w:t>
      </w:r>
      <w:r>
        <w:rPr>
          <w:rFonts w:hint="eastAsia" w:ascii="华文仿宋" w:hAnsi="华文仿宋" w:eastAsia="华文仿宋" w:cs="华文仿宋"/>
          <w:b/>
          <w:bCs/>
          <w:i/>
          <w:iCs/>
          <w:color w:val="auto"/>
          <w:highlight w:val="none"/>
        </w:rPr>
        <w:t>可自行制作格式）</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109"/>
        <w:gridCol w:w="1357"/>
        <w:gridCol w:w="1698"/>
        <w:gridCol w:w="1569"/>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序号</w:t>
            </w:r>
          </w:p>
        </w:tc>
        <w:tc>
          <w:tcPr>
            <w:tcW w:w="1823" w:type="pct"/>
            <w:noWrap w:val="0"/>
            <w:vAlign w:val="center"/>
          </w:tcPr>
          <w:p w14:paraId="3BDB2FC3">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服务内容</w:t>
            </w:r>
          </w:p>
        </w:tc>
        <w:tc>
          <w:tcPr>
            <w:tcW w:w="796" w:type="pct"/>
            <w:noWrap w:val="0"/>
            <w:vAlign w:val="center"/>
          </w:tcPr>
          <w:p w14:paraId="5868306B">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项</w:t>
            </w:r>
          </w:p>
        </w:tc>
        <w:tc>
          <w:tcPr>
            <w:tcW w:w="996" w:type="pct"/>
            <w:noWrap w:val="0"/>
            <w:vAlign w:val="center"/>
          </w:tcPr>
          <w:p w14:paraId="79342276">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单价</w:t>
            </w:r>
          </w:p>
        </w:tc>
        <w:tc>
          <w:tcPr>
            <w:tcW w:w="920" w:type="pct"/>
            <w:noWrap w:val="0"/>
            <w:vAlign w:val="center"/>
          </w:tcPr>
          <w:p w14:paraId="639A001F">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463" w:type="pct"/>
            <w:tcBorders>
              <w:bottom w:val="single" w:color="auto" w:sz="4" w:space="0"/>
            </w:tcBorders>
            <w:noWrap w:val="0"/>
            <w:vAlign w:val="center"/>
          </w:tcPr>
          <w:p w14:paraId="0E2044D3">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w:t>
            </w:r>
          </w:p>
        </w:tc>
        <w:tc>
          <w:tcPr>
            <w:tcW w:w="3109" w:type="dxa"/>
            <w:shd w:val="clear" w:color="auto" w:fill="auto"/>
            <w:noWrap w:val="0"/>
            <w:vAlign w:val="center"/>
          </w:tcPr>
          <w:p w14:paraId="7880AC63">
            <w:pPr>
              <w:spacing w:before="60" w:after="60" w:line="240" w:lineRule="auto"/>
              <w:ind w:firstLine="0" w:firstLineChars="0"/>
              <w:jc w:val="left"/>
              <w:rPr>
                <w:rFonts w:hint="eastAsia" w:ascii="华文仿宋" w:hAnsi="华文仿宋" w:eastAsia="华文仿宋" w:cs="华文仿宋"/>
                <w:color w:val="auto"/>
                <w:kern w:val="2"/>
                <w:sz w:val="21"/>
                <w:highlight w:val="none"/>
                <w:lang w:val="en-US" w:eastAsia="zh-CN" w:bidi="ar-SA"/>
              </w:rPr>
            </w:pPr>
            <w:r>
              <w:rPr>
                <w:rFonts w:hint="eastAsia" w:ascii="华文仿宋" w:hAnsi="华文仿宋" w:eastAsia="华文仿宋" w:cs="华文仿宋"/>
                <w:color w:val="auto"/>
                <w:highlight w:val="none"/>
              </w:rPr>
              <w:t>基础硬件维保</w:t>
            </w:r>
          </w:p>
        </w:tc>
        <w:tc>
          <w:tcPr>
            <w:tcW w:w="796" w:type="pct"/>
            <w:noWrap w:val="0"/>
            <w:vAlign w:val="center"/>
          </w:tcPr>
          <w:p w14:paraId="637F73F7">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c>
          <w:tcPr>
            <w:tcW w:w="996" w:type="pct"/>
            <w:noWrap w:val="0"/>
            <w:vAlign w:val="center"/>
          </w:tcPr>
          <w:p w14:paraId="1EA2F8B6">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c>
          <w:tcPr>
            <w:tcW w:w="920" w:type="pct"/>
            <w:noWrap w:val="0"/>
            <w:vAlign w:val="center"/>
          </w:tcPr>
          <w:p w14:paraId="60206FF4">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463" w:type="pct"/>
            <w:noWrap w:val="0"/>
            <w:vAlign w:val="center"/>
          </w:tcPr>
          <w:p w14:paraId="552E171F">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w:t>
            </w:r>
          </w:p>
        </w:tc>
        <w:tc>
          <w:tcPr>
            <w:tcW w:w="3109" w:type="dxa"/>
            <w:shd w:val="clear" w:color="auto" w:fill="auto"/>
            <w:noWrap w:val="0"/>
            <w:vAlign w:val="center"/>
          </w:tcPr>
          <w:p w14:paraId="3F742D3E">
            <w:pPr>
              <w:spacing w:before="60" w:after="60" w:line="240" w:lineRule="auto"/>
              <w:ind w:firstLine="0" w:firstLineChars="0"/>
              <w:jc w:val="left"/>
              <w:rPr>
                <w:rFonts w:hint="eastAsia" w:ascii="华文仿宋" w:hAnsi="华文仿宋" w:eastAsia="华文仿宋" w:cs="华文仿宋"/>
                <w:color w:val="auto"/>
                <w:highlight w:val="none"/>
                <w:lang w:val="en-US" w:eastAsia="zh-CN"/>
              </w:rPr>
            </w:pPr>
            <w:r>
              <w:rPr>
                <w:rFonts w:hint="eastAsia" w:ascii="华文仿宋" w:hAnsi="华文仿宋" w:eastAsia="华文仿宋" w:cs="华文仿宋"/>
                <w:color w:val="auto"/>
                <w:highlight w:val="none"/>
              </w:rPr>
              <w:t>软件系统维护</w:t>
            </w:r>
          </w:p>
        </w:tc>
        <w:tc>
          <w:tcPr>
            <w:tcW w:w="796" w:type="pct"/>
            <w:noWrap w:val="0"/>
            <w:vAlign w:val="center"/>
          </w:tcPr>
          <w:p w14:paraId="6B394825">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c>
          <w:tcPr>
            <w:tcW w:w="996" w:type="pct"/>
            <w:noWrap w:val="0"/>
            <w:vAlign w:val="center"/>
          </w:tcPr>
          <w:p w14:paraId="036157F3">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c>
          <w:tcPr>
            <w:tcW w:w="920" w:type="pct"/>
            <w:noWrap w:val="0"/>
            <w:vAlign w:val="center"/>
          </w:tcPr>
          <w:p w14:paraId="5AAEBA95">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463" w:type="pct"/>
            <w:noWrap w:val="0"/>
            <w:vAlign w:val="center"/>
          </w:tcPr>
          <w:p w14:paraId="51DE39D7">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3</w:t>
            </w:r>
          </w:p>
        </w:tc>
        <w:tc>
          <w:tcPr>
            <w:tcW w:w="3109" w:type="dxa"/>
            <w:shd w:val="clear" w:color="auto" w:fill="auto"/>
            <w:noWrap w:val="0"/>
            <w:vAlign w:val="center"/>
          </w:tcPr>
          <w:p w14:paraId="129DB36E">
            <w:pPr>
              <w:spacing w:before="60" w:after="60" w:line="240" w:lineRule="auto"/>
              <w:ind w:firstLine="0" w:firstLineChars="0"/>
              <w:jc w:val="left"/>
              <w:rPr>
                <w:rFonts w:hint="eastAsia" w:ascii="华文仿宋" w:hAnsi="华文仿宋" w:eastAsia="华文仿宋" w:cs="华文仿宋"/>
                <w:color w:val="auto"/>
                <w:highlight w:val="none"/>
                <w:lang w:val="en-US" w:eastAsia="zh-CN"/>
              </w:rPr>
            </w:pPr>
            <w:r>
              <w:rPr>
                <w:rFonts w:hint="eastAsia" w:ascii="华文仿宋" w:hAnsi="华文仿宋" w:eastAsia="华文仿宋" w:cs="华文仿宋"/>
                <w:color w:val="auto"/>
                <w:highlight w:val="none"/>
                <w:lang w:val="en-US" w:eastAsia="zh-CN"/>
              </w:rPr>
              <w:t>年度三级</w:t>
            </w:r>
            <w:r>
              <w:rPr>
                <w:rFonts w:hint="eastAsia" w:ascii="华文仿宋" w:hAnsi="华文仿宋" w:eastAsia="华文仿宋" w:cs="华文仿宋"/>
                <w:color w:val="auto"/>
                <w:highlight w:val="none"/>
              </w:rPr>
              <w:t>等保</w:t>
            </w:r>
            <w:r>
              <w:rPr>
                <w:rFonts w:hint="eastAsia" w:ascii="华文仿宋" w:hAnsi="华文仿宋" w:eastAsia="华文仿宋" w:cs="华文仿宋"/>
                <w:color w:val="auto"/>
                <w:highlight w:val="none"/>
                <w:lang w:val="en-US" w:eastAsia="zh-CN"/>
              </w:rPr>
              <w:t>费用+</w:t>
            </w:r>
            <w:r>
              <w:rPr>
                <w:rFonts w:hint="eastAsia" w:ascii="华文仿宋" w:hAnsi="华文仿宋" w:eastAsia="华文仿宋" w:cs="华文仿宋"/>
                <w:color w:val="auto"/>
                <w:highlight w:val="none"/>
              </w:rPr>
              <w:t>合规保障</w:t>
            </w:r>
          </w:p>
        </w:tc>
        <w:tc>
          <w:tcPr>
            <w:tcW w:w="796" w:type="pct"/>
            <w:noWrap w:val="0"/>
            <w:vAlign w:val="center"/>
          </w:tcPr>
          <w:p w14:paraId="3101AE78">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c>
          <w:tcPr>
            <w:tcW w:w="996" w:type="pct"/>
            <w:noWrap w:val="0"/>
            <w:vAlign w:val="center"/>
          </w:tcPr>
          <w:p w14:paraId="44FF404D">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c>
          <w:tcPr>
            <w:tcW w:w="920" w:type="pct"/>
            <w:noWrap w:val="0"/>
            <w:vAlign w:val="center"/>
          </w:tcPr>
          <w:p w14:paraId="307B3000">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463" w:type="pct"/>
            <w:noWrap w:val="0"/>
            <w:vAlign w:val="center"/>
          </w:tcPr>
          <w:p w14:paraId="768FF883">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lang w:val="en-US" w:eastAsia="zh-CN"/>
              </w:rPr>
              <w:t>4</w:t>
            </w:r>
          </w:p>
        </w:tc>
        <w:tc>
          <w:tcPr>
            <w:tcW w:w="3109" w:type="dxa"/>
            <w:shd w:val="clear" w:color="auto" w:fill="auto"/>
            <w:noWrap w:val="0"/>
            <w:vAlign w:val="center"/>
          </w:tcPr>
          <w:p w14:paraId="53F54BD7">
            <w:pPr>
              <w:spacing w:before="60" w:after="60" w:line="240" w:lineRule="auto"/>
              <w:ind w:firstLine="0" w:firstLineChars="0"/>
              <w:jc w:val="left"/>
              <w:rPr>
                <w:rFonts w:hint="eastAsia" w:ascii="华文仿宋" w:hAnsi="华文仿宋" w:eastAsia="华文仿宋" w:cs="华文仿宋"/>
                <w:color w:val="auto"/>
                <w:highlight w:val="none"/>
                <w:lang w:val="en-US" w:eastAsia="zh-CN"/>
              </w:rPr>
            </w:pPr>
            <w:r>
              <w:rPr>
                <w:rFonts w:hint="eastAsia" w:ascii="华文仿宋" w:hAnsi="华文仿宋" w:eastAsia="华文仿宋" w:cs="华文仿宋"/>
                <w:color w:val="auto"/>
                <w:highlight w:val="none"/>
              </w:rPr>
              <w:t>重大活动保障</w:t>
            </w:r>
          </w:p>
        </w:tc>
        <w:tc>
          <w:tcPr>
            <w:tcW w:w="796" w:type="pct"/>
            <w:noWrap w:val="0"/>
            <w:vAlign w:val="center"/>
          </w:tcPr>
          <w:p w14:paraId="63093FF2">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c>
          <w:tcPr>
            <w:tcW w:w="996" w:type="pct"/>
            <w:noWrap w:val="0"/>
            <w:vAlign w:val="center"/>
          </w:tcPr>
          <w:p w14:paraId="363C9012">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c>
          <w:tcPr>
            <w:tcW w:w="920" w:type="pct"/>
            <w:noWrap w:val="0"/>
            <w:vAlign w:val="center"/>
          </w:tcPr>
          <w:p w14:paraId="050C4554">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r>
      <w:tr w14:paraId="38EA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463" w:type="pct"/>
            <w:noWrap w:val="0"/>
            <w:vAlign w:val="center"/>
          </w:tcPr>
          <w:p w14:paraId="4378F02B">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lang w:val="en-US" w:eastAsia="zh-CN"/>
              </w:rPr>
            </w:pPr>
            <w:r>
              <w:rPr>
                <w:rFonts w:hint="eastAsia" w:ascii="华文仿宋" w:hAnsi="华文仿宋" w:eastAsia="华文仿宋" w:cs="华文仿宋"/>
                <w:color w:val="auto"/>
                <w:sz w:val="24"/>
                <w:highlight w:val="none"/>
                <w:lang w:val="en-US" w:eastAsia="zh-CN"/>
              </w:rPr>
              <w:t>...</w:t>
            </w:r>
          </w:p>
        </w:tc>
        <w:tc>
          <w:tcPr>
            <w:tcW w:w="1823" w:type="pct"/>
            <w:shd w:val="clear" w:color="auto" w:fill="auto"/>
            <w:noWrap w:val="0"/>
            <w:vAlign w:val="center"/>
          </w:tcPr>
          <w:p w14:paraId="16109CFE">
            <w:pPr>
              <w:spacing w:before="60" w:after="60" w:line="240" w:lineRule="auto"/>
              <w:ind w:firstLine="0" w:firstLineChars="0"/>
              <w:jc w:val="center"/>
              <w:rPr>
                <w:rFonts w:hint="eastAsia" w:ascii="华文仿宋" w:hAnsi="华文仿宋" w:eastAsia="华文仿宋" w:cs="华文仿宋"/>
                <w:color w:val="auto"/>
                <w:highlight w:val="none"/>
              </w:rPr>
            </w:pPr>
          </w:p>
        </w:tc>
        <w:tc>
          <w:tcPr>
            <w:tcW w:w="796" w:type="pct"/>
            <w:noWrap w:val="0"/>
            <w:vAlign w:val="center"/>
          </w:tcPr>
          <w:p w14:paraId="5B3EE31A">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c>
          <w:tcPr>
            <w:tcW w:w="996" w:type="pct"/>
            <w:noWrap w:val="0"/>
            <w:vAlign w:val="center"/>
          </w:tcPr>
          <w:p w14:paraId="0EAFEDC0">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c>
          <w:tcPr>
            <w:tcW w:w="920" w:type="pct"/>
            <w:noWrap w:val="0"/>
            <w:vAlign w:val="center"/>
          </w:tcPr>
          <w:p w14:paraId="6918EA56">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79" w:type="pct"/>
            <w:gridSpan w:val="4"/>
            <w:noWrap w:val="0"/>
            <w:vAlign w:val="center"/>
          </w:tcPr>
          <w:p w14:paraId="4C32EFE9">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r>
              <w:rPr>
                <w:rFonts w:hint="eastAsia" w:ascii="华文仿宋" w:hAnsi="华文仿宋" w:eastAsia="华文仿宋" w:cs="华文仿宋"/>
                <w:b/>
                <w:color w:val="auto"/>
                <w:sz w:val="24"/>
                <w:highlight w:val="none"/>
              </w:rPr>
              <w:t>合计金额（元）</w:t>
            </w:r>
          </w:p>
        </w:tc>
        <w:tc>
          <w:tcPr>
            <w:tcW w:w="920" w:type="pct"/>
            <w:noWrap w:val="0"/>
            <w:vAlign w:val="center"/>
          </w:tcPr>
          <w:p w14:paraId="56C4B51D">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仿宋" w:hAnsi="华文仿宋" w:eastAsia="华文仿宋" w:cs="华文仿宋"/>
                <w:color w:val="auto"/>
                <w:sz w:val="24"/>
                <w:highlight w:val="none"/>
              </w:rPr>
            </w:pPr>
          </w:p>
        </w:tc>
      </w:tr>
    </w:tbl>
    <w:p w14:paraId="6D51AE32">
      <w:pPr>
        <w:pStyle w:val="47"/>
        <w:ind w:left="-108"/>
        <w:jc w:val="both"/>
        <w:rPr>
          <w:rFonts w:hint="eastAsia" w:ascii="华文仿宋" w:hAnsi="华文仿宋" w:eastAsia="华文仿宋" w:cs="华文仿宋"/>
          <w:b/>
          <w:bCs/>
          <w:color w:val="auto"/>
          <w:highlight w:val="none"/>
          <w:lang w:val="en-US" w:eastAsia="zh-CN"/>
        </w:rPr>
      </w:pPr>
    </w:p>
    <w:p w14:paraId="0AB78D99">
      <w:pPr>
        <w:spacing w:line="360" w:lineRule="auto"/>
        <w:ind w:firstLine="4800" w:firstLineChars="2000"/>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lang w:val="en-US" w:eastAsia="zh-CN"/>
        </w:rPr>
        <w:t>供应商</w:t>
      </w:r>
      <w:r>
        <w:rPr>
          <w:rFonts w:hint="eastAsia" w:ascii="华文仿宋" w:hAnsi="华文仿宋" w:eastAsia="华文仿宋" w:cs="华文仿宋"/>
          <w:color w:val="auto"/>
          <w:sz w:val="24"/>
          <w:highlight w:val="none"/>
          <w:lang w:eastAsia="zh-CN"/>
        </w:rPr>
        <w:t>盖章</w:t>
      </w:r>
      <w:r>
        <w:rPr>
          <w:rFonts w:hint="eastAsia" w:ascii="华文仿宋" w:hAnsi="华文仿宋" w:eastAsia="华文仿宋" w:cs="华文仿宋"/>
          <w:color w:val="auto"/>
          <w:sz w:val="24"/>
          <w:highlight w:val="none"/>
        </w:rPr>
        <w:t>：</w:t>
      </w:r>
    </w:p>
    <w:p w14:paraId="1F352856">
      <w:pPr>
        <w:tabs>
          <w:tab w:val="left" w:pos="630"/>
        </w:tabs>
        <w:spacing w:line="360" w:lineRule="auto"/>
        <w:ind w:firstLine="4800" w:firstLineChars="2000"/>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rPr>
        <w:t>日期：</w:t>
      </w:r>
    </w:p>
    <w:p w14:paraId="01DC9F39">
      <w:pPr>
        <w:spacing w:line="360" w:lineRule="auto"/>
        <w:ind w:firstLine="435"/>
        <w:jc w:val="right"/>
        <w:rPr>
          <w:rFonts w:hint="eastAsia" w:ascii="华文仿宋" w:hAnsi="华文仿宋" w:eastAsia="华文仿宋" w:cs="华文仿宋"/>
          <w:b/>
          <w:bCs/>
          <w:color w:val="auto"/>
          <w:sz w:val="24"/>
          <w:szCs w:val="28"/>
          <w:highlight w:val="none"/>
          <w:lang w:eastAsia="zh-CN"/>
        </w:rPr>
      </w:pPr>
    </w:p>
    <w:p w14:paraId="052B0EC2">
      <w:pPr>
        <w:spacing w:line="360" w:lineRule="auto"/>
        <w:rPr>
          <w:rFonts w:hint="eastAsia" w:ascii="华文仿宋" w:hAnsi="华文仿宋" w:eastAsia="华文仿宋" w:cs="华文仿宋"/>
          <w:b/>
          <w:bCs/>
          <w:color w:val="auto"/>
          <w:sz w:val="21"/>
          <w:szCs w:val="21"/>
          <w:highlight w:val="none"/>
          <w:lang w:eastAsia="zh-CN"/>
        </w:rPr>
      </w:pPr>
      <w:r>
        <w:rPr>
          <w:rFonts w:hint="eastAsia" w:ascii="华文仿宋" w:hAnsi="华文仿宋" w:eastAsia="华文仿宋" w:cs="华文仿宋"/>
          <w:b/>
          <w:bCs/>
          <w:color w:val="auto"/>
          <w:sz w:val="21"/>
          <w:szCs w:val="21"/>
          <w:highlight w:val="none"/>
          <w:lang w:eastAsia="zh-CN"/>
        </w:rPr>
        <w:t>注：</w:t>
      </w:r>
    </w:p>
    <w:p w14:paraId="165D26D6">
      <w:pPr>
        <w:spacing w:line="360" w:lineRule="auto"/>
        <w:rPr>
          <w:rFonts w:hint="eastAsia" w:ascii="华文仿宋" w:hAnsi="华文仿宋" w:eastAsia="华文仿宋" w:cs="华文仿宋"/>
          <w:color w:val="auto"/>
          <w:sz w:val="21"/>
          <w:szCs w:val="21"/>
          <w:highlight w:val="none"/>
          <w:lang w:val="en-US" w:eastAsia="zh-CN"/>
        </w:rPr>
      </w:pPr>
      <w:r>
        <w:rPr>
          <w:rFonts w:hint="eastAsia" w:ascii="华文仿宋" w:hAnsi="华文仿宋" w:eastAsia="华文仿宋" w:cs="华文仿宋"/>
          <w:color w:val="auto"/>
          <w:sz w:val="21"/>
          <w:szCs w:val="21"/>
          <w:highlight w:val="none"/>
          <w:lang w:val="en-US" w:eastAsia="zh-CN"/>
        </w:rPr>
        <w:t>1.表1-2-1</w:t>
      </w:r>
      <w:r>
        <w:rPr>
          <w:rFonts w:hint="eastAsia" w:ascii="华文仿宋" w:hAnsi="华文仿宋" w:eastAsia="华文仿宋" w:cs="华文仿宋"/>
          <w:color w:val="auto"/>
          <w:sz w:val="21"/>
          <w:szCs w:val="21"/>
          <w:highlight w:val="none"/>
        </w:rPr>
        <w:t>中须明确列出所投产品的货物名称、品牌、型号规格、原产地及生产厂商，否则可能导致</w:t>
      </w:r>
      <w:r>
        <w:rPr>
          <w:rFonts w:hint="eastAsia" w:ascii="华文仿宋" w:hAnsi="华文仿宋" w:eastAsia="华文仿宋" w:cs="华文仿宋"/>
          <w:b/>
          <w:bCs/>
          <w:color w:val="auto"/>
          <w:sz w:val="21"/>
          <w:szCs w:val="21"/>
          <w:highlight w:val="none"/>
          <w:lang w:val="en-US" w:eastAsia="zh-CN"/>
        </w:rPr>
        <w:t>响应</w:t>
      </w:r>
      <w:r>
        <w:rPr>
          <w:rFonts w:hint="eastAsia" w:ascii="华文仿宋" w:hAnsi="华文仿宋" w:eastAsia="华文仿宋" w:cs="华文仿宋"/>
          <w:b/>
          <w:bCs/>
          <w:color w:val="auto"/>
          <w:sz w:val="21"/>
          <w:szCs w:val="21"/>
          <w:highlight w:val="none"/>
        </w:rPr>
        <w:t>无效</w:t>
      </w:r>
      <w:r>
        <w:rPr>
          <w:rFonts w:hint="eastAsia" w:ascii="华文仿宋" w:hAnsi="华文仿宋" w:eastAsia="华文仿宋" w:cs="华文仿宋"/>
          <w:b/>
          <w:bCs/>
          <w:color w:val="auto"/>
          <w:sz w:val="21"/>
          <w:szCs w:val="21"/>
          <w:highlight w:val="none"/>
          <w:lang w:eastAsia="zh-CN"/>
        </w:rPr>
        <w:t>。</w:t>
      </w:r>
    </w:p>
    <w:p w14:paraId="6D55F71D">
      <w:pPr>
        <w:spacing w:line="36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lang w:val="en-US" w:eastAsia="zh-CN"/>
        </w:rPr>
        <w:t>2.上述报价为供应商完成本项目内容的全部费用，</w:t>
      </w:r>
      <w:r>
        <w:rPr>
          <w:rFonts w:hint="eastAsia" w:ascii="华文仿宋" w:hAnsi="华文仿宋" w:eastAsia="华文仿宋" w:cs="华文仿宋"/>
          <w:color w:val="auto"/>
          <w:sz w:val="21"/>
          <w:szCs w:val="21"/>
          <w:highlight w:val="none"/>
        </w:rPr>
        <w:t>如有漏项或缺项，</w:t>
      </w:r>
      <w:r>
        <w:rPr>
          <w:rFonts w:hint="eastAsia" w:ascii="华文仿宋" w:hAnsi="华文仿宋" w:eastAsia="华文仿宋" w:cs="华文仿宋"/>
          <w:color w:val="auto"/>
          <w:sz w:val="21"/>
          <w:szCs w:val="21"/>
          <w:highlight w:val="none"/>
          <w:lang w:val="en-US" w:eastAsia="zh-CN"/>
        </w:rPr>
        <w:t>自行</w:t>
      </w:r>
      <w:r>
        <w:rPr>
          <w:rFonts w:hint="eastAsia" w:ascii="华文仿宋" w:hAnsi="华文仿宋" w:eastAsia="华文仿宋" w:cs="华文仿宋"/>
          <w:color w:val="auto"/>
          <w:sz w:val="21"/>
          <w:szCs w:val="21"/>
          <w:highlight w:val="none"/>
        </w:rPr>
        <w:t>承担全部责任。</w:t>
      </w:r>
    </w:p>
    <w:p w14:paraId="2FEFAA11">
      <w:pPr>
        <w:widowControl/>
        <w:jc w:val="left"/>
        <w:rPr>
          <w:rFonts w:hint="eastAsia" w:ascii="华文仿宋" w:hAnsi="华文仿宋" w:eastAsia="华文仿宋" w:cs="华文仿宋"/>
          <w:b/>
          <w:bCs/>
          <w:color w:val="auto"/>
          <w:sz w:val="24"/>
          <w:szCs w:val="28"/>
          <w:highlight w:val="none"/>
        </w:rPr>
      </w:pPr>
      <w:r>
        <w:rPr>
          <w:rFonts w:hint="eastAsia" w:ascii="华文仿宋" w:hAnsi="华文仿宋" w:eastAsia="华文仿宋" w:cs="华文仿宋"/>
          <w:b/>
          <w:bCs/>
          <w:color w:val="auto"/>
          <w:sz w:val="24"/>
          <w:szCs w:val="28"/>
          <w:highlight w:val="none"/>
        </w:rPr>
        <w:br w:type="page"/>
      </w:r>
    </w:p>
    <w:p w14:paraId="68A4208E">
      <w:pPr>
        <w:spacing w:line="360" w:lineRule="auto"/>
        <w:jc w:val="center"/>
        <w:outlineLvl w:val="1"/>
        <w:rPr>
          <w:rFonts w:hint="eastAsia" w:ascii="华文仿宋" w:hAnsi="华文仿宋" w:eastAsia="华文仿宋" w:cs="华文仿宋"/>
          <w:b/>
          <w:color w:val="auto"/>
          <w:sz w:val="24"/>
          <w:highlight w:val="none"/>
        </w:rPr>
      </w:pPr>
      <w:bookmarkStart w:id="209" w:name="_Toc461056632"/>
      <w:bookmarkStart w:id="210" w:name="_Toc461053087"/>
      <w:bookmarkStart w:id="211" w:name="_Toc32436"/>
      <w:bookmarkStart w:id="212" w:name="_Toc520983588"/>
      <w:bookmarkStart w:id="213" w:name="_Toc28695"/>
      <w:r>
        <w:rPr>
          <w:rFonts w:hint="eastAsia" w:ascii="华文仿宋" w:hAnsi="华文仿宋" w:eastAsia="华文仿宋" w:cs="华文仿宋"/>
          <w:b/>
          <w:color w:val="auto"/>
          <w:sz w:val="24"/>
          <w:highlight w:val="none"/>
        </w:rPr>
        <w:t>二</w:t>
      </w:r>
      <w:bookmarkEnd w:id="209"/>
      <w:bookmarkEnd w:id="210"/>
      <w:r>
        <w:rPr>
          <w:rFonts w:hint="eastAsia" w:ascii="华文仿宋" w:hAnsi="华文仿宋" w:eastAsia="华文仿宋" w:cs="华文仿宋"/>
          <w:b/>
          <w:color w:val="auto"/>
          <w:sz w:val="24"/>
          <w:highlight w:val="none"/>
        </w:rPr>
        <w:t>、最后承诺报价表</w:t>
      </w:r>
      <w:bookmarkEnd w:id="211"/>
      <w:bookmarkEnd w:id="212"/>
      <w:bookmarkEnd w:id="213"/>
    </w:p>
    <w:p w14:paraId="7E649E58">
      <w:pPr>
        <w:spacing w:before="156" w:beforeLines="50" w:after="156" w:afterLines="50" w:line="360" w:lineRule="auto"/>
        <w:ind w:firstLine="236" w:firstLineChars="98"/>
        <w:jc w:val="center"/>
        <w:rPr>
          <w:rFonts w:hint="eastAsia" w:ascii="华文仿宋" w:hAnsi="华文仿宋" w:eastAsia="华文仿宋" w:cs="华文仿宋"/>
          <w:b/>
          <w:color w:val="auto"/>
          <w:sz w:val="24"/>
          <w:szCs w:val="28"/>
          <w:highlight w:val="none"/>
        </w:rPr>
      </w:pPr>
      <w:r>
        <w:rPr>
          <w:rFonts w:hint="eastAsia" w:ascii="华文仿宋" w:hAnsi="华文仿宋" w:eastAsia="华文仿宋" w:cs="华文仿宋"/>
          <w:b/>
          <w:color w:val="auto"/>
          <w:sz w:val="24"/>
          <w:szCs w:val="28"/>
          <w:highlight w:val="none"/>
        </w:rPr>
        <w:t>（第次报价书）</w:t>
      </w:r>
    </w:p>
    <w:p w14:paraId="195FD5AE">
      <w:pPr>
        <w:snapToGrid w:val="0"/>
        <w:spacing w:line="360" w:lineRule="auto"/>
        <w:jc w:val="left"/>
        <w:rPr>
          <w:rFonts w:hint="eastAsia" w:ascii="华文仿宋" w:hAnsi="华文仿宋" w:eastAsia="华文仿宋" w:cs="华文仿宋"/>
          <w:b/>
          <w:color w:val="auto"/>
          <w:sz w:val="24"/>
          <w:szCs w:val="28"/>
          <w:highlight w:val="none"/>
          <w:lang w:eastAsia="zh-CN"/>
        </w:rPr>
      </w:pPr>
      <w:r>
        <w:rPr>
          <w:rFonts w:hint="eastAsia" w:ascii="华文仿宋" w:hAnsi="华文仿宋" w:eastAsia="华文仿宋" w:cs="华文仿宋"/>
          <w:b/>
          <w:color w:val="auto"/>
          <w:sz w:val="24"/>
          <w:szCs w:val="28"/>
          <w:highlight w:val="none"/>
        </w:rPr>
        <w:t>项目名称：</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547A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25345D11">
            <w:pPr>
              <w:spacing w:line="360" w:lineRule="auto"/>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供应商名称</w:t>
            </w:r>
          </w:p>
        </w:tc>
        <w:tc>
          <w:tcPr>
            <w:tcW w:w="3557" w:type="pct"/>
            <w:tcBorders>
              <w:left w:val="single" w:color="auto" w:sz="4" w:space="0"/>
            </w:tcBorders>
          </w:tcPr>
          <w:p w14:paraId="7D6166BF">
            <w:pPr>
              <w:spacing w:line="360" w:lineRule="auto"/>
              <w:rPr>
                <w:rFonts w:hint="eastAsia" w:ascii="华文仿宋" w:hAnsi="华文仿宋" w:eastAsia="华文仿宋" w:cs="华文仿宋"/>
                <w:b/>
                <w:color w:val="auto"/>
                <w:sz w:val="24"/>
                <w:highlight w:val="none"/>
              </w:rPr>
            </w:pPr>
          </w:p>
        </w:tc>
      </w:tr>
      <w:tr w14:paraId="0FD6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A9F6FFB">
            <w:pPr>
              <w:spacing w:line="360" w:lineRule="exact"/>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bCs/>
                <w:color w:val="auto"/>
                <w:sz w:val="24"/>
                <w:szCs w:val="28"/>
                <w:highlight w:val="none"/>
              </w:rPr>
              <w:t>磋商</w:t>
            </w:r>
            <w:r>
              <w:rPr>
                <w:rFonts w:hint="eastAsia" w:ascii="华文仿宋" w:hAnsi="华文仿宋" w:eastAsia="华文仿宋" w:cs="华文仿宋"/>
                <w:b/>
                <w:color w:val="auto"/>
                <w:sz w:val="24"/>
                <w:highlight w:val="none"/>
              </w:rPr>
              <w:t>范围</w:t>
            </w:r>
          </w:p>
        </w:tc>
        <w:tc>
          <w:tcPr>
            <w:tcW w:w="3557" w:type="pct"/>
            <w:tcBorders>
              <w:left w:val="single" w:color="auto" w:sz="4" w:space="0"/>
            </w:tcBorders>
            <w:vAlign w:val="center"/>
          </w:tcPr>
          <w:p w14:paraId="3FD963C8">
            <w:pPr>
              <w:widowControl/>
              <w:spacing w:line="360" w:lineRule="exact"/>
              <w:rPr>
                <w:rFonts w:hint="eastAsia" w:ascii="华文仿宋" w:hAnsi="华文仿宋" w:eastAsia="华文仿宋" w:cs="华文仿宋"/>
                <w:b/>
                <w:color w:val="auto"/>
                <w:sz w:val="24"/>
                <w:highlight w:val="none"/>
                <w:lang w:eastAsia="zh-CN"/>
              </w:rPr>
            </w:pPr>
            <w:r>
              <w:rPr>
                <w:rFonts w:hint="eastAsia" w:ascii="华文仿宋" w:hAnsi="华文仿宋" w:eastAsia="华文仿宋" w:cs="华文仿宋"/>
                <w:color w:val="auto"/>
                <w:sz w:val="24"/>
                <w:szCs w:val="28"/>
                <w:highlight w:val="none"/>
              </w:rPr>
              <w:t>全部/</w:t>
            </w:r>
          </w:p>
        </w:tc>
      </w:tr>
      <w:tr w14:paraId="3045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273E375">
            <w:pPr>
              <w:spacing w:line="360" w:lineRule="auto"/>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bCs/>
                <w:color w:val="auto"/>
                <w:sz w:val="24"/>
                <w:szCs w:val="28"/>
                <w:highlight w:val="none"/>
              </w:rPr>
              <w:t>最后报价</w:t>
            </w:r>
          </w:p>
          <w:p w14:paraId="0374BC0E">
            <w:pPr>
              <w:spacing w:line="360" w:lineRule="auto"/>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（详见备注说明）</w:t>
            </w:r>
          </w:p>
        </w:tc>
        <w:tc>
          <w:tcPr>
            <w:tcW w:w="3557" w:type="pct"/>
            <w:vAlign w:val="center"/>
          </w:tcPr>
          <w:p w14:paraId="6A57BBC0">
            <w:pPr>
              <w:snapToGrid w:val="0"/>
              <w:spacing w:line="360" w:lineRule="auto"/>
              <w:rPr>
                <w:rFonts w:hint="eastAsia" w:ascii="华文仿宋" w:hAnsi="华文仿宋" w:eastAsia="华文仿宋" w:cs="华文仿宋"/>
                <w:color w:val="auto"/>
                <w:sz w:val="24"/>
                <w:szCs w:val="28"/>
                <w:highlight w:val="none"/>
              </w:rPr>
            </w:pPr>
          </w:p>
          <w:p w14:paraId="48D29B02">
            <w:pPr>
              <w:snapToGrid w:val="0"/>
              <w:spacing w:line="360" w:lineRule="auto"/>
              <w:jc w:val="left"/>
              <w:rPr>
                <w:rFonts w:hint="eastAsia" w:ascii="华文仿宋" w:hAnsi="华文仿宋" w:eastAsia="华文仿宋" w:cs="华文仿宋"/>
                <w:bCs/>
                <w:color w:val="auto"/>
                <w:sz w:val="24"/>
                <w:szCs w:val="24"/>
                <w:highlight w:val="none"/>
                <w:u w:val="single"/>
                <w:lang w:val="en-US" w:eastAsia="zh-CN"/>
              </w:rPr>
            </w:pPr>
            <w:r>
              <w:rPr>
                <w:rFonts w:hint="eastAsia" w:ascii="华文仿宋" w:hAnsi="华文仿宋" w:eastAsia="华文仿宋" w:cs="华文仿宋"/>
                <w:bCs/>
                <w:color w:val="auto"/>
                <w:sz w:val="24"/>
                <w:szCs w:val="24"/>
                <w:highlight w:val="none"/>
              </w:rPr>
              <w:t>人民币大写：</w:t>
            </w:r>
            <w:r>
              <w:rPr>
                <w:rFonts w:hint="eastAsia" w:ascii="华文仿宋" w:hAnsi="华文仿宋" w:eastAsia="华文仿宋" w:cs="华文仿宋"/>
                <w:bCs/>
                <w:color w:val="auto"/>
                <w:sz w:val="24"/>
                <w:szCs w:val="24"/>
                <w:highlight w:val="none"/>
                <w:u w:val="single"/>
                <w:lang w:val="en-US" w:eastAsia="zh-CN"/>
              </w:rPr>
              <w:t xml:space="preserve">每年     </w:t>
            </w:r>
          </w:p>
          <w:p w14:paraId="45A1A035">
            <w:pPr>
              <w:spacing w:line="360" w:lineRule="auto"/>
              <w:ind w:right="-670"/>
              <w:rPr>
                <w:rFonts w:hint="eastAsia" w:ascii="华文仿宋" w:hAnsi="华文仿宋" w:eastAsia="华文仿宋" w:cs="华文仿宋"/>
                <w:b/>
                <w:color w:val="auto"/>
                <w:sz w:val="24"/>
                <w:highlight w:val="none"/>
                <w:lang w:eastAsia="zh-CN"/>
              </w:rPr>
            </w:pPr>
            <w:r>
              <w:rPr>
                <w:rFonts w:hint="eastAsia" w:ascii="华文仿宋" w:hAnsi="华文仿宋" w:eastAsia="华文仿宋" w:cs="华文仿宋"/>
                <w:bCs/>
                <w:color w:val="auto"/>
                <w:sz w:val="24"/>
                <w:szCs w:val="24"/>
                <w:highlight w:val="none"/>
              </w:rPr>
              <w:t>人民币小写：</w:t>
            </w:r>
            <w:r>
              <w:rPr>
                <w:rFonts w:hint="eastAsia" w:ascii="华文仿宋" w:hAnsi="华文仿宋" w:eastAsia="华文仿宋" w:cs="华文仿宋"/>
                <w:bCs/>
                <w:color w:val="auto"/>
                <w:sz w:val="24"/>
                <w:szCs w:val="24"/>
                <w:highlight w:val="none"/>
                <w:u w:val="single"/>
                <w:lang w:val="en-US" w:eastAsia="zh-CN"/>
              </w:rPr>
              <w:t xml:space="preserve">      /年</w:t>
            </w:r>
          </w:p>
        </w:tc>
      </w:tr>
      <w:tr w14:paraId="0BF4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443" w:type="pct"/>
            <w:vAlign w:val="center"/>
          </w:tcPr>
          <w:p w14:paraId="186225C5">
            <w:pPr>
              <w:spacing w:line="360" w:lineRule="auto"/>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备注说明</w:t>
            </w:r>
          </w:p>
        </w:tc>
        <w:tc>
          <w:tcPr>
            <w:tcW w:w="3557" w:type="pct"/>
          </w:tcPr>
          <w:p w14:paraId="54E98CD2">
            <w:pPr>
              <w:spacing w:line="360" w:lineRule="auto"/>
              <w:rPr>
                <w:rFonts w:hint="eastAsia" w:ascii="华文仿宋" w:hAnsi="华文仿宋" w:eastAsia="华文仿宋" w:cs="华文仿宋"/>
                <w:b/>
                <w:color w:val="auto"/>
                <w:sz w:val="24"/>
                <w:highlight w:val="none"/>
              </w:rPr>
            </w:pPr>
            <w:r>
              <w:rPr>
                <w:rFonts w:hint="eastAsia" w:ascii="华文仿宋" w:hAnsi="华文仿宋" w:eastAsia="华文仿宋" w:cs="华文仿宋"/>
                <w:b/>
                <w:i/>
                <w:color w:val="auto"/>
                <w:sz w:val="24"/>
                <w:highlight w:val="none"/>
              </w:rPr>
              <w:t>（此处可补充磋商小组根据与供应商磋商情况变动的磋商文件的内容，包括采购需求中的技术、服务要求以及合同草案条款。）</w:t>
            </w:r>
          </w:p>
        </w:tc>
      </w:tr>
      <w:tr w14:paraId="6F14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443" w:type="pct"/>
            <w:vAlign w:val="center"/>
          </w:tcPr>
          <w:p w14:paraId="2E73F92B">
            <w:pPr>
              <w:spacing w:line="360" w:lineRule="auto"/>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bCs/>
                <w:color w:val="auto"/>
                <w:sz w:val="24"/>
                <w:szCs w:val="28"/>
                <w:highlight w:val="none"/>
              </w:rPr>
              <w:t>磋商小组签字</w:t>
            </w:r>
          </w:p>
        </w:tc>
        <w:tc>
          <w:tcPr>
            <w:tcW w:w="3557" w:type="pct"/>
          </w:tcPr>
          <w:p w14:paraId="36F01A83">
            <w:pPr>
              <w:spacing w:line="360" w:lineRule="auto"/>
              <w:rPr>
                <w:rFonts w:hint="eastAsia" w:ascii="华文仿宋" w:hAnsi="华文仿宋" w:eastAsia="华文仿宋" w:cs="华文仿宋"/>
                <w:b/>
                <w:color w:val="auto"/>
                <w:sz w:val="24"/>
                <w:highlight w:val="none"/>
              </w:rPr>
            </w:pPr>
          </w:p>
        </w:tc>
      </w:tr>
    </w:tbl>
    <w:p w14:paraId="5E31BF6B">
      <w:pPr>
        <w:spacing w:line="360" w:lineRule="auto"/>
        <w:ind w:firstLine="3600" w:firstLineChars="1500"/>
        <w:jc w:val="left"/>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rPr>
        <w:t>供应商公章或授权代表签字：</w:t>
      </w:r>
    </w:p>
    <w:p w14:paraId="2E3C5689">
      <w:pPr>
        <w:spacing w:line="360" w:lineRule="auto"/>
        <w:ind w:firstLine="4800" w:firstLineChars="2000"/>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rPr>
        <w:t>日期：</w:t>
      </w:r>
    </w:p>
    <w:p w14:paraId="70415931">
      <w:pPr>
        <w:spacing w:line="360" w:lineRule="auto"/>
        <w:jc w:val="left"/>
        <w:rPr>
          <w:rFonts w:hint="eastAsia" w:ascii="华文仿宋" w:hAnsi="华文仿宋" w:eastAsia="华文仿宋" w:cs="华文仿宋"/>
          <w:b/>
          <w:bCs/>
          <w:color w:val="auto"/>
          <w:sz w:val="24"/>
          <w:highlight w:val="none"/>
        </w:rPr>
      </w:pPr>
      <w:r>
        <w:rPr>
          <w:rFonts w:hint="eastAsia" w:ascii="华文仿宋" w:hAnsi="华文仿宋" w:eastAsia="华文仿宋" w:cs="华文仿宋"/>
          <w:b/>
          <w:bCs/>
          <w:color w:val="auto"/>
          <w:sz w:val="24"/>
          <w:highlight w:val="none"/>
        </w:rPr>
        <w:t>注：</w:t>
      </w:r>
    </w:p>
    <w:p w14:paraId="0C6A350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华文仿宋" w:hAnsi="华文仿宋" w:eastAsia="华文仿宋" w:cs="华文仿宋"/>
          <w:bCs/>
          <w:color w:val="auto"/>
          <w:sz w:val="24"/>
          <w:highlight w:val="none"/>
        </w:rPr>
      </w:pPr>
      <w:r>
        <w:rPr>
          <w:rFonts w:hint="eastAsia" w:ascii="华文仿宋" w:hAnsi="华文仿宋" w:eastAsia="华文仿宋" w:cs="华文仿宋"/>
          <w:b/>
          <w:bCs/>
          <w:color w:val="auto"/>
          <w:sz w:val="24"/>
          <w:highlight w:val="none"/>
          <w:lang w:val="en-US" w:eastAsia="zh-CN"/>
        </w:rPr>
        <w:t>1.</w:t>
      </w:r>
      <w:r>
        <w:rPr>
          <w:rFonts w:hint="eastAsia" w:ascii="华文仿宋" w:hAnsi="华文仿宋" w:eastAsia="华文仿宋" w:cs="华文仿宋"/>
          <w:b/>
          <w:bCs/>
          <w:color w:val="auto"/>
          <w:sz w:val="24"/>
          <w:highlight w:val="none"/>
        </w:rPr>
        <w:t>本页《报价表》由供应商在接到报价通知后依据磋商情况填写,并在规定时间内提交。</w:t>
      </w:r>
      <w:r>
        <w:rPr>
          <w:rFonts w:hint="eastAsia" w:ascii="华文仿宋" w:hAnsi="华文仿宋" w:eastAsia="华文仿宋" w:cs="华文仿宋"/>
          <w:color w:val="auto"/>
          <w:sz w:val="24"/>
          <w:highlight w:val="none"/>
        </w:rPr>
        <w:t>考虑磋商报价的方便，供应商在填写最后承诺报价后，（第一次报价-最后承诺报价）除以第一次报价后得出的优惠率视同为需求表中全部分项设备、工程量或服务的优惠浮动值（特定分项优惠除外），而不考虑措施项目清单和规费税金清单的金额改变。</w:t>
      </w:r>
      <w:r>
        <w:rPr>
          <w:rFonts w:hint="eastAsia" w:ascii="华文仿宋" w:hAnsi="华文仿宋" w:eastAsia="华文仿宋" w:cs="华文仿宋"/>
          <w:bCs/>
          <w:color w:val="auto"/>
          <w:sz w:val="24"/>
          <w:highlight w:val="none"/>
        </w:rPr>
        <w:t>此优惠率调整原则适用于合同内价格的计算及项目增减、变更时价格的计算。</w:t>
      </w:r>
    </w:p>
    <w:p w14:paraId="55C885D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华文仿宋" w:hAnsi="华文仿宋" w:eastAsia="华文仿宋" w:cs="华文仿宋"/>
          <w:bCs/>
          <w:color w:val="auto"/>
          <w:sz w:val="24"/>
          <w:highlight w:val="none"/>
        </w:rPr>
      </w:pPr>
      <w:r>
        <w:rPr>
          <w:rFonts w:hint="eastAsia" w:ascii="华文仿宋" w:hAnsi="华文仿宋" w:eastAsia="华文仿宋" w:cs="华文仿宋"/>
          <w:b/>
          <w:bCs/>
          <w:color w:val="auto"/>
          <w:sz w:val="24"/>
          <w:szCs w:val="28"/>
          <w:highlight w:val="none"/>
          <w:lang w:val="en-US" w:eastAsia="zh-CN"/>
        </w:rPr>
        <w:t>2</w:t>
      </w:r>
      <w:r>
        <w:rPr>
          <w:rFonts w:hint="eastAsia" w:ascii="华文仿宋" w:hAnsi="华文仿宋" w:eastAsia="华文仿宋" w:cs="华文仿宋"/>
          <w:b/>
          <w:bCs/>
          <w:color w:val="auto"/>
          <w:sz w:val="24"/>
          <w:szCs w:val="28"/>
          <w:highlight w:val="none"/>
        </w:rPr>
        <w:t>.表中大写金额与小写金额不一致的，以大写金额为准。</w:t>
      </w:r>
    </w:p>
    <w:p w14:paraId="74523BB0">
      <w:pPr>
        <w:widowControl/>
        <w:jc w:val="left"/>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br w:type="page"/>
      </w:r>
    </w:p>
    <w:p w14:paraId="166BBDFA">
      <w:pPr>
        <w:spacing w:line="360" w:lineRule="auto"/>
        <w:jc w:val="center"/>
        <w:outlineLvl w:val="1"/>
        <w:rPr>
          <w:rFonts w:hint="eastAsia" w:ascii="华文仿宋" w:hAnsi="华文仿宋" w:eastAsia="华文仿宋" w:cs="华文仿宋"/>
          <w:b/>
          <w:color w:val="auto"/>
          <w:sz w:val="24"/>
          <w:highlight w:val="none"/>
        </w:rPr>
      </w:pPr>
      <w:bookmarkStart w:id="214" w:name="_Toc520983591"/>
      <w:bookmarkStart w:id="215" w:name="_Toc11500"/>
      <w:bookmarkStart w:id="216" w:name="_Toc32385"/>
      <w:r>
        <w:rPr>
          <w:rFonts w:hint="eastAsia" w:ascii="华文仿宋" w:hAnsi="华文仿宋" w:eastAsia="华文仿宋" w:cs="华文仿宋"/>
          <w:b/>
          <w:color w:val="auto"/>
          <w:sz w:val="24"/>
          <w:highlight w:val="none"/>
        </w:rPr>
        <w:t>三、磋商响应函</w:t>
      </w:r>
      <w:bookmarkEnd w:id="214"/>
      <w:bookmarkEnd w:id="215"/>
      <w:bookmarkEnd w:id="216"/>
    </w:p>
    <w:p w14:paraId="5FCDD945">
      <w:pPr>
        <w:pStyle w:val="12"/>
        <w:spacing w:line="360" w:lineRule="auto"/>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rPr>
        <w:t>致：</w:t>
      </w:r>
      <w:r>
        <w:rPr>
          <w:rFonts w:hint="eastAsia" w:ascii="华文仿宋" w:hAnsi="华文仿宋" w:eastAsia="华文仿宋" w:cs="华文仿宋"/>
          <w:color w:val="auto"/>
          <w:sz w:val="24"/>
          <w:highlight w:val="none"/>
          <w:lang w:val="en-US" w:eastAsia="zh-CN"/>
        </w:rPr>
        <w:t>采购人</w:t>
      </w:r>
    </w:p>
    <w:p w14:paraId="5ADEBF28">
      <w:pPr>
        <w:spacing w:line="360" w:lineRule="auto"/>
        <w:ind w:firstLine="480" w:firstLineChars="200"/>
        <w:rPr>
          <w:rFonts w:hint="eastAsia" w:ascii="华文仿宋" w:hAnsi="华文仿宋" w:eastAsia="华文仿宋" w:cs="华文仿宋"/>
          <w:dstrike/>
          <w:color w:val="auto"/>
          <w:sz w:val="24"/>
          <w:highlight w:val="none"/>
        </w:rPr>
      </w:pPr>
      <w:r>
        <w:rPr>
          <w:rFonts w:hint="eastAsia" w:ascii="华文仿宋" w:hAnsi="华文仿宋" w:eastAsia="华文仿宋" w:cs="华文仿宋"/>
          <w:color w:val="auto"/>
          <w:sz w:val="24"/>
          <w:highlight w:val="none"/>
        </w:rPr>
        <w:t>根据贵方的</w:t>
      </w:r>
      <w:bookmarkStart w:id="217" w:name="_Hlk44287543"/>
      <w:r>
        <w:rPr>
          <w:rFonts w:hint="eastAsia" w:ascii="华文仿宋" w:hAnsi="华文仿宋" w:eastAsia="华文仿宋" w:cs="华文仿宋"/>
          <w:color w:val="auto"/>
          <w:sz w:val="24"/>
          <w:highlight w:val="none"/>
        </w:rPr>
        <w:t>竞争性磋商公告和磋商邀请</w:t>
      </w:r>
      <w:bookmarkEnd w:id="217"/>
      <w:r>
        <w:rPr>
          <w:rFonts w:hint="eastAsia" w:ascii="华文仿宋" w:hAnsi="华文仿宋" w:eastAsia="华文仿宋" w:cs="华文仿宋"/>
          <w:color w:val="auto"/>
          <w:sz w:val="24"/>
          <w:highlight w:val="none"/>
        </w:rPr>
        <w:t>，我方兹宣布同意如下：</w:t>
      </w:r>
    </w:p>
    <w:p w14:paraId="382E6968">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1</w:t>
      </w:r>
      <w:r>
        <w:rPr>
          <w:rFonts w:hint="eastAsia" w:ascii="华文仿宋" w:hAnsi="华文仿宋" w:eastAsia="华文仿宋" w:cs="华文仿宋"/>
          <w:color w:val="auto"/>
          <w:sz w:val="24"/>
          <w:highlight w:val="none"/>
        </w:rPr>
        <w:t>.</w:t>
      </w:r>
      <w:r>
        <w:rPr>
          <w:rFonts w:hint="eastAsia" w:ascii="华文仿宋" w:hAnsi="华文仿宋" w:eastAsia="华文仿宋" w:cs="华文仿宋"/>
          <w:color w:val="auto"/>
          <w:sz w:val="24"/>
          <w:szCs w:val="24"/>
          <w:highlight w:val="none"/>
        </w:rPr>
        <w:t>我方根据</w:t>
      </w:r>
      <w:r>
        <w:rPr>
          <w:rFonts w:hint="eastAsia" w:ascii="华文仿宋" w:hAnsi="华文仿宋" w:eastAsia="华文仿宋" w:cs="华文仿宋"/>
          <w:color w:val="auto"/>
          <w:sz w:val="24"/>
          <w:szCs w:val="24"/>
          <w:highlight w:val="none"/>
          <w:lang w:val="en-US" w:eastAsia="zh-CN"/>
        </w:rPr>
        <w:t>磋商</w:t>
      </w:r>
      <w:r>
        <w:rPr>
          <w:rFonts w:hint="eastAsia" w:ascii="华文仿宋" w:hAnsi="华文仿宋" w:eastAsia="华文仿宋" w:cs="华文仿宋"/>
          <w:color w:val="auto"/>
          <w:sz w:val="24"/>
          <w:szCs w:val="24"/>
          <w:highlight w:val="none"/>
        </w:rPr>
        <w:t>文件的规定，严格履行合同的责任和义务,并保证于买方要求的日期内完成，并通过买方验收。</w:t>
      </w:r>
    </w:p>
    <w:p w14:paraId="096EDAFC">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2</w:t>
      </w:r>
      <w:r>
        <w:rPr>
          <w:rFonts w:hint="eastAsia" w:ascii="华文仿宋" w:hAnsi="华文仿宋" w:eastAsia="华文仿宋" w:cs="华文仿宋"/>
          <w:color w:val="auto"/>
          <w:sz w:val="24"/>
          <w:highlight w:val="none"/>
        </w:rPr>
        <w:t>.我方已详细审核全部</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文件，包括</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w:t>
      </w:r>
      <w:r>
        <w:rPr>
          <w:rFonts w:hint="eastAsia" w:ascii="华文仿宋" w:hAnsi="华文仿宋" w:eastAsia="华文仿宋" w:cs="华文仿宋"/>
          <w:color w:val="auto"/>
          <w:sz w:val="24"/>
          <w:highlight w:val="none"/>
          <w:lang w:val="en-US" w:eastAsia="zh-CN"/>
        </w:rPr>
        <w:t>附件及更正公告</w:t>
      </w:r>
      <w:r>
        <w:rPr>
          <w:rFonts w:hint="eastAsia" w:ascii="华文仿宋" w:hAnsi="华文仿宋" w:eastAsia="华文仿宋" w:cs="华文仿宋"/>
          <w:color w:val="auto"/>
          <w:sz w:val="24"/>
          <w:highlight w:val="none"/>
        </w:rPr>
        <w:t>（如有）</w:t>
      </w:r>
      <w:r>
        <w:rPr>
          <w:rFonts w:hint="eastAsia" w:ascii="华文仿宋" w:hAnsi="华文仿宋" w:eastAsia="华文仿宋" w:cs="华文仿宋"/>
          <w:color w:val="auto"/>
          <w:sz w:val="24"/>
          <w:highlight w:val="none"/>
          <w:lang w:eastAsia="zh-CN"/>
        </w:rPr>
        <w:t>，</w:t>
      </w:r>
      <w:r>
        <w:rPr>
          <w:rFonts w:hint="eastAsia" w:ascii="华文仿宋" w:hAnsi="华文仿宋" w:eastAsia="华文仿宋" w:cs="华文仿宋"/>
          <w:color w:val="auto"/>
          <w:sz w:val="24"/>
          <w:highlight w:val="none"/>
        </w:rPr>
        <w:t>我方正式认可并遵守本次</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文件，并对</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文件各项条款、规定及要求均无异议。</w:t>
      </w:r>
    </w:p>
    <w:p w14:paraId="7261F954">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3</w:t>
      </w:r>
      <w:r>
        <w:rPr>
          <w:rFonts w:hint="eastAsia" w:ascii="华文仿宋" w:hAnsi="华文仿宋" w:eastAsia="华文仿宋" w:cs="华文仿宋"/>
          <w:color w:val="auto"/>
          <w:sz w:val="24"/>
          <w:highlight w:val="none"/>
        </w:rPr>
        <w:t>.我方同意从</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文件规定的</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日期起遵循本</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文件，并在</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文件规定的</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有效期之前均具有约束力。</w:t>
      </w:r>
    </w:p>
    <w:p w14:paraId="72F6565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lang w:val="en-US" w:eastAsia="zh-CN"/>
        </w:rPr>
        <w:t>4</w:t>
      </w:r>
      <w:r>
        <w:rPr>
          <w:rFonts w:hint="eastAsia" w:ascii="华文仿宋" w:hAnsi="华文仿宋" w:eastAsia="华文仿宋" w:cs="华文仿宋"/>
          <w:color w:val="auto"/>
          <w:sz w:val="24"/>
          <w:highlight w:val="none"/>
        </w:rPr>
        <w:t>.我方声明</w:t>
      </w:r>
      <w:r>
        <w:rPr>
          <w:rFonts w:hint="eastAsia" w:ascii="华文仿宋" w:hAnsi="华文仿宋" w:eastAsia="华文仿宋" w:cs="华文仿宋"/>
          <w:color w:val="auto"/>
          <w:sz w:val="24"/>
          <w:highlight w:val="none"/>
          <w:lang w:val="en-US" w:eastAsia="zh-CN"/>
        </w:rPr>
        <w:t>响应</w:t>
      </w:r>
      <w:r>
        <w:rPr>
          <w:rFonts w:hint="eastAsia" w:ascii="华文仿宋" w:hAnsi="华文仿宋" w:eastAsia="华文仿宋" w:cs="华文仿宋"/>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华文仿宋" w:hAnsi="华文仿宋" w:eastAsia="华文仿宋" w:cs="华文仿宋"/>
          <w:color w:val="auto"/>
          <w:sz w:val="24"/>
          <w:highlight w:val="none"/>
          <w:lang w:val="en-US" w:eastAsia="zh-CN"/>
        </w:rPr>
        <w:t>磋商</w:t>
      </w:r>
      <w:r>
        <w:rPr>
          <w:rFonts w:hint="eastAsia" w:ascii="华文仿宋" w:hAnsi="华文仿宋" w:eastAsia="华文仿宋" w:cs="华文仿宋"/>
          <w:color w:val="auto"/>
          <w:sz w:val="24"/>
          <w:highlight w:val="none"/>
        </w:rPr>
        <w:t>有关的任何证据、数据或资料。</w:t>
      </w:r>
    </w:p>
    <w:p w14:paraId="5F0FC154">
      <w:pPr>
        <w:spacing w:line="360" w:lineRule="auto"/>
        <w:ind w:firstLine="480" w:firstLineChars="200"/>
        <w:rPr>
          <w:rFonts w:hint="eastAsia" w:ascii="华文仿宋" w:hAnsi="华文仿宋" w:eastAsia="华文仿宋" w:cs="华文仿宋"/>
          <w:color w:val="auto"/>
          <w:sz w:val="24"/>
          <w:highlight w:val="none"/>
        </w:rPr>
      </w:pPr>
    </w:p>
    <w:p w14:paraId="5F4F6F74">
      <w:pPr>
        <w:spacing w:line="360" w:lineRule="auto"/>
        <w:ind w:firstLine="4800" w:firstLineChars="2000"/>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rPr>
        <w:t>供应商</w:t>
      </w:r>
      <w:r>
        <w:rPr>
          <w:rFonts w:hint="eastAsia" w:ascii="华文仿宋" w:hAnsi="华文仿宋" w:eastAsia="华文仿宋" w:cs="华文仿宋"/>
          <w:color w:val="auto"/>
          <w:sz w:val="24"/>
          <w:highlight w:val="none"/>
          <w:lang w:eastAsia="zh-CN"/>
        </w:rPr>
        <w:t>盖章</w:t>
      </w:r>
      <w:r>
        <w:rPr>
          <w:rFonts w:hint="eastAsia" w:ascii="华文仿宋" w:hAnsi="华文仿宋" w:eastAsia="华文仿宋" w:cs="华文仿宋"/>
          <w:color w:val="auto"/>
          <w:sz w:val="24"/>
          <w:highlight w:val="none"/>
        </w:rPr>
        <w:t>：</w:t>
      </w:r>
    </w:p>
    <w:p w14:paraId="37D08BAA">
      <w:pPr>
        <w:spacing w:line="360" w:lineRule="auto"/>
        <w:ind w:firstLine="4800" w:firstLineChars="2000"/>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rPr>
        <w:t>日期：</w:t>
      </w:r>
    </w:p>
    <w:p w14:paraId="036A6F00">
      <w:pPr>
        <w:widowControl/>
        <w:jc w:val="left"/>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br w:type="page"/>
      </w:r>
    </w:p>
    <w:p w14:paraId="1F2AB499">
      <w:pPr>
        <w:spacing w:line="360" w:lineRule="auto"/>
        <w:jc w:val="center"/>
        <w:outlineLvl w:val="1"/>
        <w:rPr>
          <w:rFonts w:hint="eastAsia" w:ascii="华文仿宋" w:hAnsi="华文仿宋" w:eastAsia="华文仿宋" w:cs="华文仿宋"/>
          <w:b/>
          <w:color w:val="auto"/>
          <w:sz w:val="24"/>
          <w:highlight w:val="none"/>
          <w:lang w:val="en-US" w:eastAsia="zh-CN"/>
        </w:rPr>
      </w:pPr>
      <w:bookmarkStart w:id="218" w:name="_Toc21328"/>
      <w:r>
        <w:rPr>
          <w:rFonts w:hint="eastAsia" w:ascii="华文仿宋" w:hAnsi="华文仿宋" w:eastAsia="华文仿宋" w:cs="华文仿宋"/>
          <w:b/>
          <w:color w:val="auto"/>
          <w:sz w:val="24"/>
          <w:highlight w:val="none"/>
          <w:lang w:val="en-US" w:eastAsia="zh-CN"/>
        </w:rPr>
        <w:t>四、供应商资格声明书</w:t>
      </w:r>
      <w:bookmarkEnd w:id="218"/>
    </w:p>
    <w:p w14:paraId="1EA6E051">
      <w:pPr>
        <w:pStyle w:val="12"/>
        <w:spacing w:line="360" w:lineRule="auto"/>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highlight w:val="none"/>
        </w:rPr>
        <w:t>致：</w:t>
      </w:r>
      <w:r>
        <w:rPr>
          <w:rFonts w:hint="eastAsia" w:ascii="华文仿宋" w:hAnsi="华文仿宋" w:eastAsia="华文仿宋" w:cs="华文仿宋"/>
          <w:color w:val="auto"/>
          <w:sz w:val="24"/>
          <w:highlight w:val="none"/>
          <w:u w:val="none"/>
          <w:lang w:val="en-US" w:eastAsia="zh-CN"/>
        </w:rPr>
        <w:t>采购人</w:t>
      </w:r>
    </w:p>
    <w:p w14:paraId="64C40B8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kern w:val="0"/>
          <w:sz w:val="24"/>
          <w:szCs w:val="24"/>
          <w:highlight w:val="none"/>
          <w:lang w:val="en-US" w:eastAsia="zh-CN" w:bidi="ar"/>
        </w:rPr>
        <w:t>在参与本次项目磋商中，我单位承诺：</w:t>
      </w:r>
    </w:p>
    <w:p w14:paraId="7F93854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kern w:val="0"/>
          <w:sz w:val="24"/>
          <w:szCs w:val="24"/>
          <w:highlight w:val="none"/>
          <w:lang w:val="en-US" w:eastAsia="zh-CN" w:bidi="ar"/>
        </w:rPr>
        <w:t>（一）具有良好的商业信誉和健全的财务会计制度；</w:t>
      </w:r>
    </w:p>
    <w:p w14:paraId="05359DE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kern w:val="0"/>
          <w:sz w:val="24"/>
          <w:szCs w:val="24"/>
          <w:highlight w:val="none"/>
          <w:lang w:val="en-US" w:eastAsia="zh-CN" w:bidi="ar"/>
        </w:rPr>
        <w:t>（二）具有履行合同所必需的设备和专业技术能力；</w:t>
      </w:r>
    </w:p>
    <w:p w14:paraId="15B01F3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kern w:val="0"/>
          <w:sz w:val="24"/>
          <w:szCs w:val="24"/>
          <w:highlight w:val="none"/>
          <w:lang w:val="en-US" w:eastAsia="zh-CN" w:bidi="ar"/>
        </w:rPr>
        <w:t>（三）有依法缴纳税收和社会保障资金的良好记录；</w:t>
      </w:r>
    </w:p>
    <w:p w14:paraId="7B9014E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F03343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78A8D5B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color w:val="auto"/>
          <w:kern w:val="0"/>
          <w:sz w:val="24"/>
          <w:szCs w:val="24"/>
          <w:highlight w:val="none"/>
          <w:lang w:val="en-US" w:eastAsia="zh-CN" w:bidi="ar"/>
        </w:rPr>
      </w:pPr>
      <w:r>
        <w:rPr>
          <w:rFonts w:hint="eastAsia" w:ascii="华文仿宋" w:hAnsi="华文仿宋" w:eastAsia="华文仿宋" w:cs="华文仿宋"/>
          <w:color w:val="auto"/>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1"/>
        <w:gridCol w:w="4191"/>
        <w:gridCol w:w="2510"/>
      </w:tblGrid>
      <w:tr w14:paraId="0330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19CF51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华文仿宋" w:hAnsi="华文仿宋" w:eastAsia="华文仿宋" w:cs="华文仿宋"/>
                <w:color w:val="auto"/>
                <w:kern w:val="0"/>
                <w:sz w:val="24"/>
                <w:szCs w:val="24"/>
                <w:highlight w:val="none"/>
                <w:vertAlign w:val="baseline"/>
                <w:lang w:val="en-US" w:eastAsia="zh-CN" w:bidi="ar"/>
              </w:rPr>
            </w:pPr>
            <w:r>
              <w:rPr>
                <w:rFonts w:hint="eastAsia" w:ascii="华文仿宋" w:hAnsi="华文仿宋" w:eastAsia="华文仿宋" w:cs="华文仿宋"/>
                <w:color w:val="auto"/>
                <w:kern w:val="0"/>
                <w:sz w:val="24"/>
                <w:szCs w:val="24"/>
                <w:highlight w:val="none"/>
                <w:lang w:val="en-US" w:eastAsia="zh-CN" w:bidi="ar"/>
              </w:rPr>
              <w:t>序号</w:t>
            </w:r>
          </w:p>
        </w:tc>
        <w:tc>
          <w:tcPr>
            <w:tcW w:w="4501" w:type="dxa"/>
          </w:tcPr>
          <w:p w14:paraId="5DDA946A">
            <w:pPr>
              <w:pStyle w:val="9"/>
              <w:jc w:val="center"/>
              <w:rPr>
                <w:rFonts w:hint="eastAsia" w:ascii="华文仿宋" w:hAnsi="华文仿宋" w:eastAsia="华文仿宋" w:cs="华文仿宋"/>
                <w:color w:val="auto"/>
                <w:kern w:val="0"/>
                <w:sz w:val="24"/>
                <w:szCs w:val="24"/>
                <w:highlight w:val="none"/>
                <w:vertAlign w:val="baseline"/>
                <w:lang w:val="en-US" w:eastAsia="zh-CN" w:bidi="ar"/>
              </w:rPr>
            </w:pPr>
            <w:r>
              <w:rPr>
                <w:rFonts w:hint="eastAsia" w:ascii="华文仿宋" w:hAnsi="华文仿宋" w:eastAsia="华文仿宋" w:cs="华文仿宋"/>
                <w:color w:val="auto"/>
                <w:kern w:val="0"/>
                <w:sz w:val="24"/>
                <w:szCs w:val="24"/>
                <w:highlight w:val="none"/>
                <w:lang w:val="en-US" w:eastAsia="zh-CN" w:bidi="ar"/>
              </w:rPr>
              <w:t>单位名称</w:t>
            </w:r>
          </w:p>
        </w:tc>
        <w:tc>
          <w:tcPr>
            <w:tcW w:w="2681" w:type="dxa"/>
          </w:tcPr>
          <w:p w14:paraId="28441586">
            <w:pPr>
              <w:pStyle w:val="9"/>
              <w:jc w:val="center"/>
              <w:rPr>
                <w:rFonts w:hint="eastAsia" w:ascii="华文仿宋" w:hAnsi="华文仿宋" w:eastAsia="华文仿宋" w:cs="华文仿宋"/>
                <w:color w:val="auto"/>
                <w:kern w:val="0"/>
                <w:sz w:val="24"/>
                <w:szCs w:val="24"/>
                <w:highlight w:val="none"/>
                <w:vertAlign w:val="baseline"/>
                <w:lang w:val="en-US" w:eastAsia="zh-CN" w:bidi="ar"/>
              </w:rPr>
            </w:pPr>
            <w:r>
              <w:rPr>
                <w:rFonts w:hint="eastAsia" w:ascii="华文仿宋" w:hAnsi="华文仿宋" w:eastAsia="华文仿宋" w:cs="华文仿宋"/>
                <w:color w:val="auto"/>
                <w:kern w:val="0"/>
                <w:sz w:val="24"/>
                <w:szCs w:val="24"/>
                <w:highlight w:val="none"/>
                <w:lang w:val="en-US" w:eastAsia="zh-CN" w:bidi="ar"/>
              </w:rPr>
              <w:t>相互关系</w:t>
            </w:r>
          </w:p>
        </w:tc>
      </w:tr>
      <w:tr w14:paraId="5FAF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73354442">
            <w:pPr>
              <w:pStyle w:val="9"/>
              <w:jc w:val="center"/>
              <w:rPr>
                <w:rFonts w:hint="eastAsia" w:ascii="华文仿宋" w:hAnsi="华文仿宋" w:eastAsia="华文仿宋" w:cs="华文仿宋"/>
                <w:color w:val="auto"/>
                <w:kern w:val="0"/>
                <w:sz w:val="24"/>
                <w:szCs w:val="24"/>
                <w:highlight w:val="none"/>
                <w:vertAlign w:val="baseline"/>
                <w:lang w:val="en-US" w:eastAsia="zh-CN" w:bidi="ar"/>
              </w:rPr>
            </w:pPr>
            <w:r>
              <w:rPr>
                <w:rFonts w:hint="eastAsia" w:ascii="华文仿宋" w:hAnsi="华文仿宋" w:eastAsia="华文仿宋" w:cs="华文仿宋"/>
                <w:color w:val="auto"/>
                <w:kern w:val="0"/>
                <w:sz w:val="24"/>
                <w:szCs w:val="24"/>
                <w:highlight w:val="none"/>
                <w:vertAlign w:val="baseline"/>
                <w:lang w:val="en-US" w:eastAsia="zh-CN" w:bidi="ar"/>
              </w:rPr>
              <w:t>1</w:t>
            </w:r>
          </w:p>
        </w:tc>
        <w:tc>
          <w:tcPr>
            <w:tcW w:w="4501" w:type="dxa"/>
          </w:tcPr>
          <w:p w14:paraId="28258176">
            <w:pPr>
              <w:pStyle w:val="9"/>
              <w:jc w:val="center"/>
              <w:rPr>
                <w:rFonts w:hint="eastAsia" w:ascii="华文仿宋" w:hAnsi="华文仿宋" w:eastAsia="华文仿宋" w:cs="华文仿宋"/>
                <w:color w:val="auto"/>
                <w:kern w:val="0"/>
                <w:sz w:val="24"/>
                <w:szCs w:val="24"/>
                <w:highlight w:val="none"/>
                <w:vertAlign w:val="baseline"/>
                <w:lang w:val="en-US" w:eastAsia="zh-CN" w:bidi="ar"/>
              </w:rPr>
            </w:pPr>
          </w:p>
        </w:tc>
        <w:tc>
          <w:tcPr>
            <w:tcW w:w="2681" w:type="dxa"/>
          </w:tcPr>
          <w:p w14:paraId="58E189A1">
            <w:pPr>
              <w:pStyle w:val="9"/>
              <w:jc w:val="center"/>
              <w:rPr>
                <w:rFonts w:hint="eastAsia" w:ascii="华文仿宋" w:hAnsi="华文仿宋" w:eastAsia="华文仿宋" w:cs="华文仿宋"/>
                <w:color w:val="auto"/>
                <w:kern w:val="0"/>
                <w:sz w:val="24"/>
                <w:szCs w:val="24"/>
                <w:highlight w:val="none"/>
                <w:vertAlign w:val="baseline"/>
                <w:lang w:val="en-US" w:eastAsia="zh-CN" w:bidi="ar"/>
              </w:rPr>
            </w:pPr>
          </w:p>
        </w:tc>
      </w:tr>
      <w:tr w14:paraId="5FFE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26B7F91A">
            <w:pPr>
              <w:pStyle w:val="9"/>
              <w:jc w:val="center"/>
              <w:rPr>
                <w:rFonts w:hint="eastAsia" w:ascii="华文仿宋" w:hAnsi="华文仿宋" w:eastAsia="华文仿宋" w:cs="华文仿宋"/>
                <w:color w:val="auto"/>
                <w:kern w:val="0"/>
                <w:sz w:val="24"/>
                <w:szCs w:val="24"/>
                <w:highlight w:val="none"/>
                <w:vertAlign w:val="baseline"/>
                <w:lang w:val="en-US" w:eastAsia="zh-CN" w:bidi="ar"/>
              </w:rPr>
            </w:pPr>
            <w:r>
              <w:rPr>
                <w:rFonts w:hint="eastAsia" w:ascii="华文仿宋" w:hAnsi="华文仿宋" w:eastAsia="华文仿宋" w:cs="华文仿宋"/>
                <w:color w:val="auto"/>
                <w:kern w:val="0"/>
                <w:sz w:val="24"/>
                <w:szCs w:val="24"/>
                <w:highlight w:val="none"/>
                <w:vertAlign w:val="baseline"/>
                <w:lang w:val="en-US" w:eastAsia="zh-CN" w:bidi="ar"/>
              </w:rPr>
              <w:t>2</w:t>
            </w:r>
          </w:p>
        </w:tc>
        <w:tc>
          <w:tcPr>
            <w:tcW w:w="4501" w:type="dxa"/>
          </w:tcPr>
          <w:p w14:paraId="4B81DBBB">
            <w:pPr>
              <w:pStyle w:val="9"/>
              <w:jc w:val="center"/>
              <w:rPr>
                <w:rFonts w:hint="eastAsia" w:ascii="华文仿宋" w:hAnsi="华文仿宋" w:eastAsia="华文仿宋" w:cs="华文仿宋"/>
                <w:color w:val="auto"/>
                <w:kern w:val="0"/>
                <w:sz w:val="24"/>
                <w:szCs w:val="24"/>
                <w:highlight w:val="none"/>
                <w:vertAlign w:val="baseline"/>
                <w:lang w:val="en-US" w:eastAsia="zh-CN" w:bidi="ar"/>
              </w:rPr>
            </w:pPr>
          </w:p>
        </w:tc>
        <w:tc>
          <w:tcPr>
            <w:tcW w:w="2681" w:type="dxa"/>
          </w:tcPr>
          <w:p w14:paraId="23C42DF3">
            <w:pPr>
              <w:pStyle w:val="9"/>
              <w:jc w:val="center"/>
              <w:rPr>
                <w:rFonts w:hint="eastAsia" w:ascii="华文仿宋" w:hAnsi="华文仿宋" w:eastAsia="华文仿宋" w:cs="华文仿宋"/>
                <w:color w:val="auto"/>
                <w:kern w:val="0"/>
                <w:sz w:val="24"/>
                <w:szCs w:val="24"/>
                <w:highlight w:val="none"/>
                <w:vertAlign w:val="baseline"/>
                <w:lang w:val="en-US" w:eastAsia="zh-CN" w:bidi="ar"/>
              </w:rPr>
            </w:pPr>
          </w:p>
        </w:tc>
      </w:tr>
    </w:tbl>
    <w:p w14:paraId="70F7D53E">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本单位对上述声明的真实性负责。如有虚假，将依法承担相应责任。</w:t>
      </w:r>
    </w:p>
    <w:p w14:paraId="19FCB014">
      <w:pPr>
        <w:spacing w:line="360" w:lineRule="auto"/>
        <w:ind w:firstLine="4800" w:firstLineChars="2000"/>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lang w:val="en-US" w:eastAsia="zh-CN"/>
        </w:rPr>
        <w:t>供应商</w:t>
      </w:r>
      <w:r>
        <w:rPr>
          <w:rFonts w:hint="eastAsia" w:ascii="华文仿宋" w:hAnsi="华文仿宋" w:eastAsia="华文仿宋" w:cs="华文仿宋"/>
          <w:color w:val="auto"/>
          <w:sz w:val="24"/>
          <w:highlight w:val="none"/>
          <w:lang w:eastAsia="zh-CN"/>
        </w:rPr>
        <w:t>盖章</w:t>
      </w:r>
      <w:r>
        <w:rPr>
          <w:rFonts w:hint="eastAsia" w:ascii="华文仿宋" w:hAnsi="华文仿宋" w:eastAsia="华文仿宋" w:cs="华文仿宋"/>
          <w:color w:val="auto"/>
          <w:sz w:val="24"/>
          <w:highlight w:val="none"/>
        </w:rPr>
        <w:t>：</w:t>
      </w:r>
    </w:p>
    <w:p w14:paraId="33A398CF">
      <w:pPr>
        <w:tabs>
          <w:tab w:val="left" w:pos="630"/>
        </w:tabs>
        <w:spacing w:line="360" w:lineRule="auto"/>
        <w:ind w:firstLine="4800" w:firstLineChars="2000"/>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rPr>
        <w:t>日期：</w:t>
      </w:r>
    </w:p>
    <w:p w14:paraId="0A978556">
      <w:pPr>
        <w:spacing w:line="440" w:lineRule="exact"/>
        <w:ind w:firstLine="4800" w:firstLineChars="2000"/>
        <w:rPr>
          <w:rFonts w:hint="eastAsia" w:ascii="华文仿宋" w:hAnsi="华文仿宋" w:eastAsia="华文仿宋" w:cs="华文仿宋"/>
          <w:color w:val="auto"/>
          <w:sz w:val="24"/>
          <w:szCs w:val="24"/>
          <w:highlight w:val="none"/>
          <w:u w:val="single"/>
        </w:rPr>
      </w:pPr>
    </w:p>
    <w:p w14:paraId="2CE20A56">
      <w:pPr>
        <w:widowControl/>
        <w:jc w:val="left"/>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br w:type="page"/>
      </w:r>
    </w:p>
    <w:p w14:paraId="1D1959CE">
      <w:pPr>
        <w:spacing w:line="360" w:lineRule="auto"/>
        <w:jc w:val="center"/>
        <w:outlineLvl w:val="1"/>
        <w:rPr>
          <w:rFonts w:hint="eastAsia" w:ascii="华文仿宋" w:hAnsi="华文仿宋" w:eastAsia="华文仿宋" w:cs="华文仿宋"/>
          <w:b/>
          <w:color w:val="auto"/>
          <w:sz w:val="24"/>
          <w:highlight w:val="none"/>
        </w:rPr>
      </w:pPr>
      <w:bookmarkStart w:id="219" w:name="_Toc516969106"/>
      <w:bookmarkStart w:id="220" w:name="_Toc520983594"/>
      <w:bookmarkStart w:id="221" w:name="_Toc204594911"/>
      <w:bookmarkStart w:id="222" w:name="_Toc26922"/>
      <w:bookmarkStart w:id="223" w:name="_Toc121626298"/>
      <w:bookmarkStart w:id="224" w:name="_Toc31518"/>
      <w:r>
        <w:rPr>
          <w:rFonts w:hint="eastAsia" w:ascii="华文仿宋" w:hAnsi="华文仿宋" w:eastAsia="华文仿宋" w:cs="华文仿宋"/>
          <w:b/>
          <w:color w:val="auto"/>
          <w:sz w:val="24"/>
          <w:highlight w:val="none"/>
        </w:rPr>
        <w:t>五、授权书</w:t>
      </w:r>
      <w:bookmarkEnd w:id="219"/>
      <w:bookmarkEnd w:id="220"/>
      <w:bookmarkEnd w:id="221"/>
      <w:bookmarkEnd w:id="222"/>
      <w:bookmarkEnd w:id="223"/>
      <w:bookmarkEnd w:id="224"/>
    </w:p>
    <w:p w14:paraId="74844012">
      <w:pPr>
        <w:spacing w:line="360" w:lineRule="auto"/>
        <w:jc w:val="center"/>
        <w:rPr>
          <w:rFonts w:hint="eastAsia" w:ascii="华文仿宋" w:hAnsi="华文仿宋" w:eastAsia="华文仿宋" w:cs="华文仿宋"/>
          <w:b/>
          <w:color w:val="auto"/>
          <w:sz w:val="24"/>
          <w:highlight w:val="none"/>
        </w:rPr>
      </w:pPr>
    </w:p>
    <w:p w14:paraId="2FFA1621">
      <w:pPr>
        <w:pStyle w:val="11"/>
        <w:snapToGrid w:val="0"/>
        <w:spacing w:line="360" w:lineRule="auto"/>
        <w:ind w:firstLine="480" w:firstLineChars="200"/>
        <w:jc w:val="left"/>
        <w:rPr>
          <w:rFonts w:hint="eastAsia" w:ascii="华文仿宋" w:hAnsi="华文仿宋" w:eastAsia="华文仿宋" w:cs="华文仿宋"/>
          <w:color w:val="auto"/>
          <w:sz w:val="24"/>
          <w:szCs w:val="28"/>
          <w:highlight w:val="none"/>
        </w:rPr>
      </w:pPr>
      <w:r>
        <w:rPr>
          <w:rFonts w:hint="eastAsia" w:ascii="华文仿宋" w:hAnsi="华文仿宋" w:eastAsia="华文仿宋" w:cs="华文仿宋"/>
          <w:color w:val="auto"/>
          <w:sz w:val="24"/>
          <w:szCs w:val="28"/>
          <w:highlight w:val="none"/>
        </w:rPr>
        <w:t>本授权书声明：（供应商名称）授权（供应商授权代表姓名）代表我方参加本项目</w:t>
      </w:r>
      <w:r>
        <w:rPr>
          <w:rFonts w:hint="eastAsia" w:ascii="华文仿宋" w:hAnsi="华文仿宋" w:eastAsia="华文仿宋" w:cs="华文仿宋"/>
          <w:bCs/>
          <w:color w:val="auto"/>
          <w:sz w:val="24"/>
          <w:szCs w:val="28"/>
          <w:highlight w:val="none"/>
        </w:rPr>
        <w:t>采购活动</w:t>
      </w:r>
      <w:r>
        <w:rPr>
          <w:rFonts w:hint="eastAsia" w:ascii="华文仿宋" w:hAnsi="华文仿宋" w:eastAsia="华文仿宋" w:cs="华文仿宋"/>
          <w:color w:val="auto"/>
          <w:sz w:val="24"/>
          <w:szCs w:val="28"/>
          <w:highlight w:val="none"/>
        </w:rPr>
        <w:t>，全权代表我方处理磋商过程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34E8E3A7">
      <w:pPr>
        <w:pStyle w:val="11"/>
        <w:snapToGrid w:val="0"/>
        <w:spacing w:line="360" w:lineRule="auto"/>
        <w:ind w:firstLine="480" w:firstLineChars="200"/>
        <w:jc w:val="left"/>
        <w:rPr>
          <w:rFonts w:hint="eastAsia" w:ascii="华文仿宋" w:hAnsi="华文仿宋" w:eastAsia="华文仿宋" w:cs="华文仿宋"/>
          <w:color w:val="auto"/>
          <w:sz w:val="24"/>
          <w:szCs w:val="28"/>
          <w:highlight w:val="none"/>
        </w:rPr>
      </w:pPr>
      <w:r>
        <w:rPr>
          <w:rFonts w:hint="eastAsia" w:ascii="华文仿宋" w:hAnsi="华文仿宋" w:eastAsia="华文仿宋" w:cs="华文仿宋"/>
          <w:color w:val="auto"/>
          <w:sz w:val="24"/>
          <w:szCs w:val="28"/>
          <w:highlight w:val="none"/>
        </w:rPr>
        <w:t>本授权书自出具之日起生效。</w:t>
      </w:r>
    </w:p>
    <w:p w14:paraId="64D25A89">
      <w:pPr>
        <w:pStyle w:val="11"/>
        <w:snapToGrid w:val="0"/>
        <w:spacing w:line="360" w:lineRule="auto"/>
        <w:ind w:firstLine="480" w:firstLineChars="200"/>
        <w:jc w:val="left"/>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szCs w:val="28"/>
          <w:highlight w:val="none"/>
        </w:rPr>
        <w:t>授权代表</w:t>
      </w:r>
      <w:r>
        <w:rPr>
          <w:rFonts w:hint="eastAsia" w:ascii="华文仿宋" w:hAnsi="华文仿宋" w:eastAsia="华文仿宋" w:cs="华文仿宋"/>
          <w:color w:val="auto"/>
          <w:sz w:val="24"/>
          <w:highlight w:val="none"/>
        </w:rPr>
        <w:t>身份证明</w:t>
      </w:r>
      <w:r>
        <w:rPr>
          <w:rFonts w:hint="eastAsia" w:ascii="华文仿宋" w:hAnsi="华文仿宋" w:eastAsia="华文仿宋" w:cs="华文仿宋"/>
          <w:color w:val="auto"/>
          <w:sz w:val="24"/>
          <w:highlight w:val="none"/>
          <w:lang w:eastAsia="zh-CN"/>
        </w:rPr>
        <w:t>复印件</w:t>
      </w:r>
      <w:r>
        <w:rPr>
          <w:rFonts w:hint="eastAsia" w:ascii="华文仿宋" w:hAnsi="华文仿宋" w:eastAsia="华文仿宋" w:cs="华文仿宋"/>
          <w:color w:val="auto"/>
          <w:sz w:val="24"/>
          <w:highlight w:val="none"/>
        </w:rPr>
        <w:t>：</w:t>
      </w:r>
    </w:p>
    <w:p w14:paraId="4B2FE112">
      <w:pPr>
        <w:pStyle w:val="11"/>
        <w:snapToGrid w:val="0"/>
        <w:spacing w:line="360" w:lineRule="auto"/>
        <w:ind w:firstLine="480" w:firstLineChars="200"/>
        <w:jc w:val="left"/>
        <w:rPr>
          <w:rFonts w:hint="eastAsia" w:ascii="华文仿宋" w:hAnsi="华文仿宋" w:eastAsia="华文仿宋" w:cs="华文仿宋"/>
          <w:color w:val="auto"/>
          <w:sz w:val="24"/>
          <w:highlight w:val="none"/>
        </w:rPr>
      </w:pPr>
    </w:p>
    <w:p w14:paraId="051E05DE">
      <w:pPr>
        <w:pStyle w:val="11"/>
        <w:snapToGrid w:val="0"/>
        <w:spacing w:line="360" w:lineRule="auto"/>
        <w:ind w:firstLine="480" w:firstLineChars="200"/>
        <w:jc w:val="left"/>
        <w:rPr>
          <w:rFonts w:hint="eastAsia" w:ascii="华文仿宋" w:hAnsi="华文仿宋" w:eastAsia="华文仿宋" w:cs="华文仿宋"/>
          <w:color w:val="auto"/>
          <w:sz w:val="24"/>
          <w:highlight w:val="none"/>
        </w:rPr>
      </w:pPr>
    </w:p>
    <w:p w14:paraId="2C51C88F">
      <w:pPr>
        <w:pStyle w:val="11"/>
        <w:snapToGrid w:val="0"/>
        <w:spacing w:line="360" w:lineRule="auto"/>
        <w:ind w:firstLine="480" w:firstLineChars="200"/>
        <w:jc w:val="left"/>
        <w:rPr>
          <w:rFonts w:hint="eastAsia" w:ascii="华文仿宋" w:hAnsi="华文仿宋" w:eastAsia="华文仿宋" w:cs="华文仿宋"/>
          <w:color w:val="auto"/>
          <w:sz w:val="24"/>
          <w:highlight w:val="none"/>
        </w:rPr>
      </w:pPr>
    </w:p>
    <w:p w14:paraId="2FC590E9">
      <w:pPr>
        <w:pStyle w:val="11"/>
        <w:snapToGrid w:val="0"/>
        <w:spacing w:line="360" w:lineRule="auto"/>
        <w:ind w:firstLine="480" w:firstLineChars="200"/>
        <w:jc w:val="left"/>
        <w:rPr>
          <w:rFonts w:hint="eastAsia" w:ascii="华文仿宋" w:hAnsi="华文仿宋" w:eastAsia="华文仿宋" w:cs="华文仿宋"/>
          <w:color w:val="auto"/>
          <w:sz w:val="24"/>
          <w:highlight w:val="none"/>
        </w:rPr>
      </w:pPr>
    </w:p>
    <w:p w14:paraId="7CB07B64">
      <w:pPr>
        <w:pStyle w:val="11"/>
        <w:snapToGrid w:val="0"/>
        <w:spacing w:line="360" w:lineRule="auto"/>
        <w:ind w:firstLine="480" w:firstLineChars="200"/>
        <w:jc w:val="left"/>
        <w:rPr>
          <w:rFonts w:hint="eastAsia" w:ascii="华文仿宋" w:hAnsi="华文仿宋" w:eastAsia="华文仿宋" w:cs="华文仿宋"/>
          <w:color w:val="auto"/>
          <w:sz w:val="24"/>
          <w:szCs w:val="28"/>
          <w:highlight w:val="none"/>
          <w:u w:val="single"/>
        </w:rPr>
      </w:pPr>
      <w:r>
        <w:rPr>
          <w:rFonts w:hint="eastAsia" w:ascii="华文仿宋" w:hAnsi="华文仿宋" w:eastAsia="华文仿宋" w:cs="华文仿宋"/>
          <w:color w:val="auto"/>
          <w:sz w:val="24"/>
          <w:szCs w:val="28"/>
          <w:highlight w:val="none"/>
        </w:rPr>
        <w:t>授权代表联系方式：</w:t>
      </w:r>
      <w:r>
        <w:rPr>
          <w:rFonts w:hint="eastAsia" w:ascii="华文仿宋" w:hAnsi="华文仿宋" w:eastAsia="华文仿宋" w:cs="华文仿宋"/>
          <w:color w:val="auto"/>
          <w:sz w:val="24"/>
          <w:szCs w:val="28"/>
          <w:highlight w:val="none"/>
          <w:u w:val="single"/>
        </w:rPr>
        <w:t>（请填写手机号码）</w:t>
      </w:r>
    </w:p>
    <w:p w14:paraId="210D4038">
      <w:pPr>
        <w:pStyle w:val="11"/>
        <w:snapToGrid w:val="0"/>
        <w:spacing w:line="360" w:lineRule="auto"/>
        <w:ind w:firstLine="480" w:firstLineChars="200"/>
        <w:jc w:val="left"/>
        <w:rPr>
          <w:rFonts w:hint="eastAsia" w:ascii="华文仿宋" w:hAnsi="华文仿宋" w:eastAsia="华文仿宋" w:cs="华文仿宋"/>
          <w:color w:val="auto"/>
          <w:sz w:val="24"/>
          <w:szCs w:val="28"/>
          <w:highlight w:val="none"/>
        </w:rPr>
      </w:pPr>
    </w:p>
    <w:p w14:paraId="120F58AB">
      <w:pPr>
        <w:spacing w:line="360" w:lineRule="auto"/>
        <w:ind w:firstLine="360" w:firstLineChars="150"/>
        <w:rPr>
          <w:rFonts w:hint="eastAsia" w:ascii="华文仿宋" w:hAnsi="华文仿宋" w:eastAsia="华文仿宋" w:cs="华文仿宋"/>
          <w:color w:val="auto"/>
          <w:sz w:val="24"/>
          <w:szCs w:val="28"/>
          <w:highlight w:val="none"/>
        </w:rPr>
      </w:pPr>
      <w:r>
        <w:rPr>
          <w:rFonts w:hint="eastAsia" w:ascii="华文仿宋" w:hAnsi="华文仿宋" w:eastAsia="华文仿宋" w:cs="华文仿宋"/>
          <w:color w:val="auto"/>
          <w:sz w:val="24"/>
          <w:szCs w:val="28"/>
          <w:highlight w:val="none"/>
        </w:rPr>
        <w:t>特此声明。</w:t>
      </w:r>
    </w:p>
    <w:p w14:paraId="148449A2">
      <w:pPr>
        <w:spacing w:line="360" w:lineRule="auto"/>
        <w:rPr>
          <w:rFonts w:hint="eastAsia" w:ascii="华文仿宋" w:hAnsi="华文仿宋" w:eastAsia="华文仿宋" w:cs="华文仿宋"/>
          <w:color w:val="auto"/>
          <w:sz w:val="24"/>
          <w:szCs w:val="28"/>
          <w:highlight w:val="none"/>
        </w:rPr>
      </w:pPr>
    </w:p>
    <w:p w14:paraId="0848D97E">
      <w:pPr>
        <w:spacing w:line="360" w:lineRule="auto"/>
        <w:ind w:firstLine="4800" w:firstLineChars="2000"/>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lang w:val="en-US" w:eastAsia="zh-CN"/>
        </w:rPr>
        <w:t>供应商</w:t>
      </w:r>
      <w:r>
        <w:rPr>
          <w:rFonts w:hint="eastAsia" w:ascii="华文仿宋" w:hAnsi="华文仿宋" w:eastAsia="华文仿宋" w:cs="华文仿宋"/>
          <w:color w:val="auto"/>
          <w:sz w:val="24"/>
          <w:highlight w:val="none"/>
          <w:lang w:eastAsia="zh-CN"/>
        </w:rPr>
        <w:t>盖章</w:t>
      </w:r>
      <w:r>
        <w:rPr>
          <w:rFonts w:hint="eastAsia" w:ascii="华文仿宋" w:hAnsi="华文仿宋" w:eastAsia="华文仿宋" w:cs="华文仿宋"/>
          <w:color w:val="auto"/>
          <w:sz w:val="24"/>
          <w:highlight w:val="none"/>
        </w:rPr>
        <w:t>：</w:t>
      </w:r>
    </w:p>
    <w:p w14:paraId="1A97D23C">
      <w:pPr>
        <w:tabs>
          <w:tab w:val="left" w:pos="630"/>
        </w:tabs>
        <w:spacing w:line="360" w:lineRule="auto"/>
        <w:ind w:firstLine="4800" w:firstLineChars="2000"/>
        <w:rPr>
          <w:rFonts w:hint="eastAsia" w:ascii="华文仿宋" w:hAnsi="华文仿宋" w:eastAsia="华文仿宋" w:cs="华文仿宋"/>
          <w:color w:val="auto"/>
          <w:sz w:val="24"/>
          <w:szCs w:val="28"/>
          <w:highlight w:val="none"/>
          <w:lang w:eastAsia="zh-CN"/>
        </w:rPr>
      </w:pPr>
      <w:r>
        <w:rPr>
          <w:rFonts w:hint="eastAsia" w:ascii="华文仿宋" w:hAnsi="华文仿宋" w:eastAsia="华文仿宋" w:cs="华文仿宋"/>
          <w:color w:val="auto"/>
          <w:sz w:val="24"/>
          <w:highlight w:val="none"/>
        </w:rPr>
        <w:t>日期：</w:t>
      </w:r>
    </w:p>
    <w:p w14:paraId="4DFFF86B">
      <w:pPr>
        <w:spacing w:line="360" w:lineRule="auto"/>
        <w:rPr>
          <w:rFonts w:hint="eastAsia" w:ascii="华文仿宋" w:hAnsi="华文仿宋" w:eastAsia="华文仿宋" w:cs="华文仿宋"/>
          <w:color w:val="auto"/>
          <w:sz w:val="24"/>
          <w:szCs w:val="28"/>
          <w:highlight w:val="none"/>
        </w:rPr>
      </w:pPr>
    </w:p>
    <w:p w14:paraId="5F2F2079">
      <w:pPr>
        <w:spacing w:line="360" w:lineRule="auto"/>
        <w:rPr>
          <w:rFonts w:hint="eastAsia" w:ascii="华文仿宋" w:hAnsi="华文仿宋" w:eastAsia="华文仿宋" w:cs="华文仿宋"/>
          <w:color w:val="auto"/>
          <w:sz w:val="24"/>
          <w:szCs w:val="28"/>
          <w:highlight w:val="none"/>
        </w:rPr>
      </w:pPr>
    </w:p>
    <w:p w14:paraId="121E39B0">
      <w:pPr>
        <w:pStyle w:val="11"/>
        <w:snapToGrid w:val="0"/>
        <w:spacing w:line="360" w:lineRule="auto"/>
        <w:jc w:val="left"/>
        <w:rPr>
          <w:rFonts w:hint="eastAsia" w:ascii="华文仿宋" w:hAnsi="华文仿宋" w:eastAsia="华文仿宋" w:cs="华文仿宋"/>
          <w:color w:val="auto"/>
          <w:sz w:val="24"/>
          <w:szCs w:val="28"/>
          <w:highlight w:val="none"/>
        </w:rPr>
      </w:pPr>
      <w:r>
        <w:rPr>
          <w:rFonts w:hint="eastAsia" w:ascii="华文仿宋" w:hAnsi="华文仿宋" w:eastAsia="华文仿宋" w:cs="华文仿宋"/>
          <w:color w:val="auto"/>
          <w:sz w:val="24"/>
          <w:szCs w:val="28"/>
          <w:highlight w:val="none"/>
        </w:rPr>
        <w:t>注：</w:t>
      </w:r>
    </w:p>
    <w:p w14:paraId="52506770">
      <w:pPr>
        <w:pStyle w:val="11"/>
        <w:snapToGrid w:val="0"/>
        <w:spacing w:line="360" w:lineRule="auto"/>
        <w:jc w:val="left"/>
        <w:rPr>
          <w:rFonts w:hint="eastAsia" w:ascii="华文仿宋" w:hAnsi="华文仿宋" w:eastAsia="华文仿宋" w:cs="华文仿宋"/>
          <w:color w:val="auto"/>
          <w:sz w:val="24"/>
          <w:szCs w:val="28"/>
          <w:highlight w:val="none"/>
        </w:rPr>
      </w:pPr>
      <w:r>
        <w:rPr>
          <w:rFonts w:hint="eastAsia" w:ascii="华文仿宋" w:hAnsi="华文仿宋" w:eastAsia="华文仿宋" w:cs="华文仿宋"/>
          <w:color w:val="auto"/>
          <w:sz w:val="24"/>
          <w:szCs w:val="28"/>
          <w:highlight w:val="none"/>
        </w:rPr>
        <w:t>1.本项目只允许有唯一的供应商授权代表，提供身份证明</w:t>
      </w:r>
      <w:r>
        <w:rPr>
          <w:rFonts w:hint="eastAsia" w:ascii="华文仿宋" w:hAnsi="华文仿宋" w:eastAsia="华文仿宋" w:cs="华文仿宋"/>
          <w:color w:val="auto"/>
          <w:sz w:val="24"/>
          <w:szCs w:val="28"/>
          <w:highlight w:val="none"/>
          <w:lang w:eastAsia="zh-CN"/>
        </w:rPr>
        <w:t>复印件</w:t>
      </w:r>
      <w:r>
        <w:rPr>
          <w:rFonts w:hint="eastAsia" w:ascii="华文仿宋" w:hAnsi="华文仿宋" w:eastAsia="华文仿宋" w:cs="华文仿宋"/>
          <w:color w:val="auto"/>
          <w:sz w:val="24"/>
          <w:szCs w:val="28"/>
          <w:highlight w:val="none"/>
        </w:rPr>
        <w:t>；</w:t>
      </w:r>
    </w:p>
    <w:p w14:paraId="36C5FDCB">
      <w:pPr>
        <w:spacing w:line="360" w:lineRule="auto"/>
        <w:jc w:val="left"/>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2.法定代表人参加磋商的无需提供授权书，仅提供身份证明</w:t>
      </w:r>
      <w:r>
        <w:rPr>
          <w:rFonts w:hint="eastAsia" w:ascii="华文仿宋" w:hAnsi="华文仿宋" w:eastAsia="华文仿宋" w:cs="华文仿宋"/>
          <w:color w:val="auto"/>
          <w:sz w:val="24"/>
          <w:highlight w:val="none"/>
          <w:lang w:eastAsia="zh-CN"/>
        </w:rPr>
        <w:t>复印件</w:t>
      </w:r>
      <w:r>
        <w:rPr>
          <w:rFonts w:hint="eastAsia" w:ascii="华文仿宋" w:hAnsi="华文仿宋" w:eastAsia="华文仿宋" w:cs="华文仿宋"/>
          <w:color w:val="auto"/>
          <w:sz w:val="24"/>
          <w:highlight w:val="none"/>
        </w:rPr>
        <w:t>。</w:t>
      </w:r>
    </w:p>
    <w:p w14:paraId="62DC3EBB">
      <w:pPr>
        <w:widowControl/>
        <w:jc w:val="left"/>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br w:type="page"/>
      </w:r>
    </w:p>
    <w:p w14:paraId="4B903AAF">
      <w:pPr>
        <w:spacing w:line="360" w:lineRule="auto"/>
        <w:jc w:val="center"/>
        <w:outlineLvl w:val="1"/>
        <w:rPr>
          <w:rFonts w:hint="eastAsia" w:ascii="华文仿宋" w:hAnsi="华文仿宋" w:eastAsia="华文仿宋" w:cs="华文仿宋"/>
          <w:b/>
          <w:color w:val="auto"/>
          <w:sz w:val="24"/>
          <w:highlight w:val="none"/>
        </w:rPr>
      </w:pPr>
      <w:bookmarkStart w:id="225" w:name="_Toc28033"/>
      <w:bookmarkStart w:id="226" w:name="_Toc22233"/>
      <w:r>
        <w:rPr>
          <w:rFonts w:hint="eastAsia" w:ascii="华文仿宋" w:hAnsi="华文仿宋" w:eastAsia="华文仿宋" w:cs="华文仿宋"/>
          <w:b/>
          <w:color w:val="auto"/>
          <w:sz w:val="24"/>
          <w:highlight w:val="none"/>
        </w:rPr>
        <w:t>六、</w:t>
      </w:r>
      <w:r>
        <w:rPr>
          <w:rFonts w:hint="eastAsia" w:ascii="华文仿宋" w:hAnsi="华文仿宋" w:eastAsia="华文仿宋" w:cs="华文仿宋"/>
          <w:b/>
          <w:color w:val="auto"/>
          <w:sz w:val="24"/>
          <w:highlight w:val="none"/>
          <w:lang w:val="en-US" w:eastAsia="zh-CN"/>
        </w:rPr>
        <w:t>磋商</w:t>
      </w:r>
      <w:r>
        <w:rPr>
          <w:rFonts w:hint="eastAsia" w:ascii="华文仿宋" w:hAnsi="华文仿宋" w:eastAsia="华文仿宋" w:cs="华文仿宋"/>
          <w:b/>
          <w:color w:val="auto"/>
          <w:sz w:val="24"/>
          <w:highlight w:val="none"/>
        </w:rPr>
        <w:t>响应表</w:t>
      </w:r>
      <w:bookmarkEnd w:id="225"/>
      <w:bookmarkEnd w:id="226"/>
    </w:p>
    <w:p w14:paraId="01B07B61">
      <w:pPr>
        <w:spacing w:line="360" w:lineRule="auto"/>
        <w:ind w:firstLine="435"/>
        <w:outlineLvl w:val="2"/>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6.1商务响应表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2148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0911BDE6">
            <w:pPr>
              <w:pStyle w:val="11"/>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序号</w:t>
            </w:r>
          </w:p>
        </w:tc>
        <w:tc>
          <w:tcPr>
            <w:tcW w:w="1124" w:type="pct"/>
            <w:vAlign w:val="center"/>
          </w:tcPr>
          <w:p w14:paraId="3B9596A5">
            <w:pPr>
              <w:pStyle w:val="11"/>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bCs/>
                <w:color w:val="auto"/>
                <w:sz w:val="24"/>
                <w:szCs w:val="24"/>
                <w:highlight w:val="none"/>
              </w:rPr>
              <w:t>商务条款</w:t>
            </w:r>
          </w:p>
        </w:tc>
        <w:tc>
          <w:tcPr>
            <w:tcW w:w="1465" w:type="pct"/>
            <w:vAlign w:val="center"/>
          </w:tcPr>
          <w:p w14:paraId="217D3F3E">
            <w:pPr>
              <w:pStyle w:val="11"/>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磋商文件</w:t>
            </w:r>
            <w:r>
              <w:rPr>
                <w:rFonts w:hint="eastAsia" w:ascii="华文仿宋" w:hAnsi="华文仿宋" w:eastAsia="华文仿宋" w:cs="华文仿宋"/>
                <w:b/>
                <w:color w:val="auto"/>
                <w:sz w:val="24"/>
                <w:highlight w:val="none"/>
              </w:rPr>
              <w:t>要求</w:t>
            </w:r>
          </w:p>
        </w:tc>
        <w:tc>
          <w:tcPr>
            <w:tcW w:w="1510" w:type="pct"/>
            <w:vAlign w:val="center"/>
          </w:tcPr>
          <w:p w14:paraId="4CB951DC">
            <w:pPr>
              <w:pStyle w:val="11"/>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lang w:val="en-US" w:eastAsia="zh-CN"/>
              </w:rPr>
              <w:t>供应商</w:t>
            </w:r>
            <w:r>
              <w:rPr>
                <w:rFonts w:hint="eastAsia" w:ascii="华文仿宋" w:hAnsi="华文仿宋" w:eastAsia="华文仿宋" w:cs="华文仿宋"/>
                <w:b/>
                <w:color w:val="auto"/>
                <w:sz w:val="24"/>
                <w:highlight w:val="none"/>
              </w:rPr>
              <w:t>承诺</w:t>
            </w:r>
          </w:p>
        </w:tc>
        <w:tc>
          <w:tcPr>
            <w:tcW w:w="475" w:type="pct"/>
            <w:vAlign w:val="center"/>
          </w:tcPr>
          <w:p w14:paraId="76582646">
            <w:pPr>
              <w:pStyle w:val="11"/>
              <w:jc w:val="center"/>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偏离说明</w:t>
            </w:r>
          </w:p>
        </w:tc>
      </w:tr>
      <w:tr w14:paraId="3EAE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5BDD3F7">
            <w:pPr>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w:t>
            </w:r>
          </w:p>
        </w:tc>
        <w:tc>
          <w:tcPr>
            <w:tcW w:w="1124" w:type="pct"/>
            <w:vAlign w:val="center"/>
          </w:tcPr>
          <w:p w14:paraId="10B5D1A8">
            <w:pPr>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付款方式</w:t>
            </w:r>
          </w:p>
        </w:tc>
        <w:tc>
          <w:tcPr>
            <w:tcW w:w="1465" w:type="pct"/>
            <w:vAlign w:val="center"/>
          </w:tcPr>
          <w:p w14:paraId="6C670635">
            <w:pPr>
              <w:jc w:val="center"/>
              <w:rPr>
                <w:rFonts w:hint="eastAsia" w:ascii="华文仿宋" w:hAnsi="华文仿宋" w:eastAsia="华文仿宋" w:cs="华文仿宋"/>
                <w:color w:val="auto"/>
                <w:sz w:val="24"/>
                <w:highlight w:val="none"/>
              </w:rPr>
            </w:pPr>
          </w:p>
        </w:tc>
        <w:tc>
          <w:tcPr>
            <w:tcW w:w="1510" w:type="pct"/>
            <w:vAlign w:val="center"/>
          </w:tcPr>
          <w:p w14:paraId="765BAE84">
            <w:pPr>
              <w:jc w:val="center"/>
              <w:rPr>
                <w:rFonts w:hint="eastAsia" w:ascii="华文仿宋" w:hAnsi="华文仿宋" w:eastAsia="华文仿宋" w:cs="华文仿宋"/>
                <w:color w:val="auto"/>
                <w:sz w:val="24"/>
                <w:highlight w:val="none"/>
              </w:rPr>
            </w:pPr>
          </w:p>
        </w:tc>
        <w:tc>
          <w:tcPr>
            <w:tcW w:w="475" w:type="pct"/>
            <w:vAlign w:val="center"/>
          </w:tcPr>
          <w:p w14:paraId="3289A2CD">
            <w:pPr>
              <w:jc w:val="center"/>
              <w:rPr>
                <w:rFonts w:hint="eastAsia" w:ascii="华文仿宋" w:hAnsi="华文仿宋" w:eastAsia="华文仿宋" w:cs="华文仿宋"/>
                <w:color w:val="auto"/>
                <w:sz w:val="24"/>
                <w:highlight w:val="none"/>
              </w:rPr>
            </w:pPr>
          </w:p>
        </w:tc>
      </w:tr>
      <w:tr w14:paraId="7218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07C3966">
            <w:pPr>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w:t>
            </w:r>
          </w:p>
        </w:tc>
        <w:tc>
          <w:tcPr>
            <w:tcW w:w="1124" w:type="pct"/>
            <w:vAlign w:val="center"/>
          </w:tcPr>
          <w:p w14:paraId="5001916D">
            <w:pPr>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服务地点</w:t>
            </w:r>
          </w:p>
        </w:tc>
        <w:tc>
          <w:tcPr>
            <w:tcW w:w="1465" w:type="pct"/>
            <w:vAlign w:val="center"/>
          </w:tcPr>
          <w:p w14:paraId="1F74CA59">
            <w:pPr>
              <w:jc w:val="center"/>
              <w:rPr>
                <w:rFonts w:hint="eastAsia" w:ascii="华文仿宋" w:hAnsi="华文仿宋" w:eastAsia="华文仿宋" w:cs="华文仿宋"/>
                <w:color w:val="auto"/>
                <w:sz w:val="24"/>
                <w:highlight w:val="none"/>
              </w:rPr>
            </w:pPr>
          </w:p>
        </w:tc>
        <w:tc>
          <w:tcPr>
            <w:tcW w:w="1510" w:type="pct"/>
            <w:vAlign w:val="center"/>
          </w:tcPr>
          <w:p w14:paraId="4451EAA0">
            <w:pPr>
              <w:jc w:val="center"/>
              <w:rPr>
                <w:rFonts w:hint="eastAsia" w:ascii="华文仿宋" w:hAnsi="华文仿宋" w:eastAsia="华文仿宋" w:cs="华文仿宋"/>
                <w:color w:val="auto"/>
                <w:sz w:val="24"/>
                <w:highlight w:val="none"/>
              </w:rPr>
            </w:pPr>
          </w:p>
        </w:tc>
        <w:tc>
          <w:tcPr>
            <w:tcW w:w="475" w:type="pct"/>
            <w:vAlign w:val="center"/>
          </w:tcPr>
          <w:p w14:paraId="31B75B0A">
            <w:pPr>
              <w:jc w:val="center"/>
              <w:rPr>
                <w:rFonts w:hint="eastAsia" w:ascii="华文仿宋" w:hAnsi="华文仿宋" w:eastAsia="华文仿宋" w:cs="华文仿宋"/>
                <w:color w:val="auto"/>
                <w:sz w:val="24"/>
                <w:highlight w:val="none"/>
              </w:rPr>
            </w:pPr>
          </w:p>
        </w:tc>
      </w:tr>
      <w:tr w14:paraId="3C19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BDAD076">
            <w:pPr>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3</w:t>
            </w:r>
          </w:p>
        </w:tc>
        <w:tc>
          <w:tcPr>
            <w:tcW w:w="1124" w:type="pct"/>
            <w:vAlign w:val="center"/>
          </w:tcPr>
          <w:p w14:paraId="28AD38BF">
            <w:pPr>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服务期限</w:t>
            </w:r>
          </w:p>
        </w:tc>
        <w:tc>
          <w:tcPr>
            <w:tcW w:w="1465" w:type="pct"/>
            <w:vAlign w:val="center"/>
          </w:tcPr>
          <w:p w14:paraId="4F962E68">
            <w:pPr>
              <w:jc w:val="center"/>
              <w:rPr>
                <w:rFonts w:hint="eastAsia" w:ascii="华文仿宋" w:hAnsi="华文仿宋" w:eastAsia="华文仿宋" w:cs="华文仿宋"/>
                <w:color w:val="auto"/>
                <w:sz w:val="24"/>
                <w:highlight w:val="none"/>
              </w:rPr>
            </w:pPr>
          </w:p>
        </w:tc>
        <w:tc>
          <w:tcPr>
            <w:tcW w:w="1510" w:type="pct"/>
            <w:vAlign w:val="center"/>
          </w:tcPr>
          <w:p w14:paraId="66A1AFA7">
            <w:pPr>
              <w:pStyle w:val="47"/>
              <w:jc w:val="center"/>
              <w:rPr>
                <w:rFonts w:hint="eastAsia" w:ascii="华文仿宋" w:hAnsi="华文仿宋" w:eastAsia="华文仿宋" w:cs="华文仿宋"/>
                <w:color w:val="auto"/>
                <w:highlight w:val="none"/>
              </w:rPr>
            </w:pPr>
          </w:p>
        </w:tc>
        <w:tc>
          <w:tcPr>
            <w:tcW w:w="475" w:type="pct"/>
            <w:vAlign w:val="center"/>
          </w:tcPr>
          <w:p w14:paraId="45E98B20">
            <w:pPr>
              <w:jc w:val="center"/>
              <w:rPr>
                <w:rFonts w:hint="eastAsia" w:ascii="华文仿宋" w:hAnsi="华文仿宋" w:eastAsia="华文仿宋" w:cs="华文仿宋"/>
                <w:color w:val="auto"/>
                <w:sz w:val="24"/>
                <w:highlight w:val="none"/>
              </w:rPr>
            </w:pPr>
          </w:p>
        </w:tc>
      </w:tr>
      <w:tr w14:paraId="3474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64E101">
            <w:pPr>
              <w:jc w:val="center"/>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w:t>
            </w:r>
          </w:p>
        </w:tc>
        <w:tc>
          <w:tcPr>
            <w:tcW w:w="1124" w:type="pct"/>
            <w:vAlign w:val="center"/>
          </w:tcPr>
          <w:p w14:paraId="5B838464">
            <w:pPr>
              <w:jc w:val="center"/>
              <w:rPr>
                <w:rFonts w:hint="eastAsia" w:ascii="华文仿宋" w:hAnsi="华文仿宋" w:eastAsia="华文仿宋" w:cs="华文仿宋"/>
                <w:color w:val="auto"/>
                <w:sz w:val="24"/>
                <w:highlight w:val="none"/>
              </w:rPr>
            </w:pPr>
          </w:p>
        </w:tc>
        <w:tc>
          <w:tcPr>
            <w:tcW w:w="1465" w:type="pct"/>
            <w:vAlign w:val="center"/>
          </w:tcPr>
          <w:p w14:paraId="1AE59BBC">
            <w:pPr>
              <w:jc w:val="center"/>
              <w:rPr>
                <w:rFonts w:hint="eastAsia" w:ascii="华文仿宋" w:hAnsi="华文仿宋" w:eastAsia="华文仿宋" w:cs="华文仿宋"/>
                <w:color w:val="auto"/>
                <w:sz w:val="24"/>
                <w:highlight w:val="none"/>
              </w:rPr>
            </w:pPr>
          </w:p>
        </w:tc>
        <w:tc>
          <w:tcPr>
            <w:tcW w:w="1510" w:type="pct"/>
            <w:vAlign w:val="center"/>
          </w:tcPr>
          <w:p w14:paraId="0FDED007">
            <w:pPr>
              <w:jc w:val="center"/>
              <w:rPr>
                <w:rFonts w:hint="eastAsia" w:ascii="华文仿宋" w:hAnsi="华文仿宋" w:eastAsia="华文仿宋" w:cs="华文仿宋"/>
                <w:color w:val="auto"/>
                <w:sz w:val="24"/>
                <w:highlight w:val="none"/>
              </w:rPr>
            </w:pPr>
          </w:p>
        </w:tc>
        <w:tc>
          <w:tcPr>
            <w:tcW w:w="475" w:type="pct"/>
            <w:vAlign w:val="center"/>
          </w:tcPr>
          <w:p w14:paraId="2A39717B">
            <w:pPr>
              <w:jc w:val="center"/>
              <w:rPr>
                <w:rFonts w:hint="eastAsia" w:ascii="华文仿宋" w:hAnsi="华文仿宋" w:eastAsia="华文仿宋" w:cs="华文仿宋"/>
                <w:color w:val="auto"/>
                <w:sz w:val="24"/>
                <w:highlight w:val="none"/>
              </w:rPr>
            </w:pPr>
          </w:p>
        </w:tc>
      </w:tr>
    </w:tbl>
    <w:p w14:paraId="47ECA676">
      <w:pPr>
        <w:spacing w:line="360" w:lineRule="auto"/>
        <w:ind w:firstLine="4800" w:firstLineChars="2000"/>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lang w:val="en-US" w:eastAsia="zh-CN"/>
        </w:rPr>
        <w:t>供应商</w:t>
      </w:r>
      <w:r>
        <w:rPr>
          <w:rFonts w:hint="eastAsia" w:ascii="华文仿宋" w:hAnsi="华文仿宋" w:eastAsia="华文仿宋" w:cs="华文仿宋"/>
          <w:color w:val="auto"/>
          <w:sz w:val="24"/>
          <w:highlight w:val="none"/>
          <w:lang w:eastAsia="zh-CN"/>
        </w:rPr>
        <w:t>盖章</w:t>
      </w:r>
      <w:r>
        <w:rPr>
          <w:rFonts w:hint="eastAsia" w:ascii="华文仿宋" w:hAnsi="华文仿宋" w:eastAsia="华文仿宋" w:cs="华文仿宋"/>
          <w:color w:val="auto"/>
          <w:sz w:val="24"/>
          <w:highlight w:val="none"/>
        </w:rPr>
        <w:t>：</w:t>
      </w:r>
    </w:p>
    <w:p w14:paraId="6E9FFA25">
      <w:pPr>
        <w:tabs>
          <w:tab w:val="left" w:pos="630"/>
        </w:tabs>
        <w:spacing w:line="360" w:lineRule="auto"/>
        <w:ind w:firstLine="4800" w:firstLineChars="2000"/>
        <w:rPr>
          <w:rFonts w:hint="eastAsia" w:ascii="华文仿宋" w:hAnsi="华文仿宋" w:eastAsia="华文仿宋" w:cs="华文仿宋"/>
          <w:color w:val="auto"/>
          <w:sz w:val="24"/>
          <w:highlight w:val="none"/>
          <w:lang w:eastAsia="zh-CN"/>
        </w:rPr>
      </w:pPr>
      <w:r>
        <w:rPr>
          <w:rFonts w:hint="eastAsia" w:ascii="华文仿宋" w:hAnsi="华文仿宋" w:eastAsia="华文仿宋" w:cs="华文仿宋"/>
          <w:color w:val="auto"/>
          <w:sz w:val="24"/>
          <w:highlight w:val="none"/>
        </w:rPr>
        <w:t>日期：</w:t>
      </w:r>
    </w:p>
    <w:p w14:paraId="5F31C510">
      <w:pPr>
        <w:pStyle w:val="12"/>
        <w:spacing w:line="360" w:lineRule="auto"/>
        <w:rPr>
          <w:rFonts w:hint="eastAsia" w:ascii="华文仿宋" w:hAnsi="华文仿宋" w:eastAsia="华文仿宋" w:cs="华文仿宋"/>
          <w:b/>
          <w:color w:val="auto"/>
          <w:sz w:val="24"/>
          <w:highlight w:val="none"/>
        </w:rPr>
      </w:pPr>
      <w:r>
        <w:rPr>
          <w:rFonts w:hint="eastAsia" w:ascii="华文仿宋" w:hAnsi="华文仿宋" w:eastAsia="华文仿宋" w:cs="华文仿宋"/>
          <w:color w:val="auto"/>
          <w:sz w:val="24"/>
          <w:highlight w:val="none"/>
        </w:rPr>
        <w:br w:type="page"/>
      </w:r>
    </w:p>
    <w:p w14:paraId="4A0A8EF5">
      <w:pPr>
        <w:spacing w:line="360" w:lineRule="auto"/>
        <w:jc w:val="center"/>
        <w:outlineLvl w:val="1"/>
        <w:rPr>
          <w:rFonts w:hint="eastAsia" w:ascii="华文仿宋" w:hAnsi="华文仿宋" w:eastAsia="华文仿宋" w:cs="华文仿宋"/>
          <w:b/>
          <w:color w:val="auto"/>
          <w:sz w:val="24"/>
          <w:highlight w:val="none"/>
        </w:rPr>
      </w:pPr>
      <w:bookmarkStart w:id="227" w:name="_Toc29455"/>
      <w:bookmarkStart w:id="228" w:name="_Toc11260"/>
      <w:r>
        <w:rPr>
          <w:rFonts w:hint="eastAsia" w:ascii="华文仿宋" w:hAnsi="华文仿宋" w:eastAsia="华文仿宋" w:cs="华文仿宋"/>
          <w:b/>
          <w:color w:val="auto"/>
          <w:sz w:val="24"/>
          <w:highlight w:val="none"/>
          <w:lang w:val="en-US" w:eastAsia="zh-CN"/>
        </w:rPr>
        <w:t>七</w:t>
      </w:r>
      <w:bookmarkEnd w:id="227"/>
      <w:bookmarkEnd w:id="228"/>
      <w:bookmarkStart w:id="229" w:name="_Toc6445"/>
      <w:bookmarkStart w:id="230" w:name="_Toc17888"/>
      <w:bookmarkStart w:id="231" w:name="_Hlk60608597"/>
      <w:r>
        <w:rPr>
          <w:rFonts w:hint="eastAsia" w:ascii="华文仿宋" w:hAnsi="华文仿宋" w:eastAsia="华文仿宋" w:cs="华文仿宋"/>
          <w:b/>
          <w:color w:val="auto"/>
          <w:sz w:val="24"/>
          <w:highlight w:val="none"/>
        </w:rPr>
        <w:t>、中小企业声明函</w:t>
      </w:r>
      <w:bookmarkEnd w:id="229"/>
      <w:bookmarkEnd w:id="230"/>
    </w:p>
    <w:p w14:paraId="421ABD6F">
      <w:pPr>
        <w:pStyle w:val="9"/>
        <w:jc w:val="center"/>
        <w:rPr>
          <w:rFonts w:hint="eastAsia" w:ascii="华文仿宋" w:hAnsi="华文仿宋" w:eastAsia="华文仿宋" w:cs="华文仿宋"/>
          <w:b w:val="0"/>
          <w:i/>
          <w:color w:val="auto"/>
          <w:sz w:val="24"/>
          <w:highlight w:val="none"/>
          <w:lang w:val="en-US" w:eastAsia="zh-CN"/>
        </w:rPr>
      </w:pPr>
      <w:r>
        <w:rPr>
          <w:rFonts w:hint="eastAsia" w:ascii="华文仿宋" w:hAnsi="华文仿宋" w:eastAsia="华文仿宋" w:cs="华文仿宋"/>
          <w:b w:val="0"/>
          <w:i/>
          <w:color w:val="auto"/>
          <w:sz w:val="24"/>
          <w:highlight w:val="none"/>
          <w:lang w:val="en-US" w:eastAsia="zh-CN"/>
        </w:rPr>
        <w:t>（</w:t>
      </w:r>
      <w:r>
        <w:rPr>
          <w:rFonts w:hint="eastAsia" w:ascii="华文仿宋" w:hAnsi="华文仿宋" w:eastAsia="华文仿宋" w:cs="华文仿宋"/>
          <w:b w:val="0"/>
          <w:i/>
          <w:color w:val="auto"/>
          <w:sz w:val="24"/>
          <w:highlight w:val="none"/>
          <w:lang w:val="zh-CN" w:eastAsia="zh-CN"/>
        </w:rPr>
        <w:t>非中小企业</w:t>
      </w:r>
      <w:r>
        <w:rPr>
          <w:rFonts w:hint="eastAsia" w:ascii="华文仿宋" w:hAnsi="华文仿宋" w:eastAsia="华文仿宋" w:cs="华文仿宋"/>
          <w:b w:val="0"/>
          <w:i/>
          <w:color w:val="auto"/>
          <w:sz w:val="24"/>
          <w:highlight w:val="none"/>
          <w:lang w:val="en-US" w:eastAsia="zh-CN"/>
        </w:rPr>
        <w:t>磋商，不需此件，请删去“中小企业声明函”）</w:t>
      </w:r>
    </w:p>
    <w:p w14:paraId="6DB94BF3">
      <w:pPr>
        <w:spacing w:line="360" w:lineRule="auto"/>
        <w:ind w:firstLine="435"/>
        <w:rPr>
          <w:rFonts w:hint="eastAsia" w:ascii="华文仿宋" w:hAnsi="华文仿宋" w:eastAsia="华文仿宋" w:cs="华文仿宋"/>
          <w:color w:val="auto"/>
          <w:sz w:val="24"/>
          <w:szCs w:val="24"/>
          <w:highlight w:val="none"/>
          <w:lang w:val="zh-CN"/>
        </w:rPr>
      </w:pPr>
      <w:r>
        <w:rPr>
          <w:rFonts w:hint="eastAsia" w:ascii="华文仿宋" w:hAnsi="华文仿宋" w:eastAsia="华文仿宋" w:cs="华文仿宋"/>
          <w:color w:val="auto"/>
          <w:sz w:val="24"/>
          <w:szCs w:val="24"/>
          <w:highlight w:val="none"/>
          <w:lang w:val="zh-CN"/>
        </w:rPr>
        <w:t>本公司（联合体）郑重声明，根据《政府采购促进中小企业发展管理办法》（财库﹝2020﹞46号）的规定，本公司（联合体）参加</w:t>
      </w:r>
      <w:r>
        <w:rPr>
          <w:rFonts w:hint="eastAsia" w:ascii="华文仿宋" w:hAnsi="华文仿宋" w:eastAsia="华文仿宋" w:cs="华文仿宋"/>
          <w:color w:val="auto"/>
          <w:sz w:val="24"/>
          <w:szCs w:val="24"/>
          <w:highlight w:val="none"/>
          <w:u w:val="single"/>
          <w:lang w:val="zh-CN"/>
        </w:rPr>
        <w:t>（单位</w:t>
      </w:r>
      <w:r>
        <w:rPr>
          <w:rFonts w:hint="eastAsia" w:ascii="华文仿宋" w:hAnsi="华文仿宋" w:eastAsia="华文仿宋" w:cs="华文仿宋"/>
          <w:color w:val="auto"/>
          <w:sz w:val="24"/>
          <w:szCs w:val="24"/>
          <w:highlight w:val="none"/>
          <w:u w:val="single"/>
          <w:lang w:val="en-US" w:eastAsia="zh-CN"/>
        </w:rPr>
        <w:t>名称</w:t>
      </w:r>
      <w:r>
        <w:rPr>
          <w:rFonts w:hint="eastAsia" w:ascii="华文仿宋" w:hAnsi="华文仿宋" w:eastAsia="华文仿宋" w:cs="华文仿宋"/>
          <w:color w:val="auto"/>
          <w:sz w:val="24"/>
          <w:szCs w:val="24"/>
          <w:highlight w:val="none"/>
          <w:u w:val="single"/>
          <w:lang w:val="zh-CN"/>
        </w:rPr>
        <w:t>）</w:t>
      </w:r>
      <w:r>
        <w:rPr>
          <w:rFonts w:hint="eastAsia" w:ascii="华文仿宋" w:hAnsi="华文仿宋" w:eastAsia="华文仿宋" w:cs="华文仿宋"/>
          <w:color w:val="auto"/>
          <w:sz w:val="24"/>
          <w:szCs w:val="24"/>
          <w:highlight w:val="none"/>
          <w:lang w:val="zh-CN"/>
        </w:rPr>
        <w:t>的</w:t>
      </w:r>
      <w:r>
        <w:rPr>
          <w:rFonts w:hint="eastAsia" w:ascii="华文仿宋" w:hAnsi="华文仿宋" w:eastAsia="华文仿宋" w:cs="华文仿宋"/>
          <w:color w:val="auto"/>
          <w:sz w:val="24"/>
          <w:szCs w:val="24"/>
          <w:highlight w:val="none"/>
          <w:u w:val="single"/>
          <w:lang w:val="zh-CN"/>
        </w:rPr>
        <w:t>（项目</w:t>
      </w:r>
      <w:r>
        <w:rPr>
          <w:rFonts w:hint="eastAsia" w:ascii="华文仿宋" w:hAnsi="华文仿宋" w:eastAsia="华文仿宋" w:cs="华文仿宋"/>
          <w:color w:val="auto"/>
          <w:sz w:val="24"/>
          <w:szCs w:val="24"/>
          <w:highlight w:val="none"/>
          <w:u w:val="single"/>
          <w:lang w:val="en-US" w:eastAsia="zh-CN"/>
        </w:rPr>
        <w:t>名称</w:t>
      </w:r>
      <w:r>
        <w:rPr>
          <w:rFonts w:hint="eastAsia" w:ascii="华文仿宋" w:hAnsi="华文仿宋" w:eastAsia="华文仿宋" w:cs="华文仿宋"/>
          <w:color w:val="auto"/>
          <w:sz w:val="24"/>
          <w:szCs w:val="24"/>
          <w:highlight w:val="none"/>
          <w:u w:val="single"/>
          <w:lang w:val="zh-CN"/>
        </w:rPr>
        <w:t>）</w:t>
      </w:r>
      <w:r>
        <w:rPr>
          <w:rFonts w:hint="eastAsia" w:ascii="华文仿宋" w:hAnsi="华文仿宋" w:eastAsia="华文仿宋" w:cs="华文仿宋"/>
          <w:color w:val="auto"/>
          <w:sz w:val="24"/>
          <w:szCs w:val="24"/>
          <w:highlight w:val="none"/>
          <w:lang w:val="zh-CN"/>
        </w:rPr>
        <w:t>采购活动，服务全部由符合政策要求的中小企业承接。相关企业（含联合体中的中小企业、签订分包意向协议的中小企业）的具体情况如下：</w:t>
      </w:r>
    </w:p>
    <w:p w14:paraId="7DE98E5F">
      <w:pPr>
        <w:spacing w:line="360" w:lineRule="auto"/>
        <w:ind w:firstLine="435"/>
        <w:rPr>
          <w:rFonts w:hint="eastAsia" w:ascii="华文仿宋" w:hAnsi="华文仿宋" w:eastAsia="华文仿宋" w:cs="华文仿宋"/>
          <w:color w:val="auto"/>
          <w:sz w:val="24"/>
          <w:szCs w:val="24"/>
          <w:highlight w:val="none"/>
          <w:lang w:val="zh-CN"/>
        </w:rPr>
      </w:pPr>
      <w:r>
        <w:rPr>
          <w:rFonts w:hint="eastAsia" w:ascii="华文仿宋" w:hAnsi="华文仿宋" w:eastAsia="华文仿宋" w:cs="华文仿宋"/>
          <w:color w:val="auto"/>
          <w:sz w:val="24"/>
          <w:szCs w:val="24"/>
          <w:highlight w:val="none"/>
          <w:lang w:val="zh-CN"/>
        </w:rPr>
        <w:t>1.</w:t>
      </w:r>
      <w:r>
        <w:rPr>
          <w:rFonts w:hint="eastAsia" w:ascii="华文仿宋" w:hAnsi="华文仿宋" w:eastAsia="华文仿宋" w:cs="华文仿宋"/>
          <w:color w:val="auto"/>
          <w:sz w:val="24"/>
          <w:szCs w:val="24"/>
          <w:highlight w:val="none"/>
          <w:u w:val="single"/>
          <w:lang w:val="zh-CN"/>
        </w:rPr>
        <w:t>（标的名称）</w:t>
      </w:r>
      <w:r>
        <w:rPr>
          <w:rFonts w:hint="eastAsia" w:ascii="华文仿宋" w:hAnsi="华文仿宋" w:eastAsia="华文仿宋" w:cs="华文仿宋"/>
          <w:color w:val="auto"/>
          <w:sz w:val="24"/>
          <w:szCs w:val="24"/>
          <w:highlight w:val="none"/>
          <w:lang w:val="zh-CN"/>
        </w:rPr>
        <w:t>，属于</w:t>
      </w:r>
      <w:r>
        <w:rPr>
          <w:rFonts w:hint="eastAsia" w:ascii="华文仿宋" w:hAnsi="华文仿宋" w:eastAsia="华文仿宋" w:cs="华文仿宋"/>
          <w:color w:val="auto"/>
          <w:sz w:val="24"/>
          <w:szCs w:val="24"/>
          <w:highlight w:val="none"/>
          <w:u w:val="single"/>
          <w:lang w:val="zh-CN"/>
        </w:rPr>
        <w:t>（采购文件中明确的所属行业）</w:t>
      </w:r>
      <w:r>
        <w:rPr>
          <w:rFonts w:hint="eastAsia" w:ascii="华文仿宋" w:hAnsi="华文仿宋" w:eastAsia="华文仿宋" w:cs="华文仿宋"/>
          <w:color w:val="auto"/>
          <w:sz w:val="24"/>
          <w:szCs w:val="24"/>
          <w:highlight w:val="none"/>
          <w:lang w:val="zh-CN"/>
        </w:rPr>
        <w:t>行业；承接企业为</w:t>
      </w:r>
      <w:r>
        <w:rPr>
          <w:rFonts w:hint="eastAsia" w:ascii="华文仿宋" w:hAnsi="华文仿宋" w:eastAsia="华文仿宋" w:cs="华文仿宋"/>
          <w:color w:val="auto"/>
          <w:sz w:val="24"/>
          <w:szCs w:val="24"/>
          <w:highlight w:val="none"/>
          <w:u w:val="single"/>
          <w:lang w:val="zh-CN"/>
        </w:rPr>
        <w:t>（企业名称）</w:t>
      </w:r>
      <w:r>
        <w:rPr>
          <w:rFonts w:hint="eastAsia" w:ascii="华文仿宋" w:hAnsi="华文仿宋" w:eastAsia="华文仿宋" w:cs="华文仿宋"/>
          <w:color w:val="auto"/>
          <w:sz w:val="24"/>
          <w:szCs w:val="24"/>
          <w:highlight w:val="none"/>
          <w:lang w:val="zh-CN"/>
        </w:rPr>
        <w:t>，从业人员人，营业收入为万元，资产总额为万元，属于</w:t>
      </w:r>
      <w:r>
        <w:rPr>
          <w:rFonts w:hint="eastAsia" w:ascii="华文仿宋" w:hAnsi="华文仿宋" w:eastAsia="华文仿宋" w:cs="华文仿宋"/>
          <w:color w:val="auto"/>
          <w:sz w:val="24"/>
          <w:szCs w:val="24"/>
          <w:highlight w:val="none"/>
          <w:u w:val="single"/>
          <w:lang w:val="zh-CN"/>
        </w:rPr>
        <w:t>（中型企业、小型企业、微型企业）</w:t>
      </w:r>
      <w:r>
        <w:rPr>
          <w:rFonts w:hint="eastAsia" w:ascii="华文仿宋" w:hAnsi="华文仿宋" w:eastAsia="华文仿宋" w:cs="华文仿宋"/>
          <w:color w:val="auto"/>
          <w:sz w:val="24"/>
          <w:szCs w:val="24"/>
          <w:highlight w:val="none"/>
          <w:lang w:val="zh-CN"/>
        </w:rPr>
        <w:t>；</w:t>
      </w:r>
    </w:p>
    <w:p w14:paraId="7AAFE676">
      <w:pPr>
        <w:spacing w:line="360" w:lineRule="auto"/>
        <w:ind w:firstLine="435"/>
        <w:rPr>
          <w:rFonts w:hint="eastAsia" w:ascii="华文仿宋" w:hAnsi="华文仿宋" w:eastAsia="华文仿宋" w:cs="华文仿宋"/>
          <w:color w:val="auto"/>
          <w:sz w:val="24"/>
          <w:szCs w:val="24"/>
          <w:highlight w:val="none"/>
          <w:lang w:val="zh-CN"/>
        </w:rPr>
      </w:pPr>
      <w:r>
        <w:rPr>
          <w:rFonts w:hint="eastAsia" w:ascii="华文仿宋" w:hAnsi="华文仿宋" w:eastAsia="华文仿宋" w:cs="华文仿宋"/>
          <w:color w:val="auto"/>
          <w:sz w:val="24"/>
          <w:szCs w:val="24"/>
          <w:highlight w:val="none"/>
          <w:lang w:val="zh-CN"/>
        </w:rPr>
        <w:t>2.</w:t>
      </w:r>
      <w:r>
        <w:rPr>
          <w:rFonts w:hint="eastAsia" w:ascii="华文仿宋" w:hAnsi="华文仿宋" w:eastAsia="华文仿宋" w:cs="华文仿宋"/>
          <w:color w:val="auto"/>
          <w:sz w:val="24"/>
          <w:szCs w:val="24"/>
          <w:highlight w:val="none"/>
          <w:u w:val="single"/>
          <w:lang w:val="zh-CN"/>
        </w:rPr>
        <w:t>（标的名称）</w:t>
      </w:r>
      <w:r>
        <w:rPr>
          <w:rFonts w:hint="eastAsia" w:ascii="华文仿宋" w:hAnsi="华文仿宋" w:eastAsia="华文仿宋" w:cs="华文仿宋"/>
          <w:color w:val="auto"/>
          <w:sz w:val="24"/>
          <w:szCs w:val="24"/>
          <w:highlight w:val="none"/>
          <w:lang w:val="zh-CN"/>
        </w:rPr>
        <w:t>，属于</w:t>
      </w:r>
      <w:r>
        <w:rPr>
          <w:rFonts w:hint="eastAsia" w:ascii="华文仿宋" w:hAnsi="华文仿宋" w:eastAsia="华文仿宋" w:cs="华文仿宋"/>
          <w:color w:val="auto"/>
          <w:sz w:val="24"/>
          <w:szCs w:val="24"/>
          <w:highlight w:val="none"/>
          <w:u w:val="single"/>
          <w:lang w:val="zh-CN"/>
        </w:rPr>
        <w:t>（采购文件中明确的所属行业）</w:t>
      </w:r>
      <w:r>
        <w:rPr>
          <w:rFonts w:hint="eastAsia" w:ascii="华文仿宋" w:hAnsi="华文仿宋" w:eastAsia="华文仿宋" w:cs="华文仿宋"/>
          <w:color w:val="auto"/>
          <w:sz w:val="24"/>
          <w:szCs w:val="24"/>
          <w:highlight w:val="none"/>
          <w:lang w:val="zh-CN"/>
        </w:rPr>
        <w:t>行业；承接企业为</w:t>
      </w:r>
      <w:r>
        <w:rPr>
          <w:rFonts w:hint="eastAsia" w:ascii="华文仿宋" w:hAnsi="华文仿宋" w:eastAsia="华文仿宋" w:cs="华文仿宋"/>
          <w:color w:val="auto"/>
          <w:sz w:val="24"/>
          <w:szCs w:val="24"/>
          <w:highlight w:val="none"/>
          <w:u w:val="single"/>
          <w:lang w:val="zh-CN"/>
        </w:rPr>
        <w:t>（企业名称）</w:t>
      </w:r>
      <w:r>
        <w:rPr>
          <w:rFonts w:hint="eastAsia" w:ascii="华文仿宋" w:hAnsi="华文仿宋" w:eastAsia="华文仿宋" w:cs="华文仿宋"/>
          <w:color w:val="auto"/>
          <w:sz w:val="24"/>
          <w:szCs w:val="24"/>
          <w:highlight w:val="none"/>
          <w:lang w:val="zh-CN"/>
        </w:rPr>
        <w:t>，从业人员人，营业收入为万元，资产总额为万元，属于</w:t>
      </w:r>
      <w:r>
        <w:rPr>
          <w:rFonts w:hint="eastAsia" w:ascii="华文仿宋" w:hAnsi="华文仿宋" w:eastAsia="华文仿宋" w:cs="华文仿宋"/>
          <w:color w:val="auto"/>
          <w:sz w:val="24"/>
          <w:szCs w:val="24"/>
          <w:highlight w:val="none"/>
          <w:u w:val="single"/>
          <w:lang w:val="zh-CN"/>
        </w:rPr>
        <w:t>（中型企业、小型企业、微型企业）</w:t>
      </w:r>
      <w:r>
        <w:rPr>
          <w:rFonts w:hint="eastAsia" w:ascii="华文仿宋" w:hAnsi="华文仿宋" w:eastAsia="华文仿宋" w:cs="华文仿宋"/>
          <w:color w:val="auto"/>
          <w:sz w:val="24"/>
          <w:szCs w:val="24"/>
          <w:highlight w:val="none"/>
          <w:lang w:val="zh-CN"/>
        </w:rPr>
        <w:t>；</w:t>
      </w:r>
    </w:p>
    <w:p w14:paraId="74B57216">
      <w:pPr>
        <w:spacing w:line="360" w:lineRule="auto"/>
        <w:ind w:firstLine="435"/>
        <w:rPr>
          <w:rFonts w:hint="eastAsia" w:ascii="华文仿宋" w:hAnsi="华文仿宋" w:eastAsia="华文仿宋" w:cs="华文仿宋"/>
          <w:color w:val="auto"/>
          <w:sz w:val="24"/>
          <w:szCs w:val="24"/>
          <w:highlight w:val="none"/>
          <w:lang w:val="zh-CN"/>
        </w:rPr>
      </w:pPr>
      <w:r>
        <w:rPr>
          <w:rFonts w:hint="eastAsia" w:ascii="华文仿宋" w:hAnsi="华文仿宋" w:eastAsia="华文仿宋" w:cs="华文仿宋"/>
          <w:color w:val="auto"/>
          <w:sz w:val="24"/>
          <w:szCs w:val="24"/>
          <w:highlight w:val="none"/>
          <w:lang w:val="zh-CN"/>
        </w:rPr>
        <w:t>……</w:t>
      </w:r>
    </w:p>
    <w:p w14:paraId="3C22CC87">
      <w:pPr>
        <w:spacing w:line="360" w:lineRule="auto"/>
        <w:ind w:firstLine="435"/>
        <w:rPr>
          <w:rFonts w:hint="eastAsia" w:ascii="华文仿宋" w:hAnsi="华文仿宋" w:eastAsia="华文仿宋" w:cs="华文仿宋"/>
          <w:color w:val="auto"/>
          <w:sz w:val="24"/>
          <w:szCs w:val="24"/>
          <w:highlight w:val="none"/>
          <w:lang w:val="zh-CN"/>
        </w:rPr>
      </w:pPr>
      <w:r>
        <w:rPr>
          <w:rFonts w:hint="eastAsia" w:ascii="华文仿宋" w:hAnsi="华文仿宋" w:eastAsia="华文仿宋" w:cs="华文仿宋"/>
          <w:color w:val="auto"/>
          <w:sz w:val="24"/>
          <w:szCs w:val="24"/>
          <w:highlight w:val="none"/>
          <w:lang w:val="zh-CN"/>
        </w:rPr>
        <w:t>以上企业，不属于大企业的分支机构，不存在控股股东为大企业的情形，也不存在与大企业的负责人为同一人的情形。</w:t>
      </w:r>
    </w:p>
    <w:p w14:paraId="3D6CD638">
      <w:pPr>
        <w:spacing w:line="360" w:lineRule="auto"/>
        <w:ind w:firstLine="435"/>
        <w:rPr>
          <w:rFonts w:hint="eastAsia" w:ascii="华文仿宋" w:hAnsi="华文仿宋" w:eastAsia="华文仿宋" w:cs="华文仿宋"/>
          <w:color w:val="auto"/>
          <w:sz w:val="24"/>
          <w:szCs w:val="24"/>
          <w:highlight w:val="none"/>
          <w:lang w:val="zh-CN"/>
        </w:rPr>
      </w:pPr>
      <w:r>
        <w:rPr>
          <w:rFonts w:hint="eastAsia" w:ascii="华文仿宋" w:hAnsi="华文仿宋" w:eastAsia="华文仿宋" w:cs="华文仿宋"/>
          <w:color w:val="auto"/>
          <w:sz w:val="24"/>
          <w:szCs w:val="24"/>
          <w:highlight w:val="none"/>
          <w:lang w:val="zh-CN"/>
        </w:rPr>
        <w:t>本企业对上述声明内容的真实性负责。如有虚假，将依法承担相应责任。</w:t>
      </w:r>
    </w:p>
    <w:p w14:paraId="1B99A7F1">
      <w:pPr>
        <w:spacing w:line="360" w:lineRule="auto"/>
        <w:ind w:firstLine="435"/>
        <w:rPr>
          <w:rFonts w:hint="eastAsia" w:ascii="华文仿宋" w:hAnsi="华文仿宋" w:eastAsia="华文仿宋" w:cs="华文仿宋"/>
          <w:color w:val="auto"/>
          <w:sz w:val="24"/>
          <w:szCs w:val="24"/>
          <w:highlight w:val="none"/>
        </w:rPr>
      </w:pPr>
    </w:p>
    <w:p w14:paraId="09C481C9">
      <w:pPr>
        <w:spacing w:line="360" w:lineRule="auto"/>
        <w:ind w:firstLine="435"/>
        <w:rPr>
          <w:rFonts w:hint="eastAsia" w:ascii="华文仿宋" w:hAnsi="华文仿宋" w:eastAsia="华文仿宋" w:cs="华文仿宋"/>
          <w:color w:val="auto"/>
          <w:sz w:val="24"/>
          <w:szCs w:val="24"/>
          <w:highlight w:val="none"/>
        </w:rPr>
      </w:pPr>
    </w:p>
    <w:p w14:paraId="1A346A2D">
      <w:pPr>
        <w:spacing w:line="360" w:lineRule="auto"/>
        <w:ind w:firstLine="4228" w:firstLineChars="1762"/>
        <w:rPr>
          <w:rFonts w:hint="eastAsia" w:ascii="华文仿宋" w:hAnsi="华文仿宋" w:eastAsia="华文仿宋" w:cs="华文仿宋"/>
          <w:color w:val="auto"/>
          <w:sz w:val="24"/>
          <w:szCs w:val="24"/>
          <w:highlight w:val="none"/>
          <w:u w:val="single"/>
          <w:lang w:eastAsia="zh-CN"/>
        </w:rPr>
      </w:pPr>
      <w:r>
        <w:rPr>
          <w:rFonts w:hint="eastAsia" w:ascii="华文仿宋" w:hAnsi="华文仿宋" w:eastAsia="华文仿宋" w:cs="华文仿宋"/>
          <w:color w:val="auto"/>
          <w:sz w:val="24"/>
          <w:szCs w:val="24"/>
          <w:highlight w:val="none"/>
        </w:rPr>
        <w:t>供应商</w:t>
      </w:r>
      <w:r>
        <w:rPr>
          <w:rFonts w:hint="eastAsia" w:ascii="华文仿宋" w:hAnsi="华文仿宋" w:eastAsia="华文仿宋" w:cs="华文仿宋"/>
          <w:color w:val="auto"/>
          <w:sz w:val="24"/>
          <w:szCs w:val="24"/>
          <w:highlight w:val="none"/>
          <w:lang w:eastAsia="zh-CN"/>
        </w:rPr>
        <w:t>盖章</w:t>
      </w:r>
      <w:r>
        <w:rPr>
          <w:rFonts w:hint="eastAsia" w:ascii="华文仿宋" w:hAnsi="华文仿宋" w:eastAsia="华文仿宋" w:cs="华文仿宋"/>
          <w:color w:val="auto"/>
          <w:sz w:val="24"/>
          <w:szCs w:val="24"/>
          <w:highlight w:val="none"/>
        </w:rPr>
        <w:t>：</w:t>
      </w:r>
    </w:p>
    <w:p w14:paraId="25703BCD">
      <w:pPr>
        <w:tabs>
          <w:tab w:val="left" w:pos="4620"/>
        </w:tabs>
        <w:spacing w:line="360" w:lineRule="auto"/>
        <w:ind w:firstLine="4252" w:firstLineChars="1772"/>
        <w:rPr>
          <w:rFonts w:hint="eastAsia" w:ascii="华文仿宋" w:hAnsi="华文仿宋" w:eastAsia="华文仿宋" w:cs="华文仿宋"/>
          <w:color w:val="auto"/>
          <w:sz w:val="24"/>
          <w:szCs w:val="24"/>
          <w:highlight w:val="none"/>
          <w:u w:val="single"/>
          <w:lang w:eastAsia="zh-CN"/>
        </w:rPr>
      </w:pPr>
      <w:r>
        <w:rPr>
          <w:rFonts w:hint="eastAsia" w:ascii="华文仿宋" w:hAnsi="华文仿宋" w:eastAsia="华文仿宋" w:cs="华文仿宋"/>
          <w:color w:val="auto"/>
          <w:sz w:val="24"/>
          <w:szCs w:val="24"/>
          <w:highlight w:val="none"/>
        </w:rPr>
        <w:t>日期：</w:t>
      </w:r>
    </w:p>
    <w:p w14:paraId="1062C1FD">
      <w:pPr>
        <w:tabs>
          <w:tab w:val="left" w:pos="4620"/>
        </w:tabs>
        <w:spacing w:line="360" w:lineRule="auto"/>
        <w:jc w:val="left"/>
        <w:rPr>
          <w:rFonts w:hint="eastAsia" w:ascii="华文仿宋" w:hAnsi="华文仿宋" w:eastAsia="华文仿宋" w:cs="华文仿宋"/>
          <w:color w:val="auto"/>
          <w:sz w:val="24"/>
          <w:szCs w:val="24"/>
          <w:highlight w:val="none"/>
        </w:rPr>
      </w:pPr>
    </w:p>
    <w:p w14:paraId="64F33D19">
      <w:pPr>
        <w:tabs>
          <w:tab w:val="left" w:pos="4620"/>
        </w:tabs>
        <w:spacing w:line="360" w:lineRule="auto"/>
        <w:jc w:val="left"/>
        <w:rPr>
          <w:rFonts w:hint="eastAsia" w:ascii="华文仿宋" w:hAnsi="华文仿宋" w:eastAsia="华文仿宋" w:cs="华文仿宋"/>
          <w:color w:val="auto"/>
          <w:sz w:val="24"/>
          <w:szCs w:val="24"/>
          <w:highlight w:val="none"/>
        </w:rPr>
      </w:pPr>
    </w:p>
    <w:p w14:paraId="26FAC469">
      <w:pPr>
        <w:tabs>
          <w:tab w:val="left" w:pos="4620"/>
        </w:tabs>
        <w:spacing w:line="360" w:lineRule="auto"/>
        <w:jc w:val="left"/>
        <w:rPr>
          <w:rFonts w:hint="eastAsia" w:ascii="华文仿宋" w:hAnsi="华文仿宋" w:eastAsia="华文仿宋" w:cs="华文仿宋"/>
          <w:color w:val="auto"/>
          <w:sz w:val="24"/>
          <w:szCs w:val="24"/>
          <w:highlight w:val="none"/>
        </w:rPr>
      </w:pPr>
    </w:p>
    <w:p w14:paraId="3D594089">
      <w:pPr>
        <w:tabs>
          <w:tab w:val="left" w:pos="4620"/>
        </w:tabs>
        <w:spacing w:line="360" w:lineRule="auto"/>
        <w:jc w:val="left"/>
        <w:rPr>
          <w:rFonts w:hint="eastAsia" w:ascii="华文仿宋" w:hAnsi="华文仿宋" w:eastAsia="华文仿宋" w:cs="华文仿宋"/>
          <w:color w:val="auto"/>
          <w:sz w:val="24"/>
          <w:szCs w:val="24"/>
          <w:highlight w:val="none"/>
        </w:rPr>
      </w:pPr>
    </w:p>
    <w:bookmarkEnd w:id="231"/>
    <w:p w14:paraId="1BEBB214">
      <w:pPr>
        <w:tabs>
          <w:tab w:val="left" w:pos="4620"/>
        </w:tabs>
        <w:spacing w:line="360" w:lineRule="auto"/>
        <w:jc w:val="left"/>
        <w:rPr>
          <w:rFonts w:hint="eastAsia" w:ascii="华文仿宋" w:hAnsi="华文仿宋" w:eastAsia="华文仿宋" w:cs="华文仿宋"/>
          <w:b/>
          <w:color w:val="auto"/>
          <w:szCs w:val="24"/>
          <w:highlight w:val="none"/>
          <w:lang w:eastAsia="zh-CN"/>
        </w:rPr>
      </w:pPr>
      <w:r>
        <w:rPr>
          <w:rFonts w:hint="eastAsia" w:ascii="华文仿宋" w:hAnsi="华文仿宋" w:eastAsia="华文仿宋" w:cs="华文仿宋"/>
          <w:b/>
          <w:color w:val="auto"/>
          <w:szCs w:val="24"/>
          <w:highlight w:val="none"/>
          <w:lang w:eastAsia="zh-CN"/>
        </w:rPr>
        <w:t>注：</w:t>
      </w:r>
    </w:p>
    <w:p w14:paraId="29816C25">
      <w:pPr>
        <w:tabs>
          <w:tab w:val="left" w:pos="4620"/>
        </w:tabs>
        <w:spacing w:line="360" w:lineRule="auto"/>
        <w:jc w:val="left"/>
        <w:rPr>
          <w:rFonts w:hint="eastAsia" w:ascii="华文仿宋" w:hAnsi="华文仿宋" w:eastAsia="华文仿宋" w:cs="华文仿宋"/>
          <w:color w:val="auto"/>
          <w:szCs w:val="24"/>
          <w:highlight w:val="none"/>
        </w:rPr>
      </w:pPr>
      <w:r>
        <w:rPr>
          <w:rFonts w:hint="eastAsia" w:ascii="华文仿宋" w:hAnsi="华文仿宋" w:eastAsia="华文仿宋" w:cs="华文仿宋"/>
          <w:color w:val="auto"/>
          <w:szCs w:val="24"/>
          <w:highlight w:val="none"/>
        </w:rPr>
        <w:t>1.从业人员、营业收入、资产总额填报上一年数据，无上一年数据的新成立企业可不填报。</w:t>
      </w:r>
    </w:p>
    <w:p w14:paraId="3D5C36C0">
      <w:pPr>
        <w:tabs>
          <w:tab w:val="left" w:pos="4620"/>
        </w:tabs>
        <w:spacing w:line="360" w:lineRule="auto"/>
        <w:jc w:val="left"/>
        <w:rPr>
          <w:rFonts w:hint="eastAsia" w:ascii="华文仿宋" w:hAnsi="华文仿宋" w:eastAsia="华文仿宋" w:cs="华文仿宋"/>
          <w:b/>
          <w:bCs/>
          <w:color w:val="auto"/>
          <w:szCs w:val="21"/>
          <w:highlight w:val="none"/>
        </w:rPr>
      </w:pPr>
      <w:r>
        <w:rPr>
          <w:rFonts w:hint="eastAsia" w:ascii="华文仿宋" w:hAnsi="华文仿宋" w:eastAsia="华文仿宋" w:cs="华文仿宋"/>
          <w:b/>
          <w:bCs/>
          <w:color w:val="auto"/>
          <w:szCs w:val="21"/>
          <w:highlight w:val="none"/>
        </w:rPr>
        <w:t>2.供应商应根据《政府采购促进中小企业发展管理办法》（财库﹝2020﹞46号）和《关于印发中小企业划型标准规定的通知》(工信部联企业〔2011〕300号)相关规定，如实填写中小企业声明函。</w:t>
      </w:r>
      <w:r>
        <w:rPr>
          <w:rFonts w:hint="eastAsia" w:ascii="华文仿宋" w:hAnsi="华文仿宋" w:eastAsia="华文仿宋" w:cs="华文仿宋"/>
          <w:b/>
          <w:bCs/>
          <w:color w:val="auto"/>
          <w:szCs w:val="21"/>
          <w:highlight w:val="none"/>
          <w:lang w:val="zh-CN"/>
        </w:rPr>
        <w:t>如有虚假，将依法承担相应责任。</w:t>
      </w:r>
      <w:r>
        <w:rPr>
          <w:rFonts w:hint="eastAsia" w:ascii="华文仿宋" w:hAnsi="华文仿宋" w:eastAsia="华文仿宋" w:cs="华文仿宋"/>
          <w:b/>
          <w:bCs/>
          <w:color w:val="auto"/>
          <w:szCs w:val="21"/>
          <w:highlight w:val="none"/>
        </w:rPr>
        <w:t>供应商自行登录工业和信息化部官网进行中小企业规模类型自测（查询网址https://www.miit.gov.cn/）。</w:t>
      </w:r>
    </w:p>
    <w:p w14:paraId="5F7D7D8A">
      <w:pPr>
        <w:tabs>
          <w:tab w:val="left" w:pos="4620"/>
        </w:tabs>
        <w:spacing w:line="360" w:lineRule="auto"/>
        <w:jc w:val="left"/>
        <w:rPr>
          <w:rFonts w:hint="eastAsia" w:ascii="华文仿宋" w:hAnsi="华文仿宋" w:eastAsia="华文仿宋" w:cs="华文仿宋"/>
          <w:b/>
          <w:bCs/>
          <w:color w:val="auto"/>
          <w:szCs w:val="21"/>
          <w:highlight w:val="none"/>
        </w:rPr>
      </w:pPr>
      <w:r>
        <w:rPr>
          <w:rFonts w:hint="eastAsia" w:ascii="华文仿宋" w:hAnsi="华文仿宋" w:eastAsia="华文仿宋" w:cs="华文仿宋"/>
          <w:b/>
          <w:bCs/>
          <w:color w:val="auto"/>
          <w:szCs w:val="21"/>
          <w:highlight w:val="none"/>
        </w:rPr>
        <w:t>3.上述“</w:t>
      </w:r>
      <w:r>
        <w:rPr>
          <w:rFonts w:hint="eastAsia" w:ascii="华文仿宋" w:hAnsi="华文仿宋" w:eastAsia="华文仿宋" w:cs="华文仿宋"/>
          <w:b/>
          <w:bCs/>
          <w:color w:val="auto"/>
          <w:szCs w:val="21"/>
          <w:highlight w:val="none"/>
          <w:u w:val="single"/>
          <w:lang w:val="zh-CN"/>
        </w:rPr>
        <w:t>标的名称</w:t>
      </w:r>
      <w:r>
        <w:rPr>
          <w:rFonts w:hint="eastAsia" w:ascii="华文仿宋" w:hAnsi="华文仿宋" w:eastAsia="华文仿宋" w:cs="华文仿宋"/>
          <w:b/>
          <w:bCs/>
          <w:color w:val="auto"/>
          <w:szCs w:val="21"/>
          <w:highlight w:val="none"/>
        </w:rPr>
        <w:t>”，详见第三章采购需求前附表中明确的“标的名称”。</w:t>
      </w:r>
    </w:p>
    <w:p w14:paraId="18C4A165">
      <w:pPr>
        <w:tabs>
          <w:tab w:val="left" w:pos="4620"/>
        </w:tabs>
        <w:spacing w:line="360" w:lineRule="auto"/>
        <w:jc w:val="left"/>
        <w:rPr>
          <w:rFonts w:hint="eastAsia" w:ascii="华文仿宋" w:hAnsi="华文仿宋" w:eastAsia="华文仿宋" w:cs="华文仿宋"/>
          <w:b/>
          <w:bCs/>
          <w:color w:val="auto"/>
          <w:szCs w:val="21"/>
          <w:highlight w:val="none"/>
        </w:rPr>
      </w:pPr>
      <w:r>
        <w:rPr>
          <w:rFonts w:hint="eastAsia" w:ascii="华文仿宋" w:hAnsi="华文仿宋" w:eastAsia="华文仿宋" w:cs="华文仿宋"/>
          <w:b/>
          <w:bCs/>
          <w:color w:val="auto"/>
          <w:szCs w:val="21"/>
          <w:highlight w:val="none"/>
        </w:rPr>
        <w:t>4.上述“</w:t>
      </w:r>
      <w:r>
        <w:rPr>
          <w:rFonts w:hint="eastAsia" w:ascii="华文仿宋" w:hAnsi="华文仿宋" w:eastAsia="华文仿宋" w:cs="华文仿宋"/>
          <w:b/>
          <w:bCs/>
          <w:color w:val="auto"/>
          <w:szCs w:val="21"/>
          <w:highlight w:val="none"/>
          <w:u w:val="single"/>
        </w:rPr>
        <w:t>采购文件中明确的所属行业</w:t>
      </w:r>
      <w:r>
        <w:rPr>
          <w:rFonts w:hint="eastAsia" w:ascii="华文仿宋" w:hAnsi="华文仿宋" w:eastAsia="华文仿宋" w:cs="华文仿宋"/>
          <w:b/>
          <w:bCs/>
          <w:color w:val="auto"/>
          <w:szCs w:val="21"/>
          <w:highlight w:val="none"/>
        </w:rPr>
        <w:t>”，详见第三章采购需求前附表中明确的“所属行业”。</w:t>
      </w:r>
    </w:p>
    <w:p w14:paraId="69A2FE1D">
      <w:pPr>
        <w:tabs>
          <w:tab w:val="left" w:pos="4620"/>
        </w:tabs>
        <w:spacing w:line="360" w:lineRule="auto"/>
        <w:jc w:val="left"/>
        <w:rPr>
          <w:rFonts w:hint="eastAsia" w:ascii="华文仿宋" w:hAnsi="华文仿宋" w:eastAsia="华文仿宋" w:cs="华文仿宋"/>
          <w:b/>
          <w:bCs/>
          <w:color w:val="auto"/>
          <w:szCs w:val="21"/>
          <w:highlight w:val="none"/>
        </w:rPr>
      </w:pPr>
      <w:r>
        <w:rPr>
          <w:rFonts w:hint="eastAsia" w:ascii="华文仿宋" w:hAnsi="华文仿宋" w:eastAsia="华文仿宋" w:cs="华文仿宋"/>
          <w:b/>
          <w:bCs/>
          <w:color w:val="auto"/>
          <w:szCs w:val="21"/>
          <w:highlight w:val="none"/>
        </w:rPr>
        <w:t>5．填写示例：</w:t>
      </w:r>
      <w:r>
        <w:rPr>
          <w:rFonts w:hint="eastAsia" w:ascii="华文仿宋" w:hAnsi="华文仿宋" w:eastAsia="华文仿宋" w:cs="华文仿宋"/>
          <w:b/>
          <w:bCs/>
          <w:color w:val="auto"/>
          <w:szCs w:val="21"/>
          <w:highlight w:val="none"/>
          <w:u w:val="single"/>
        </w:rPr>
        <w:t>某标的名称</w:t>
      </w:r>
      <w:r>
        <w:rPr>
          <w:rFonts w:hint="eastAsia" w:ascii="华文仿宋" w:hAnsi="华文仿宋" w:eastAsia="华文仿宋" w:cs="华文仿宋"/>
          <w:b/>
          <w:bCs/>
          <w:color w:val="auto"/>
          <w:szCs w:val="21"/>
          <w:highlight w:val="none"/>
        </w:rPr>
        <w:t>（</w:t>
      </w:r>
      <w:r>
        <w:rPr>
          <w:rFonts w:hint="eastAsia" w:ascii="华文仿宋" w:hAnsi="华文仿宋" w:eastAsia="华文仿宋" w:cs="华文仿宋"/>
          <w:b/>
          <w:bCs/>
          <w:color w:val="auto"/>
          <w:szCs w:val="21"/>
          <w:highlight w:val="none"/>
          <w:u w:val="single"/>
        </w:rPr>
        <w:t>填写第三章采购需求前附表中明确的“标的名称”</w:t>
      </w:r>
      <w:r>
        <w:rPr>
          <w:rFonts w:hint="eastAsia" w:ascii="华文仿宋" w:hAnsi="华文仿宋" w:eastAsia="华文仿宋" w:cs="华文仿宋"/>
          <w:b/>
          <w:bCs/>
          <w:color w:val="auto"/>
          <w:szCs w:val="21"/>
          <w:highlight w:val="none"/>
        </w:rPr>
        <w:t>），属于</w:t>
      </w:r>
      <w:r>
        <w:rPr>
          <w:rFonts w:hint="eastAsia" w:ascii="华文仿宋" w:hAnsi="华文仿宋" w:eastAsia="华文仿宋" w:cs="华文仿宋"/>
          <w:b/>
          <w:bCs/>
          <w:color w:val="auto"/>
          <w:szCs w:val="21"/>
          <w:highlight w:val="none"/>
          <w:u w:val="single"/>
        </w:rPr>
        <w:t>（填写第三章采购需求前附表中明确的“所属行业”，如软件和信息技术服务业）</w:t>
      </w:r>
      <w:r>
        <w:rPr>
          <w:rFonts w:hint="eastAsia" w:ascii="华文仿宋" w:hAnsi="华文仿宋" w:eastAsia="华文仿宋" w:cs="华文仿宋"/>
          <w:b/>
          <w:bCs/>
          <w:color w:val="auto"/>
          <w:szCs w:val="21"/>
          <w:highlight w:val="none"/>
        </w:rPr>
        <w:t>行业；承接企业为</w:t>
      </w:r>
      <w:r>
        <w:rPr>
          <w:rFonts w:hint="eastAsia" w:ascii="华文仿宋" w:hAnsi="华文仿宋" w:eastAsia="华文仿宋" w:cs="华文仿宋"/>
          <w:b/>
          <w:bCs/>
          <w:color w:val="auto"/>
          <w:szCs w:val="21"/>
          <w:highlight w:val="none"/>
          <w:u w:val="single"/>
          <w:lang w:val="zh-CN"/>
        </w:rPr>
        <w:t>某</w:t>
      </w:r>
      <w:r>
        <w:rPr>
          <w:rFonts w:hint="eastAsia" w:ascii="华文仿宋" w:hAnsi="华文仿宋" w:eastAsia="华文仿宋" w:cs="华文仿宋"/>
          <w:b/>
          <w:bCs/>
          <w:color w:val="auto"/>
          <w:szCs w:val="21"/>
          <w:highlight w:val="none"/>
          <w:u w:val="single"/>
        </w:rPr>
        <w:t>企业</w:t>
      </w:r>
      <w:r>
        <w:rPr>
          <w:rFonts w:hint="eastAsia" w:ascii="华文仿宋" w:hAnsi="华文仿宋" w:eastAsia="华文仿宋" w:cs="华文仿宋"/>
          <w:b/>
          <w:bCs/>
          <w:color w:val="auto"/>
          <w:szCs w:val="21"/>
          <w:highlight w:val="none"/>
        </w:rPr>
        <w:t>，</w:t>
      </w:r>
      <w:r>
        <w:rPr>
          <w:rFonts w:hint="eastAsia" w:ascii="华文仿宋" w:hAnsi="华文仿宋" w:eastAsia="华文仿宋" w:cs="华文仿宋"/>
          <w:b/>
          <w:bCs/>
          <w:color w:val="auto"/>
          <w:szCs w:val="21"/>
          <w:highlight w:val="none"/>
          <w:lang w:val="zh-CN"/>
        </w:rPr>
        <w:t>从业人员</w:t>
      </w:r>
      <w:r>
        <w:rPr>
          <w:rFonts w:hint="eastAsia" w:ascii="华文仿宋" w:hAnsi="华文仿宋" w:eastAsia="华文仿宋" w:cs="华文仿宋"/>
          <w:b/>
          <w:bCs/>
          <w:color w:val="auto"/>
          <w:szCs w:val="21"/>
          <w:highlight w:val="none"/>
          <w:u w:val="single"/>
        </w:rPr>
        <w:t>100</w:t>
      </w:r>
      <w:r>
        <w:rPr>
          <w:rFonts w:hint="eastAsia" w:ascii="华文仿宋" w:hAnsi="华文仿宋" w:eastAsia="华文仿宋" w:cs="华文仿宋"/>
          <w:b/>
          <w:bCs/>
          <w:color w:val="auto"/>
          <w:szCs w:val="21"/>
          <w:highlight w:val="none"/>
          <w:lang w:val="zh-CN"/>
        </w:rPr>
        <w:t>人</w:t>
      </w:r>
      <w:r>
        <w:rPr>
          <w:rFonts w:hint="eastAsia" w:ascii="华文仿宋" w:hAnsi="华文仿宋" w:eastAsia="华文仿宋" w:cs="华文仿宋"/>
          <w:b/>
          <w:bCs/>
          <w:color w:val="auto"/>
          <w:szCs w:val="21"/>
          <w:highlight w:val="none"/>
        </w:rPr>
        <w:t>，</w:t>
      </w:r>
      <w:r>
        <w:rPr>
          <w:rFonts w:hint="eastAsia" w:ascii="华文仿宋" w:hAnsi="华文仿宋" w:eastAsia="华文仿宋" w:cs="华文仿宋"/>
          <w:b/>
          <w:bCs/>
          <w:color w:val="auto"/>
          <w:szCs w:val="21"/>
          <w:highlight w:val="none"/>
          <w:lang w:val="zh-CN"/>
        </w:rPr>
        <w:t>营业收入为</w:t>
      </w:r>
      <w:r>
        <w:rPr>
          <w:rFonts w:hint="eastAsia" w:ascii="华文仿宋" w:hAnsi="华文仿宋" w:eastAsia="华文仿宋" w:cs="华文仿宋"/>
          <w:b/>
          <w:bCs/>
          <w:color w:val="auto"/>
          <w:szCs w:val="21"/>
          <w:highlight w:val="none"/>
          <w:u w:val="single"/>
        </w:rPr>
        <w:t>10000</w:t>
      </w:r>
      <w:r>
        <w:rPr>
          <w:rFonts w:hint="eastAsia" w:ascii="华文仿宋" w:hAnsi="华文仿宋" w:eastAsia="华文仿宋" w:cs="华文仿宋"/>
          <w:b/>
          <w:bCs/>
          <w:color w:val="auto"/>
          <w:szCs w:val="21"/>
          <w:highlight w:val="none"/>
          <w:lang w:val="zh-CN"/>
        </w:rPr>
        <w:t>万元</w:t>
      </w:r>
      <w:r>
        <w:rPr>
          <w:rFonts w:hint="eastAsia" w:ascii="华文仿宋" w:hAnsi="华文仿宋" w:eastAsia="华文仿宋" w:cs="华文仿宋"/>
          <w:b/>
          <w:bCs/>
          <w:color w:val="auto"/>
          <w:szCs w:val="21"/>
          <w:highlight w:val="none"/>
        </w:rPr>
        <w:t>，</w:t>
      </w:r>
      <w:r>
        <w:rPr>
          <w:rFonts w:hint="eastAsia" w:ascii="华文仿宋" w:hAnsi="华文仿宋" w:eastAsia="华文仿宋" w:cs="华文仿宋"/>
          <w:b/>
          <w:bCs/>
          <w:color w:val="auto"/>
          <w:szCs w:val="21"/>
          <w:highlight w:val="none"/>
          <w:lang w:val="zh-CN"/>
        </w:rPr>
        <w:t>资产总额为</w:t>
      </w:r>
      <w:r>
        <w:rPr>
          <w:rFonts w:hint="eastAsia" w:ascii="华文仿宋" w:hAnsi="华文仿宋" w:eastAsia="华文仿宋" w:cs="华文仿宋"/>
          <w:b/>
          <w:bCs/>
          <w:color w:val="auto"/>
          <w:szCs w:val="21"/>
          <w:highlight w:val="none"/>
          <w:u w:val="single"/>
        </w:rPr>
        <w:t>5000</w:t>
      </w:r>
      <w:r>
        <w:rPr>
          <w:rFonts w:hint="eastAsia" w:ascii="华文仿宋" w:hAnsi="华文仿宋" w:eastAsia="华文仿宋" w:cs="华文仿宋"/>
          <w:b/>
          <w:bCs/>
          <w:color w:val="auto"/>
          <w:szCs w:val="21"/>
          <w:highlight w:val="none"/>
          <w:lang w:val="zh-CN"/>
        </w:rPr>
        <w:t>万元</w:t>
      </w:r>
      <w:r>
        <w:rPr>
          <w:rFonts w:hint="eastAsia" w:ascii="华文仿宋" w:hAnsi="华文仿宋" w:eastAsia="华文仿宋" w:cs="华文仿宋"/>
          <w:b/>
          <w:bCs/>
          <w:color w:val="auto"/>
          <w:szCs w:val="21"/>
          <w:highlight w:val="none"/>
        </w:rPr>
        <w:t>，</w:t>
      </w:r>
      <w:r>
        <w:rPr>
          <w:rFonts w:hint="eastAsia" w:ascii="华文仿宋" w:hAnsi="华文仿宋" w:eastAsia="华文仿宋" w:cs="华文仿宋"/>
          <w:b/>
          <w:bCs/>
          <w:color w:val="auto"/>
          <w:szCs w:val="21"/>
          <w:highlight w:val="none"/>
          <w:lang w:val="zh-CN"/>
        </w:rPr>
        <w:t>属于</w:t>
      </w:r>
      <w:r>
        <w:rPr>
          <w:rFonts w:hint="eastAsia" w:ascii="华文仿宋" w:hAnsi="华文仿宋" w:eastAsia="华文仿宋" w:cs="华文仿宋"/>
          <w:b/>
          <w:bCs/>
          <w:color w:val="auto"/>
          <w:szCs w:val="21"/>
          <w:highlight w:val="none"/>
        </w:rPr>
        <w:t>中</w:t>
      </w:r>
      <w:r>
        <w:rPr>
          <w:rFonts w:hint="eastAsia" w:ascii="华文仿宋" w:hAnsi="华文仿宋" w:eastAsia="华文仿宋" w:cs="华文仿宋"/>
          <w:b/>
          <w:bCs/>
          <w:color w:val="auto"/>
          <w:szCs w:val="21"/>
          <w:highlight w:val="none"/>
          <w:u w:val="single"/>
          <w:lang w:val="zh-CN"/>
        </w:rPr>
        <w:t>型</w:t>
      </w:r>
      <w:r>
        <w:rPr>
          <w:rFonts w:hint="eastAsia" w:ascii="华文仿宋" w:hAnsi="华文仿宋" w:eastAsia="华文仿宋" w:cs="华文仿宋"/>
          <w:b/>
          <w:bCs/>
          <w:color w:val="auto"/>
          <w:szCs w:val="21"/>
          <w:highlight w:val="none"/>
          <w:lang w:val="zh-CN"/>
        </w:rPr>
        <w:t>企业</w:t>
      </w:r>
      <w:r>
        <w:rPr>
          <w:rFonts w:hint="eastAsia" w:ascii="华文仿宋" w:hAnsi="华文仿宋" w:eastAsia="华文仿宋" w:cs="华文仿宋"/>
          <w:b/>
          <w:bCs/>
          <w:color w:val="auto"/>
          <w:szCs w:val="21"/>
          <w:highlight w:val="none"/>
        </w:rPr>
        <w:t>[供应商自行登录工业和信息化部官网进行中小企业规模类型自测（查询网址https://www.miit.gov.cn/）]</w:t>
      </w:r>
      <w:r>
        <w:rPr>
          <w:rFonts w:hint="eastAsia" w:ascii="华文仿宋" w:hAnsi="华文仿宋" w:eastAsia="华文仿宋" w:cs="华文仿宋"/>
          <w:b/>
          <w:bCs/>
          <w:color w:val="auto"/>
          <w:szCs w:val="21"/>
          <w:highlight w:val="none"/>
          <w:lang w:val="zh-CN"/>
        </w:rPr>
        <w:t>。</w:t>
      </w:r>
    </w:p>
    <w:p w14:paraId="35E82A62">
      <w:pPr>
        <w:tabs>
          <w:tab w:val="left" w:pos="4620"/>
        </w:tabs>
        <w:spacing w:line="360" w:lineRule="auto"/>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br w:type="page"/>
      </w:r>
    </w:p>
    <w:p w14:paraId="044432EB">
      <w:pPr>
        <w:spacing w:line="360" w:lineRule="auto"/>
        <w:jc w:val="center"/>
        <w:outlineLvl w:val="1"/>
        <w:rPr>
          <w:rFonts w:hint="eastAsia" w:ascii="华文仿宋" w:hAnsi="华文仿宋" w:eastAsia="华文仿宋" w:cs="华文仿宋"/>
          <w:b/>
          <w:color w:val="auto"/>
          <w:sz w:val="24"/>
          <w:highlight w:val="none"/>
        </w:rPr>
      </w:pPr>
      <w:bookmarkStart w:id="232" w:name="_Toc5908"/>
      <w:bookmarkStart w:id="233" w:name="_Toc17713"/>
      <w:bookmarkStart w:id="234" w:name="_Hlk60608725"/>
      <w:r>
        <w:rPr>
          <w:rFonts w:hint="eastAsia" w:ascii="华文仿宋" w:hAnsi="华文仿宋" w:eastAsia="华文仿宋" w:cs="华文仿宋"/>
          <w:b/>
          <w:color w:val="auto"/>
          <w:sz w:val="24"/>
          <w:highlight w:val="none"/>
          <w:lang w:val="en-US" w:eastAsia="zh-CN"/>
        </w:rPr>
        <w:t>八</w:t>
      </w:r>
      <w:r>
        <w:rPr>
          <w:rFonts w:hint="eastAsia" w:ascii="华文仿宋" w:hAnsi="华文仿宋" w:eastAsia="华文仿宋" w:cs="华文仿宋"/>
          <w:b/>
          <w:color w:val="auto"/>
          <w:sz w:val="24"/>
          <w:highlight w:val="none"/>
        </w:rPr>
        <w:t>、残疾人福利性单位声明函</w:t>
      </w:r>
      <w:bookmarkEnd w:id="232"/>
      <w:bookmarkEnd w:id="233"/>
    </w:p>
    <w:p w14:paraId="4EDFCA79">
      <w:pPr>
        <w:pStyle w:val="9"/>
        <w:jc w:val="center"/>
        <w:rPr>
          <w:rFonts w:hint="eastAsia" w:ascii="华文仿宋" w:hAnsi="华文仿宋" w:eastAsia="华文仿宋" w:cs="华文仿宋"/>
          <w:color w:val="auto"/>
          <w:spacing w:val="6"/>
          <w:sz w:val="24"/>
          <w:szCs w:val="24"/>
          <w:highlight w:val="none"/>
        </w:rPr>
      </w:pPr>
      <w:r>
        <w:rPr>
          <w:rFonts w:hint="eastAsia" w:ascii="华文仿宋" w:hAnsi="华文仿宋" w:eastAsia="华文仿宋" w:cs="华文仿宋"/>
          <w:b w:val="0"/>
          <w:i/>
          <w:color w:val="auto"/>
          <w:sz w:val="24"/>
          <w:highlight w:val="none"/>
          <w:lang w:val="en-US" w:eastAsia="zh-CN"/>
        </w:rPr>
        <w:t>（非残疾人福利性单位磋商，请删去“残疾人福利性单位声明函”）</w:t>
      </w:r>
    </w:p>
    <w:p w14:paraId="2A5772F2">
      <w:pPr>
        <w:spacing w:line="360" w:lineRule="auto"/>
        <w:ind w:firstLine="435"/>
        <w:rPr>
          <w:rFonts w:hint="eastAsia" w:ascii="华文仿宋" w:hAnsi="华文仿宋" w:eastAsia="华文仿宋" w:cs="华文仿宋"/>
          <w:color w:val="auto"/>
          <w:spacing w:val="6"/>
          <w:sz w:val="24"/>
          <w:szCs w:val="24"/>
          <w:highlight w:val="none"/>
        </w:rPr>
      </w:pPr>
      <w:r>
        <w:rPr>
          <w:rFonts w:hint="eastAsia" w:ascii="华文仿宋" w:hAnsi="华文仿宋" w:eastAsia="华文仿宋" w:cs="华文仿宋"/>
          <w:color w:val="auto"/>
          <w:spacing w:val="6"/>
          <w:sz w:val="24"/>
          <w:szCs w:val="24"/>
          <w:highlight w:val="none"/>
        </w:rPr>
        <w:t>本单位</w:t>
      </w:r>
      <w:r>
        <w:rPr>
          <w:rFonts w:hint="eastAsia" w:ascii="华文仿宋" w:hAnsi="华文仿宋" w:eastAsia="华文仿宋" w:cs="华文仿宋"/>
          <w:color w:val="auto"/>
          <w:sz w:val="24"/>
          <w:highlight w:val="none"/>
        </w:rPr>
        <w:t>郑重</w:t>
      </w:r>
      <w:r>
        <w:rPr>
          <w:rFonts w:hint="eastAsia" w:ascii="华文仿宋" w:hAnsi="华文仿宋" w:eastAsia="华文仿宋" w:cs="华文仿宋"/>
          <w:color w:val="auto"/>
          <w:spacing w:val="6"/>
          <w:sz w:val="24"/>
          <w:szCs w:val="24"/>
          <w:highlight w:val="none"/>
        </w:rPr>
        <w:t>声明，根据《财政部民政部中国残疾人联合会关于促进残疾人就业政府采购政策的通知》（财库</w:t>
      </w:r>
      <w:r>
        <w:rPr>
          <w:rFonts w:hint="eastAsia" w:ascii="华文仿宋" w:hAnsi="华文仿宋" w:eastAsia="华文仿宋" w:cs="华文仿宋"/>
          <w:color w:val="auto"/>
          <w:sz w:val="24"/>
          <w:szCs w:val="24"/>
          <w:highlight w:val="none"/>
        </w:rPr>
        <w:t>〔2017〕141</w:t>
      </w:r>
      <w:r>
        <w:rPr>
          <w:rFonts w:hint="eastAsia" w:ascii="华文仿宋" w:hAnsi="华文仿宋" w:eastAsia="华文仿宋" w:cs="华文仿宋"/>
          <w:color w:val="auto"/>
          <w:spacing w:val="6"/>
          <w:sz w:val="24"/>
          <w:szCs w:val="24"/>
          <w:highlight w:val="none"/>
        </w:rPr>
        <w:t>号）的规定，本单位为</w:t>
      </w:r>
      <w:r>
        <w:rPr>
          <w:rFonts w:hint="eastAsia" w:ascii="华文仿宋" w:hAnsi="华文仿宋" w:eastAsia="华文仿宋" w:cs="华文仿宋"/>
          <w:bCs/>
          <w:color w:val="auto"/>
          <w:sz w:val="24"/>
          <w:szCs w:val="24"/>
          <w:highlight w:val="none"/>
        </w:rPr>
        <w:t>符合</w:t>
      </w:r>
      <w:r>
        <w:rPr>
          <w:rFonts w:hint="eastAsia" w:ascii="华文仿宋" w:hAnsi="华文仿宋" w:eastAsia="华文仿宋" w:cs="华文仿宋"/>
          <w:color w:val="auto"/>
          <w:spacing w:val="6"/>
          <w:sz w:val="24"/>
          <w:szCs w:val="24"/>
          <w:highlight w:val="none"/>
        </w:rPr>
        <w:t>条件的残疾人福利性单位，且本单位参加单位的项目采购活动提供本单位制造的货物</w:t>
      </w:r>
      <w:r>
        <w:rPr>
          <w:rFonts w:hint="eastAsia" w:ascii="华文仿宋" w:hAnsi="华文仿宋" w:eastAsia="华文仿宋" w:cs="华文仿宋"/>
          <w:color w:val="auto"/>
          <w:spacing w:val="6"/>
          <w:sz w:val="24"/>
          <w:szCs w:val="24"/>
          <w:highlight w:val="none"/>
          <w:lang w:eastAsia="zh-CN"/>
        </w:rPr>
        <w:t>（</w:t>
      </w:r>
      <w:r>
        <w:rPr>
          <w:rFonts w:hint="eastAsia" w:ascii="华文仿宋" w:hAnsi="华文仿宋" w:eastAsia="华文仿宋" w:cs="华文仿宋"/>
          <w:color w:val="auto"/>
          <w:spacing w:val="6"/>
          <w:sz w:val="24"/>
          <w:szCs w:val="24"/>
          <w:highlight w:val="none"/>
          <w:lang w:val="en-US" w:eastAsia="zh-CN"/>
        </w:rPr>
        <w:t>由本单位承担工程/提供服务</w:t>
      </w:r>
      <w:r>
        <w:rPr>
          <w:rFonts w:hint="eastAsia" w:ascii="华文仿宋" w:hAnsi="华文仿宋" w:eastAsia="华文仿宋" w:cs="华文仿宋"/>
          <w:color w:val="auto"/>
          <w:spacing w:val="6"/>
          <w:sz w:val="24"/>
          <w:szCs w:val="24"/>
          <w:highlight w:val="none"/>
          <w:lang w:eastAsia="zh-CN"/>
        </w:rPr>
        <w:t>）</w:t>
      </w:r>
      <w:r>
        <w:rPr>
          <w:rFonts w:hint="eastAsia" w:ascii="华文仿宋" w:hAnsi="华文仿宋" w:eastAsia="华文仿宋" w:cs="华文仿宋"/>
          <w:color w:val="auto"/>
          <w:spacing w:val="6"/>
          <w:sz w:val="24"/>
          <w:szCs w:val="24"/>
          <w:highlight w:val="none"/>
        </w:rPr>
        <w:t>，或者提供其他残疾人福利性单位制造的货物（不包括使用非残疾人福利性单位注册商标的货物）。</w:t>
      </w:r>
    </w:p>
    <w:p w14:paraId="3ED60730">
      <w:pPr>
        <w:spacing w:line="360" w:lineRule="auto"/>
        <w:ind w:firstLine="435"/>
        <w:rPr>
          <w:rFonts w:hint="eastAsia" w:ascii="华文仿宋" w:hAnsi="华文仿宋" w:eastAsia="华文仿宋" w:cs="华文仿宋"/>
          <w:color w:val="auto"/>
          <w:spacing w:val="6"/>
          <w:sz w:val="24"/>
          <w:szCs w:val="24"/>
          <w:highlight w:val="none"/>
        </w:rPr>
      </w:pPr>
      <w:r>
        <w:rPr>
          <w:rFonts w:hint="eastAsia" w:ascii="华文仿宋" w:hAnsi="华文仿宋" w:eastAsia="华文仿宋" w:cs="华文仿宋"/>
          <w:color w:val="auto"/>
          <w:spacing w:val="6"/>
          <w:sz w:val="24"/>
          <w:szCs w:val="24"/>
          <w:highlight w:val="none"/>
        </w:rPr>
        <w:t>本单位对上述声明的真实性负责。如有虚假，将依法承担相应责任。</w:t>
      </w:r>
    </w:p>
    <w:p w14:paraId="0309A089">
      <w:pPr>
        <w:spacing w:line="360" w:lineRule="auto"/>
        <w:ind w:firstLine="4228" w:firstLineChars="1762"/>
        <w:rPr>
          <w:rFonts w:hint="eastAsia" w:ascii="华文仿宋" w:hAnsi="华文仿宋" w:eastAsia="华文仿宋" w:cs="华文仿宋"/>
          <w:color w:val="auto"/>
          <w:sz w:val="24"/>
          <w:szCs w:val="24"/>
          <w:highlight w:val="none"/>
        </w:rPr>
      </w:pPr>
    </w:p>
    <w:p w14:paraId="7A8F1093">
      <w:pPr>
        <w:spacing w:line="360" w:lineRule="auto"/>
        <w:ind w:firstLine="4228" w:firstLineChars="1762"/>
        <w:rPr>
          <w:rFonts w:hint="eastAsia" w:ascii="华文仿宋" w:hAnsi="华文仿宋" w:eastAsia="华文仿宋" w:cs="华文仿宋"/>
          <w:color w:val="auto"/>
          <w:sz w:val="24"/>
          <w:szCs w:val="24"/>
          <w:highlight w:val="none"/>
        </w:rPr>
      </w:pPr>
    </w:p>
    <w:p w14:paraId="7006348E">
      <w:pPr>
        <w:spacing w:line="360" w:lineRule="auto"/>
        <w:ind w:firstLine="4228" w:firstLineChars="1762"/>
        <w:rPr>
          <w:rFonts w:hint="eastAsia" w:ascii="华文仿宋" w:hAnsi="华文仿宋" w:eastAsia="华文仿宋" w:cs="华文仿宋"/>
          <w:color w:val="auto"/>
          <w:sz w:val="24"/>
          <w:szCs w:val="24"/>
          <w:highlight w:val="none"/>
          <w:u w:val="single"/>
          <w:lang w:eastAsia="zh-CN"/>
        </w:rPr>
      </w:pPr>
      <w:r>
        <w:rPr>
          <w:rFonts w:hint="eastAsia" w:ascii="华文仿宋" w:hAnsi="华文仿宋" w:eastAsia="华文仿宋" w:cs="华文仿宋"/>
          <w:color w:val="auto"/>
          <w:sz w:val="24"/>
          <w:szCs w:val="24"/>
          <w:highlight w:val="none"/>
        </w:rPr>
        <w:t>供应商</w:t>
      </w:r>
      <w:r>
        <w:rPr>
          <w:rFonts w:hint="eastAsia" w:ascii="华文仿宋" w:hAnsi="华文仿宋" w:eastAsia="华文仿宋" w:cs="华文仿宋"/>
          <w:color w:val="auto"/>
          <w:sz w:val="24"/>
          <w:szCs w:val="24"/>
          <w:highlight w:val="none"/>
          <w:lang w:eastAsia="zh-CN"/>
        </w:rPr>
        <w:t>盖章</w:t>
      </w:r>
      <w:r>
        <w:rPr>
          <w:rFonts w:hint="eastAsia" w:ascii="华文仿宋" w:hAnsi="华文仿宋" w:eastAsia="华文仿宋" w:cs="华文仿宋"/>
          <w:color w:val="auto"/>
          <w:sz w:val="24"/>
          <w:szCs w:val="24"/>
          <w:highlight w:val="none"/>
        </w:rPr>
        <w:t>：</w:t>
      </w:r>
    </w:p>
    <w:p w14:paraId="5946A769">
      <w:pPr>
        <w:tabs>
          <w:tab w:val="left" w:pos="4620"/>
        </w:tabs>
        <w:spacing w:line="360" w:lineRule="auto"/>
        <w:ind w:firstLine="4252" w:firstLineChars="1772"/>
        <w:rPr>
          <w:rFonts w:hint="eastAsia" w:ascii="华文仿宋" w:hAnsi="华文仿宋" w:eastAsia="华文仿宋" w:cs="华文仿宋"/>
          <w:color w:val="auto"/>
          <w:sz w:val="24"/>
          <w:szCs w:val="24"/>
          <w:highlight w:val="none"/>
          <w:u w:val="single"/>
          <w:lang w:eastAsia="zh-CN"/>
        </w:rPr>
      </w:pPr>
      <w:r>
        <w:rPr>
          <w:rFonts w:hint="eastAsia" w:ascii="华文仿宋" w:hAnsi="华文仿宋" w:eastAsia="华文仿宋" w:cs="华文仿宋"/>
          <w:color w:val="auto"/>
          <w:sz w:val="24"/>
          <w:szCs w:val="24"/>
          <w:highlight w:val="none"/>
        </w:rPr>
        <w:t>日期：</w:t>
      </w:r>
    </w:p>
    <w:bookmarkEnd w:id="234"/>
    <w:p w14:paraId="4600F4A3">
      <w:pPr>
        <w:widowControl/>
        <w:jc w:val="left"/>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br w:type="page"/>
      </w:r>
    </w:p>
    <w:p w14:paraId="1AC1F39F">
      <w:pPr>
        <w:spacing w:line="360" w:lineRule="auto"/>
        <w:jc w:val="center"/>
        <w:outlineLvl w:val="1"/>
        <w:rPr>
          <w:rFonts w:hint="eastAsia" w:ascii="华文仿宋" w:hAnsi="华文仿宋" w:eastAsia="华文仿宋" w:cs="华文仿宋"/>
          <w:b/>
          <w:color w:val="auto"/>
          <w:sz w:val="24"/>
          <w:highlight w:val="none"/>
        </w:rPr>
      </w:pPr>
      <w:bookmarkStart w:id="235" w:name="_Toc2278"/>
      <w:bookmarkStart w:id="236" w:name="_Toc20592"/>
      <w:bookmarkStart w:id="237" w:name="_Hlk44283088"/>
      <w:r>
        <w:rPr>
          <w:rFonts w:hint="eastAsia" w:ascii="华文仿宋" w:hAnsi="华文仿宋" w:eastAsia="华文仿宋" w:cs="华文仿宋"/>
          <w:b/>
          <w:color w:val="auto"/>
          <w:sz w:val="24"/>
          <w:szCs w:val="20"/>
          <w:highlight w:val="none"/>
          <w:lang w:val="en-US" w:eastAsia="zh-CN"/>
        </w:rPr>
        <w:t>九</w:t>
      </w:r>
      <w:r>
        <w:rPr>
          <w:rFonts w:hint="eastAsia" w:ascii="华文仿宋" w:hAnsi="华文仿宋" w:eastAsia="华文仿宋" w:cs="华文仿宋"/>
          <w:b/>
          <w:color w:val="auto"/>
          <w:sz w:val="24"/>
          <w:highlight w:val="none"/>
        </w:rPr>
        <w:t>、诚信履约承诺函</w:t>
      </w:r>
      <w:bookmarkEnd w:id="235"/>
      <w:bookmarkEnd w:id="236"/>
    </w:p>
    <w:p w14:paraId="4400A65A">
      <w:pPr>
        <w:spacing w:line="360" w:lineRule="auto"/>
        <w:rPr>
          <w:rFonts w:hint="eastAsia" w:ascii="华文仿宋" w:hAnsi="华文仿宋" w:eastAsia="华文仿宋" w:cs="华文仿宋"/>
          <w:b/>
          <w:bCs/>
          <w:color w:val="auto"/>
          <w:sz w:val="24"/>
          <w:highlight w:val="none"/>
        </w:rPr>
      </w:pPr>
    </w:p>
    <w:p w14:paraId="44F134C2">
      <w:pPr>
        <w:spacing w:line="360" w:lineRule="auto"/>
        <w:rPr>
          <w:rFonts w:hint="eastAsia" w:ascii="华文仿宋" w:hAnsi="华文仿宋" w:eastAsia="华文仿宋" w:cs="华文仿宋"/>
          <w:b/>
          <w:bCs/>
          <w:color w:val="auto"/>
          <w:sz w:val="24"/>
          <w:highlight w:val="none"/>
          <w:u w:val="single"/>
          <w:lang w:val="en-US" w:eastAsia="zh-CN"/>
        </w:rPr>
      </w:pPr>
      <w:r>
        <w:rPr>
          <w:rFonts w:hint="eastAsia" w:ascii="华文仿宋" w:hAnsi="华文仿宋" w:eastAsia="华文仿宋" w:cs="华文仿宋"/>
          <w:b/>
          <w:bCs/>
          <w:color w:val="auto"/>
          <w:sz w:val="24"/>
          <w:highlight w:val="none"/>
        </w:rPr>
        <w:t>致：</w:t>
      </w:r>
      <w:r>
        <w:rPr>
          <w:rFonts w:hint="eastAsia" w:ascii="华文仿宋" w:hAnsi="华文仿宋" w:eastAsia="华文仿宋" w:cs="华文仿宋"/>
          <w:b/>
          <w:bCs/>
          <w:color w:val="auto"/>
          <w:sz w:val="24"/>
          <w:highlight w:val="none"/>
          <w:lang w:val="en-US" w:eastAsia="zh-CN"/>
        </w:rPr>
        <w:t>采购人</w:t>
      </w:r>
    </w:p>
    <w:p w14:paraId="31C4328A">
      <w:pPr>
        <w:spacing w:line="360" w:lineRule="auto"/>
        <w:ind w:firstLine="480" w:firstLineChars="200"/>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35A3A244">
      <w:pPr>
        <w:spacing w:line="360" w:lineRule="auto"/>
        <w:ind w:firstLine="480" w:firstLineChars="200"/>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t>（1）中标或者成交后无正当理由拒不与采购人签订政府采购合同；</w:t>
      </w:r>
    </w:p>
    <w:p w14:paraId="0F3D729F">
      <w:pPr>
        <w:spacing w:line="360" w:lineRule="auto"/>
        <w:ind w:firstLine="480" w:firstLineChars="200"/>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t>（2）未按照采购文件确定的事项签订政府采购合同；</w:t>
      </w:r>
    </w:p>
    <w:p w14:paraId="1DCD9B4F">
      <w:pPr>
        <w:spacing w:line="360" w:lineRule="auto"/>
        <w:ind w:firstLine="480" w:firstLineChars="200"/>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t>（3）将政府采购合同转包；</w:t>
      </w:r>
    </w:p>
    <w:p w14:paraId="15C30CF1">
      <w:pPr>
        <w:spacing w:line="360" w:lineRule="auto"/>
        <w:ind w:firstLine="480" w:firstLineChars="200"/>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t>（4）提供假冒伪劣产品；</w:t>
      </w:r>
    </w:p>
    <w:p w14:paraId="24B7F731">
      <w:pPr>
        <w:spacing w:line="360" w:lineRule="auto"/>
        <w:ind w:firstLine="480" w:firstLineChars="200"/>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t>（5）擅自变更、中止或者终止政府采购合同。</w:t>
      </w:r>
    </w:p>
    <w:p w14:paraId="7E8191CB">
      <w:pPr>
        <w:spacing w:line="360" w:lineRule="auto"/>
        <w:ind w:firstLine="480" w:firstLineChars="200"/>
        <w:rPr>
          <w:rFonts w:hint="eastAsia" w:ascii="华文仿宋" w:hAnsi="华文仿宋" w:eastAsia="华文仿宋" w:cs="华文仿宋"/>
          <w:bCs/>
          <w:color w:val="auto"/>
          <w:sz w:val="24"/>
          <w:highlight w:val="none"/>
        </w:rPr>
      </w:pPr>
      <w:r>
        <w:rPr>
          <w:rFonts w:hint="eastAsia" w:ascii="华文仿宋" w:hAnsi="华文仿宋" w:eastAsia="华文仿宋" w:cs="华文仿宋"/>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5818E23">
      <w:pPr>
        <w:spacing w:line="360" w:lineRule="auto"/>
        <w:rPr>
          <w:rFonts w:hint="eastAsia" w:ascii="华文仿宋" w:hAnsi="华文仿宋" w:eastAsia="华文仿宋" w:cs="华文仿宋"/>
          <w:bCs/>
          <w:color w:val="auto"/>
          <w:sz w:val="24"/>
          <w:highlight w:val="none"/>
        </w:rPr>
      </w:pPr>
    </w:p>
    <w:p w14:paraId="732BBA0C">
      <w:pPr>
        <w:spacing w:line="360" w:lineRule="auto"/>
        <w:rPr>
          <w:rFonts w:hint="eastAsia" w:ascii="华文仿宋" w:hAnsi="华文仿宋" w:eastAsia="华文仿宋" w:cs="华文仿宋"/>
          <w:bCs/>
          <w:color w:val="auto"/>
          <w:sz w:val="24"/>
          <w:highlight w:val="none"/>
        </w:rPr>
      </w:pPr>
    </w:p>
    <w:p w14:paraId="27372F93">
      <w:pPr>
        <w:spacing w:line="360" w:lineRule="auto"/>
        <w:ind w:firstLine="4320" w:firstLineChars="1800"/>
        <w:rPr>
          <w:rFonts w:hint="eastAsia" w:ascii="华文仿宋" w:hAnsi="华文仿宋" w:eastAsia="华文仿宋" w:cs="华文仿宋"/>
          <w:bCs/>
          <w:color w:val="auto"/>
          <w:sz w:val="24"/>
          <w:highlight w:val="none"/>
          <w:u w:val="single"/>
          <w:lang w:eastAsia="zh-CN"/>
        </w:rPr>
      </w:pPr>
      <w:r>
        <w:rPr>
          <w:rFonts w:hint="eastAsia" w:ascii="华文仿宋" w:hAnsi="华文仿宋" w:eastAsia="华文仿宋" w:cs="华文仿宋"/>
          <w:bCs/>
          <w:color w:val="auto"/>
          <w:sz w:val="24"/>
          <w:highlight w:val="none"/>
        </w:rPr>
        <w:t>供应商</w:t>
      </w:r>
      <w:r>
        <w:rPr>
          <w:rFonts w:hint="eastAsia" w:ascii="华文仿宋" w:hAnsi="华文仿宋" w:eastAsia="华文仿宋" w:cs="华文仿宋"/>
          <w:bCs/>
          <w:color w:val="auto"/>
          <w:sz w:val="24"/>
          <w:highlight w:val="none"/>
          <w:lang w:eastAsia="zh-CN"/>
        </w:rPr>
        <w:t>盖章</w:t>
      </w:r>
      <w:r>
        <w:rPr>
          <w:rFonts w:hint="eastAsia" w:ascii="华文仿宋" w:hAnsi="华文仿宋" w:eastAsia="华文仿宋" w:cs="华文仿宋"/>
          <w:bCs/>
          <w:color w:val="auto"/>
          <w:sz w:val="24"/>
          <w:highlight w:val="none"/>
        </w:rPr>
        <w:t>：</w:t>
      </w:r>
    </w:p>
    <w:p w14:paraId="78C7D21E">
      <w:pPr>
        <w:spacing w:line="360" w:lineRule="auto"/>
        <w:ind w:firstLine="4320" w:firstLineChars="1800"/>
        <w:rPr>
          <w:rFonts w:hint="eastAsia" w:ascii="华文仿宋" w:hAnsi="华文仿宋" w:eastAsia="华文仿宋" w:cs="华文仿宋"/>
          <w:bCs/>
          <w:color w:val="auto"/>
          <w:sz w:val="24"/>
          <w:highlight w:val="none"/>
          <w:lang w:eastAsia="zh-CN"/>
        </w:rPr>
      </w:pPr>
      <w:r>
        <w:rPr>
          <w:rFonts w:hint="eastAsia" w:ascii="华文仿宋" w:hAnsi="华文仿宋" w:eastAsia="华文仿宋" w:cs="华文仿宋"/>
          <w:bCs/>
          <w:color w:val="auto"/>
          <w:sz w:val="24"/>
          <w:highlight w:val="none"/>
        </w:rPr>
        <w:t>日期：</w:t>
      </w:r>
    </w:p>
    <w:p w14:paraId="09D1A404">
      <w:pPr>
        <w:widowControl/>
        <w:jc w:val="left"/>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br w:type="page"/>
      </w:r>
    </w:p>
    <w:bookmarkEnd w:id="237"/>
    <w:p w14:paraId="1F4B89C8">
      <w:pPr>
        <w:spacing w:line="360" w:lineRule="auto"/>
        <w:jc w:val="center"/>
        <w:outlineLvl w:val="1"/>
        <w:rPr>
          <w:rFonts w:hint="eastAsia" w:ascii="华文仿宋" w:hAnsi="华文仿宋" w:eastAsia="华文仿宋" w:cs="华文仿宋"/>
          <w:b/>
          <w:color w:val="auto"/>
          <w:sz w:val="24"/>
          <w:highlight w:val="none"/>
        </w:rPr>
      </w:pPr>
      <w:bookmarkStart w:id="238" w:name="_Toc3826"/>
      <w:bookmarkStart w:id="239" w:name="_Toc7807"/>
      <w:r>
        <w:rPr>
          <w:rFonts w:hint="eastAsia" w:ascii="华文仿宋" w:hAnsi="华文仿宋" w:eastAsia="华文仿宋" w:cs="华文仿宋"/>
          <w:b/>
          <w:color w:val="auto"/>
          <w:sz w:val="24"/>
          <w:highlight w:val="none"/>
        </w:rPr>
        <w:t>十、其他相关证明材料</w:t>
      </w:r>
      <w:bookmarkEnd w:id="238"/>
      <w:bookmarkEnd w:id="239"/>
    </w:p>
    <w:p w14:paraId="5E539229">
      <w:pPr>
        <w:tabs>
          <w:tab w:val="left" w:pos="4620"/>
        </w:tabs>
        <w:spacing w:line="360" w:lineRule="auto"/>
        <w:ind w:firstLine="480" w:firstLineChars="200"/>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提供符合磋商邀请、采购需求及评审方法和标准规定的相关证明文件。</w:t>
      </w:r>
    </w:p>
    <w:p w14:paraId="4069CC21">
      <w:pPr>
        <w:spacing w:line="360" w:lineRule="auto"/>
        <w:ind w:firstLine="435"/>
        <w:rPr>
          <w:rFonts w:hint="eastAsia" w:ascii="华文仿宋" w:hAnsi="华文仿宋" w:eastAsia="华文仿宋" w:cs="华文仿宋"/>
          <w:color w:val="auto"/>
          <w:sz w:val="24"/>
          <w:highlight w:val="none"/>
        </w:rPr>
      </w:pPr>
    </w:p>
    <w:p w14:paraId="2CB02D42">
      <w:pPr>
        <w:spacing w:line="360" w:lineRule="auto"/>
        <w:ind w:firstLine="480" w:firstLineChars="200"/>
        <w:rPr>
          <w:rFonts w:hint="eastAsia" w:ascii="华文仿宋" w:hAnsi="华文仿宋" w:eastAsia="华文仿宋" w:cs="华文仿宋"/>
          <w:color w:val="auto"/>
          <w:sz w:val="24"/>
          <w:highlight w:val="none"/>
        </w:rPr>
      </w:pPr>
    </w:p>
    <w:p w14:paraId="16F034C7">
      <w:pPr>
        <w:spacing w:line="360" w:lineRule="auto"/>
        <w:ind w:firstLine="435"/>
        <w:rPr>
          <w:rFonts w:hint="eastAsia" w:ascii="华文仿宋" w:hAnsi="华文仿宋" w:eastAsia="华文仿宋" w:cs="华文仿宋"/>
          <w:b/>
          <w:color w:val="auto"/>
          <w:sz w:val="24"/>
          <w:highlight w:val="none"/>
        </w:rPr>
      </w:pPr>
      <w:r>
        <w:rPr>
          <w:rFonts w:hint="eastAsia" w:ascii="华文仿宋" w:hAnsi="华文仿宋" w:eastAsia="华文仿宋" w:cs="华文仿宋"/>
          <w:b/>
          <w:color w:val="auto"/>
          <w:sz w:val="24"/>
          <w:highlight w:val="none"/>
        </w:rPr>
        <w:t>特别提示：</w:t>
      </w:r>
    </w:p>
    <w:p w14:paraId="0D302457">
      <w:pPr>
        <w:spacing w:line="360" w:lineRule="auto"/>
        <w:ind w:firstLine="435"/>
        <w:rPr>
          <w:rFonts w:hint="eastAsia" w:ascii="华文仿宋" w:hAnsi="华文仿宋" w:eastAsia="华文仿宋" w:cs="华文仿宋"/>
          <w:b/>
          <w:color w:val="auto"/>
          <w:sz w:val="24"/>
          <w:highlight w:val="none"/>
          <w:lang w:val="en-US" w:eastAsia="zh-CN"/>
        </w:rPr>
      </w:pPr>
      <w:r>
        <w:rPr>
          <w:rFonts w:hint="eastAsia" w:ascii="华文仿宋" w:hAnsi="华文仿宋" w:eastAsia="华文仿宋" w:cs="华文仿宋"/>
          <w:color w:val="auto"/>
          <w:sz w:val="24"/>
          <w:highlight w:val="none"/>
        </w:rPr>
        <w:t>供应商在响应文件制作时可在此栏内</w:t>
      </w:r>
      <w:r>
        <w:rPr>
          <w:rFonts w:hint="eastAsia" w:ascii="华文仿宋" w:hAnsi="华文仿宋" w:eastAsia="华文仿宋" w:cs="华文仿宋"/>
          <w:color w:val="auto"/>
          <w:sz w:val="24"/>
          <w:highlight w:val="none"/>
          <w:lang w:val="en-US" w:eastAsia="zh-CN"/>
        </w:rPr>
        <w:t>填写需要提供的其他材料，如为营业执照等，须为复印件。</w:t>
      </w:r>
    </w:p>
    <w:p w14:paraId="7A089CDF">
      <w:pPr>
        <w:spacing w:line="360" w:lineRule="auto"/>
        <w:jc w:val="center"/>
        <w:rPr>
          <w:rFonts w:hint="eastAsia" w:ascii="华文仿宋" w:hAnsi="华文仿宋" w:eastAsia="华文仿宋" w:cs="华文仿宋"/>
          <w:b/>
          <w:color w:val="auto"/>
          <w:sz w:val="24"/>
          <w:highlight w:val="none"/>
        </w:rPr>
      </w:pPr>
    </w:p>
    <w:p w14:paraId="2ED54802">
      <w:pPr>
        <w:widowControl/>
        <w:jc w:val="left"/>
        <w:rPr>
          <w:rFonts w:hint="eastAsia" w:ascii="华文仿宋" w:hAnsi="华文仿宋" w:eastAsia="华文仿宋" w:cs="华文仿宋"/>
          <w:bCs/>
          <w:color w:val="auto"/>
          <w:sz w:val="24"/>
          <w:highlight w:val="none"/>
        </w:rPr>
      </w:pPr>
      <w:r>
        <w:rPr>
          <w:rFonts w:hint="eastAsia" w:ascii="华文仿宋" w:hAnsi="华文仿宋" w:eastAsia="华文仿宋" w:cs="华文仿宋"/>
          <w:color w:val="auto"/>
          <w:sz w:val="24"/>
          <w:highlight w:val="none"/>
        </w:rPr>
        <w:br w:type="page"/>
      </w:r>
    </w:p>
    <w:p w14:paraId="379889EA">
      <w:pPr>
        <w:spacing w:line="360" w:lineRule="auto"/>
        <w:jc w:val="center"/>
        <w:outlineLvl w:val="0"/>
        <w:rPr>
          <w:rFonts w:hint="eastAsia" w:ascii="华文仿宋" w:hAnsi="华文仿宋" w:eastAsia="华文仿宋" w:cs="华文仿宋"/>
          <w:b/>
          <w:bCs/>
          <w:color w:val="auto"/>
          <w:sz w:val="28"/>
          <w:highlight w:val="none"/>
        </w:rPr>
      </w:pPr>
      <w:bookmarkStart w:id="240" w:name="_Toc63440924"/>
      <w:bookmarkStart w:id="241" w:name="_Toc19418"/>
      <w:r>
        <w:rPr>
          <w:rFonts w:hint="eastAsia" w:ascii="华文仿宋" w:hAnsi="华文仿宋" w:eastAsia="华文仿宋" w:cs="华文仿宋"/>
          <w:b/>
          <w:bCs/>
          <w:color w:val="auto"/>
          <w:sz w:val="28"/>
          <w:highlight w:val="none"/>
        </w:rPr>
        <w:t>第</w:t>
      </w:r>
      <w:r>
        <w:rPr>
          <w:rFonts w:hint="eastAsia" w:ascii="华文仿宋" w:hAnsi="华文仿宋" w:eastAsia="华文仿宋" w:cs="华文仿宋"/>
          <w:b/>
          <w:bCs/>
          <w:color w:val="auto"/>
          <w:sz w:val="28"/>
          <w:highlight w:val="none"/>
          <w:lang w:val="en-US" w:eastAsia="zh-CN"/>
        </w:rPr>
        <w:t>七</w:t>
      </w:r>
      <w:r>
        <w:rPr>
          <w:rFonts w:hint="eastAsia" w:ascii="华文仿宋" w:hAnsi="华文仿宋" w:eastAsia="华文仿宋" w:cs="华文仿宋"/>
          <w:b/>
          <w:bCs/>
          <w:color w:val="auto"/>
          <w:sz w:val="28"/>
          <w:highlight w:val="none"/>
        </w:rPr>
        <w:t>章政府采购</w:t>
      </w:r>
      <w:bookmarkEnd w:id="240"/>
      <w:r>
        <w:rPr>
          <w:rFonts w:hint="eastAsia" w:ascii="华文仿宋" w:hAnsi="华文仿宋" w:eastAsia="华文仿宋" w:cs="华文仿宋"/>
          <w:b/>
          <w:color w:val="auto"/>
          <w:sz w:val="28"/>
          <w:highlight w:val="none"/>
        </w:rPr>
        <w:t>供应</w:t>
      </w:r>
      <w:r>
        <w:rPr>
          <w:rFonts w:hint="eastAsia" w:ascii="华文仿宋" w:hAnsi="华文仿宋" w:eastAsia="华文仿宋" w:cs="华文仿宋"/>
          <w:b/>
          <w:bCs/>
          <w:color w:val="auto"/>
          <w:sz w:val="28"/>
          <w:highlight w:val="none"/>
        </w:rPr>
        <w:t>商询问函和质疑函范本</w:t>
      </w:r>
      <w:bookmarkEnd w:id="241"/>
    </w:p>
    <w:p w14:paraId="41FD10DD">
      <w:pPr>
        <w:spacing w:line="360" w:lineRule="auto"/>
        <w:jc w:val="center"/>
        <w:outlineLvl w:val="1"/>
        <w:rPr>
          <w:rFonts w:hint="eastAsia" w:ascii="华文仿宋" w:hAnsi="华文仿宋" w:eastAsia="华文仿宋" w:cs="华文仿宋"/>
          <w:b/>
          <w:bCs/>
          <w:color w:val="auto"/>
          <w:sz w:val="32"/>
          <w:szCs w:val="44"/>
          <w:highlight w:val="none"/>
        </w:rPr>
      </w:pPr>
      <w:bookmarkStart w:id="242" w:name="_Toc2142"/>
      <w:bookmarkStart w:id="243" w:name="_Toc8735"/>
      <w:r>
        <w:rPr>
          <w:rFonts w:hint="eastAsia" w:ascii="华文仿宋" w:hAnsi="华文仿宋" w:eastAsia="华文仿宋" w:cs="华文仿宋"/>
          <w:b/>
          <w:bCs/>
          <w:color w:val="auto"/>
          <w:sz w:val="32"/>
          <w:szCs w:val="44"/>
          <w:highlight w:val="none"/>
        </w:rPr>
        <w:t>询问函范本</w:t>
      </w:r>
      <w:bookmarkEnd w:id="242"/>
      <w:bookmarkEnd w:id="243"/>
    </w:p>
    <w:p w14:paraId="7FF4F453">
      <w:pPr>
        <w:adjustRightInd w:val="0"/>
        <w:snapToGrid w:val="0"/>
        <w:spacing w:line="360" w:lineRule="auto"/>
        <w:ind w:firstLine="480" w:firstLineChars="200"/>
        <w:jc w:val="center"/>
        <w:rPr>
          <w:rFonts w:hint="eastAsia" w:ascii="华文仿宋" w:hAnsi="华文仿宋" w:eastAsia="华文仿宋" w:cs="华文仿宋"/>
          <w:b/>
          <w:bCs/>
          <w:color w:val="auto"/>
          <w:sz w:val="32"/>
          <w:szCs w:val="44"/>
          <w:highlight w:val="none"/>
        </w:rPr>
      </w:pPr>
      <w:r>
        <w:rPr>
          <w:rFonts w:hint="eastAsia" w:ascii="华文仿宋" w:hAnsi="华文仿宋" w:eastAsia="华文仿宋" w:cs="华文仿宋"/>
          <w:i/>
          <w:iCs/>
          <w:color w:val="auto"/>
          <w:sz w:val="24"/>
          <w:szCs w:val="24"/>
          <w:highlight w:val="none"/>
        </w:rPr>
        <w:t>（如为对采购文件或采购程序的询问或疑问，请按询问函范本进行提交）</w:t>
      </w:r>
    </w:p>
    <w:p w14:paraId="738BBC9A">
      <w:pPr>
        <w:adjustRightInd w:val="0"/>
        <w:snapToGrid w:val="0"/>
        <w:spacing w:line="360" w:lineRule="auto"/>
        <w:rPr>
          <w:rFonts w:hint="eastAsia" w:ascii="华文仿宋" w:hAnsi="华文仿宋" w:eastAsia="华文仿宋" w:cs="华文仿宋"/>
          <w:b/>
          <w:bCs/>
          <w:color w:val="auto"/>
          <w:sz w:val="24"/>
          <w:szCs w:val="24"/>
          <w:highlight w:val="none"/>
          <w:lang w:eastAsia="zh-CN"/>
        </w:rPr>
      </w:pPr>
      <w:r>
        <w:rPr>
          <w:rFonts w:hint="eastAsia" w:ascii="华文仿宋" w:hAnsi="华文仿宋" w:eastAsia="华文仿宋" w:cs="华文仿宋"/>
          <w:b/>
          <w:bCs/>
          <w:color w:val="auto"/>
          <w:sz w:val="24"/>
          <w:szCs w:val="24"/>
          <w:highlight w:val="none"/>
          <w:lang w:val="en-US" w:eastAsia="zh-CN"/>
        </w:rPr>
        <w:t>致：</w:t>
      </w:r>
      <w:r>
        <w:rPr>
          <w:rFonts w:hint="eastAsia" w:ascii="华文仿宋" w:hAnsi="华文仿宋" w:eastAsia="华文仿宋" w:cs="华文仿宋"/>
          <w:b/>
          <w:bCs/>
          <w:color w:val="auto"/>
          <w:sz w:val="24"/>
          <w:szCs w:val="24"/>
          <w:highlight w:val="none"/>
          <w:u w:val="none"/>
          <w:lang w:val="en-US" w:eastAsia="zh-CN"/>
        </w:rPr>
        <w:t>采购人</w:t>
      </w:r>
    </w:p>
    <w:p w14:paraId="19F87402">
      <w:pPr>
        <w:adjustRightInd w:val="0"/>
        <w:snapToGrid w:val="0"/>
        <w:spacing w:line="360" w:lineRule="auto"/>
        <w:ind w:firstLine="480" w:firstLineChars="200"/>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我单位拟参与</w:t>
      </w:r>
      <w:r>
        <w:rPr>
          <w:rFonts w:hint="eastAsia" w:ascii="华文仿宋" w:hAnsi="华文仿宋" w:eastAsia="华文仿宋" w:cs="华文仿宋"/>
          <w:i/>
          <w:iCs/>
          <w:color w:val="auto"/>
          <w:sz w:val="24"/>
          <w:szCs w:val="24"/>
          <w:highlight w:val="none"/>
          <w:u w:val="none"/>
          <w:lang w:val="en-US" w:eastAsia="zh-CN"/>
        </w:rPr>
        <w:t>（</w:t>
      </w:r>
      <w:r>
        <w:rPr>
          <w:rFonts w:hint="eastAsia" w:ascii="华文仿宋" w:hAnsi="华文仿宋" w:eastAsia="华文仿宋" w:cs="华文仿宋"/>
          <w:i/>
          <w:iCs/>
          <w:color w:val="auto"/>
          <w:sz w:val="24"/>
          <w:szCs w:val="24"/>
          <w:highlight w:val="none"/>
          <w:u w:val="none"/>
        </w:rPr>
        <w:t>项目</w:t>
      </w:r>
      <w:r>
        <w:rPr>
          <w:rFonts w:hint="eastAsia" w:ascii="华文仿宋" w:hAnsi="华文仿宋" w:eastAsia="华文仿宋" w:cs="华文仿宋"/>
          <w:i/>
          <w:iCs/>
          <w:color w:val="auto"/>
          <w:sz w:val="24"/>
          <w:szCs w:val="24"/>
          <w:highlight w:val="none"/>
          <w:u w:val="none"/>
          <w:lang w:val="en-US" w:eastAsia="zh-CN"/>
        </w:rPr>
        <w:t>名称、</w:t>
      </w:r>
      <w:r>
        <w:rPr>
          <w:rFonts w:hint="eastAsia" w:ascii="华文仿宋" w:hAnsi="华文仿宋" w:eastAsia="华文仿宋" w:cs="华文仿宋"/>
          <w:i/>
          <w:iCs/>
          <w:color w:val="auto"/>
          <w:sz w:val="24"/>
          <w:szCs w:val="24"/>
          <w:highlight w:val="none"/>
          <w:u w:val="none"/>
        </w:rPr>
        <w:t>编号)</w:t>
      </w:r>
      <w:r>
        <w:rPr>
          <w:rFonts w:hint="eastAsia" w:ascii="华文仿宋" w:hAnsi="华文仿宋" w:eastAsia="华文仿宋" w:cs="华文仿宋"/>
          <w:color w:val="auto"/>
          <w:sz w:val="24"/>
          <w:szCs w:val="24"/>
          <w:highlight w:val="none"/>
        </w:rPr>
        <w:t>的采购活动，现有以下内容(或条款)存在疑问(或无法理解)，特提出询问。</w:t>
      </w:r>
    </w:p>
    <w:p w14:paraId="0FEF962A">
      <w:pPr>
        <w:adjustRightInd w:val="0"/>
        <w:snapToGrid w:val="0"/>
        <w:spacing w:line="360" w:lineRule="auto"/>
        <w:ind w:firstLine="480" w:firstLineChars="200"/>
        <w:outlineLvl w:val="1"/>
        <w:rPr>
          <w:rFonts w:hint="eastAsia" w:ascii="华文仿宋" w:hAnsi="华文仿宋" w:eastAsia="华文仿宋" w:cs="华文仿宋"/>
          <w:color w:val="auto"/>
          <w:sz w:val="24"/>
          <w:szCs w:val="24"/>
          <w:highlight w:val="none"/>
        </w:rPr>
      </w:pPr>
      <w:bookmarkStart w:id="244" w:name="_Toc26386"/>
      <w:bookmarkStart w:id="245" w:name="_Toc9092"/>
      <w:r>
        <w:rPr>
          <w:rFonts w:hint="eastAsia" w:ascii="华文仿宋" w:hAnsi="华文仿宋" w:eastAsia="华文仿宋" w:cs="华文仿宋"/>
          <w:color w:val="auto"/>
          <w:sz w:val="24"/>
          <w:szCs w:val="24"/>
          <w:highlight w:val="none"/>
        </w:rPr>
        <w:t>一、(事项一)</w:t>
      </w:r>
      <w:bookmarkEnd w:id="244"/>
      <w:bookmarkEnd w:id="245"/>
    </w:p>
    <w:p w14:paraId="1281EABD">
      <w:pPr>
        <w:adjustRightInd w:val="0"/>
        <w:snapToGrid w:val="0"/>
        <w:spacing w:line="360" w:lineRule="auto"/>
        <w:ind w:firstLine="480" w:firstLineChars="200"/>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1、(内容或条款)</w:t>
      </w:r>
    </w:p>
    <w:p w14:paraId="37618FB4">
      <w:pPr>
        <w:adjustRightInd w:val="0"/>
        <w:snapToGrid w:val="0"/>
        <w:spacing w:line="360" w:lineRule="auto"/>
        <w:ind w:firstLine="480" w:firstLineChars="200"/>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2、(说明疑问或无法理解原因)</w:t>
      </w:r>
    </w:p>
    <w:p w14:paraId="3E227F64">
      <w:pPr>
        <w:adjustRightInd w:val="0"/>
        <w:snapToGrid w:val="0"/>
        <w:spacing w:line="360" w:lineRule="auto"/>
        <w:ind w:firstLine="480" w:firstLineChars="200"/>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3、(建议)</w:t>
      </w:r>
    </w:p>
    <w:p w14:paraId="26E793BF">
      <w:pPr>
        <w:adjustRightInd w:val="0"/>
        <w:snapToGrid w:val="0"/>
        <w:spacing w:line="360" w:lineRule="auto"/>
        <w:ind w:firstLine="480" w:firstLineChars="200"/>
        <w:outlineLvl w:val="1"/>
        <w:rPr>
          <w:rFonts w:hint="eastAsia" w:ascii="华文仿宋" w:hAnsi="华文仿宋" w:eastAsia="华文仿宋" w:cs="华文仿宋"/>
          <w:color w:val="auto"/>
          <w:sz w:val="24"/>
          <w:szCs w:val="24"/>
          <w:highlight w:val="none"/>
        </w:rPr>
      </w:pPr>
      <w:bookmarkStart w:id="246" w:name="_Toc9273"/>
      <w:bookmarkStart w:id="247" w:name="_Toc17582"/>
      <w:r>
        <w:rPr>
          <w:rFonts w:hint="eastAsia" w:ascii="华文仿宋" w:hAnsi="华文仿宋" w:eastAsia="华文仿宋" w:cs="华文仿宋"/>
          <w:color w:val="auto"/>
          <w:sz w:val="24"/>
          <w:szCs w:val="24"/>
          <w:highlight w:val="none"/>
        </w:rPr>
        <w:t>二、(事项二)</w:t>
      </w:r>
      <w:bookmarkEnd w:id="246"/>
      <w:bookmarkEnd w:id="247"/>
    </w:p>
    <w:p w14:paraId="19A5D88B">
      <w:pPr>
        <w:adjustRightInd w:val="0"/>
        <w:snapToGrid w:val="0"/>
        <w:spacing w:line="360" w:lineRule="auto"/>
        <w:ind w:firstLine="480" w:firstLineChars="200"/>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w:t>
      </w:r>
    </w:p>
    <w:p w14:paraId="1B9C9407">
      <w:pPr>
        <w:adjustRightInd w:val="0"/>
        <w:snapToGrid w:val="0"/>
        <w:spacing w:line="360" w:lineRule="auto"/>
        <w:ind w:firstLine="480" w:firstLineChars="200"/>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szCs w:val="24"/>
          <w:highlight w:val="none"/>
        </w:rPr>
        <w:t>随附相关证明材料如下：</w:t>
      </w:r>
    </w:p>
    <w:p w14:paraId="4FCB34AA">
      <w:pPr>
        <w:spacing w:line="360" w:lineRule="auto"/>
        <w:ind w:firstLine="4228" w:firstLineChars="1762"/>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rPr>
        <w:t>联系人：</w:t>
      </w:r>
    </w:p>
    <w:p w14:paraId="12ACE8E9">
      <w:pPr>
        <w:spacing w:line="360" w:lineRule="auto"/>
        <w:ind w:firstLine="4228" w:firstLineChars="1762"/>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rPr>
        <w:t>联系电话：</w:t>
      </w:r>
    </w:p>
    <w:p w14:paraId="7CC9AA14">
      <w:pPr>
        <w:tabs>
          <w:tab w:val="left" w:pos="630"/>
        </w:tabs>
        <w:spacing w:line="360" w:lineRule="auto"/>
        <w:ind w:firstLine="4228" w:firstLineChars="1762"/>
        <w:rPr>
          <w:rFonts w:hint="eastAsia" w:ascii="华文仿宋" w:hAnsi="华文仿宋" w:eastAsia="华文仿宋" w:cs="华文仿宋"/>
          <w:color w:val="auto"/>
          <w:sz w:val="24"/>
          <w:highlight w:val="none"/>
          <w:u w:val="single"/>
          <w:lang w:eastAsia="zh-CN"/>
        </w:rPr>
      </w:pPr>
      <w:r>
        <w:rPr>
          <w:rFonts w:hint="eastAsia" w:ascii="华文仿宋" w:hAnsi="华文仿宋" w:eastAsia="华文仿宋" w:cs="华文仿宋"/>
          <w:color w:val="auto"/>
          <w:sz w:val="24"/>
          <w:highlight w:val="none"/>
        </w:rPr>
        <w:t>日期：</w:t>
      </w:r>
    </w:p>
    <w:p w14:paraId="55718456">
      <w:pPr>
        <w:rPr>
          <w:rFonts w:hint="eastAsia" w:ascii="华文仿宋" w:hAnsi="华文仿宋" w:eastAsia="华文仿宋" w:cs="华文仿宋"/>
          <w:b/>
          <w:color w:val="auto"/>
          <w:sz w:val="52"/>
          <w:highlight w:val="none"/>
        </w:rPr>
      </w:pPr>
      <w:r>
        <w:rPr>
          <w:rFonts w:hint="eastAsia" w:ascii="华文仿宋" w:hAnsi="华文仿宋" w:eastAsia="华文仿宋" w:cs="华文仿宋"/>
          <w:b/>
          <w:bCs/>
          <w:color w:val="auto"/>
          <w:sz w:val="32"/>
          <w:szCs w:val="44"/>
          <w:highlight w:val="none"/>
        </w:rPr>
        <w:br w:type="page"/>
      </w:r>
    </w:p>
    <w:p w14:paraId="1714913D">
      <w:pPr>
        <w:jc w:val="center"/>
        <w:outlineLvl w:val="1"/>
        <w:rPr>
          <w:rFonts w:hint="eastAsia" w:ascii="华文仿宋" w:hAnsi="华文仿宋" w:eastAsia="华文仿宋" w:cs="华文仿宋"/>
          <w:b/>
          <w:bCs/>
          <w:color w:val="auto"/>
          <w:sz w:val="32"/>
          <w:szCs w:val="44"/>
          <w:highlight w:val="none"/>
        </w:rPr>
      </w:pPr>
      <w:bookmarkStart w:id="248" w:name="_Toc26673"/>
      <w:bookmarkStart w:id="249" w:name="_Toc6990"/>
      <w:r>
        <w:rPr>
          <w:rFonts w:hint="eastAsia" w:ascii="华文仿宋" w:hAnsi="华文仿宋" w:eastAsia="华文仿宋" w:cs="华文仿宋"/>
          <w:b/>
          <w:bCs/>
          <w:color w:val="auto"/>
          <w:sz w:val="32"/>
          <w:szCs w:val="44"/>
          <w:highlight w:val="none"/>
        </w:rPr>
        <w:t>质疑函范本</w:t>
      </w:r>
      <w:bookmarkEnd w:id="248"/>
      <w:bookmarkEnd w:id="249"/>
    </w:p>
    <w:p w14:paraId="49AD0B40">
      <w:pPr>
        <w:adjustRightInd w:val="0"/>
        <w:snapToGrid w:val="0"/>
        <w:spacing w:before="312" w:beforeLines="100" w:line="360" w:lineRule="auto"/>
        <w:outlineLvl w:val="1"/>
        <w:rPr>
          <w:rFonts w:hint="eastAsia" w:ascii="华文仿宋" w:hAnsi="华文仿宋" w:eastAsia="华文仿宋" w:cs="华文仿宋"/>
          <w:b/>
          <w:bCs/>
          <w:color w:val="auto"/>
          <w:sz w:val="24"/>
          <w:szCs w:val="24"/>
          <w:highlight w:val="none"/>
        </w:rPr>
      </w:pPr>
      <w:bookmarkStart w:id="250" w:name="_Toc29510"/>
      <w:bookmarkStart w:id="251" w:name="_Toc2994"/>
      <w:r>
        <w:rPr>
          <w:rFonts w:hint="eastAsia" w:ascii="华文仿宋" w:hAnsi="华文仿宋" w:eastAsia="华文仿宋" w:cs="华文仿宋"/>
          <w:b/>
          <w:bCs/>
          <w:color w:val="auto"/>
          <w:sz w:val="24"/>
          <w:szCs w:val="24"/>
          <w:highlight w:val="none"/>
        </w:rPr>
        <w:t>一、质疑供应商基本信息</w:t>
      </w:r>
      <w:bookmarkEnd w:id="250"/>
      <w:bookmarkEnd w:id="251"/>
    </w:p>
    <w:p w14:paraId="3F0CCCAA">
      <w:pPr>
        <w:adjustRightInd w:val="0"/>
        <w:snapToGrid w:val="0"/>
        <w:spacing w:line="360" w:lineRule="auto"/>
        <w:rPr>
          <w:rFonts w:hint="eastAsia" w:ascii="华文仿宋" w:hAnsi="华文仿宋" w:eastAsia="华文仿宋" w:cs="华文仿宋"/>
          <w:color w:val="auto"/>
          <w:sz w:val="24"/>
          <w:szCs w:val="24"/>
          <w:highlight w:val="none"/>
          <w:u w:val="dotted"/>
          <w:lang w:eastAsia="zh-CN"/>
        </w:rPr>
      </w:pPr>
      <w:r>
        <w:rPr>
          <w:rFonts w:hint="eastAsia" w:ascii="华文仿宋" w:hAnsi="华文仿宋" w:eastAsia="华文仿宋" w:cs="华文仿宋"/>
          <w:color w:val="auto"/>
          <w:sz w:val="24"/>
          <w:szCs w:val="24"/>
          <w:highlight w:val="none"/>
        </w:rPr>
        <w:t>质疑供应商：</w:t>
      </w:r>
    </w:p>
    <w:p w14:paraId="6F6290C0">
      <w:pPr>
        <w:adjustRightInd w:val="0"/>
        <w:snapToGrid w:val="0"/>
        <w:spacing w:line="360" w:lineRule="auto"/>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szCs w:val="24"/>
          <w:highlight w:val="none"/>
        </w:rPr>
        <w:t>地址：邮编：</w:t>
      </w:r>
    </w:p>
    <w:p w14:paraId="4157851A">
      <w:pPr>
        <w:adjustRightInd w:val="0"/>
        <w:snapToGrid w:val="0"/>
        <w:spacing w:line="360" w:lineRule="auto"/>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szCs w:val="24"/>
          <w:highlight w:val="none"/>
        </w:rPr>
        <w:t>联系人：联系电话：</w:t>
      </w:r>
    </w:p>
    <w:p w14:paraId="1BE40091">
      <w:pPr>
        <w:adjustRightInd w:val="0"/>
        <w:snapToGrid w:val="0"/>
        <w:spacing w:line="360" w:lineRule="auto"/>
        <w:rPr>
          <w:rFonts w:hint="eastAsia" w:ascii="华文仿宋" w:hAnsi="华文仿宋" w:eastAsia="华文仿宋" w:cs="华文仿宋"/>
          <w:color w:val="auto"/>
          <w:sz w:val="24"/>
          <w:szCs w:val="24"/>
          <w:highlight w:val="none"/>
          <w:u w:val="dotted"/>
          <w:lang w:eastAsia="zh-CN"/>
        </w:rPr>
      </w:pPr>
      <w:r>
        <w:rPr>
          <w:rFonts w:hint="eastAsia" w:ascii="华文仿宋" w:hAnsi="华文仿宋" w:eastAsia="华文仿宋" w:cs="华文仿宋"/>
          <w:color w:val="auto"/>
          <w:sz w:val="24"/>
          <w:szCs w:val="24"/>
          <w:highlight w:val="none"/>
        </w:rPr>
        <w:t>授权代表：</w:t>
      </w:r>
    </w:p>
    <w:p w14:paraId="5C098AE4">
      <w:pPr>
        <w:adjustRightInd w:val="0"/>
        <w:snapToGrid w:val="0"/>
        <w:spacing w:line="360" w:lineRule="auto"/>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szCs w:val="24"/>
          <w:highlight w:val="none"/>
        </w:rPr>
        <w:t>联系电话：</w:t>
      </w:r>
    </w:p>
    <w:p w14:paraId="331A8943">
      <w:pPr>
        <w:adjustRightInd w:val="0"/>
        <w:snapToGrid w:val="0"/>
        <w:spacing w:line="360" w:lineRule="auto"/>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szCs w:val="24"/>
          <w:highlight w:val="none"/>
        </w:rPr>
        <w:t>地址：邮编：</w:t>
      </w:r>
    </w:p>
    <w:p w14:paraId="47AF4CCD">
      <w:pPr>
        <w:adjustRightInd w:val="0"/>
        <w:snapToGrid w:val="0"/>
        <w:spacing w:line="360" w:lineRule="auto"/>
        <w:outlineLvl w:val="1"/>
        <w:rPr>
          <w:rFonts w:hint="eastAsia" w:ascii="华文仿宋" w:hAnsi="华文仿宋" w:eastAsia="华文仿宋" w:cs="华文仿宋"/>
          <w:b/>
          <w:bCs/>
          <w:color w:val="auto"/>
          <w:sz w:val="24"/>
          <w:szCs w:val="24"/>
          <w:highlight w:val="none"/>
        </w:rPr>
      </w:pPr>
      <w:bookmarkStart w:id="252" w:name="_Toc28130"/>
      <w:bookmarkStart w:id="253" w:name="_Toc31042"/>
      <w:r>
        <w:rPr>
          <w:rFonts w:hint="eastAsia" w:ascii="华文仿宋" w:hAnsi="华文仿宋" w:eastAsia="华文仿宋" w:cs="华文仿宋"/>
          <w:b/>
          <w:bCs/>
          <w:color w:val="auto"/>
          <w:sz w:val="24"/>
          <w:szCs w:val="24"/>
          <w:highlight w:val="none"/>
        </w:rPr>
        <w:t>二、质疑项目基本情况</w:t>
      </w:r>
      <w:bookmarkEnd w:id="252"/>
      <w:bookmarkEnd w:id="253"/>
    </w:p>
    <w:p w14:paraId="3C2E3A43">
      <w:pPr>
        <w:adjustRightInd w:val="0"/>
        <w:snapToGrid w:val="0"/>
        <w:spacing w:line="360" w:lineRule="auto"/>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szCs w:val="24"/>
          <w:highlight w:val="none"/>
        </w:rPr>
        <w:t>质疑项目的名称：</w:t>
      </w:r>
    </w:p>
    <w:p w14:paraId="4597E0A8">
      <w:pPr>
        <w:adjustRightInd w:val="0"/>
        <w:snapToGrid w:val="0"/>
        <w:spacing w:line="360" w:lineRule="auto"/>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szCs w:val="24"/>
          <w:highlight w:val="none"/>
        </w:rPr>
        <w:t>质疑项目的编号：包号：</w:t>
      </w:r>
    </w:p>
    <w:p w14:paraId="62B98708">
      <w:pPr>
        <w:adjustRightInd w:val="0"/>
        <w:snapToGrid w:val="0"/>
        <w:spacing w:line="360" w:lineRule="auto"/>
        <w:rPr>
          <w:rFonts w:hint="eastAsia" w:ascii="华文仿宋" w:hAnsi="华文仿宋" w:eastAsia="华文仿宋" w:cs="华文仿宋"/>
          <w:color w:val="auto"/>
          <w:sz w:val="24"/>
          <w:szCs w:val="24"/>
          <w:highlight w:val="none"/>
          <w:u w:val="dotted"/>
          <w:lang w:eastAsia="zh-CN"/>
        </w:rPr>
      </w:pPr>
      <w:r>
        <w:rPr>
          <w:rFonts w:hint="eastAsia" w:ascii="华文仿宋" w:hAnsi="华文仿宋" w:eastAsia="华文仿宋" w:cs="华文仿宋"/>
          <w:color w:val="auto"/>
          <w:sz w:val="24"/>
          <w:szCs w:val="24"/>
          <w:highlight w:val="none"/>
        </w:rPr>
        <w:t>采购人名称：</w:t>
      </w:r>
    </w:p>
    <w:p w14:paraId="6F3C89BF">
      <w:pPr>
        <w:adjustRightInd w:val="0"/>
        <w:snapToGrid w:val="0"/>
        <w:spacing w:line="360" w:lineRule="auto"/>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szCs w:val="24"/>
          <w:highlight w:val="none"/>
        </w:rPr>
        <w:t>采购文件获取日期：</w:t>
      </w:r>
    </w:p>
    <w:p w14:paraId="6C3AFE7F">
      <w:pPr>
        <w:adjustRightInd w:val="0"/>
        <w:snapToGrid w:val="0"/>
        <w:spacing w:line="360" w:lineRule="auto"/>
        <w:outlineLvl w:val="1"/>
        <w:rPr>
          <w:rFonts w:hint="eastAsia" w:ascii="华文仿宋" w:hAnsi="华文仿宋" w:eastAsia="华文仿宋" w:cs="华文仿宋"/>
          <w:b/>
          <w:bCs/>
          <w:color w:val="auto"/>
          <w:sz w:val="24"/>
          <w:szCs w:val="24"/>
          <w:highlight w:val="none"/>
        </w:rPr>
      </w:pPr>
      <w:bookmarkStart w:id="254" w:name="_Toc20587"/>
      <w:bookmarkStart w:id="255" w:name="_Toc6486"/>
      <w:r>
        <w:rPr>
          <w:rFonts w:hint="eastAsia" w:ascii="华文仿宋" w:hAnsi="华文仿宋" w:eastAsia="华文仿宋" w:cs="华文仿宋"/>
          <w:b/>
          <w:bCs/>
          <w:color w:val="auto"/>
          <w:sz w:val="24"/>
          <w:szCs w:val="24"/>
          <w:highlight w:val="none"/>
        </w:rPr>
        <w:t>三、质疑事项具体内容</w:t>
      </w:r>
      <w:bookmarkEnd w:id="254"/>
      <w:bookmarkEnd w:id="255"/>
    </w:p>
    <w:p w14:paraId="4F852356">
      <w:pPr>
        <w:adjustRightInd w:val="0"/>
        <w:snapToGrid w:val="0"/>
        <w:spacing w:line="360" w:lineRule="auto"/>
        <w:rPr>
          <w:rFonts w:hint="eastAsia" w:ascii="华文仿宋" w:hAnsi="华文仿宋" w:eastAsia="华文仿宋" w:cs="华文仿宋"/>
          <w:color w:val="auto"/>
          <w:sz w:val="24"/>
          <w:szCs w:val="24"/>
          <w:highlight w:val="none"/>
          <w:u w:val="dotted"/>
          <w:lang w:eastAsia="zh-CN"/>
        </w:rPr>
      </w:pPr>
      <w:r>
        <w:rPr>
          <w:rFonts w:hint="eastAsia" w:ascii="华文仿宋" w:hAnsi="华文仿宋" w:eastAsia="华文仿宋" w:cs="华文仿宋"/>
          <w:color w:val="auto"/>
          <w:sz w:val="24"/>
          <w:szCs w:val="24"/>
          <w:highlight w:val="none"/>
        </w:rPr>
        <w:t>质疑事项1：</w:t>
      </w:r>
    </w:p>
    <w:p w14:paraId="0D7C01D2">
      <w:pPr>
        <w:adjustRightInd w:val="0"/>
        <w:snapToGrid w:val="0"/>
        <w:spacing w:line="360" w:lineRule="auto"/>
        <w:rPr>
          <w:rFonts w:hint="eastAsia" w:ascii="华文仿宋" w:hAnsi="华文仿宋" w:eastAsia="华文仿宋" w:cs="华文仿宋"/>
          <w:color w:val="auto"/>
          <w:sz w:val="24"/>
          <w:szCs w:val="24"/>
          <w:highlight w:val="none"/>
          <w:u w:val="dotted"/>
          <w:lang w:eastAsia="zh-CN"/>
        </w:rPr>
      </w:pPr>
      <w:r>
        <w:rPr>
          <w:rFonts w:hint="eastAsia" w:ascii="华文仿宋" w:hAnsi="华文仿宋" w:eastAsia="华文仿宋" w:cs="华文仿宋"/>
          <w:color w:val="auto"/>
          <w:sz w:val="24"/>
          <w:szCs w:val="24"/>
          <w:highlight w:val="none"/>
        </w:rPr>
        <w:t>事实依据：</w:t>
      </w:r>
    </w:p>
    <w:p w14:paraId="31E16F86">
      <w:pPr>
        <w:adjustRightInd w:val="0"/>
        <w:snapToGrid w:val="0"/>
        <w:spacing w:line="360" w:lineRule="auto"/>
        <w:rPr>
          <w:rFonts w:hint="eastAsia" w:ascii="华文仿宋" w:hAnsi="华文仿宋" w:eastAsia="华文仿宋" w:cs="华文仿宋"/>
          <w:color w:val="auto"/>
          <w:sz w:val="24"/>
          <w:szCs w:val="24"/>
          <w:highlight w:val="none"/>
          <w:lang w:eastAsia="zh-CN"/>
        </w:rPr>
      </w:pPr>
    </w:p>
    <w:p w14:paraId="363EBF68">
      <w:pPr>
        <w:adjustRightInd w:val="0"/>
        <w:snapToGrid w:val="0"/>
        <w:spacing w:line="360" w:lineRule="auto"/>
        <w:rPr>
          <w:rFonts w:hint="eastAsia" w:ascii="华文仿宋" w:hAnsi="华文仿宋" w:eastAsia="华文仿宋" w:cs="华文仿宋"/>
          <w:color w:val="auto"/>
          <w:sz w:val="24"/>
          <w:szCs w:val="24"/>
          <w:highlight w:val="none"/>
          <w:u w:val="dotted"/>
          <w:lang w:eastAsia="zh-CN"/>
        </w:rPr>
      </w:pPr>
      <w:r>
        <w:rPr>
          <w:rFonts w:hint="eastAsia" w:ascii="华文仿宋" w:hAnsi="华文仿宋" w:eastAsia="华文仿宋" w:cs="华文仿宋"/>
          <w:color w:val="auto"/>
          <w:sz w:val="24"/>
          <w:szCs w:val="24"/>
          <w:highlight w:val="none"/>
        </w:rPr>
        <w:t>法律依据：</w:t>
      </w:r>
    </w:p>
    <w:p w14:paraId="214E0CD3">
      <w:pPr>
        <w:adjustRightInd w:val="0"/>
        <w:snapToGrid w:val="0"/>
        <w:spacing w:line="360" w:lineRule="auto"/>
        <w:rPr>
          <w:rFonts w:hint="eastAsia" w:ascii="华文仿宋" w:hAnsi="华文仿宋" w:eastAsia="华文仿宋" w:cs="华文仿宋"/>
          <w:color w:val="auto"/>
          <w:sz w:val="24"/>
          <w:szCs w:val="24"/>
          <w:highlight w:val="none"/>
          <w:u w:val="dotted"/>
          <w:lang w:eastAsia="zh-CN"/>
        </w:rPr>
      </w:pPr>
    </w:p>
    <w:p w14:paraId="051089A0">
      <w:pPr>
        <w:adjustRightInd w:val="0"/>
        <w:snapToGrid w:val="0"/>
        <w:spacing w:line="360" w:lineRule="auto"/>
        <w:rPr>
          <w:rFonts w:hint="eastAsia" w:ascii="华文仿宋" w:hAnsi="华文仿宋" w:eastAsia="华文仿宋" w:cs="华文仿宋"/>
          <w:color w:val="auto"/>
          <w:sz w:val="24"/>
          <w:szCs w:val="24"/>
          <w:highlight w:val="none"/>
          <w:u w:val="dotted"/>
        </w:rPr>
      </w:pPr>
      <w:r>
        <w:rPr>
          <w:rFonts w:hint="eastAsia" w:ascii="华文仿宋" w:hAnsi="华文仿宋" w:eastAsia="华文仿宋" w:cs="华文仿宋"/>
          <w:color w:val="auto"/>
          <w:sz w:val="24"/>
          <w:szCs w:val="24"/>
          <w:highlight w:val="none"/>
        </w:rPr>
        <w:t>质疑事项2</w:t>
      </w:r>
    </w:p>
    <w:p w14:paraId="7766B304">
      <w:pPr>
        <w:adjustRightInd w:val="0"/>
        <w:snapToGrid w:val="0"/>
        <w:spacing w:line="360" w:lineRule="auto"/>
        <w:rPr>
          <w:rFonts w:hint="eastAsia" w:ascii="华文仿宋" w:hAnsi="华文仿宋" w:eastAsia="华文仿宋" w:cs="华文仿宋"/>
          <w:color w:val="auto"/>
          <w:sz w:val="24"/>
          <w:szCs w:val="24"/>
          <w:highlight w:val="none"/>
        </w:rPr>
      </w:pPr>
      <w:r>
        <w:rPr>
          <w:rFonts w:hint="eastAsia" w:ascii="华文仿宋" w:hAnsi="华文仿宋" w:eastAsia="华文仿宋" w:cs="华文仿宋"/>
          <w:color w:val="auto"/>
          <w:sz w:val="24"/>
          <w:szCs w:val="24"/>
          <w:highlight w:val="none"/>
        </w:rPr>
        <w:t>……</w:t>
      </w:r>
    </w:p>
    <w:p w14:paraId="603A67DC">
      <w:pPr>
        <w:adjustRightInd w:val="0"/>
        <w:snapToGrid w:val="0"/>
        <w:spacing w:line="360" w:lineRule="auto"/>
        <w:outlineLvl w:val="1"/>
        <w:rPr>
          <w:rFonts w:hint="eastAsia" w:ascii="华文仿宋" w:hAnsi="华文仿宋" w:eastAsia="华文仿宋" w:cs="华文仿宋"/>
          <w:b/>
          <w:bCs/>
          <w:color w:val="auto"/>
          <w:sz w:val="24"/>
          <w:szCs w:val="24"/>
          <w:highlight w:val="none"/>
        </w:rPr>
      </w:pPr>
      <w:bookmarkStart w:id="256" w:name="_Toc20470"/>
      <w:bookmarkStart w:id="257" w:name="_Toc32755"/>
      <w:r>
        <w:rPr>
          <w:rFonts w:hint="eastAsia" w:ascii="华文仿宋" w:hAnsi="华文仿宋" w:eastAsia="华文仿宋" w:cs="华文仿宋"/>
          <w:b/>
          <w:bCs/>
          <w:color w:val="auto"/>
          <w:sz w:val="24"/>
          <w:szCs w:val="24"/>
          <w:highlight w:val="none"/>
        </w:rPr>
        <w:t>四、与质疑事项相关的质疑请求</w:t>
      </w:r>
      <w:bookmarkEnd w:id="256"/>
      <w:bookmarkEnd w:id="257"/>
    </w:p>
    <w:p w14:paraId="0DAA2631">
      <w:pPr>
        <w:adjustRightInd w:val="0"/>
        <w:snapToGrid w:val="0"/>
        <w:spacing w:line="360" w:lineRule="auto"/>
        <w:rPr>
          <w:rFonts w:hint="eastAsia" w:ascii="华文仿宋" w:hAnsi="华文仿宋" w:eastAsia="华文仿宋" w:cs="华文仿宋"/>
          <w:color w:val="auto"/>
          <w:sz w:val="24"/>
          <w:szCs w:val="24"/>
          <w:highlight w:val="none"/>
          <w:u w:val="dotted"/>
          <w:lang w:eastAsia="zh-CN"/>
        </w:rPr>
      </w:pPr>
      <w:r>
        <w:rPr>
          <w:rFonts w:hint="eastAsia" w:ascii="华文仿宋" w:hAnsi="华文仿宋" w:eastAsia="华文仿宋" w:cs="华文仿宋"/>
          <w:color w:val="auto"/>
          <w:sz w:val="24"/>
          <w:szCs w:val="24"/>
          <w:highlight w:val="none"/>
        </w:rPr>
        <w:t>请求：</w:t>
      </w:r>
    </w:p>
    <w:p w14:paraId="517E6B87">
      <w:pPr>
        <w:spacing w:line="360" w:lineRule="auto"/>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szCs w:val="24"/>
          <w:highlight w:val="none"/>
        </w:rPr>
        <w:t>签字(签章)：公章：</w:t>
      </w:r>
    </w:p>
    <w:p w14:paraId="11F9F2AC">
      <w:pPr>
        <w:spacing w:line="360" w:lineRule="auto"/>
        <w:rPr>
          <w:rFonts w:hint="eastAsia" w:ascii="华文仿宋" w:hAnsi="华文仿宋" w:eastAsia="华文仿宋" w:cs="华文仿宋"/>
          <w:color w:val="auto"/>
          <w:sz w:val="24"/>
          <w:szCs w:val="24"/>
          <w:highlight w:val="none"/>
          <w:lang w:eastAsia="zh-CN"/>
        </w:rPr>
      </w:pPr>
      <w:r>
        <w:rPr>
          <w:rFonts w:hint="eastAsia" w:ascii="华文仿宋" w:hAnsi="华文仿宋" w:eastAsia="华文仿宋" w:cs="华文仿宋"/>
          <w:color w:val="auto"/>
          <w:sz w:val="24"/>
          <w:szCs w:val="24"/>
          <w:highlight w:val="none"/>
        </w:rPr>
        <w:t>日期：</w:t>
      </w:r>
    </w:p>
    <w:p w14:paraId="7DF509A5">
      <w:pPr>
        <w:widowControl/>
        <w:jc w:val="left"/>
        <w:rPr>
          <w:rFonts w:hint="eastAsia" w:ascii="华文仿宋" w:hAnsi="华文仿宋" w:eastAsia="华文仿宋" w:cs="华文仿宋"/>
          <w:color w:val="auto"/>
          <w:sz w:val="32"/>
          <w:szCs w:val="32"/>
          <w:highlight w:val="none"/>
        </w:rPr>
      </w:pPr>
      <w:r>
        <w:rPr>
          <w:rFonts w:hint="eastAsia" w:ascii="华文仿宋" w:hAnsi="华文仿宋" w:eastAsia="华文仿宋" w:cs="华文仿宋"/>
          <w:color w:val="auto"/>
          <w:sz w:val="32"/>
          <w:szCs w:val="32"/>
          <w:highlight w:val="none"/>
        </w:rPr>
        <w:br w:type="page"/>
      </w:r>
    </w:p>
    <w:p w14:paraId="6A38DDD5">
      <w:pPr>
        <w:outlineLvl w:val="0"/>
        <w:rPr>
          <w:rFonts w:hint="eastAsia" w:ascii="华文仿宋" w:hAnsi="华文仿宋" w:eastAsia="华文仿宋" w:cs="华文仿宋"/>
          <w:b/>
          <w:color w:val="auto"/>
          <w:sz w:val="28"/>
          <w:szCs w:val="32"/>
          <w:highlight w:val="none"/>
        </w:rPr>
      </w:pPr>
      <w:bookmarkStart w:id="258" w:name="_Toc21667"/>
      <w:bookmarkStart w:id="259" w:name="_Toc8368"/>
      <w:r>
        <w:rPr>
          <w:rFonts w:hint="eastAsia" w:ascii="华文仿宋" w:hAnsi="华文仿宋" w:eastAsia="华文仿宋" w:cs="华文仿宋"/>
          <w:b/>
          <w:color w:val="auto"/>
          <w:sz w:val="28"/>
          <w:szCs w:val="32"/>
          <w:highlight w:val="none"/>
        </w:rPr>
        <w:t>质疑函制作说明：</w:t>
      </w:r>
      <w:bookmarkEnd w:id="258"/>
      <w:bookmarkEnd w:id="259"/>
    </w:p>
    <w:p w14:paraId="4C105B0C">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1.供应商提出质疑时，应提交质疑函和必要的证明材料。</w:t>
      </w:r>
    </w:p>
    <w:p w14:paraId="7C973A2D">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3894820">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3.质疑供应商若对项目的某一分包进行质疑，质疑函中应列明具体分包号。</w:t>
      </w:r>
    </w:p>
    <w:p w14:paraId="79CDB3F8">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4.质疑函的质疑事项应具体、明确，并有必要的事实依据和法律依据。</w:t>
      </w:r>
    </w:p>
    <w:p w14:paraId="1361DCBB">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5.质疑函的质疑请求应与质疑事项相关。</w:t>
      </w:r>
    </w:p>
    <w:p w14:paraId="043FF261">
      <w:pPr>
        <w:spacing w:line="360" w:lineRule="auto"/>
        <w:ind w:firstLine="435"/>
        <w:rPr>
          <w:rFonts w:hint="eastAsia" w:ascii="华文仿宋" w:hAnsi="华文仿宋" w:eastAsia="华文仿宋" w:cs="华文仿宋"/>
          <w:color w:val="auto"/>
          <w:sz w:val="24"/>
          <w:highlight w:val="none"/>
        </w:rPr>
      </w:pPr>
      <w:r>
        <w:rPr>
          <w:rFonts w:hint="eastAsia" w:ascii="华文仿宋" w:hAnsi="华文仿宋" w:eastAsia="华文仿宋" w:cs="华文仿宋"/>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dobe 仿宋 Std R">
    <w:altName w:val="微软雅黑"/>
    <w:panose1 w:val="00000000000000000000"/>
    <w:charset w:val="7A"/>
    <w:family w:val="roman"/>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KSOF0B79BE30">
    <w:panose1 w:val="02010609060101010101"/>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 w:name="KSOF0B7A328F">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DEFED">
    <w:pPr>
      <w:pStyle w:val="1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C748A">
    <w:pPr>
      <w:pStyle w:val="15"/>
      <w:rPr>
        <w:rFonts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posOffset>2157730</wp:posOffset>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63B45">
                          <w:pPr>
                            <w:pStyle w:val="15"/>
                            <w:rPr>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41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54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9.9pt;margin-top:0pt;height:144pt;width:144pt;mso-position-horizontal-relative:margin;mso-wrap-style:none;z-index:251659264;mso-width-relative:page;mso-height-relative:page;" filled="f" stroked="f" coordsize="21600,21600" o:gfxdata="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cAboDVAAAACAEAAA8AAAAAAAAAAQAgAAAAIgAAAGRycy9kb3ducmV2LnhtbFBL&#10;AQIUABQAAAAIAIdO4kC6jDgrMgIAAGEEAAAOAAAAAAAAAAEAIAAAACQBAABkcnMvZTJvRG9jLnht&#10;bFBLBQYAAAAABgAGAFkBAADIBQAAAAA=&#10;">
              <v:fill on="f" focussize="0,0"/>
              <v:stroke on="f" weight="0.5pt"/>
              <v:imagedata o:title=""/>
              <o:lock v:ext="edit" aspectratio="f"/>
              <v:textbox inset="0mm,0mm,0mm,0mm" style="mso-fit-shape-to-text:t;">
                <w:txbxContent>
                  <w:p w14:paraId="02563B45">
                    <w:pPr>
                      <w:pStyle w:val="15"/>
                      <w:rPr>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41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54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8EFD6">
    <w:pPr>
      <w:pStyle w:val="16"/>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5B48C">
    <w:pPr>
      <w:pStyle w:val="16"/>
      <w:jc w:val="left"/>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竞争性磋商文件</w:t>
    </w:r>
    <w:r>
      <w:rPr>
        <w:rFonts w:hint="eastAsia" w:asciiTheme="minorEastAsia" w:hAnsiTheme="minorEastAsia" w:eastAsiaTheme="minorEastAsia"/>
        <w:lang w:eastAsia="zh-CN"/>
      </w:rPr>
      <w:t>示范文本（</w:t>
    </w:r>
    <w:r>
      <w:rPr>
        <w:rFonts w:hint="eastAsia" w:asciiTheme="minorEastAsia" w:hAnsiTheme="minorEastAsia" w:eastAsiaTheme="minorEastAsia"/>
      </w:rPr>
      <w:t>服务类</w:t>
    </w:r>
    <w:r>
      <w:rPr>
        <w:rFonts w:hint="eastAsia" w:asciiTheme="minorEastAsia" w:hAnsiTheme="minorEastAsia" w:eastAsiaTheme="minorEastAsia"/>
        <w:lang w:eastAsia="zh-CN"/>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229745"/>
    <w:multiLevelType w:val="singleLevel"/>
    <w:tmpl w:val="77229745"/>
    <w:lvl w:ilvl="0" w:tentative="0">
      <w:start w:val="1"/>
      <w:numFmt w:val="decimal"/>
      <w:pStyle w:val="6"/>
      <w:lvlText w:val="%1."/>
      <w:lvlJc w:val="left"/>
      <w:pPr>
        <w:tabs>
          <w:tab w:val="left"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1MDdmYTBjM2ViZGYxM2E0NGE5ZWVlZjI5ZjI1ZTgifQ=="/>
  </w:docVars>
  <w:rsids>
    <w:rsidRoot w:val="00276BA1"/>
    <w:rsid w:val="0000043F"/>
    <w:rsid w:val="000037F9"/>
    <w:rsid w:val="000049DA"/>
    <w:rsid w:val="00005403"/>
    <w:rsid w:val="000056B7"/>
    <w:rsid w:val="00007D87"/>
    <w:rsid w:val="000131F7"/>
    <w:rsid w:val="00014039"/>
    <w:rsid w:val="00016B6C"/>
    <w:rsid w:val="00020B57"/>
    <w:rsid w:val="00020B6D"/>
    <w:rsid w:val="000323E2"/>
    <w:rsid w:val="00040C25"/>
    <w:rsid w:val="00042139"/>
    <w:rsid w:val="00042B14"/>
    <w:rsid w:val="00044F49"/>
    <w:rsid w:val="000450C3"/>
    <w:rsid w:val="00050A3F"/>
    <w:rsid w:val="00052F95"/>
    <w:rsid w:val="00054AA3"/>
    <w:rsid w:val="00056ECB"/>
    <w:rsid w:val="00057B40"/>
    <w:rsid w:val="000648D2"/>
    <w:rsid w:val="00070E0E"/>
    <w:rsid w:val="0007146E"/>
    <w:rsid w:val="00076DB7"/>
    <w:rsid w:val="00080FEB"/>
    <w:rsid w:val="00094D41"/>
    <w:rsid w:val="00097CB9"/>
    <w:rsid w:val="000A0161"/>
    <w:rsid w:val="000A10A9"/>
    <w:rsid w:val="000A6693"/>
    <w:rsid w:val="000A7970"/>
    <w:rsid w:val="000A7D94"/>
    <w:rsid w:val="000B1511"/>
    <w:rsid w:val="000B6249"/>
    <w:rsid w:val="000C1DB1"/>
    <w:rsid w:val="000D19EC"/>
    <w:rsid w:val="000D3F37"/>
    <w:rsid w:val="000E3C74"/>
    <w:rsid w:val="000E3F9B"/>
    <w:rsid w:val="000E478E"/>
    <w:rsid w:val="000E6689"/>
    <w:rsid w:val="000F0EBF"/>
    <w:rsid w:val="000F172B"/>
    <w:rsid w:val="000F2198"/>
    <w:rsid w:val="000F39B6"/>
    <w:rsid w:val="000F3A94"/>
    <w:rsid w:val="000F6B7B"/>
    <w:rsid w:val="000F6F95"/>
    <w:rsid w:val="0010021F"/>
    <w:rsid w:val="00100B0F"/>
    <w:rsid w:val="0010187C"/>
    <w:rsid w:val="0010219C"/>
    <w:rsid w:val="001037E3"/>
    <w:rsid w:val="00107022"/>
    <w:rsid w:val="0011660B"/>
    <w:rsid w:val="0012143A"/>
    <w:rsid w:val="0012203E"/>
    <w:rsid w:val="001258BA"/>
    <w:rsid w:val="00130601"/>
    <w:rsid w:val="00132F4D"/>
    <w:rsid w:val="00133EA0"/>
    <w:rsid w:val="00137249"/>
    <w:rsid w:val="00140687"/>
    <w:rsid w:val="00146421"/>
    <w:rsid w:val="00153B20"/>
    <w:rsid w:val="00155F64"/>
    <w:rsid w:val="00157856"/>
    <w:rsid w:val="00160729"/>
    <w:rsid w:val="0016455F"/>
    <w:rsid w:val="00165398"/>
    <w:rsid w:val="00166794"/>
    <w:rsid w:val="00166ED8"/>
    <w:rsid w:val="001714C9"/>
    <w:rsid w:val="00171515"/>
    <w:rsid w:val="00172B93"/>
    <w:rsid w:val="001768BC"/>
    <w:rsid w:val="0018119B"/>
    <w:rsid w:val="001844AB"/>
    <w:rsid w:val="001853C7"/>
    <w:rsid w:val="00192879"/>
    <w:rsid w:val="001944B8"/>
    <w:rsid w:val="001967D2"/>
    <w:rsid w:val="00196DA3"/>
    <w:rsid w:val="001970C3"/>
    <w:rsid w:val="001971E5"/>
    <w:rsid w:val="001A0C0F"/>
    <w:rsid w:val="001A68E5"/>
    <w:rsid w:val="001B2A54"/>
    <w:rsid w:val="001B2BA4"/>
    <w:rsid w:val="001B5014"/>
    <w:rsid w:val="001B7327"/>
    <w:rsid w:val="001C2A15"/>
    <w:rsid w:val="001D22EA"/>
    <w:rsid w:val="001D53B4"/>
    <w:rsid w:val="001E1835"/>
    <w:rsid w:val="001F28D2"/>
    <w:rsid w:val="001F2F45"/>
    <w:rsid w:val="001F3023"/>
    <w:rsid w:val="001F35F6"/>
    <w:rsid w:val="001F4AAF"/>
    <w:rsid w:val="001F74CA"/>
    <w:rsid w:val="001F7590"/>
    <w:rsid w:val="002003B6"/>
    <w:rsid w:val="0020244A"/>
    <w:rsid w:val="002049B4"/>
    <w:rsid w:val="0020520B"/>
    <w:rsid w:val="002076AD"/>
    <w:rsid w:val="00213C55"/>
    <w:rsid w:val="00223CF4"/>
    <w:rsid w:val="00224B69"/>
    <w:rsid w:val="00224C4A"/>
    <w:rsid w:val="00231187"/>
    <w:rsid w:val="0023407E"/>
    <w:rsid w:val="00240B40"/>
    <w:rsid w:val="00244182"/>
    <w:rsid w:val="002544A1"/>
    <w:rsid w:val="00257ECE"/>
    <w:rsid w:val="00260382"/>
    <w:rsid w:val="00260B94"/>
    <w:rsid w:val="00264F2E"/>
    <w:rsid w:val="00271245"/>
    <w:rsid w:val="00272BD6"/>
    <w:rsid w:val="00273F66"/>
    <w:rsid w:val="00274A9E"/>
    <w:rsid w:val="00276BA1"/>
    <w:rsid w:val="00280984"/>
    <w:rsid w:val="002832CF"/>
    <w:rsid w:val="00283599"/>
    <w:rsid w:val="002835E3"/>
    <w:rsid w:val="00284542"/>
    <w:rsid w:val="002A14D1"/>
    <w:rsid w:val="002A1A1D"/>
    <w:rsid w:val="002A28AD"/>
    <w:rsid w:val="002B04FD"/>
    <w:rsid w:val="002B5318"/>
    <w:rsid w:val="002B6D27"/>
    <w:rsid w:val="002B7A09"/>
    <w:rsid w:val="002C060C"/>
    <w:rsid w:val="002C078A"/>
    <w:rsid w:val="002D05DD"/>
    <w:rsid w:val="002D0E4D"/>
    <w:rsid w:val="002D2965"/>
    <w:rsid w:val="002D3D02"/>
    <w:rsid w:val="002D4CB5"/>
    <w:rsid w:val="002D5900"/>
    <w:rsid w:val="002D684B"/>
    <w:rsid w:val="002E2D3A"/>
    <w:rsid w:val="002E3B26"/>
    <w:rsid w:val="002E4AB8"/>
    <w:rsid w:val="002E7FC4"/>
    <w:rsid w:val="00310070"/>
    <w:rsid w:val="0031081B"/>
    <w:rsid w:val="003110EC"/>
    <w:rsid w:val="00314289"/>
    <w:rsid w:val="003206A6"/>
    <w:rsid w:val="0032560D"/>
    <w:rsid w:val="00327C92"/>
    <w:rsid w:val="00333292"/>
    <w:rsid w:val="003344E7"/>
    <w:rsid w:val="0033580B"/>
    <w:rsid w:val="003365E7"/>
    <w:rsid w:val="003378D5"/>
    <w:rsid w:val="003473D7"/>
    <w:rsid w:val="00351995"/>
    <w:rsid w:val="00351AC8"/>
    <w:rsid w:val="00353075"/>
    <w:rsid w:val="00363E02"/>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B25A5"/>
    <w:rsid w:val="003B4130"/>
    <w:rsid w:val="003B6FA1"/>
    <w:rsid w:val="003B715B"/>
    <w:rsid w:val="003C2C62"/>
    <w:rsid w:val="003C5566"/>
    <w:rsid w:val="003C577A"/>
    <w:rsid w:val="003C7C74"/>
    <w:rsid w:val="003D1D14"/>
    <w:rsid w:val="003D6C7C"/>
    <w:rsid w:val="003D6EFB"/>
    <w:rsid w:val="003D7E52"/>
    <w:rsid w:val="003E25C6"/>
    <w:rsid w:val="003F7528"/>
    <w:rsid w:val="004011AA"/>
    <w:rsid w:val="0040202C"/>
    <w:rsid w:val="00404A8F"/>
    <w:rsid w:val="00406508"/>
    <w:rsid w:val="004110F6"/>
    <w:rsid w:val="004134F8"/>
    <w:rsid w:val="0041456E"/>
    <w:rsid w:val="004148E3"/>
    <w:rsid w:val="00414F7E"/>
    <w:rsid w:val="004164F8"/>
    <w:rsid w:val="00422224"/>
    <w:rsid w:val="00426F05"/>
    <w:rsid w:val="004328E1"/>
    <w:rsid w:val="004427B7"/>
    <w:rsid w:val="0044349F"/>
    <w:rsid w:val="00445F1F"/>
    <w:rsid w:val="00447862"/>
    <w:rsid w:val="00451F60"/>
    <w:rsid w:val="00452BB2"/>
    <w:rsid w:val="00456054"/>
    <w:rsid w:val="0045656D"/>
    <w:rsid w:val="00462D98"/>
    <w:rsid w:val="00463E7D"/>
    <w:rsid w:val="00472A44"/>
    <w:rsid w:val="00473A89"/>
    <w:rsid w:val="00475899"/>
    <w:rsid w:val="00482C78"/>
    <w:rsid w:val="00483ABC"/>
    <w:rsid w:val="0048634A"/>
    <w:rsid w:val="004874AE"/>
    <w:rsid w:val="0049056F"/>
    <w:rsid w:val="00492217"/>
    <w:rsid w:val="00494D24"/>
    <w:rsid w:val="004951D1"/>
    <w:rsid w:val="004960BB"/>
    <w:rsid w:val="004A1BA3"/>
    <w:rsid w:val="004A27D0"/>
    <w:rsid w:val="004A4D67"/>
    <w:rsid w:val="004B7E79"/>
    <w:rsid w:val="004C13CB"/>
    <w:rsid w:val="004C1AAB"/>
    <w:rsid w:val="004C5B90"/>
    <w:rsid w:val="004D3D4B"/>
    <w:rsid w:val="004D5498"/>
    <w:rsid w:val="004D66A5"/>
    <w:rsid w:val="004D6B00"/>
    <w:rsid w:val="004E1D50"/>
    <w:rsid w:val="004E3266"/>
    <w:rsid w:val="004E38BA"/>
    <w:rsid w:val="004E50CA"/>
    <w:rsid w:val="004F27A0"/>
    <w:rsid w:val="0050027D"/>
    <w:rsid w:val="00501382"/>
    <w:rsid w:val="005048FB"/>
    <w:rsid w:val="00510563"/>
    <w:rsid w:val="00510798"/>
    <w:rsid w:val="005119B5"/>
    <w:rsid w:val="005125F1"/>
    <w:rsid w:val="00524A11"/>
    <w:rsid w:val="00527768"/>
    <w:rsid w:val="00530EA4"/>
    <w:rsid w:val="005327FB"/>
    <w:rsid w:val="00533251"/>
    <w:rsid w:val="00533FCA"/>
    <w:rsid w:val="005346EF"/>
    <w:rsid w:val="00542F0C"/>
    <w:rsid w:val="005470D4"/>
    <w:rsid w:val="0055705E"/>
    <w:rsid w:val="005616B5"/>
    <w:rsid w:val="00566690"/>
    <w:rsid w:val="005679A4"/>
    <w:rsid w:val="00574CE6"/>
    <w:rsid w:val="0059223D"/>
    <w:rsid w:val="0059365B"/>
    <w:rsid w:val="00593ABC"/>
    <w:rsid w:val="00597B15"/>
    <w:rsid w:val="005A044C"/>
    <w:rsid w:val="005A149F"/>
    <w:rsid w:val="005A3A32"/>
    <w:rsid w:val="005B2C9F"/>
    <w:rsid w:val="005B34C9"/>
    <w:rsid w:val="005B571E"/>
    <w:rsid w:val="005C1D52"/>
    <w:rsid w:val="005C46AC"/>
    <w:rsid w:val="005D0200"/>
    <w:rsid w:val="005D44EF"/>
    <w:rsid w:val="005D5112"/>
    <w:rsid w:val="005D5D67"/>
    <w:rsid w:val="005F34CC"/>
    <w:rsid w:val="005F3914"/>
    <w:rsid w:val="005F3B5A"/>
    <w:rsid w:val="005F6AB4"/>
    <w:rsid w:val="00607471"/>
    <w:rsid w:val="00610A66"/>
    <w:rsid w:val="006119B8"/>
    <w:rsid w:val="00613177"/>
    <w:rsid w:val="00613F7C"/>
    <w:rsid w:val="00614BF2"/>
    <w:rsid w:val="0061557C"/>
    <w:rsid w:val="00623DE2"/>
    <w:rsid w:val="00627601"/>
    <w:rsid w:val="006300D0"/>
    <w:rsid w:val="00632012"/>
    <w:rsid w:val="00634694"/>
    <w:rsid w:val="00636517"/>
    <w:rsid w:val="00636EE7"/>
    <w:rsid w:val="00637690"/>
    <w:rsid w:val="00640E1E"/>
    <w:rsid w:val="0064389A"/>
    <w:rsid w:val="00645442"/>
    <w:rsid w:val="006525CD"/>
    <w:rsid w:val="00653F7F"/>
    <w:rsid w:val="00662DCD"/>
    <w:rsid w:val="00662EE8"/>
    <w:rsid w:val="00663813"/>
    <w:rsid w:val="00664AFD"/>
    <w:rsid w:val="00667567"/>
    <w:rsid w:val="0067391A"/>
    <w:rsid w:val="00674173"/>
    <w:rsid w:val="0067534F"/>
    <w:rsid w:val="00677D87"/>
    <w:rsid w:val="006834FA"/>
    <w:rsid w:val="00690DB1"/>
    <w:rsid w:val="00693404"/>
    <w:rsid w:val="006953D9"/>
    <w:rsid w:val="006A1269"/>
    <w:rsid w:val="006A5803"/>
    <w:rsid w:val="006A69C3"/>
    <w:rsid w:val="006A7C15"/>
    <w:rsid w:val="006B1242"/>
    <w:rsid w:val="006B1DBC"/>
    <w:rsid w:val="006B3712"/>
    <w:rsid w:val="006B7D9A"/>
    <w:rsid w:val="006C06D9"/>
    <w:rsid w:val="006C3E22"/>
    <w:rsid w:val="006C5716"/>
    <w:rsid w:val="006C64B2"/>
    <w:rsid w:val="006C74A9"/>
    <w:rsid w:val="006D07DE"/>
    <w:rsid w:val="006D361A"/>
    <w:rsid w:val="006D6A81"/>
    <w:rsid w:val="006E06D9"/>
    <w:rsid w:val="006E1D40"/>
    <w:rsid w:val="006E2E1F"/>
    <w:rsid w:val="006E5059"/>
    <w:rsid w:val="006F5F03"/>
    <w:rsid w:val="006F5FFF"/>
    <w:rsid w:val="00710804"/>
    <w:rsid w:val="00711FC6"/>
    <w:rsid w:val="00712952"/>
    <w:rsid w:val="007130B1"/>
    <w:rsid w:val="00713487"/>
    <w:rsid w:val="00715071"/>
    <w:rsid w:val="007231E9"/>
    <w:rsid w:val="00724F0E"/>
    <w:rsid w:val="007270A6"/>
    <w:rsid w:val="00727C59"/>
    <w:rsid w:val="00733730"/>
    <w:rsid w:val="00734E5D"/>
    <w:rsid w:val="00736013"/>
    <w:rsid w:val="00737BF8"/>
    <w:rsid w:val="0074339B"/>
    <w:rsid w:val="0074478E"/>
    <w:rsid w:val="00750B60"/>
    <w:rsid w:val="00756245"/>
    <w:rsid w:val="00761662"/>
    <w:rsid w:val="00764043"/>
    <w:rsid w:val="00766A36"/>
    <w:rsid w:val="007757CF"/>
    <w:rsid w:val="007769F6"/>
    <w:rsid w:val="00780F9D"/>
    <w:rsid w:val="0078128F"/>
    <w:rsid w:val="007819D9"/>
    <w:rsid w:val="0078683C"/>
    <w:rsid w:val="00790EDB"/>
    <w:rsid w:val="00791538"/>
    <w:rsid w:val="0079326E"/>
    <w:rsid w:val="00796EDE"/>
    <w:rsid w:val="007A5A58"/>
    <w:rsid w:val="007B1C56"/>
    <w:rsid w:val="007B2EDC"/>
    <w:rsid w:val="007C1DD7"/>
    <w:rsid w:val="007C3CD5"/>
    <w:rsid w:val="007C4756"/>
    <w:rsid w:val="007C5E88"/>
    <w:rsid w:val="007C61EF"/>
    <w:rsid w:val="007C6783"/>
    <w:rsid w:val="007D03DE"/>
    <w:rsid w:val="007D1C0D"/>
    <w:rsid w:val="007D2D23"/>
    <w:rsid w:val="007E1AE9"/>
    <w:rsid w:val="007E27D6"/>
    <w:rsid w:val="007E3921"/>
    <w:rsid w:val="00801028"/>
    <w:rsid w:val="00803793"/>
    <w:rsid w:val="00804000"/>
    <w:rsid w:val="008101A2"/>
    <w:rsid w:val="00817A01"/>
    <w:rsid w:val="00820937"/>
    <w:rsid w:val="00825E35"/>
    <w:rsid w:val="00830A4E"/>
    <w:rsid w:val="008334F8"/>
    <w:rsid w:val="00835FFD"/>
    <w:rsid w:val="0084381F"/>
    <w:rsid w:val="00843E35"/>
    <w:rsid w:val="008524CE"/>
    <w:rsid w:val="00857633"/>
    <w:rsid w:val="0086440C"/>
    <w:rsid w:val="008674ED"/>
    <w:rsid w:val="00874EE6"/>
    <w:rsid w:val="00876659"/>
    <w:rsid w:val="0087734C"/>
    <w:rsid w:val="00882141"/>
    <w:rsid w:val="00886BD4"/>
    <w:rsid w:val="008876EC"/>
    <w:rsid w:val="008922A8"/>
    <w:rsid w:val="00895BD5"/>
    <w:rsid w:val="008A16C4"/>
    <w:rsid w:val="008A4A27"/>
    <w:rsid w:val="008A649F"/>
    <w:rsid w:val="008A6FED"/>
    <w:rsid w:val="008B39C5"/>
    <w:rsid w:val="008B51AA"/>
    <w:rsid w:val="008C67F2"/>
    <w:rsid w:val="008D064A"/>
    <w:rsid w:val="008D2537"/>
    <w:rsid w:val="008D2B0F"/>
    <w:rsid w:val="008D633C"/>
    <w:rsid w:val="008E449E"/>
    <w:rsid w:val="008E4BDD"/>
    <w:rsid w:val="008E770C"/>
    <w:rsid w:val="008F187F"/>
    <w:rsid w:val="008F402F"/>
    <w:rsid w:val="008F76E8"/>
    <w:rsid w:val="00904508"/>
    <w:rsid w:val="009078A1"/>
    <w:rsid w:val="00911E9C"/>
    <w:rsid w:val="00917405"/>
    <w:rsid w:val="00920C1F"/>
    <w:rsid w:val="00920F7C"/>
    <w:rsid w:val="00922718"/>
    <w:rsid w:val="00924743"/>
    <w:rsid w:val="00932A87"/>
    <w:rsid w:val="00934CAE"/>
    <w:rsid w:val="0093560E"/>
    <w:rsid w:val="0094257D"/>
    <w:rsid w:val="009443B6"/>
    <w:rsid w:val="00946F68"/>
    <w:rsid w:val="0095467C"/>
    <w:rsid w:val="00954A61"/>
    <w:rsid w:val="00955C6F"/>
    <w:rsid w:val="00966C7B"/>
    <w:rsid w:val="009701DC"/>
    <w:rsid w:val="009715D8"/>
    <w:rsid w:val="009811A8"/>
    <w:rsid w:val="00991460"/>
    <w:rsid w:val="00995BF9"/>
    <w:rsid w:val="009975CC"/>
    <w:rsid w:val="009A0CAF"/>
    <w:rsid w:val="009A2207"/>
    <w:rsid w:val="009A2D34"/>
    <w:rsid w:val="009A6565"/>
    <w:rsid w:val="009B0EDA"/>
    <w:rsid w:val="009B6C42"/>
    <w:rsid w:val="009D2998"/>
    <w:rsid w:val="009D31F7"/>
    <w:rsid w:val="009D32C2"/>
    <w:rsid w:val="009D50DB"/>
    <w:rsid w:val="009E2932"/>
    <w:rsid w:val="009E3A0A"/>
    <w:rsid w:val="009F1936"/>
    <w:rsid w:val="009F3E91"/>
    <w:rsid w:val="00A008DA"/>
    <w:rsid w:val="00A00C93"/>
    <w:rsid w:val="00A0571E"/>
    <w:rsid w:val="00A13A27"/>
    <w:rsid w:val="00A1499B"/>
    <w:rsid w:val="00A170D8"/>
    <w:rsid w:val="00A30A1B"/>
    <w:rsid w:val="00A311AD"/>
    <w:rsid w:val="00A314C2"/>
    <w:rsid w:val="00A501BF"/>
    <w:rsid w:val="00A519A0"/>
    <w:rsid w:val="00A5274A"/>
    <w:rsid w:val="00A62A2E"/>
    <w:rsid w:val="00A63A4D"/>
    <w:rsid w:val="00A63E86"/>
    <w:rsid w:val="00A67AF7"/>
    <w:rsid w:val="00A75185"/>
    <w:rsid w:val="00A754A0"/>
    <w:rsid w:val="00A757C3"/>
    <w:rsid w:val="00A75E5B"/>
    <w:rsid w:val="00A75F4B"/>
    <w:rsid w:val="00A7684A"/>
    <w:rsid w:val="00A83B69"/>
    <w:rsid w:val="00A86533"/>
    <w:rsid w:val="00A91CA2"/>
    <w:rsid w:val="00A92FB8"/>
    <w:rsid w:val="00A948F1"/>
    <w:rsid w:val="00AA0BE3"/>
    <w:rsid w:val="00AA18F9"/>
    <w:rsid w:val="00AA1D7D"/>
    <w:rsid w:val="00AA2790"/>
    <w:rsid w:val="00AA3806"/>
    <w:rsid w:val="00AB139D"/>
    <w:rsid w:val="00AB2A35"/>
    <w:rsid w:val="00AB2D05"/>
    <w:rsid w:val="00AB3EFB"/>
    <w:rsid w:val="00AC0B05"/>
    <w:rsid w:val="00AC1962"/>
    <w:rsid w:val="00AC7F9D"/>
    <w:rsid w:val="00AD079A"/>
    <w:rsid w:val="00AD1890"/>
    <w:rsid w:val="00AE2149"/>
    <w:rsid w:val="00AE2BF3"/>
    <w:rsid w:val="00AE33AE"/>
    <w:rsid w:val="00AE3986"/>
    <w:rsid w:val="00AE3F91"/>
    <w:rsid w:val="00AF5B63"/>
    <w:rsid w:val="00B0053D"/>
    <w:rsid w:val="00B01176"/>
    <w:rsid w:val="00B039E3"/>
    <w:rsid w:val="00B06D36"/>
    <w:rsid w:val="00B12BC4"/>
    <w:rsid w:val="00B22838"/>
    <w:rsid w:val="00B33E8F"/>
    <w:rsid w:val="00B33E95"/>
    <w:rsid w:val="00B3720B"/>
    <w:rsid w:val="00B45D0B"/>
    <w:rsid w:val="00B52FA0"/>
    <w:rsid w:val="00B5558A"/>
    <w:rsid w:val="00B56513"/>
    <w:rsid w:val="00B61B64"/>
    <w:rsid w:val="00B631E4"/>
    <w:rsid w:val="00B64376"/>
    <w:rsid w:val="00B6570C"/>
    <w:rsid w:val="00B6790B"/>
    <w:rsid w:val="00B7401F"/>
    <w:rsid w:val="00B769CF"/>
    <w:rsid w:val="00B806C3"/>
    <w:rsid w:val="00B80D6F"/>
    <w:rsid w:val="00B84FCA"/>
    <w:rsid w:val="00B9089F"/>
    <w:rsid w:val="00B91826"/>
    <w:rsid w:val="00B91AEE"/>
    <w:rsid w:val="00B95F5A"/>
    <w:rsid w:val="00B96EAD"/>
    <w:rsid w:val="00BA4962"/>
    <w:rsid w:val="00BA4B7C"/>
    <w:rsid w:val="00BA79F5"/>
    <w:rsid w:val="00BA7EA7"/>
    <w:rsid w:val="00BB2E28"/>
    <w:rsid w:val="00BB3AB6"/>
    <w:rsid w:val="00BB766D"/>
    <w:rsid w:val="00BC007B"/>
    <w:rsid w:val="00BC1715"/>
    <w:rsid w:val="00BC26BA"/>
    <w:rsid w:val="00BC35F8"/>
    <w:rsid w:val="00BC481B"/>
    <w:rsid w:val="00BD08DF"/>
    <w:rsid w:val="00BD2D29"/>
    <w:rsid w:val="00BD617C"/>
    <w:rsid w:val="00BE782C"/>
    <w:rsid w:val="00BF376F"/>
    <w:rsid w:val="00BF46A6"/>
    <w:rsid w:val="00BF6CAD"/>
    <w:rsid w:val="00BF71FB"/>
    <w:rsid w:val="00C04DBF"/>
    <w:rsid w:val="00C05E4C"/>
    <w:rsid w:val="00C06545"/>
    <w:rsid w:val="00C134AF"/>
    <w:rsid w:val="00C220FC"/>
    <w:rsid w:val="00C24DFA"/>
    <w:rsid w:val="00C24F9D"/>
    <w:rsid w:val="00C30182"/>
    <w:rsid w:val="00C31FC9"/>
    <w:rsid w:val="00C37A63"/>
    <w:rsid w:val="00C42248"/>
    <w:rsid w:val="00C46A36"/>
    <w:rsid w:val="00C47037"/>
    <w:rsid w:val="00C50235"/>
    <w:rsid w:val="00C509E3"/>
    <w:rsid w:val="00C53625"/>
    <w:rsid w:val="00C548BA"/>
    <w:rsid w:val="00C5679D"/>
    <w:rsid w:val="00C57784"/>
    <w:rsid w:val="00C602C1"/>
    <w:rsid w:val="00C63FC0"/>
    <w:rsid w:val="00C66392"/>
    <w:rsid w:val="00C7075D"/>
    <w:rsid w:val="00C73D09"/>
    <w:rsid w:val="00C74895"/>
    <w:rsid w:val="00C74C5E"/>
    <w:rsid w:val="00C82558"/>
    <w:rsid w:val="00C827A2"/>
    <w:rsid w:val="00C82B69"/>
    <w:rsid w:val="00C82C8E"/>
    <w:rsid w:val="00C82CB3"/>
    <w:rsid w:val="00C91B28"/>
    <w:rsid w:val="00C91F3A"/>
    <w:rsid w:val="00C93590"/>
    <w:rsid w:val="00CA31EA"/>
    <w:rsid w:val="00CA5446"/>
    <w:rsid w:val="00CB14E5"/>
    <w:rsid w:val="00CB218D"/>
    <w:rsid w:val="00CB5625"/>
    <w:rsid w:val="00CB5797"/>
    <w:rsid w:val="00CC1C17"/>
    <w:rsid w:val="00CC4F7F"/>
    <w:rsid w:val="00CC5D70"/>
    <w:rsid w:val="00CD09E1"/>
    <w:rsid w:val="00CE1780"/>
    <w:rsid w:val="00CE4913"/>
    <w:rsid w:val="00CE66BD"/>
    <w:rsid w:val="00CF0671"/>
    <w:rsid w:val="00CF247A"/>
    <w:rsid w:val="00CF44AD"/>
    <w:rsid w:val="00CF4D7C"/>
    <w:rsid w:val="00CF4FC0"/>
    <w:rsid w:val="00CF7486"/>
    <w:rsid w:val="00D00637"/>
    <w:rsid w:val="00D1072F"/>
    <w:rsid w:val="00D108A5"/>
    <w:rsid w:val="00D14585"/>
    <w:rsid w:val="00D153C8"/>
    <w:rsid w:val="00D17F98"/>
    <w:rsid w:val="00D20EFF"/>
    <w:rsid w:val="00D215B9"/>
    <w:rsid w:val="00D31324"/>
    <w:rsid w:val="00D4386E"/>
    <w:rsid w:val="00D51432"/>
    <w:rsid w:val="00D53ED8"/>
    <w:rsid w:val="00D541A0"/>
    <w:rsid w:val="00D64857"/>
    <w:rsid w:val="00D6493A"/>
    <w:rsid w:val="00D649A5"/>
    <w:rsid w:val="00D66833"/>
    <w:rsid w:val="00D67875"/>
    <w:rsid w:val="00D71E86"/>
    <w:rsid w:val="00D731C6"/>
    <w:rsid w:val="00D745C5"/>
    <w:rsid w:val="00D75327"/>
    <w:rsid w:val="00D77D6B"/>
    <w:rsid w:val="00D80C36"/>
    <w:rsid w:val="00D81A32"/>
    <w:rsid w:val="00D86EE1"/>
    <w:rsid w:val="00D95E90"/>
    <w:rsid w:val="00D96126"/>
    <w:rsid w:val="00DA2FD5"/>
    <w:rsid w:val="00DB4B1C"/>
    <w:rsid w:val="00DB5085"/>
    <w:rsid w:val="00DB619F"/>
    <w:rsid w:val="00DB7211"/>
    <w:rsid w:val="00DC1062"/>
    <w:rsid w:val="00DC132C"/>
    <w:rsid w:val="00DC181A"/>
    <w:rsid w:val="00DC5727"/>
    <w:rsid w:val="00DD43F0"/>
    <w:rsid w:val="00DD44DE"/>
    <w:rsid w:val="00DE09AB"/>
    <w:rsid w:val="00DE1DCC"/>
    <w:rsid w:val="00DE352F"/>
    <w:rsid w:val="00DE4A3F"/>
    <w:rsid w:val="00DE5A99"/>
    <w:rsid w:val="00DF4367"/>
    <w:rsid w:val="00DF7291"/>
    <w:rsid w:val="00E0574A"/>
    <w:rsid w:val="00E1243D"/>
    <w:rsid w:val="00E12742"/>
    <w:rsid w:val="00E146D4"/>
    <w:rsid w:val="00E14815"/>
    <w:rsid w:val="00E21D37"/>
    <w:rsid w:val="00E220ED"/>
    <w:rsid w:val="00E22B44"/>
    <w:rsid w:val="00E30ACD"/>
    <w:rsid w:val="00E32735"/>
    <w:rsid w:val="00E34236"/>
    <w:rsid w:val="00E44B88"/>
    <w:rsid w:val="00E60DDB"/>
    <w:rsid w:val="00E65AD9"/>
    <w:rsid w:val="00E66E36"/>
    <w:rsid w:val="00E67F21"/>
    <w:rsid w:val="00E702ED"/>
    <w:rsid w:val="00E709A4"/>
    <w:rsid w:val="00E75917"/>
    <w:rsid w:val="00E772DB"/>
    <w:rsid w:val="00E86012"/>
    <w:rsid w:val="00E860CA"/>
    <w:rsid w:val="00E86BAB"/>
    <w:rsid w:val="00E92962"/>
    <w:rsid w:val="00E94E10"/>
    <w:rsid w:val="00E96743"/>
    <w:rsid w:val="00E96A42"/>
    <w:rsid w:val="00E97497"/>
    <w:rsid w:val="00EA16D5"/>
    <w:rsid w:val="00EA49C5"/>
    <w:rsid w:val="00EA6279"/>
    <w:rsid w:val="00EB5027"/>
    <w:rsid w:val="00EB6C87"/>
    <w:rsid w:val="00EC1836"/>
    <w:rsid w:val="00EC2F6E"/>
    <w:rsid w:val="00EC3990"/>
    <w:rsid w:val="00EC484B"/>
    <w:rsid w:val="00EC7E58"/>
    <w:rsid w:val="00ED15FA"/>
    <w:rsid w:val="00ED5C9F"/>
    <w:rsid w:val="00EE050C"/>
    <w:rsid w:val="00EE2113"/>
    <w:rsid w:val="00EE5730"/>
    <w:rsid w:val="00EE6E9A"/>
    <w:rsid w:val="00EF2AC4"/>
    <w:rsid w:val="00EF397E"/>
    <w:rsid w:val="00F0340C"/>
    <w:rsid w:val="00F06F68"/>
    <w:rsid w:val="00F11241"/>
    <w:rsid w:val="00F15E9D"/>
    <w:rsid w:val="00F23FA7"/>
    <w:rsid w:val="00F24C2D"/>
    <w:rsid w:val="00F27BEC"/>
    <w:rsid w:val="00F27D59"/>
    <w:rsid w:val="00F316E1"/>
    <w:rsid w:val="00F32155"/>
    <w:rsid w:val="00F32A81"/>
    <w:rsid w:val="00F40C82"/>
    <w:rsid w:val="00F4197F"/>
    <w:rsid w:val="00F46998"/>
    <w:rsid w:val="00F5382D"/>
    <w:rsid w:val="00F53D9C"/>
    <w:rsid w:val="00F54195"/>
    <w:rsid w:val="00F5462B"/>
    <w:rsid w:val="00F54653"/>
    <w:rsid w:val="00F54FAC"/>
    <w:rsid w:val="00F569DE"/>
    <w:rsid w:val="00F57205"/>
    <w:rsid w:val="00F634AD"/>
    <w:rsid w:val="00F63677"/>
    <w:rsid w:val="00F70658"/>
    <w:rsid w:val="00F7417E"/>
    <w:rsid w:val="00F75B81"/>
    <w:rsid w:val="00F761CA"/>
    <w:rsid w:val="00F804C4"/>
    <w:rsid w:val="00F80C7E"/>
    <w:rsid w:val="00F82F83"/>
    <w:rsid w:val="00F86097"/>
    <w:rsid w:val="00F90C64"/>
    <w:rsid w:val="00F9210C"/>
    <w:rsid w:val="00F92B30"/>
    <w:rsid w:val="00F933B9"/>
    <w:rsid w:val="00F94674"/>
    <w:rsid w:val="00F94919"/>
    <w:rsid w:val="00F94A59"/>
    <w:rsid w:val="00FA25B6"/>
    <w:rsid w:val="00FA2FAF"/>
    <w:rsid w:val="00FA54F6"/>
    <w:rsid w:val="00FA64B1"/>
    <w:rsid w:val="00FA70F3"/>
    <w:rsid w:val="00FA71CD"/>
    <w:rsid w:val="00FB0453"/>
    <w:rsid w:val="00FB0C07"/>
    <w:rsid w:val="00FB205F"/>
    <w:rsid w:val="00FB298D"/>
    <w:rsid w:val="00FB3171"/>
    <w:rsid w:val="00FB444E"/>
    <w:rsid w:val="00FC1439"/>
    <w:rsid w:val="00FC3F65"/>
    <w:rsid w:val="00FC5007"/>
    <w:rsid w:val="00FC70AD"/>
    <w:rsid w:val="00FC724B"/>
    <w:rsid w:val="00FC7910"/>
    <w:rsid w:val="00FD01E0"/>
    <w:rsid w:val="00FD50FC"/>
    <w:rsid w:val="00FE1627"/>
    <w:rsid w:val="00FE2D4E"/>
    <w:rsid w:val="00FE3F22"/>
    <w:rsid w:val="00FF092F"/>
    <w:rsid w:val="00FF0DA7"/>
    <w:rsid w:val="00FF2B09"/>
    <w:rsid w:val="00FF44E0"/>
    <w:rsid w:val="00FF6C72"/>
    <w:rsid w:val="01722E9F"/>
    <w:rsid w:val="01915CC2"/>
    <w:rsid w:val="02973509"/>
    <w:rsid w:val="02EB0203"/>
    <w:rsid w:val="06AE129F"/>
    <w:rsid w:val="072D20A4"/>
    <w:rsid w:val="073B420D"/>
    <w:rsid w:val="087C164C"/>
    <w:rsid w:val="09A909AA"/>
    <w:rsid w:val="0A3D35AB"/>
    <w:rsid w:val="0A542106"/>
    <w:rsid w:val="0A6C4667"/>
    <w:rsid w:val="0A803502"/>
    <w:rsid w:val="0BBE711B"/>
    <w:rsid w:val="0BD47173"/>
    <w:rsid w:val="0C1B47F2"/>
    <w:rsid w:val="0C4264AA"/>
    <w:rsid w:val="0C6157E5"/>
    <w:rsid w:val="0DB63633"/>
    <w:rsid w:val="10607C4F"/>
    <w:rsid w:val="106E6418"/>
    <w:rsid w:val="11323C4E"/>
    <w:rsid w:val="12D71D5F"/>
    <w:rsid w:val="138E2FF9"/>
    <w:rsid w:val="151B7FB7"/>
    <w:rsid w:val="15C9582E"/>
    <w:rsid w:val="167B6427"/>
    <w:rsid w:val="16B27D38"/>
    <w:rsid w:val="1930691F"/>
    <w:rsid w:val="1A6528FE"/>
    <w:rsid w:val="1A835004"/>
    <w:rsid w:val="1BA61F6F"/>
    <w:rsid w:val="1C63029E"/>
    <w:rsid w:val="1C715A71"/>
    <w:rsid w:val="1CC921E7"/>
    <w:rsid w:val="1D1C4205"/>
    <w:rsid w:val="1D444EB6"/>
    <w:rsid w:val="1DA840EB"/>
    <w:rsid w:val="1DCE3BD5"/>
    <w:rsid w:val="1DCF0FA3"/>
    <w:rsid w:val="20C16461"/>
    <w:rsid w:val="20FF5536"/>
    <w:rsid w:val="217A246C"/>
    <w:rsid w:val="226F2197"/>
    <w:rsid w:val="23146520"/>
    <w:rsid w:val="23585502"/>
    <w:rsid w:val="23596C26"/>
    <w:rsid w:val="23B43BF8"/>
    <w:rsid w:val="24577437"/>
    <w:rsid w:val="262D78EB"/>
    <w:rsid w:val="27CA60F4"/>
    <w:rsid w:val="27E85AF1"/>
    <w:rsid w:val="27F460A8"/>
    <w:rsid w:val="28C929C1"/>
    <w:rsid w:val="295220BC"/>
    <w:rsid w:val="29DA6B0B"/>
    <w:rsid w:val="2A093B18"/>
    <w:rsid w:val="2A8D7B4E"/>
    <w:rsid w:val="2ABD245A"/>
    <w:rsid w:val="2B412386"/>
    <w:rsid w:val="2BB34FD2"/>
    <w:rsid w:val="2CEA687B"/>
    <w:rsid w:val="2D1633EB"/>
    <w:rsid w:val="2DE16C1F"/>
    <w:rsid w:val="2E1B2EA1"/>
    <w:rsid w:val="2E63511A"/>
    <w:rsid w:val="2EB35320"/>
    <w:rsid w:val="2F111D48"/>
    <w:rsid w:val="2F317872"/>
    <w:rsid w:val="2F3F0C54"/>
    <w:rsid w:val="2F4615DA"/>
    <w:rsid w:val="30ED2B9B"/>
    <w:rsid w:val="31197749"/>
    <w:rsid w:val="32691053"/>
    <w:rsid w:val="32A538A5"/>
    <w:rsid w:val="330E360D"/>
    <w:rsid w:val="33B37D2E"/>
    <w:rsid w:val="352620DC"/>
    <w:rsid w:val="35E5310F"/>
    <w:rsid w:val="3661430F"/>
    <w:rsid w:val="369D587E"/>
    <w:rsid w:val="36CF1D5D"/>
    <w:rsid w:val="370F3BF6"/>
    <w:rsid w:val="38AD0855"/>
    <w:rsid w:val="39293004"/>
    <w:rsid w:val="39882115"/>
    <w:rsid w:val="39E10D60"/>
    <w:rsid w:val="3A4809AE"/>
    <w:rsid w:val="3BFC5E74"/>
    <w:rsid w:val="3C0059BB"/>
    <w:rsid w:val="3C5F3E33"/>
    <w:rsid w:val="3F5E4365"/>
    <w:rsid w:val="415470E2"/>
    <w:rsid w:val="41AF5742"/>
    <w:rsid w:val="41BB759E"/>
    <w:rsid w:val="42B740A7"/>
    <w:rsid w:val="4353477A"/>
    <w:rsid w:val="43783307"/>
    <w:rsid w:val="43C05511"/>
    <w:rsid w:val="446B6021"/>
    <w:rsid w:val="44CE57BC"/>
    <w:rsid w:val="45FC7108"/>
    <w:rsid w:val="473A7BED"/>
    <w:rsid w:val="47863A67"/>
    <w:rsid w:val="478F71C4"/>
    <w:rsid w:val="4821786A"/>
    <w:rsid w:val="4825146D"/>
    <w:rsid w:val="482B373E"/>
    <w:rsid w:val="49C10C94"/>
    <w:rsid w:val="4A6169D0"/>
    <w:rsid w:val="4B014864"/>
    <w:rsid w:val="4B954E7C"/>
    <w:rsid w:val="4E6B046C"/>
    <w:rsid w:val="4E707289"/>
    <w:rsid w:val="4E9E4717"/>
    <w:rsid w:val="4EEA3D40"/>
    <w:rsid w:val="4F00728A"/>
    <w:rsid w:val="4F3F6AB1"/>
    <w:rsid w:val="4F5D071B"/>
    <w:rsid w:val="4F9B688F"/>
    <w:rsid w:val="54087D99"/>
    <w:rsid w:val="54A72003"/>
    <w:rsid w:val="56023921"/>
    <w:rsid w:val="57E20E75"/>
    <w:rsid w:val="5809250B"/>
    <w:rsid w:val="584A135A"/>
    <w:rsid w:val="59392054"/>
    <w:rsid w:val="5A3617D9"/>
    <w:rsid w:val="5A7F6B6C"/>
    <w:rsid w:val="5AFB613D"/>
    <w:rsid w:val="5B884B20"/>
    <w:rsid w:val="5BC0556E"/>
    <w:rsid w:val="5BC81C40"/>
    <w:rsid w:val="5DA327CA"/>
    <w:rsid w:val="5FBE51B8"/>
    <w:rsid w:val="5FD74633"/>
    <w:rsid w:val="60E412C0"/>
    <w:rsid w:val="61E323AE"/>
    <w:rsid w:val="623331AC"/>
    <w:rsid w:val="625772C4"/>
    <w:rsid w:val="636F3034"/>
    <w:rsid w:val="650516A8"/>
    <w:rsid w:val="65330581"/>
    <w:rsid w:val="65830E72"/>
    <w:rsid w:val="65A80565"/>
    <w:rsid w:val="66E81280"/>
    <w:rsid w:val="69110DD3"/>
    <w:rsid w:val="691D526F"/>
    <w:rsid w:val="69676D3F"/>
    <w:rsid w:val="6A2E3597"/>
    <w:rsid w:val="6A6F5D82"/>
    <w:rsid w:val="6C8D150C"/>
    <w:rsid w:val="6CE35249"/>
    <w:rsid w:val="6E39711A"/>
    <w:rsid w:val="6E997D6C"/>
    <w:rsid w:val="6EF616F6"/>
    <w:rsid w:val="6F5D575B"/>
    <w:rsid w:val="705619F8"/>
    <w:rsid w:val="71467526"/>
    <w:rsid w:val="74FC2405"/>
    <w:rsid w:val="754058DD"/>
    <w:rsid w:val="771A04F8"/>
    <w:rsid w:val="784A4B73"/>
    <w:rsid w:val="786924FD"/>
    <w:rsid w:val="789518CC"/>
    <w:rsid w:val="799B26EC"/>
    <w:rsid w:val="7A5B3FA8"/>
    <w:rsid w:val="7BA174E1"/>
    <w:rsid w:val="7BC04FC3"/>
    <w:rsid w:val="7CA72746"/>
    <w:rsid w:val="7DC33C3F"/>
    <w:rsid w:val="7EA81A90"/>
    <w:rsid w:val="7F2B1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55"/>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57"/>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2"/>
    <w:autoRedefine/>
    <w:qFormat/>
    <w:uiPriority w:val="0"/>
    <w:pPr>
      <w:keepNext/>
      <w:keepLines/>
      <w:spacing w:before="280" w:after="290" w:line="376" w:lineRule="auto"/>
      <w:outlineLvl w:val="3"/>
    </w:pPr>
    <w:rPr>
      <w:b/>
      <w:bCs/>
      <w:sz w:val="28"/>
      <w:szCs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6">
    <w:name w:val="List Number"/>
    <w:basedOn w:val="1"/>
    <w:semiHidden/>
    <w:unhideWhenUsed/>
    <w:qFormat/>
    <w:uiPriority w:val="99"/>
    <w:pPr>
      <w:numPr>
        <w:ilvl w:val="0"/>
        <w:numId w:val="1"/>
      </w:numPr>
    </w:p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54"/>
    <w:autoRedefine/>
    <w:qFormat/>
    <w:uiPriority w:val="0"/>
    <w:pPr>
      <w:jc w:val="left"/>
    </w:pPr>
    <w:rPr>
      <w:rFonts w:ascii="Arial" w:hAnsi="Arial" w:eastAsia="黑体" w:cs="Arial"/>
    </w:rPr>
  </w:style>
  <w:style w:type="paragraph" w:styleId="9">
    <w:name w:val="Body Text"/>
    <w:basedOn w:val="1"/>
    <w:link w:val="63"/>
    <w:autoRedefine/>
    <w:qFormat/>
    <w:uiPriority w:val="0"/>
    <w:pPr>
      <w:spacing w:after="120"/>
    </w:pPr>
    <w:rPr>
      <w:rFonts w:ascii="@微软简标宋" w:hAnsi="@微软简标宋" w:eastAsia="@微软简标宋" w:cs="@微软简标宋"/>
      <w:szCs w:val="24"/>
      <w:lang w:val="zh-CN"/>
    </w:rPr>
  </w:style>
  <w:style w:type="paragraph" w:styleId="10">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1">
    <w:name w:val="Plain Text"/>
    <w:basedOn w:val="1"/>
    <w:link w:val="43"/>
    <w:autoRedefine/>
    <w:qFormat/>
    <w:uiPriority w:val="99"/>
    <w:rPr>
      <w:rFonts w:ascii="宋体" w:hAnsi="Courier New" w:eastAsiaTheme="minorEastAsia" w:cstheme="minorBidi"/>
      <w:szCs w:val="22"/>
    </w:rPr>
  </w:style>
  <w:style w:type="paragraph" w:styleId="12">
    <w:name w:val="Date"/>
    <w:basedOn w:val="1"/>
    <w:next w:val="1"/>
    <w:link w:val="50"/>
    <w:autoRedefine/>
    <w:qFormat/>
    <w:uiPriority w:val="0"/>
    <w:rPr>
      <w:rFonts w:ascii="Arial" w:hAnsi="Arial" w:eastAsia="宋体" w:cs="Arial"/>
      <w:b/>
      <w:sz w:val="28"/>
    </w:rPr>
  </w:style>
  <w:style w:type="paragraph" w:styleId="13">
    <w:name w:val="Body Text Indent 2"/>
    <w:basedOn w:val="1"/>
    <w:next w:val="1"/>
    <w:qFormat/>
    <w:uiPriority w:val="0"/>
    <w:pPr>
      <w:spacing w:after="120" w:line="480" w:lineRule="auto"/>
      <w:ind w:left="420" w:leftChars="200"/>
    </w:pPr>
  </w:style>
  <w:style w:type="paragraph" w:styleId="14">
    <w:name w:val="Balloon Text"/>
    <w:basedOn w:val="1"/>
    <w:link w:val="37"/>
    <w:autoRedefine/>
    <w:semiHidden/>
    <w:unhideWhenUsed/>
    <w:qFormat/>
    <w:uiPriority w:val="99"/>
    <w:rPr>
      <w:sz w:val="18"/>
      <w:szCs w:val="18"/>
    </w:rPr>
  </w:style>
  <w:style w:type="paragraph" w:styleId="15">
    <w:name w:val="footer"/>
    <w:basedOn w:val="1"/>
    <w:link w:val="42"/>
    <w:autoRedefine/>
    <w:unhideWhenUsed/>
    <w:qFormat/>
    <w:uiPriority w:val="99"/>
    <w:pPr>
      <w:tabs>
        <w:tab w:val="center" w:pos="4153"/>
        <w:tab w:val="right" w:pos="8306"/>
      </w:tabs>
      <w:snapToGrid w:val="0"/>
      <w:jc w:val="left"/>
    </w:pPr>
    <w:rPr>
      <w:sz w:val="18"/>
      <w:szCs w:val="18"/>
    </w:rPr>
  </w:style>
  <w:style w:type="paragraph" w:styleId="16">
    <w:name w:val="header"/>
    <w:basedOn w:val="1"/>
    <w:link w:val="41"/>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8">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9">
    <w:name w:val="Normal (Web)"/>
    <w:basedOn w:val="1"/>
    <w:autoRedefine/>
    <w:qFormat/>
    <w:uiPriority w:val="0"/>
    <w:pPr>
      <w:spacing w:before="100" w:beforeAutospacing="1" w:after="100" w:afterAutospacing="1"/>
      <w:jc w:val="left"/>
    </w:pPr>
    <w:rPr>
      <w:rFonts w:cs="Times New Roman"/>
      <w:kern w:val="0"/>
      <w:sz w:val="24"/>
    </w:rPr>
  </w:style>
  <w:style w:type="paragraph" w:styleId="20">
    <w:name w:val="index 1"/>
    <w:basedOn w:val="1"/>
    <w:next w:val="1"/>
    <w:autoRedefine/>
    <w:qFormat/>
    <w:uiPriority w:val="0"/>
    <w:pPr>
      <w:jc w:val="center"/>
    </w:pPr>
    <w:rPr>
      <w:rFonts w:ascii="Arial" w:hAnsi="Arial" w:eastAsia="Arial" w:cs="Arial"/>
      <w:b/>
      <w:bCs/>
      <w:sz w:val="28"/>
    </w:rPr>
  </w:style>
  <w:style w:type="paragraph" w:styleId="21">
    <w:name w:val="Body Text First Indent"/>
    <w:basedOn w:val="9"/>
    <w:autoRedefine/>
    <w:unhideWhenUsed/>
    <w:qFormat/>
    <w:uiPriority w:val="99"/>
    <w:pPr>
      <w:ind w:firstLine="420" w:firstLineChars="100"/>
    </w:pPr>
  </w:style>
  <w:style w:type="table" w:styleId="23">
    <w:name w:val="Table Grid"/>
    <w:basedOn w:val="22"/>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autoRedefine/>
    <w:qFormat/>
    <w:uiPriority w:val="0"/>
    <w:rPr>
      <w:b/>
      <w:bCs/>
    </w:rPr>
  </w:style>
  <w:style w:type="character" w:styleId="26">
    <w:name w:val="FollowedHyperlink"/>
    <w:basedOn w:val="24"/>
    <w:autoRedefine/>
    <w:semiHidden/>
    <w:unhideWhenUsed/>
    <w:qFormat/>
    <w:uiPriority w:val="99"/>
    <w:rPr>
      <w:color w:val="800080"/>
      <w:u w:val="none"/>
    </w:rPr>
  </w:style>
  <w:style w:type="character" w:styleId="27">
    <w:name w:val="Emphasis"/>
    <w:basedOn w:val="24"/>
    <w:autoRedefine/>
    <w:qFormat/>
    <w:uiPriority w:val="20"/>
    <w:rPr>
      <w:b/>
      <w:bCs/>
    </w:rPr>
  </w:style>
  <w:style w:type="character" w:styleId="28">
    <w:name w:val="HTML Definition"/>
    <w:basedOn w:val="24"/>
    <w:autoRedefine/>
    <w:semiHidden/>
    <w:unhideWhenUsed/>
    <w:qFormat/>
    <w:uiPriority w:val="99"/>
  </w:style>
  <w:style w:type="character" w:styleId="29">
    <w:name w:val="HTML Typewriter"/>
    <w:basedOn w:val="24"/>
    <w:autoRedefine/>
    <w:semiHidden/>
    <w:unhideWhenUsed/>
    <w:qFormat/>
    <w:uiPriority w:val="99"/>
    <w:rPr>
      <w:rFonts w:hint="default" w:ascii="monospace" w:hAnsi="monospace" w:eastAsia="monospace" w:cs="monospace"/>
      <w:sz w:val="20"/>
    </w:rPr>
  </w:style>
  <w:style w:type="character" w:styleId="30">
    <w:name w:val="HTML Acronym"/>
    <w:basedOn w:val="24"/>
    <w:autoRedefine/>
    <w:semiHidden/>
    <w:unhideWhenUsed/>
    <w:qFormat/>
    <w:uiPriority w:val="99"/>
  </w:style>
  <w:style w:type="character" w:styleId="31">
    <w:name w:val="HTML Variable"/>
    <w:basedOn w:val="24"/>
    <w:autoRedefine/>
    <w:semiHidden/>
    <w:unhideWhenUsed/>
    <w:qFormat/>
    <w:uiPriority w:val="99"/>
  </w:style>
  <w:style w:type="character" w:styleId="32">
    <w:name w:val="Hyperlink"/>
    <w:basedOn w:val="24"/>
    <w:autoRedefine/>
    <w:unhideWhenUsed/>
    <w:qFormat/>
    <w:uiPriority w:val="99"/>
    <w:rPr>
      <w:color w:val="0000FF" w:themeColor="hyperlink"/>
      <w:u w:val="single"/>
      <w14:textFill>
        <w14:solidFill>
          <w14:schemeClr w14:val="hlink"/>
        </w14:solidFill>
      </w14:textFill>
    </w:rPr>
  </w:style>
  <w:style w:type="character" w:styleId="33">
    <w:name w:val="HTML Code"/>
    <w:basedOn w:val="24"/>
    <w:autoRedefine/>
    <w:semiHidden/>
    <w:unhideWhenUsed/>
    <w:qFormat/>
    <w:uiPriority w:val="99"/>
    <w:rPr>
      <w:rFonts w:ascii="monospace" w:hAnsi="monospace" w:eastAsia="monospace" w:cs="monospace"/>
      <w:sz w:val="20"/>
    </w:rPr>
  </w:style>
  <w:style w:type="character" w:styleId="34">
    <w:name w:val="HTML Cite"/>
    <w:basedOn w:val="24"/>
    <w:autoRedefine/>
    <w:semiHidden/>
    <w:unhideWhenUsed/>
    <w:qFormat/>
    <w:uiPriority w:val="99"/>
  </w:style>
  <w:style w:type="character" w:styleId="35">
    <w:name w:val="HTML Keyboard"/>
    <w:basedOn w:val="24"/>
    <w:autoRedefine/>
    <w:semiHidden/>
    <w:unhideWhenUsed/>
    <w:qFormat/>
    <w:uiPriority w:val="99"/>
    <w:rPr>
      <w:rFonts w:hint="default" w:ascii="monospace" w:hAnsi="monospace" w:eastAsia="monospace" w:cs="monospace"/>
      <w:sz w:val="20"/>
    </w:rPr>
  </w:style>
  <w:style w:type="character" w:styleId="36">
    <w:name w:val="HTML Sample"/>
    <w:basedOn w:val="24"/>
    <w:autoRedefine/>
    <w:semiHidden/>
    <w:unhideWhenUsed/>
    <w:qFormat/>
    <w:uiPriority w:val="99"/>
    <w:rPr>
      <w:rFonts w:hint="default" w:ascii="monospace" w:hAnsi="monospace" w:eastAsia="monospace" w:cs="monospace"/>
    </w:rPr>
  </w:style>
  <w:style w:type="character" w:customStyle="1" w:styleId="37">
    <w:name w:val="批注框文本 Char"/>
    <w:basedOn w:val="24"/>
    <w:link w:val="14"/>
    <w:autoRedefine/>
    <w:semiHidden/>
    <w:qFormat/>
    <w:uiPriority w:val="99"/>
    <w:rPr>
      <w:rFonts w:ascii="@仿宋_GB2312" w:hAnsi="@仿宋_GB2312" w:eastAsia="@仿宋_GB2312" w:cs="@仿宋_GB2312"/>
      <w:sz w:val="18"/>
      <w:szCs w:val="18"/>
    </w:rPr>
  </w:style>
  <w:style w:type="paragraph" w:customStyle="1" w:styleId="38">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39">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0">
    <w:name w:val="D&amp;L"/>
    <w:basedOn w:val="16"/>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1">
    <w:name w:val="页眉 Char"/>
    <w:basedOn w:val="24"/>
    <w:link w:val="16"/>
    <w:autoRedefine/>
    <w:qFormat/>
    <w:uiPriority w:val="0"/>
    <w:rPr>
      <w:rFonts w:ascii="@仿宋_GB2312" w:hAnsi="@仿宋_GB2312" w:eastAsia="@仿宋_GB2312" w:cs="@仿宋_GB2312"/>
      <w:sz w:val="18"/>
      <w:szCs w:val="18"/>
    </w:rPr>
  </w:style>
  <w:style w:type="character" w:customStyle="1" w:styleId="42">
    <w:name w:val="页脚 Char"/>
    <w:basedOn w:val="24"/>
    <w:link w:val="15"/>
    <w:autoRedefine/>
    <w:qFormat/>
    <w:uiPriority w:val="99"/>
    <w:rPr>
      <w:rFonts w:ascii="@仿宋_GB2312" w:hAnsi="@仿宋_GB2312" w:eastAsia="@仿宋_GB2312" w:cs="@仿宋_GB2312"/>
      <w:sz w:val="18"/>
      <w:szCs w:val="18"/>
    </w:rPr>
  </w:style>
  <w:style w:type="character" w:customStyle="1" w:styleId="43">
    <w:name w:val="纯文本 Char"/>
    <w:link w:val="11"/>
    <w:autoRedefine/>
    <w:qFormat/>
    <w:uiPriority w:val="0"/>
    <w:rPr>
      <w:rFonts w:ascii="宋体" w:hAnsi="Courier New"/>
    </w:rPr>
  </w:style>
  <w:style w:type="character" w:customStyle="1" w:styleId="44">
    <w:name w:val="纯文本 字符1"/>
    <w:basedOn w:val="24"/>
    <w:autoRedefine/>
    <w:semiHidden/>
    <w:qFormat/>
    <w:uiPriority w:val="99"/>
    <w:rPr>
      <w:rFonts w:hAnsi="Courier New" w:cs="Courier New" w:asciiTheme="minorEastAsia"/>
      <w:szCs w:val="20"/>
    </w:rPr>
  </w:style>
  <w:style w:type="character" w:customStyle="1" w:styleId="45">
    <w:name w:val="未处理的提及1"/>
    <w:basedOn w:val="24"/>
    <w:autoRedefine/>
    <w:semiHidden/>
    <w:unhideWhenUsed/>
    <w:qFormat/>
    <w:uiPriority w:val="99"/>
    <w:rPr>
      <w:color w:val="605E5C"/>
      <w:shd w:val="clear" w:color="auto" w:fill="E1DFDD"/>
    </w:rPr>
  </w:style>
  <w:style w:type="paragraph" w:styleId="46">
    <w:name w:val="List Paragraph"/>
    <w:basedOn w:val="1"/>
    <w:autoRedefine/>
    <w:qFormat/>
    <w:uiPriority w:val="34"/>
    <w:pPr>
      <w:ind w:firstLine="420" w:firstLineChars="200"/>
    </w:pPr>
  </w:style>
  <w:style w:type="paragraph" w:customStyle="1" w:styleId="47">
    <w:name w:val="Char Char Char Char Char Char Char1 Char"/>
    <w:basedOn w:val="1"/>
    <w:autoRedefine/>
    <w:qFormat/>
    <w:uiPriority w:val="0"/>
    <w:rPr>
      <w:rFonts w:ascii="Arial" w:hAnsi="Arial" w:eastAsia="宋体" w:cs="Arial"/>
      <w:sz w:val="24"/>
    </w:rPr>
  </w:style>
  <w:style w:type="table" w:customStyle="1" w:styleId="48">
    <w:name w:val="网格表 1 浅色1"/>
    <w:basedOn w:val="22"/>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9">
    <w:name w:val="日期 字符"/>
    <w:basedOn w:val="24"/>
    <w:autoRedefine/>
    <w:semiHidden/>
    <w:qFormat/>
    <w:uiPriority w:val="99"/>
    <w:rPr>
      <w:rFonts w:ascii="@仿宋_GB2312" w:hAnsi="@仿宋_GB2312" w:eastAsia="@仿宋_GB2312" w:cs="@仿宋_GB2312"/>
      <w:szCs w:val="20"/>
    </w:rPr>
  </w:style>
  <w:style w:type="character" w:customStyle="1" w:styleId="50">
    <w:name w:val="日期 Char"/>
    <w:link w:val="12"/>
    <w:autoRedefine/>
    <w:qFormat/>
    <w:uiPriority w:val="0"/>
    <w:rPr>
      <w:rFonts w:ascii="Arial" w:hAnsi="Arial" w:eastAsia="宋体" w:cs="Arial"/>
      <w:b/>
      <w:sz w:val="28"/>
      <w:szCs w:val="20"/>
    </w:rPr>
  </w:style>
  <w:style w:type="character" w:customStyle="1" w:styleId="51">
    <w:name w:val="纯文本 Char1"/>
    <w:link w:val="52"/>
    <w:autoRedefine/>
    <w:qFormat/>
    <w:locked/>
    <w:uiPriority w:val="0"/>
    <w:rPr>
      <w:rFonts w:ascii="Arial" w:hAnsi="Arial" w:eastAsia="Arial"/>
      <w:kern w:val="2"/>
      <w:sz w:val="21"/>
      <w:lang w:val="en-US" w:eastAsia="zh-CN" w:bidi="ar-SA"/>
    </w:rPr>
  </w:style>
  <w:style w:type="paragraph" w:customStyle="1" w:styleId="52">
    <w:name w:val="纯文本1"/>
    <w:basedOn w:val="1"/>
    <w:link w:val="51"/>
    <w:autoRedefine/>
    <w:qFormat/>
    <w:uiPriority w:val="0"/>
    <w:rPr>
      <w:rFonts w:ascii="Arial" w:hAnsi="Arial" w:eastAsia="Arial" w:cstheme="minorBidi"/>
    </w:rPr>
  </w:style>
  <w:style w:type="character" w:customStyle="1" w:styleId="53">
    <w:name w:val="批注文字 Char"/>
    <w:basedOn w:val="24"/>
    <w:autoRedefine/>
    <w:semiHidden/>
    <w:qFormat/>
    <w:uiPriority w:val="99"/>
    <w:rPr>
      <w:rFonts w:ascii="@仿宋_GB2312" w:hAnsi="@仿宋_GB2312" w:eastAsia="@仿宋_GB2312" w:cs="@仿宋_GB2312"/>
      <w:szCs w:val="20"/>
    </w:rPr>
  </w:style>
  <w:style w:type="character" w:customStyle="1" w:styleId="54">
    <w:name w:val="批注文字 Char1"/>
    <w:link w:val="8"/>
    <w:autoRedefine/>
    <w:qFormat/>
    <w:uiPriority w:val="0"/>
    <w:rPr>
      <w:rFonts w:ascii="Arial" w:hAnsi="Arial" w:eastAsia="黑体" w:cs="Arial"/>
      <w:szCs w:val="20"/>
    </w:rPr>
  </w:style>
  <w:style w:type="character" w:customStyle="1" w:styleId="55">
    <w:name w:val="标题 1 Char"/>
    <w:basedOn w:val="24"/>
    <w:link w:val="2"/>
    <w:autoRedefine/>
    <w:qFormat/>
    <w:uiPriority w:val="9"/>
    <w:rPr>
      <w:rFonts w:ascii="@仿宋_GB2312" w:hAnsi="@仿宋_GB2312" w:eastAsia="@仿宋_GB2312" w:cs="@仿宋_GB2312"/>
      <w:b/>
      <w:bCs/>
      <w:kern w:val="44"/>
      <w:sz w:val="44"/>
      <w:szCs w:val="44"/>
    </w:rPr>
  </w:style>
  <w:style w:type="paragraph" w:customStyle="1" w:styleId="56">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7">
    <w:name w:val="标题 3 Char"/>
    <w:basedOn w:val="24"/>
    <w:link w:val="4"/>
    <w:autoRedefine/>
    <w:semiHidden/>
    <w:qFormat/>
    <w:uiPriority w:val="9"/>
    <w:rPr>
      <w:rFonts w:ascii="@仿宋_GB2312" w:hAnsi="@仿宋_GB2312" w:eastAsia="@仿宋_GB2312" w:cs="@仿宋_GB2312"/>
      <w:b/>
      <w:bCs/>
      <w:sz w:val="32"/>
      <w:szCs w:val="32"/>
    </w:rPr>
  </w:style>
  <w:style w:type="character" w:customStyle="1" w:styleId="58">
    <w:name w:val="fontstyle01"/>
    <w:basedOn w:val="24"/>
    <w:autoRedefine/>
    <w:qFormat/>
    <w:uiPriority w:val="0"/>
    <w:rPr>
      <w:rFonts w:hint="eastAsia" w:ascii="宋体" w:hAnsi="宋体" w:eastAsia="宋体"/>
      <w:color w:val="000000"/>
      <w:sz w:val="22"/>
      <w:szCs w:val="22"/>
    </w:rPr>
  </w:style>
  <w:style w:type="character" w:customStyle="1" w:styleId="59">
    <w:name w:val="fontstyle21"/>
    <w:basedOn w:val="24"/>
    <w:autoRedefine/>
    <w:qFormat/>
    <w:uiPriority w:val="0"/>
    <w:rPr>
      <w:rFonts w:hint="default" w:ascii="TimesNewRomanPSMT" w:hAnsi="TimesNewRomanPSMT"/>
      <w:color w:val="000000"/>
      <w:sz w:val="22"/>
      <w:szCs w:val="22"/>
    </w:rPr>
  </w:style>
  <w:style w:type="character" w:customStyle="1" w:styleId="60">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1">
    <w:name w:val="标题 4 字符"/>
    <w:basedOn w:val="24"/>
    <w:autoRedefine/>
    <w:semiHidden/>
    <w:qFormat/>
    <w:uiPriority w:val="9"/>
    <w:rPr>
      <w:rFonts w:asciiTheme="majorHAnsi" w:hAnsiTheme="majorHAnsi" w:eastAsiaTheme="majorEastAsia" w:cstheme="majorBidi"/>
      <w:b/>
      <w:bCs/>
      <w:sz w:val="28"/>
      <w:szCs w:val="28"/>
    </w:rPr>
  </w:style>
  <w:style w:type="character" w:customStyle="1" w:styleId="62">
    <w:name w:val="标题 4 Char"/>
    <w:link w:val="5"/>
    <w:autoRedefine/>
    <w:qFormat/>
    <w:uiPriority w:val="0"/>
    <w:rPr>
      <w:rFonts w:ascii="@仿宋_GB2312" w:hAnsi="@仿宋_GB2312" w:eastAsia="@仿宋_GB2312" w:cs="@仿宋_GB2312"/>
      <w:b/>
      <w:bCs/>
      <w:sz w:val="28"/>
      <w:szCs w:val="28"/>
    </w:rPr>
  </w:style>
  <w:style w:type="character" w:customStyle="1" w:styleId="63">
    <w:name w:val="正文文本 Char"/>
    <w:basedOn w:val="24"/>
    <w:link w:val="9"/>
    <w:autoRedefine/>
    <w:qFormat/>
    <w:uiPriority w:val="0"/>
    <w:rPr>
      <w:rFonts w:ascii="@微软简标宋" w:hAnsi="@微软简标宋" w:eastAsia="@微软简标宋" w:cs="@微软简标宋"/>
      <w:szCs w:val="24"/>
      <w:lang w:val="zh-CN" w:eastAsia="zh-CN"/>
    </w:rPr>
  </w:style>
  <w:style w:type="table" w:customStyle="1" w:styleId="64">
    <w:name w:val="网格型1"/>
    <w:basedOn w:val="22"/>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5">
    <w:name w:val="Table Normal"/>
    <w:autoRedefine/>
    <w:semiHidden/>
    <w:unhideWhenUsed/>
    <w:qFormat/>
    <w:uiPriority w:val="0"/>
    <w:tblPr>
      <w:tblCellMar>
        <w:top w:w="0" w:type="dxa"/>
        <w:left w:w="0" w:type="dxa"/>
        <w:bottom w:w="0" w:type="dxa"/>
        <w:right w:w="0" w:type="dxa"/>
      </w:tblCellMar>
    </w:tblPr>
  </w:style>
  <w:style w:type="paragraph" w:customStyle="1" w:styleId="66">
    <w:name w:val="Table Text"/>
    <w:basedOn w:val="1"/>
    <w:autoRedefine/>
    <w:semiHidden/>
    <w:qFormat/>
    <w:uiPriority w:val="0"/>
    <w:rPr>
      <w:rFonts w:ascii="Arial" w:hAnsi="Arial" w:eastAsia="Arial" w:cs="Arial"/>
      <w:sz w:val="21"/>
      <w:szCs w:val="21"/>
      <w:lang w:val="en-US" w:eastAsia="en-US" w:bidi="ar-SA"/>
    </w:rPr>
  </w:style>
  <w:style w:type="paragraph" w:customStyle="1" w:styleId="67">
    <w:name w:val="正文1"/>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paragraph" w:customStyle="1" w:styleId="68">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69">
    <w:name w:val="Table Paragraph"/>
    <w:basedOn w:val="1"/>
    <w:qFormat/>
    <w:uiPriority w:val="0"/>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5351A8-48F5-4B18-AF42-26053916CB99}">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87</Pages>
  <Words>1148</Words>
  <Characters>1312</Characters>
  <Lines>208</Lines>
  <Paragraphs>58</Paragraphs>
  <TotalTime>19</TotalTime>
  <ScaleCrop>false</ScaleCrop>
  <LinksUpToDate>false</LinksUpToDate>
  <CharactersWithSpaces>1329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By</cp:lastModifiedBy>
  <cp:lastPrinted>2019-12-07T15:20:00Z</cp:lastPrinted>
  <dcterms:modified xsi:type="dcterms:W3CDTF">2026-11-02T03:13:54Z</dcterms:modified>
  <cp:revision>443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AD1BCEB4A7D7441699AC27ACC89F37A3_13</vt:lpwstr>
  </property>
  <property fmtid="{D5CDD505-2E9C-101B-9397-08002B2CF9AE}" pid="4" name="KSOTemplateDocerSaveRecord">
    <vt:lpwstr>eyJoZGlkIjoiNzljYWY0NTNkYjZhYjE4MjUyMjVhYzBmMGU1NDk2OWEiLCJ1c2VySWQiOiI2MTIyMDUwNjUifQ==</vt:lpwstr>
  </property>
</Properties>
</file>