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666DE">
      <w:pPr>
        <w:kinsoku/>
        <w:wordWrap w:val="0"/>
        <w:overflowPunct/>
        <w:topLinePunct w:val="0"/>
        <w:bidi w:val="0"/>
        <w:spacing w:before="156" w:beforeLines="50" w:after="156" w:afterLines="50"/>
        <w:ind w:left="-850" w:leftChars="-405" w:right="-625"/>
        <w:jc w:val="center"/>
        <w:outlineLvl w:val="0"/>
        <w:rPr>
          <w:rFonts w:hint="eastAsia" w:ascii="新宋体" w:hAnsi="新宋体" w:eastAsia="新宋体" w:cs="新宋体"/>
          <w:b/>
          <w:bCs/>
          <w:color w:val="auto"/>
          <w:spacing w:val="1"/>
          <w:sz w:val="47"/>
          <w:szCs w:val="47"/>
          <w:highlight w:val="none"/>
          <w:lang w:eastAsia="zh-CN"/>
        </w:rPr>
      </w:pPr>
      <w:bookmarkStart w:id="0" w:name="OLE_LINK1"/>
    </w:p>
    <w:p w14:paraId="7A332A64">
      <w:pPr>
        <w:keepNext w:val="0"/>
        <w:keepLines w:val="0"/>
        <w:pageBreakBefore w:val="0"/>
        <w:widowControl w:val="0"/>
        <w:kinsoku/>
        <w:wordWrap w:val="0"/>
        <w:overflowPunct/>
        <w:topLinePunct w:val="0"/>
        <w:autoSpaceDE/>
        <w:autoSpaceDN/>
        <w:bidi w:val="0"/>
        <w:adjustRightInd/>
        <w:snapToGrid/>
        <w:spacing w:before="156" w:beforeLines="50" w:after="156" w:afterLines="50"/>
        <w:ind w:left="0" w:leftChars="0" w:right="0"/>
        <w:jc w:val="center"/>
        <w:textAlignment w:val="auto"/>
        <w:outlineLvl w:val="0"/>
        <w:rPr>
          <w:rFonts w:hint="eastAsia" w:ascii="新宋体" w:hAnsi="新宋体" w:eastAsia="新宋体"/>
          <w:b/>
          <w:color w:val="auto"/>
          <w:sz w:val="48"/>
          <w:szCs w:val="48"/>
          <w:highlight w:val="none"/>
          <w:lang w:val="en-US" w:eastAsia="zh-CN"/>
        </w:rPr>
      </w:pPr>
      <w:r>
        <w:rPr>
          <w:rFonts w:hint="eastAsia" w:ascii="新宋体" w:hAnsi="新宋体" w:eastAsia="新宋体" w:cs="新宋体"/>
          <w:b/>
          <w:bCs/>
          <w:color w:val="auto"/>
          <w:spacing w:val="1"/>
          <w:sz w:val="47"/>
          <w:szCs w:val="47"/>
          <w:highlight w:val="none"/>
          <w:lang w:eastAsia="zh-CN"/>
        </w:rPr>
        <w:t>中新苏滁高新区202</w:t>
      </w:r>
      <w:r>
        <w:rPr>
          <w:rFonts w:hint="eastAsia" w:ascii="新宋体" w:hAnsi="新宋体" w:eastAsia="新宋体" w:cs="新宋体"/>
          <w:b/>
          <w:bCs/>
          <w:color w:val="auto"/>
          <w:spacing w:val="1"/>
          <w:sz w:val="47"/>
          <w:szCs w:val="47"/>
          <w:highlight w:val="none"/>
          <w:lang w:val="en-US" w:eastAsia="zh-CN"/>
        </w:rPr>
        <w:t>6</w:t>
      </w:r>
      <w:r>
        <w:rPr>
          <w:rFonts w:hint="eastAsia" w:ascii="新宋体" w:hAnsi="新宋体" w:eastAsia="新宋体" w:cs="新宋体"/>
          <w:b/>
          <w:bCs/>
          <w:color w:val="auto"/>
          <w:spacing w:val="1"/>
          <w:sz w:val="47"/>
          <w:szCs w:val="47"/>
          <w:highlight w:val="none"/>
          <w:lang w:eastAsia="zh-CN"/>
        </w:rPr>
        <w:t>-202</w:t>
      </w:r>
      <w:r>
        <w:rPr>
          <w:rFonts w:hint="eastAsia" w:ascii="新宋体" w:hAnsi="新宋体" w:eastAsia="新宋体" w:cs="新宋体"/>
          <w:b/>
          <w:bCs/>
          <w:color w:val="auto"/>
          <w:spacing w:val="1"/>
          <w:sz w:val="47"/>
          <w:szCs w:val="47"/>
          <w:highlight w:val="none"/>
          <w:lang w:val="en-US" w:eastAsia="zh-CN"/>
        </w:rPr>
        <w:t>8</w:t>
      </w:r>
      <w:r>
        <w:rPr>
          <w:rFonts w:hint="eastAsia" w:ascii="新宋体" w:hAnsi="新宋体" w:eastAsia="新宋体" w:cs="新宋体"/>
          <w:b/>
          <w:bCs/>
          <w:color w:val="auto"/>
          <w:spacing w:val="1"/>
          <w:sz w:val="47"/>
          <w:szCs w:val="47"/>
          <w:highlight w:val="none"/>
          <w:lang w:eastAsia="zh-CN"/>
        </w:rPr>
        <w:t>年度公园、景观带保安保洁服务项目</w:t>
      </w:r>
    </w:p>
    <w:p w14:paraId="0F1F8AAA">
      <w:pPr>
        <w:kinsoku/>
        <w:wordWrap w:val="0"/>
        <w:overflowPunct/>
        <w:topLinePunct w:val="0"/>
        <w:bidi w:val="0"/>
        <w:spacing w:before="156" w:beforeLines="50" w:after="156" w:afterLines="50"/>
        <w:ind w:left="-850" w:leftChars="-405" w:right="-625"/>
        <w:jc w:val="center"/>
        <w:rPr>
          <w:rFonts w:hint="eastAsia" w:ascii="新宋体" w:hAnsi="新宋体" w:eastAsia="新宋体"/>
          <w:b/>
          <w:color w:val="auto"/>
          <w:sz w:val="44"/>
          <w:szCs w:val="44"/>
          <w:highlight w:val="none"/>
          <w:lang w:val="en-US" w:eastAsia="zh-CN"/>
        </w:rPr>
      </w:pPr>
    </w:p>
    <w:p w14:paraId="41E21688">
      <w:pPr>
        <w:kinsoku/>
        <w:wordWrap w:val="0"/>
        <w:overflowPunct/>
        <w:topLinePunct w:val="0"/>
        <w:bidi w:val="0"/>
        <w:spacing w:before="156" w:beforeLines="50" w:after="156" w:afterLines="50"/>
        <w:ind w:left="-850" w:leftChars="-405" w:right="-625"/>
        <w:jc w:val="center"/>
        <w:rPr>
          <w:rFonts w:hint="eastAsia" w:ascii="宋体" w:hAnsi="宋体"/>
          <w:color w:val="auto"/>
          <w:sz w:val="40"/>
          <w:szCs w:val="36"/>
          <w:highlight w:val="none"/>
        </w:rPr>
      </w:pPr>
      <w:r>
        <w:rPr>
          <w:rFonts w:hint="eastAsia" w:ascii="宋体" w:hAnsi="宋体"/>
          <w:color w:val="auto"/>
          <w:sz w:val="40"/>
          <w:szCs w:val="36"/>
          <w:highlight w:val="none"/>
        </w:rPr>
        <w:t>（电子招标投标）</w:t>
      </w:r>
    </w:p>
    <w:p w14:paraId="7C457A36">
      <w:pPr>
        <w:pStyle w:val="12"/>
        <w:kinsoku/>
        <w:wordWrap w:val="0"/>
        <w:overflowPunct/>
        <w:topLinePunct w:val="0"/>
        <w:bidi w:val="0"/>
        <w:ind w:left="0" w:leftChars="0" w:firstLine="3360" w:firstLineChars="1400"/>
        <w:rPr>
          <w:rFonts w:hint="eastAsia"/>
          <w:color w:val="auto"/>
          <w:sz w:val="24"/>
          <w:highlight w:val="none"/>
        </w:rPr>
      </w:pPr>
    </w:p>
    <w:p w14:paraId="172CB5E5">
      <w:pPr>
        <w:pStyle w:val="12"/>
        <w:kinsoku/>
        <w:wordWrap w:val="0"/>
        <w:overflowPunct/>
        <w:topLinePunct w:val="0"/>
        <w:bidi w:val="0"/>
        <w:ind w:left="0" w:leftChars="0" w:firstLine="3360" w:firstLineChars="1400"/>
        <w:rPr>
          <w:rFonts w:hint="eastAsia"/>
          <w:color w:val="auto"/>
          <w:sz w:val="24"/>
          <w:highlight w:val="none"/>
        </w:rPr>
      </w:pPr>
    </w:p>
    <w:p w14:paraId="47D4EBB1">
      <w:pPr>
        <w:pStyle w:val="12"/>
        <w:kinsoku/>
        <w:wordWrap w:val="0"/>
        <w:overflowPunct/>
        <w:topLinePunct w:val="0"/>
        <w:bidi w:val="0"/>
        <w:ind w:left="0" w:leftChars="0" w:firstLine="0" w:firstLineChars="0"/>
        <w:jc w:val="center"/>
        <w:rPr>
          <w:rFonts w:hint="default" w:eastAsia="宋体"/>
          <w:color w:val="auto"/>
          <w:sz w:val="24"/>
          <w:highlight w:val="none"/>
          <w:lang w:val="en-US" w:eastAsia="zh-CN"/>
        </w:rPr>
      </w:pPr>
      <w:r>
        <w:rPr>
          <w:rFonts w:hint="eastAsia"/>
          <w:color w:val="auto"/>
          <w:sz w:val="24"/>
          <w:highlight w:val="none"/>
        </w:rPr>
        <w:t>项目编号</w:t>
      </w:r>
      <w:r>
        <w:rPr>
          <w:rFonts w:hint="eastAsia"/>
          <w:color w:val="auto"/>
          <w:sz w:val="24"/>
          <w:highlight w:val="none"/>
          <w:lang w:eastAsia="zh-CN"/>
        </w:rPr>
        <w:t>：czsjqt202601-007</w:t>
      </w:r>
    </w:p>
    <w:p w14:paraId="4BAF0646">
      <w:pPr>
        <w:pStyle w:val="54"/>
        <w:kinsoku/>
        <w:wordWrap w:val="0"/>
        <w:overflowPunct/>
        <w:topLinePunct w:val="0"/>
        <w:bidi w:val="0"/>
        <w:ind w:firstLine="0" w:firstLineChars="0"/>
        <w:rPr>
          <w:rFonts w:hint="eastAsia"/>
          <w:color w:val="auto"/>
          <w:highlight w:val="none"/>
        </w:rPr>
      </w:pPr>
    </w:p>
    <w:p w14:paraId="7E474243">
      <w:pPr>
        <w:pStyle w:val="54"/>
        <w:kinsoku/>
        <w:wordWrap w:val="0"/>
        <w:overflowPunct/>
        <w:topLinePunct w:val="0"/>
        <w:bidi w:val="0"/>
        <w:ind w:firstLine="480"/>
        <w:rPr>
          <w:rFonts w:hint="eastAsia"/>
          <w:color w:val="auto"/>
          <w:highlight w:val="none"/>
        </w:rPr>
      </w:pPr>
    </w:p>
    <w:p w14:paraId="04C16649">
      <w:pPr>
        <w:kinsoku/>
        <w:wordWrap w:val="0"/>
        <w:overflowPunct/>
        <w:topLinePunct w:val="0"/>
        <w:bidi w:val="0"/>
        <w:rPr>
          <w:rFonts w:hint="eastAsia" w:ascii="宋体"/>
          <w:bCs/>
          <w:color w:val="auto"/>
          <w:szCs w:val="21"/>
          <w:highlight w:val="none"/>
        </w:rPr>
      </w:pPr>
    </w:p>
    <w:p w14:paraId="4FAF5586">
      <w:pPr>
        <w:kinsoku/>
        <w:wordWrap w:val="0"/>
        <w:overflowPunct/>
        <w:topLinePunct w:val="0"/>
        <w:bidi w:val="0"/>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5B47F4ED">
      <w:pPr>
        <w:kinsoku/>
        <w:wordWrap w:val="0"/>
        <w:overflowPunct/>
        <w:topLinePunct w:val="0"/>
        <w:bidi w:val="0"/>
        <w:rPr>
          <w:rFonts w:hint="eastAsia" w:ascii="宋体"/>
          <w:bCs/>
          <w:color w:val="auto"/>
          <w:szCs w:val="21"/>
          <w:highlight w:val="none"/>
        </w:rPr>
      </w:pPr>
    </w:p>
    <w:p w14:paraId="056742A0">
      <w:pPr>
        <w:kinsoku/>
        <w:wordWrap w:val="0"/>
        <w:overflowPunct/>
        <w:topLinePunct w:val="0"/>
        <w:bidi w:val="0"/>
        <w:rPr>
          <w:rFonts w:hint="eastAsia" w:ascii="宋体" w:hAnsi="宋体" w:eastAsia="宋体"/>
          <w:b/>
          <w:color w:val="auto"/>
          <w:sz w:val="84"/>
          <w:szCs w:val="84"/>
          <w:highlight w:val="none"/>
          <w:lang w:val="en-US" w:eastAsia="zh-CN"/>
        </w:rPr>
      </w:pPr>
      <w:r>
        <w:rPr>
          <w:rFonts w:hint="eastAsia" w:ascii="宋体" w:hAnsi="宋体"/>
          <w:b/>
          <w:color w:val="auto"/>
          <w:sz w:val="84"/>
          <w:szCs w:val="84"/>
          <w:highlight w:val="none"/>
          <w:lang w:val="en-US" w:eastAsia="zh-CN"/>
        </w:rPr>
        <w:t xml:space="preserve"> </w:t>
      </w:r>
    </w:p>
    <w:p w14:paraId="08FEC5C9">
      <w:pPr>
        <w:kinsoku/>
        <w:wordWrap w:val="0"/>
        <w:overflowPunct/>
        <w:topLinePunct w:val="0"/>
        <w:bidi w:val="0"/>
        <w:spacing w:before="312" w:beforeLines="100" w:after="312" w:afterLines="100" w:line="360" w:lineRule="auto"/>
        <w:jc w:val="left"/>
        <w:rPr>
          <w:rFonts w:hint="default"/>
          <w:color w:val="auto"/>
          <w:highlight w:val="none"/>
          <w:lang w:val="en-US" w:eastAsia="zh-CN"/>
        </w:rPr>
      </w:pPr>
    </w:p>
    <w:p w14:paraId="4B855B5E">
      <w:pPr>
        <w:pStyle w:val="12"/>
        <w:kinsoku/>
        <w:wordWrap w:val="0"/>
        <w:overflowPunct/>
        <w:topLinePunct w:val="0"/>
        <w:bidi w:val="0"/>
        <w:rPr>
          <w:rFonts w:hint="eastAsia"/>
          <w:color w:val="auto"/>
          <w:highlight w:val="none"/>
        </w:rPr>
      </w:pPr>
    </w:p>
    <w:p w14:paraId="7826D1BD">
      <w:pPr>
        <w:kinsoku/>
        <w:wordWrap w:val="0"/>
        <w:overflowPunct/>
        <w:topLinePunct w:val="0"/>
        <w:bidi w:val="0"/>
        <w:spacing w:before="312" w:beforeLines="100" w:after="312" w:afterLines="100" w:line="480" w:lineRule="auto"/>
        <w:ind w:right="-199" w:rightChars="-95" w:firstLine="964" w:firstLineChars="300"/>
        <w:jc w:val="left"/>
        <w:outlineLvl w:val="0"/>
        <w:rPr>
          <w:rFonts w:hint="eastAsia" w:ascii="宋体"/>
          <w:b/>
          <w:color w:val="auto"/>
          <w:sz w:val="32"/>
          <w:szCs w:val="32"/>
          <w:highlight w:val="none"/>
        </w:rPr>
      </w:pPr>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人：</w:t>
      </w:r>
      <w:r>
        <w:rPr>
          <w:rFonts w:hint="eastAsia" w:ascii="宋体"/>
          <w:b/>
          <w:color w:val="auto"/>
          <w:sz w:val="32"/>
          <w:szCs w:val="32"/>
          <w:highlight w:val="none"/>
          <w:u w:val="single"/>
          <w:lang w:val="en-US" w:eastAsia="zh-CN"/>
        </w:rPr>
        <w:t>滁州市苏滁市政公用发展有限公司</w:t>
      </w:r>
      <w:r>
        <w:rPr>
          <w:rFonts w:hint="eastAsia" w:ascii="宋体"/>
          <w:b/>
          <w:color w:val="auto"/>
          <w:sz w:val="32"/>
          <w:szCs w:val="32"/>
          <w:highlight w:val="none"/>
        </w:rPr>
        <w:t>（盖单位章）</w:t>
      </w:r>
    </w:p>
    <w:p w14:paraId="78A1ED7A">
      <w:pPr>
        <w:kinsoku/>
        <w:wordWrap w:val="0"/>
        <w:overflowPunct/>
        <w:topLinePunct w:val="0"/>
        <w:bidi w:val="0"/>
        <w:spacing w:before="312" w:beforeLines="100" w:after="312" w:afterLines="100" w:line="480" w:lineRule="auto"/>
        <w:ind w:firstLine="964" w:firstLineChars="300"/>
        <w:outlineLvl w:val="0"/>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5178CC57">
      <w:pPr>
        <w:kinsoku/>
        <w:wordWrap w:val="0"/>
        <w:overflowPunct/>
        <w:topLinePunct w:val="0"/>
        <w:bidi w:val="0"/>
        <w:spacing w:before="312" w:beforeLines="100" w:after="312" w:afterLines="100" w:line="480" w:lineRule="auto"/>
        <w:jc w:val="center"/>
        <w:rPr>
          <w:rFonts w:hint="eastAsia"/>
          <w:b/>
          <w:color w:val="auto"/>
          <w:sz w:val="36"/>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01</w:t>
      </w:r>
      <w:r>
        <w:rPr>
          <w:rFonts w:hint="eastAsia" w:ascii="宋体"/>
          <w:b/>
          <w:color w:val="auto"/>
          <w:sz w:val="32"/>
          <w:szCs w:val="32"/>
          <w:highlight w:val="none"/>
        </w:rPr>
        <w:t>月</w:t>
      </w:r>
    </w:p>
    <w:p w14:paraId="33353F90">
      <w:pPr>
        <w:pStyle w:val="13"/>
        <w:kinsoku/>
        <w:wordWrap w:val="0"/>
        <w:overflowPunct/>
        <w:topLinePunct w:val="0"/>
        <w:bidi w:val="0"/>
        <w:ind w:left="420"/>
        <w:rPr>
          <w:rFonts w:hint="eastAsia"/>
          <w:color w:val="auto"/>
          <w:highlight w:val="none"/>
        </w:rPr>
        <w:sectPr>
          <w:headerReference r:id="rId3" w:type="default"/>
          <w:footerReference r:id="rId4" w:type="default"/>
          <w:pgSz w:w="11906" w:h="16838"/>
          <w:pgMar w:top="1417" w:right="1361" w:bottom="1417"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6B742B0">
      <w:pPr>
        <w:pStyle w:val="14"/>
        <w:kinsoku/>
        <w:wordWrap w:val="0"/>
        <w:overflowPunct/>
        <w:topLinePunct w:val="0"/>
        <w:bidi w:val="0"/>
        <w:rPr>
          <w:rFonts w:hint="eastAsia"/>
          <w:color w:val="auto"/>
          <w:highlight w:val="none"/>
        </w:rPr>
      </w:pPr>
    </w:p>
    <w:p w14:paraId="4C2F898F">
      <w:pPr>
        <w:pStyle w:val="14"/>
        <w:kinsoku/>
        <w:wordWrap w:val="0"/>
        <w:overflowPunct/>
        <w:topLinePunct w:val="0"/>
        <w:bidi w:val="0"/>
        <w:rPr>
          <w:rFonts w:hint="eastAsia"/>
          <w:color w:val="auto"/>
          <w:highlight w:val="none"/>
        </w:rPr>
      </w:pPr>
    </w:p>
    <w:p w14:paraId="4D038C7D">
      <w:pPr>
        <w:kinsoku/>
        <w:wordWrap w:val="0"/>
        <w:overflowPunct/>
        <w:topLinePunct w:val="0"/>
        <w:bidi w:val="0"/>
        <w:spacing w:line="360" w:lineRule="exact"/>
        <w:jc w:val="both"/>
        <w:rPr>
          <w:rFonts w:hint="eastAsia"/>
          <w:b/>
          <w:color w:val="auto"/>
          <w:sz w:val="36"/>
          <w:highlight w:val="none"/>
        </w:rPr>
      </w:pPr>
    </w:p>
    <w:p w14:paraId="38D844F0">
      <w:pPr>
        <w:kinsoku/>
        <w:wordWrap w:val="0"/>
        <w:overflowPunct/>
        <w:topLinePunct w:val="0"/>
        <w:bidi w:val="0"/>
        <w:spacing w:line="360" w:lineRule="auto"/>
        <w:jc w:val="center"/>
        <w:rPr>
          <w:rFonts w:hint="eastAsia"/>
          <w:b/>
          <w:color w:val="auto"/>
          <w:sz w:val="44"/>
          <w:szCs w:val="32"/>
          <w:highlight w:val="none"/>
        </w:rPr>
      </w:pPr>
      <w:r>
        <w:rPr>
          <w:rFonts w:hint="eastAsia"/>
          <w:b/>
          <w:color w:val="auto"/>
          <w:sz w:val="44"/>
          <w:szCs w:val="32"/>
          <w:highlight w:val="none"/>
        </w:rPr>
        <w:t>目  录</w:t>
      </w:r>
    </w:p>
    <w:p w14:paraId="6F2A410F">
      <w:pPr>
        <w:keepNext w:val="0"/>
        <w:keepLines w:val="0"/>
        <w:pageBreakBefore w:val="0"/>
        <w:widowControl w:val="0"/>
        <w:kinsoku/>
        <w:wordWrap w:val="0"/>
        <w:overflowPunct/>
        <w:topLinePunct w:val="0"/>
        <w:autoSpaceDE/>
        <w:autoSpaceDN/>
        <w:bidi w:val="0"/>
        <w:spacing w:line="720" w:lineRule="auto"/>
        <w:ind w:left="0"/>
        <w:jc w:val="center"/>
        <w:textAlignment w:val="auto"/>
        <w:rPr>
          <w:rFonts w:hint="eastAsia"/>
          <w:b/>
          <w:color w:val="auto"/>
          <w:sz w:val="36"/>
          <w:highlight w:val="none"/>
        </w:rPr>
      </w:pPr>
    </w:p>
    <w:p w14:paraId="0FA16566">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textAlignment w:val="auto"/>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rPr>
        <w:t>招标公告</w:t>
      </w:r>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p>
    <w:p w14:paraId="5614AA93">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textAlignment w:val="auto"/>
        <w:rPr>
          <w:rFonts w:ascii="宋体" w:hAnsi="宋体"/>
          <w:b/>
          <w:color w:val="auto"/>
          <w:sz w:val="24"/>
          <w:highlight w:val="none"/>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p>
    <w:p w14:paraId="1C19A4B9">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textAlignment w:val="auto"/>
        <w:rPr>
          <w:rFonts w:hint="eastAsia" w:ascii="宋体" w:hAnsi="宋体" w:eastAsia="宋体"/>
          <w:b/>
          <w:color w:val="auto"/>
          <w:sz w:val="24"/>
          <w:highlight w:val="none"/>
          <w:lang w:val="en-US" w:eastAsia="zh-CN"/>
        </w:rPr>
      </w:pPr>
      <w:r>
        <w:rPr>
          <w:rStyle w:val="46"/>
          <w:rFonts w:hint="eastAsia" w:ascii="宋体" w:hAnsi="宋体"/>
          <w:b/>
          <w:color w:val="auto"/>
          <w:sz w:val="24"/>
          <w:highlight w:val="none"/>
        </w:rPr>
        <w:t>第三章 资格审查办法</w:t>
      </w: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79548DCD">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textAlignment w:val="auto"/>
        <w:rPr>
          <w:rFonts w:hint="eastAsia" w:ascii="宋体" w:eastAsia="宋体"/>
          <w:b/>
          <w:color w:val="auto"/>
          <w:sz w:val="32"/>
          <w:szCs w:val="32"/>
          <w:highlight w:val="none"/>
          <w:lang w:val="en-US" w:eastAsia="zh-CN"/>
        </w:rPr>
      </w:pPr>
      <w:r>
        <w:rPr>
          <w:rStyle w:val="46"/>
          <w:rFonts w:hint="eastAsia" w:ascii="宋体" w:hAnsi="宋体"/>
          <w:b/>
          <w:color w:val="auto"/>
          <w:sz w:val="24"/>
          <w:highlight w:val="none"/>
        </w:rPr>
        <w:t>第四章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Style w:val="46"/>
          <w:rFonts w:hint="eastAsia" w:ascii="宋体" w:hAnsi="宋体"/>
          <w:b/>
          <w:color w:val="auto"/>
          <w:sz w:val="24"/>
          <w:highlight w:val="none"/>
          <w:lang w:eastAsia="zh-CN"/>
        </w:rPr>
        <w:t>（</w:t>
      </w:r>
      <w:r>
        <w:rPr>
          <w:rStyle w:val="46"/>
          <w:rFonts w:hint="eastAsia" w:ascii="宋体" w:hAnsi="宋体"/>
          <w:b/>
          <w:color w:val="auto"/>
          <w:sz w:val="24"/>
          <w:highlight w:val="none"/>
          <w:lang w:val="en-US" w:eastAsia="zh-CN"/>
        </w:rPr>
        <w:t>综合评分法</w:t>
      </w:r>
      <w:r>
        <w:rPr>
          <w:rStyle w:val="46"/>
          <w:rFonts w:hint="eastAsia" w:ascii="宋体" w:hAnsi="宋体"/>
          <w:b/>
          <w:color w:val="auto"/>
          <w:sz w:val="24"/>
          <w:highlight w:val="none"/>
          <w:lang w:eastAsia="zh-CN"/>
        </w:rPr>
        <w:t>）</w:t>
      </w:r>
      <w:r>
        <w:rPr>
          <w:rFonts w:ascii="宋体" w:hAnsi="宋体"/>
          <w:b/>
          <w:color w:val="auto"/>
          <w:sz w:val="24"/>
          <w:highlight w:val="none"/>
        </w:rPr>
        <w:tab/>
      </w:r>
      <w:r>
        <w:rPr>
          <w:rFonts w:hint="eastAsia" w:ascii="宋体" w:hAnsi="宋体"/>
          <w:b/>
          <w:color w:val="auto"/>
          <w:sz w:val="24"/>
          <w:highlight w:val="none"/>
        </w:rPr>
        <w:t>2</w:t>
      </w:r>
      <w:r>
        <w:rPr>
          <w:rFonts w:hint="eastAsia" w:ascii="宋体" w:hAnsi="宋体"/>
          <w:b/>
          <w:color w:val="auto"/>
          <w:sz w:val="24"/>
          <w:highlight w:val="none"/>
          <w:lang w:val="en-US" w:eastAsia="zh-CN"/>
        </w:rPr>
        <w:t>8</w:t>
      </w:r>
    </w:p>
    <w:p w14:paraId="3AEA599E">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textAlignment w:val="auto"/>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"_Toc58430328"</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第五章</w:t>
      </w:r>
      <w:r>
        <w:rPr>
          <w:rStyle w:val="46"/>
          <w:rFonts w:ascii="宋体" w:hAnsi="宋体"/>
          <w:b/>
          <w:color w:val="auto"/>
          <w:sz w:val="24"/>
          <w:highlight w:val="none"/>
        </w:rPr>
        <w:t xml:space="preserve"> </w:t>
      </w:r>
      <w:r>
        <w:rPr>
          <w:rStyle w:val="46"/>
          <w:rFonts w:hint="eastAsia" w:ascii="宋体" w:hAnsi="宋体"/>
          <w:b/>
          <w:color w:val="auto"/>
          <w:sz w:val="24"/>
          <w:highlight w:val="none"/>
          <w:lang w:eastAsia="zh-CN"/>
        </w:rPr>
        <w:t>采购需求</w:t>
      </w:r>
      <w:r>
        <w:rPr>
          <w:rFonts w:ascii="宋体" w:hAnsi="宋体"/>
          <w:b/>
          <w:color w:val="auto"/>
          <w:sz w:val="24"/>
          <w:highlight w:val="none"/>
        </w:rPr>
        <w:tab/>
      </w:r>
      <w:r>
        <w:rPr>
          <w:rFonts w:hint="eastAsia" w:ascii="宋体" w:hAnsi="宋体"/>
          <w:b/>
          <w:color w:val="auto"/>
          <w:sz w:val="24"/>
          <w:highlight w:val="none"/>
          <w:lang w:val="en-US" w:eastAsia="zh-CN"/>
        </w:rPr>
        <w:t>3</w:t>
      </w:r>
      <w:r>
        <w:rPr>
          <w:rFonts w:ascii="宋体" w:hAnsi="宋体"/>
          <w:b/>
          <w:color w:val="auto"/>
          <w:sz w:val="24"/>
          <w:highlight w:val="none"/>
        </w:rPr>
        <w:fldChar w:fldCharType="end"/>
      </w:r>
      <w:r>
        <w:rPr>
          <w:rFonts w:hint="eastAsia" w:ascii="宋体" w:hAnsi="宋体"/>
          <w:b/>
          <w:color w:val="auto"/>
          <w:sz w:val="24"/>
          <w:highlight w:val="none"/>
          <w:lang w:val="en-US" w:eastAsia="zh-CN"/>
        </w:rPr>
        <w:t>9</w:t>
      </w:r>
    </w:p>
    <w:p w14:paraId="100632AF">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textAlignment w:val="auto"/>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"_Toc58430329"</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第六章</w:t>
      </w:r>
      <w:r>
        <w:rPr>
          <w:rStyle w:val="46"/>
          <w:rFonts w:ascii="宋体" w:hAnsi="宋体"/>
          <w:b/>
          <w:color w:val="auto"/>
          <w:sz w:val="24"/>
          <w:highlight w:val="none"/>
        </w:rPr>
        <w:t xml:space="preserve"> </w:t>
      </w:r>
      <w:r>
        <w:rPr>
          <w:rStyle w:val="46"/>
          <w:rFonts w:hint="eastAsia" w:ascii="宋体" w:hAnsi="宋体"/>
          <w:b/>
          <w:color w:val="auto"/>
          <w:sz w:val="24"/>
          <w:highlight w:val="none"/>
        </w:rPr>
        <w:t>合同条款及格式</w:t>
      </w:r>
      <w:r>
        <w:rPr>
          <w:rFonts w:ascii="宋体" w:hAnsi="宋体"/>
          <w:b/>
          <w:color w:val="auto"/>
          <w:sz w:val="24"/>
          <w:highlight w:val="none"/>
        </w:rPr>
        <w:tab/>
      </w:r>
      <w:r>
        <w:rPr>
          <w:rFonts w:hint="eastAsia" w:ascii="宋体" w:hAnsi="宋体"/>
          <w:b/>
          <w:color w:val="auto"/>
          <w:sz w:val="24"/>
          <w:highlight w:val="none"/>
          <w:lang w:val="en-US" w:eastAsia="zh-CN"/>
        </w:rPr>
        <w:t>4</w:t>
      </w:r>
      <w:r>
        <w:rPr>
          <w:rFonts w:ascii="宋体" w:hAnsi="宋体"/>
          <w:b/>
          <w:color w:val="auto"/>
          <w:sz w:val="24"/>
          <w:highlight w:val="none"/>
        </w:rPr>
        <w:fldChar w:fldCharType="end"/>
      </w:r>
      <w:r>
        <w:rPr>
          <w:rFonts w:hint="eastAsia" w:ascii="宋体" w:hAnsi="宋体"/>
          <w:b/>
          <w:color w:val="auto"/>
          <w:sz w:val="24"/>
          <w:highlight w:val="none"/>
          <w:lang w:val="en-US" w:eastAsia="zh-CN"/>
        </w:rPr>
        <w:t>8</w:t>
      </w:r>
    </w:p>
    <w:p w14:paraId="161704C2">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textAlignment w:val="auto"/>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第七章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66</w:t>
      </w:r>
    </w:p>
    <w:p w14:paraId="61B0C8C9">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textAlignment w:val="auto"/>
        <w:rPr>
          <w:rStyle w:val="46"/>
          <w:rFonts w:hint="eastAsia" w:ascii="宋体" w:hAnsi="宋体" w:eastAsia="宋体"/>
          <w:b/>
          <w:color w:val="auto"/>
          <w:sz w:val="24"/>
          <w:highlight w:val="none"/>
          <w:lang w:val="en-US" w:eastAsia="zh-CN"/>
        </w:rPr>
      </w:pPr>
      <w:r>
        <w:rPr>
          <w:rStyle w:val="46"/>
          <w:rFonts w:hint="eastAsia" w:ascii="宋体" w:hAnsi="宋体"/>
          <w:b/>
          <w:color w:val="auto"/>
          <w:sz w:val="24"/>
          <w:highlight w:val="none"/>
        </w:rPr>
        <w:fldChar w:fldCharType="begin"/>
      </w:r>
      <w:r>
        <w:rPr>
          <w:rStyle w:val="46"/>
          <w:rFonts w:hint="eastAsia" w:ascii="宋体" w:hAnsi="宋体"/>
          <w:b/>
          <w:color w:val="auto"/>
          <w:sz w:val="24"/>
          <w:highlight w:val="none"/>
        </w:rPr>
        <w:instrText xml:space="preserve"> HYPERLINK \l "_Toc58430332" </w:instrText>
      </w:r>
      <w:r>
        <w:rPr>
          <w:rStyle w:val="46"/>
          <w:rFonts w:hint="eastAsia" w:ascii="宋体" w:hAnsi="宋体"/>
          <w:b/>
          <w:color w:val="auto"/>
          <w:sz w:val="24"/>
          <w:highlight w:val="none"/>
        </w:rPr>
        <w:fldChar w:fldCharType="separate"/>
      </w:r>
      <w:r>
        <w:rPr>
          <w:rStyle w:val="46"/>
          <w:rFonts w:hint="eastAsia" w:ascii="宋体" w:hAnsi="宋体"/>
          <w:b/>
          <w:color w:val="auto"/>
          <w:sz w:val="24"/>
          <w:highlight w:val="none"/>
        </w:rPr>
        <w:t>第八章 招标单位和代理机构对本招标文件的确认</w:t>
      </w:r>
      <w:r>
        <w:rPr>
          <w:rStyle w:val="46"/>
          <w:rFonts w:hint="eastAsia" w:ascii="宋体" w:hAnsi="宋体"/>
          <w:b/>
          <w:color w:val="auto"/>
          <w:sz w:val="24"/>
          <w:highlight w:val="none"/>
        </w:rPr>
        <w:tab/>
      </w:r>
      <w:r>
        <w:rPr>
          <w:rStyle w:val="46"/>
          <w:rFonts w:hint="eastAsia" w:ascii="宋体" w:hAnsi="宋体"/>
          <w:b/>
          <w:color w:val="auto"/>
          <w:sz w:val="24"/>
          <w:highlight w:val="none"/>
          <w:lang w:val="en-US" w:eastAsia="zh-CN"/>
        </w:rPr>
        <w:t>9</w:t>
      </w:r>
      <w:r>
        <w:rPr>
          <w:rStyle w:val="46"/>
          <w:rFonts w:hint="eastAsia" w:ascii="宋体" w:hAnsi="宋体"/>
          <w:b/>
          <w:color w:val="auto"/>
          <w:sz w:val="24"/>
          <w:highlight w:val="none"/>
        </w:rPr>
        <w:fldChar w:fldCharType="end"/>
      </w:r>
      <w:r>
        <w:rPr>
          <w:rStyle w:val="46"/>
          <w:rFonts w:hint="eastAsia" w:ascii="宋体" w:hAnsi="宋体"/>
          <w:b/>
          <w:color w:val="auto"/>
          <w:sz w:val="24"/>
          <w:highlight w:val="none"/>
          <w:lang w:val="en-US" w:eastAsia="zh-CN"/>
        </w:rPr>
        <w:t>0</w:t>
      </w:r>
    </w:p>
    <w:p w14:paraId="39872368">
      <w:pPr>
        <w:pStyle w:val="25"/>
        <w:keepNext w:val="0"/>
        <w:keepLines w:val="0"/>
        <w:pageBreakBefore w:val="0"/>
        <w:widowControl w:val="0"/>
        <w:tabs>
          <w:tab w:val="right" w:leader="dot" w:pos="8296"/>
        </w:tabs>
        <w:kinsoku/>
        <w:wordWrap w:val="0"/>
        <w:overflowPunct/>
        <w:topLinePunct w:val="0"/>
        <w:autoSpaceDE/>
        <w:autoSpaceDN/>
        <w:bidi w:val="0"/>
        <w:adjustRightInd w:val="0"/>
        <w:snapToGrid w:val="0"/>
        <w:spacing w:line="700" w:lineRule="exact"/>
        <w:ind w:left="0" w:hanging="120" w:hangingChars="50"/>
        <w:jc w:val="center"/>
        <w:textAlignment w:val="auto"/>
        <w:rPr>
          <w:rFonts w:hint="eastAsia" w:ascii="华文中宋" w:hAnsi="华文中宋" w:eastAsia="华文中宋"/>
          <w:color w:val="auto"/>
          <w:highlight w:val="none"/>
        </w:rPr>
      </w:pPr>
      <w:r>
        <w:rPr>
          <w:rFonts w:hint="eastAsia" w:ascii="宋体" w:hAnsi="宋体" w:cs="宋体"/>
          <w:color w:val="auto"/>
          <w:sz w:val="24"/>
          <w:highlight w:val="none"/>
        </w:rPr>
        <w:fldChar w:fldCharType="end"/>
      </w:r>
      <w:bookmarkStart w:id="1" w:name="_Toc17328"/>
    </w:p>
    <w:p w14:paraId="3A08651A">
      <w:pPr>
        <w:pStyle w:val="2"/>
        <w:pageBreakBefore w:val="0"/>
        <w:widowControl w:val="0"/>
        <w:tabs>
          <w:tab w:val="left" w:pos="0"/>
          <w:tab w:val="left" w:pos="3165"/>
          <w:tab w:val="center" w:pos="4153"/>
        </w:tabs>
        <w:kinsoku/>
        <w:wordWrap w:val="0"/>
        <w:overflowPunct/>
        <w:topLinePunct w:val="0"/>
        <w:autoSpaceDE w:val="0"/>
        <w:autoSpaceDN w:val="0"/>
        <w:bidi w:val="0"/>
        <w:adjustRightInd w:val="0"/>
        <w:snapToGrid/>
        <w:spacing w:before="0" w:beforeLines="0" w:after="0" w:afterLines="0" w:line="480" w:lineRule="exact"/>
        <w:ind w:left="0" w:leftChars="0"/>
        <w:rPr>
          <w:rFonts w:hint="eastAsia" w:ascii="黑体" w:hAnsi="黑体" w:cs="宋体"/>
          <w:b w:val="0"/>
          <w:color w:val="auto"/>
          <w:sz w:val="28"/>
          <w:szCs w:val="28"/>
          <w:highlight w:val="none"/>
        </w:rPr>
      </w:pPr>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Hlk24379207"/>
      <w:bookmarkStart w:id="3" w:name="_Toc35393790"/>
      <w:bookmarkStart w:id="4" w:name="_Toc35393621"/>
      <w:bookmarkStart w:id="5" w:name="_Toc28359079"/>
      <w:bookmarkStart w:id="6" w:name="_Toc28359002"/>
    </w:p>
    <w:bookmarkEnd w:id="2"/>
    <w:bookmarkEnd w:id="3"/>
    <w:bookmarkEnd w:id="4"/>
    <w:bookmarkEnd w:id="5"/>
    <w:bookmarkEnd w:id="6"/>
    <w:p w14:paraId="1B3E52FD">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bookmarkStart w:id="7" w:name="_Toc28359003"/>
      <w:bookmarkStart w:id="8" w:name="_Toc35393791"/>
      <w:bookmarkStart w:id="9" w:name="_Toc35393622"/>
      <w:bookmarkStart w:id="10" w:name="_Toc28359080"/>
      <w:r>
        <w:rPr>
          <w:rFonts w:hint="eastAsia" w:ascii="仿宋" w:hAnsi="仿宋" w:eastAsia="仿宋" w:cs="仿宋"/>
          <w:color w:val="auto"/>
          <w:sz w:val="28"/>
          <w:szCs w:val="28"/>
          <w:highlight w:val="none"/>
        </w:rPr>
        <w:t>项目概况</w:t>
      </w:r>
    </w:p>
    <w:p w14:paraId="7A086CB5">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中新苏滁高新区2026-2028年度公园、景观带保安保洁服务项目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2月6日08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388EAE5B">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59EAE765">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rPr>
        <w:t>项目编号：czsjqt202601-007</w:t>
      </w:r>
    </w:p>
    <w:p w14:paraId="630CF119">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eastAsia="zh-CN"/>
        </w:rPr>
      </w:pPr>
      <w:r>
        <w:rPr>
          <w:rFonts w:hint="eastAsia" w:ascii="仿宋" w:hAnsi="仿宋" w:eastAsia="仿宋" w:cs="仿宋"/>
          <w:color w:val="auto"/>
          <w:sz w:val="28"/>
          <w:szCs w:val="28"/>
          <w:highlight w:val="none"/>
          <w:shd w:val="clear" w:fill="auto"/>
        </w:rPr>
        <w:t>项目名称：</w:t>
      </w:r>
      <w:r>
        <w:rPr>
          <w:rFonts w:hint="eastAsia" w:ascii="仿宋" w:hAnsi="仿宋" w:eastAsia="仿宋" w:cs="仿宋"/>
          <w:color w:val="auto"/>
          <w:sz w:val="28"/>
          <w:szCs w:val="28"/>
          <w:highlight w:val="none"/>
          <w:shd w:val="clear" w:fill="auto"/>
          <w:lang w:eastAsia="zh-CN"/>
        </w:rPr>
        <w:t>中新苏滁高新区2026-2028年度公园、景观带保安保洁服务项目</w:t>
      </w:r>
    </w:p>
    <w:p w14:paraId="59FB027C">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预算金额：</w:t>
      </w:r>
      <w:r>
        <w:rPr>
          <w:rFonts w:hint="eastAsia" w:ascii="仿宋" w:hAnsi="仿宋" w:eastAsia="仿宋" w:cs="仿宋"/>
          <w:color w:val="auto"/>
          <w:sz w:val="28"/>
          <w:szCs w:val="28"/>
          <w:highlight w:val="none"/>
          <w:shd w:val="clear" w:fill="auto"/>
          <w:lang w:val="en-US" w:eastAsia="zh-CN"/>
        </w:rPr>
        <w:t>一标段：404万元，二标段：325万元； 三标段：502万元；</w:t>
      </w:r>
    </w:p>
    <w:p w14:paraId="488C3839">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最高限价</w:t>
      </w:r>
      <w:r>
        <w:rPr>
          <w:rFonts w:hint="eastAsia" w:ascii="仿宋" w:hAnsi="仿宋" w:eastAsia="仿宋" w:cs="仿宋"/>
          <w:color w:val="auto"/>
          <w:sz w:val="28"/>
          <w:szCs w:val="28"/>
          <w:highlight w:val="none"/>
          <w:shd w:val="clear" w:fill="auto"/>
          <w:lang w:val="en-US" w:eastAsia="zh-CN"/>
        </w:rPr>
        <w:t>：一标段：</w:t>
      </w:r>
      <w:r>
        <w:rPr>
          <w:rFonts w:hint="eastAsia" w:ascii="仿宋" w:hAnsi="仿宋" w:eastAsia="仿宋" w:cs="仿宋"/>
          <w:color w:val="auto"/>
          <w:sz w:val="28"/>
          <w:szCs w:val="28"/>
          <w:highlight w:val="none"/>
          <w:shd w:val="clear" w:fill="auto"/>
          <w:lang w:eastAsia="zh-CN"/>
        </w:rPr>
        <w:t>投标总报价最高限价为</w:t>
      </w:r>
      <w:r>
        <w:rPr>
          <w:rFonts w:hint="eastAsia" w:ascii="仿宋" w:hAnsi="仿宋" w:eastAsia="仿宋" w:cs="仿宋"/>
          <w:color w:val="auto"/>
          <w:sz w:val="28"/>
          <w:szCs w:val="28"/>
          <w:highlight w:val="none"/>
          <w:shd w:val="clear" w:fill="auto"/>
          <w:lang w:val="en-US" w:eastAsia="zh-CN"/>
        </w:rPr>
        <w:t>404万</w:t>
      </w:r>
      <w:r>
        <w:rPr>
          <w:rFonts w:hint="eastAsia" w:ascii="仿宋" w:hAnsi="仿宋" w:eastAsia="仿宋" w:cs="仿宋"/>
          <w:color w:val="auto"/>
          <w:sz w:val="28"/>
          <w:szCs w:val="28"/>
          <w:highlight w:val="none"/>
          <w:shd w:val="clear" w:fill="auto"/>
          <w:lang w:eastAsia="zh-CN"/>
        </w:rPr>
        <w:t>元（含税）；</w:t>
      </w:r>
      <w:r>
        <w:rPr>
          <w:rFonts w:hint="eastAsia" w:ascii="仿宋" w:hAnsi="仿宋" w:eastAsia="仿宋" w:cs="仿宋"/>
          <w:color w:val="auto"/>
          <w:sz w:val="28"/>
          <w:szCs w:val="28"/>
          <w:highlight w:val="none"/>
          <w:shd w:val="clear" w:fill="auto"/>
          <w:lang w:val="en-US" w:eastAsia="zh-CN"/>
        </w:rPr>
        <w:t>二标段：</w:t>
      </w:r>
      <w:r>
        <w:rPr>
          <w:rFonts w:hint="eastAsia" w:ascii="仿宋" w:hAnsi="仿宋" w:eastAsia="仿宋" w:cs="仿宋"/>
          <w:color w:val="auto"/>
          <w:sz w:val="28"/>
          <w:szCs w:val="28"/>
          <w:highlight w:val="none"/>
          <w:shd w:val="clear" w:fill="auto"/>
          <w:lang w:eastAsia="zh-CN"/>
        </w:rPr>
        <w:t>投标总报价最高限价为</w:t>
      </w:r>
      <w:r>
        <w:rPr>
          <w:rFonts w:hint="eastAsia" w:ascii="仿宋" w:hAnsi="仿宋" w:eastAsia="仿宋" w:cs="仿宋"/>
          <w:color w:val="auto"/>
          <w:sz w:val="28"/>
          <w:szCs w:val="28"/>
          <w:highlight w:val="none"/>
          <w:shd w:val="clear" w:fill="auto"/>
          <w:lang w:val="en-US" w:eastAsia="zh-CN"/>
        </w:rPr>
        <w:t>325万</w:t>
      </w:r>
      <w:r>
        <w:rPr>
          <w:rFonts w:hint="eastAsia" w:ascii="仿宋" w:hAnsi="仿宋" w:eastAsia="仿宋" w:cs="仿宋"/>
          <w:color w:val="auto"/>
          <w:sz w:val="28"/>
          <w:szCs w:val="28"/>
          <w:highlight w:val="none"/>
          <w:shd w:val="clear" w:fill="auto"/>
          <w:lang w:eastAsia="zh-CN"/>
        </w:rPr>
        <w:t>元（含税）；</w:t>
      </w:r>
      <w:r>
        <w:rPr>
          <w:rFonts w:hint="eastAsia" w:ascii="仿宋" w:hAnsi="仿宋" w:eastAsia="仿宋" w:cs="仿宋"/>
          <w:color w:val="auto"/>
          <w:sz w:val="28"/>
          <w:szCs w:val="28"/>
          <w:highlight w:val="none"/>
          <w:shd w:val="clear" w:fill="auto"/>
          <w:lang w:val="en-US" w:eastAsia="zh-CN"/>
        </w:rPr>
        <w:t xml:space="preserve"> 三标段：</w:t>
      </w:r>
      <w:r>
        <w:rPr>
          <w:rFonts w:hint="eastAsia" w:ascii="仿宋" w:hAnsi="仿宋" w:eastAsia="仿宋" w:cs="仿宋"/>
          <w:color w:val="auto"/>
          <w:sz w:val="28"/>
          <w:szCs w:val="28"/>
          <w:highlight w:val="none"/>
          <w:shd w:val="clear" w:fill="auto"/>
          <w:lang w:eastAsia="zh-CN"/>
        </w:rPr>
        <w:t>投标总报价最高限价为</w:t>
      </w:r>
      <w:r>
        <w:rPr>
          <w:rFonts w:hint="eastAsia" w:ascii="仿宋" w:hAnsi="仿宋" w:eastAsia="仿宋" w:cs="仿宋"/>
          <w:color w:val="auto"/>
          <w:sz w:val="28"/>
          <w:szCs w:val="28"/>
          <w:highlight w:val="none"/>
          <w:shd w:val="clear" w:fill="auto"/>
          <w:lang w:val="en-US" w:eastAsia="zh-CN"/>
        </w:rPr>
        <w:t>502万</w:t>
      </w:r>
      <w:r>
        <w:rPr>
          <w:rFonts w:hint="eastAsia" w:ascii="仿宋" w:hAnsi="仿宋" w:eastAsia="仿宋" w:cs="仿宋"/>
          <w:color w:val="auto"/>
          <w:sz w:val="28"/>
          <w:szCs w:val="28"/>
          <w:highlight w:val="none"/>
          <w:shd w:val="clear" w:fill="auto"/>
          <w:lang w:eastAsia="zh-CN"/>
        </w:rPr>
        <w:t>元（含税）；</w:t>
      </w:r>
    </w:p>
    <w:p w14:paraId="4084E9D7">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eastAsia="zh-CN"/>
        </w:rPr>
      </w:pPr>
      <w:r>
        <w:rPr>
          <w:rFonts w:hint="eastAsia" w:ascii="仿宋" w:hAnsi="仿宋" w:eastAsia="仿宋" w:cs="仿宋"/>
          <w:color w:val="auto"/>
          <w:sz w:val="28"/>
          <w:szCs w:val="28"/>
          <w:highlight w:val="none"/>
          <w:shd w:val="clear" w:fill="auto"/>
          <w:lang w:eastAsia="zh-CN"/>
        </w:rPr>
        <w:t>采购需求：详见《采购需求》。</w:t>
      </w:r>
    </w:p>
    <w:p w14:paraId="7818D1F8">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合同履行期限：具体进场日期按</w:t>
      </w:r>
      <w:r>
        <w:rPr>
          <w:rFonts w:hint="eastAsia" w:ascii="仿宋" w:hAnsi="仿宋" w:eastAsia="仿宋" w:cs="仿宋"/>
          <w:color w:val="auto"/>
          <w:sz w:val="28"/>
          <w:szCs w:val="28"/>
          <w:highlight w:val="none"/>
          <w:shd w:val="clear" w:fill="auto"/>
          <w:lang w:val="en-US" w:eastAsia="zh-CN"/>
        </w:rPr>
        <w:t>招标人</w:t>
      </w:r>
      <w:r>
        <w:rPr>
          <w:rFonts w:hint="eastAsia" w:ascii="仿宋" w:hAnsi="仿宋" w:eastAsia="仿宋" w:cs="仿宋"/>
          <w:color w:val="auto"/>
          <w:sz w:val="28"/>
          <w:szCs w:val="28"/>
          <w:highlight w:val="none"/>
          <w:shd w:val="clear" w:fill="auto"/>
          <w:lang w:eastAsia="zh-CN"/>
        </w:rPr>
        <w:t>书面通知，</w:t>
      </w:r>
      <w:r>
        <w:rPr>
          <w:rFonts w:hint="eastAsia" w:ascii="仿宋" w:hAnsi="仿宋" w:eastAsia="仿宋" w:cs="仿宋"/>
          <w:color w:val="auto"/>
          <w:sz w:val="28"/>
          <w:szCs w:val="28"/>
          <w:highlight w:val="none"/>
          <w:shd w:val="clear" w:fill="auto"/>
          <w:lang w:val="en-US" w:eastAsia="zh-CN"/>
        </w:rPr>
        <w:t>所有标段</w:t>
      </w:r>
      <w:r>
        <w:rPr>
          <w:rFonts w:hint="eastAsia" w:ascii="仿宋" w:hAnsi="仿宋" w:eastAsia="仿宋" w:cs="仿宋"/>
          <w:color w:val="auto"/>
          <w:sz w:val="28"/>
          <w:szCs w:val="28"/>
          <w:highlight w:val="none"/>
          <w:shd w:val="clear" w:fill="auto"/>
          <w:lang w:eastAsia="zh-CN"/>
        </w:rPr>
        <w:t>服务期</w:t>
      </w:r>
      <w:r>
        <w:rPr>
          <w:rFonts w:hint="eastAsia" w:ascii="仿宋" w:hAnsi="仿宋" w:eastAsia="仿宋" w:cs="仿宋"/>
          <w:color w:val="auto"/>
          <w:sz w:val="28"/>
          <w:szCs w:val="28"/>
          <w:highlight w:val="none"/>
          <w:shd w:val="clear" w:fill="auto"/>
          <w:lang w:val="en-US" w:eastAsia="zh-CN"/>
        </w:rPr>
        <w:t>均</w:t>
      </w:r>
      <w:r>
        <w:rPr>
          <w:rFonts w:hint="eastAsia" w:ascii="仿宋" w:hAnsi="仿宋" w:eastAsia="仿宋" w:cs="仿宋"/>
          <w:color w:val="auto"/>
          <w:sz w:val="28"/>
          <w:szCs w:val="28"/>
          <w:highlight w:val="none"/>
          <w:shd w:val="clear" w:fill="auto"/>
          <w:lang w:eastAsia="zh-CN"/>
        </w:rPr>
        <w:t>至2028年2月</w:t>
      </w:r>
      <w:r>
        <w:rPr>
          <w:rFonts w:hint="eastAsia" w:ascii="仿宋" w:hAnsi="仿宋" w:eastAsia="仿宋" w:cs="仿宋"/>
          <w:color w:val="auto"/>
          <w:sz w:val="28"/>
          <w:szCs w:val="28"/>
          <w:highlight w:val="none"/>
          <w:shd w:val="clear" w:fill="auto"/>
          <w:lang w:val="en-US" w:eastAsia="zh-CN"/>
        </w:rPr>
        <w:t>29</w:t>
      </w:r>
      <w:r>
        <w:rPr>
          <w:rFonts w:hint="eastAsia" w:ascii="仿宋" w:hAnsi="仿宋" w:eastAsia="仿宋" w:cs="仿宋"/>
          <w:color w:val="auto"/>
          <w:sz w:val="28"/>
          <w:szCs w:val="28"/>
          <w:highlight w:val="none"/>
          <w:shd w:val="clear" w:fill="auto"/>
          <w:lang w:eastAsia="zh-CN"/>
        </w:rPr>
        <w:t>日止；月度量化考核,连续三次考核不合格（依据</w:t>
      </w:r>
      <w:r>
        <w:rPr>
          <w:rFonts w:hint="eastAsia" w:ascii="仿宋" w:hAnsi="仿宋" w:eastAsia="仿宋" w:cs="仿宋"/>
          <w:color w:val="auto"/>
          <w:sz w:val="28"/>
          <w:szCs w:val="28"/>
          <w:highlight w:val="none"/>
          <w:shd w:val="clear" w:fill="auto"/>
          <w:lang w:val="en-US" w:eastAsia="zh-CN"/>
        </w:rPr>
        <w:t>招标</w:t>
      </w:r>
      <w:r>
        <w:rPr>
          <w:rFonts w:hint="eastAsia" w:ascii="仿宋" w:hAnsi="仿宋" w:eastAsia="仿宋" w:cs="仿宋"/>
          <w:color w:val="auto"/>
          <w:sz w:val="28"/>
          <w:szCs w:val="28"/>
          <w:highlight w:val="none"/>
          <w:shd w:val="clear" w:fill="auto"/>
          <w:lang w:eastAsia="zh-CN"/>
        </w:rPr>
        <w:t>文件考核评分标准进行考核打分）则终止合同，</w:t>
      </w:r>
      <w:r>
        <w:rPr>
          <w:rFonts w:hint="eastAsia" w:ascii="仿宋" w:hAnsi="仿宋" w:eastAsia="仿宋" w:cs="仿宋"/>
          <w:color w:val="auto"/>
          <w:sz w:val="28"/>
          <w:szCs w:val="28"/>
          <w:highlight w:val="none"/>
          <w:shd w:val="clear" w:fill="auto"/>
          <w:lang w:val="en-US" w:eastAsia="zh-CN"/>
        </w:rPr>
        <w:t>中标人</w:t>
      </w:r>
      <w:r>
        <w:rPr>
          <w:rFonts w:hint="eastAsia" w:ascii="仿宋" w:hAnsi="仿宋" w:eastAsia="仿宋" w:cs="仿宋"/>
          <w:color w:val="auto"/>
          <w:sz w:val="28"/>
          <w:szCs w:val="28"/>
          <w:highlight w:val="none"/>
          <w:shd w:val="clear" w:fill="auto"/>
          <w:lang w:eastAsia="zh-CN"/>
        </w:rPr>
        <w:t>在合同终止后半月内撤场（当月服务费用减半，剩余费用作为罚款不再支付），招标人另行招标。</w:t>
      </w:r>
    </w:p>
    <w:p w14:paraId="500494CC">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rPr>
      </w:pPr>
      <w:r>
        <w:rPr>
          <w:rFonts w:hint="eastAsia" w:ascii="仿宋" w:hAnsi="仿宋" w:eastAsia="仿宋" w:cs="仿宋"/>
          <w:color w:val="auto"/>
          <w:sz w:val="28"/>
          <w:szCs w:val="28"/>
          <w:highlight w:val="none"/>
          <w:shd w:val="clear" w:fill="auto"/>
        </w:rPr>
        <w:t>本项目不接受联合体投标。</w:t>
      </w:r>
    </w:p>
    <w:p w14:paraId="7C46FFCD">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bookmarkEnd w:id="7"/>
      <w:bookmarkEnd w:id="8"/>
      <w:bookmarkEnd w:id="9"/>
      <w:bookmarkEnd w:id="10"/>
    </w:p>
    <w:p w14:paraId="2538820F">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bookmarkStart w:id="11" w:name="_Toc35393623"/>
      <w:bookmarkStart w:id="12" w:name="_Toc28359004"/>
      <w:bookmarkStart w:id="13" w:name="_Toc35393792"/>
      <w:bookmarkStart w:id="14" w:name="_Toc28359081"/>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投标人</w:t>
      </w:r>
      <w:r>
        <w:rPr>
          <w:rFonts w:hint="eastAsia" w:ascii="仿宋" w:hAnsi="仿宋" w:eastAsia="仿宋" w:cs="Times New Roman"/>
          <w:color w:val="auto"/>
          <w:sz w:val="28"/>
          <w:szCs w:val="28"/>
          <w:highlight w:val="none"/>
        </w:rPr>
        <w:t>要求：</w:t>
      </w:r>
      <w:r>
        <w:rPr>
          <w:rFonts w:hint="eastAsia" w:ascii="仿宋" w:hAnsi="仿宋" w:eastAsia="仿宋" w:cs="楷体"/>
          <w:bCs/>
          <w:snapToGrid w:val="0"/>
          <w:color w:val="auto"/>
          <w:kern w:val="0"/>
          <w:sz w:val="28"/>
          <w:szCs w:val="28"/>
          <w:highlight w:val="none"/>
          <w:lang w:val="en-US" w:eastAsia="zh-CN"/>
        </w:rPr>
        <w:t>具备独立承担民事责任能力且具备相应的服务能力</w:t>
      </w:r>
      <w:r>
        <w:rPr>
          <w:rFonts w:hint="eastAsia" w:ascii="仿宋" w:hAnsi="仿宋" w:eastAsia="仿宋" w:cs="Times New Roman"/>
          <w:color w:val="auto"/>
          <w:sz w:val="28"/>
          <w:szCs w:val="28"/>
          <w:highlight w:val="none"/>
          <w:lang w:val="en-US" w:eastAsia="zh-CN"/>
        </w:rPr>
        <w:t>；</w:t>
      </w:r>
    </w:p>
    <w:p w14:paraId="233968BA">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信誉要求：投标人不得存在以下情形：</w:t>
      </w:r>
    </w:p>
    <w:p w14:paraId="5F7E4BF1">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①被列入“信用中国”网站“失信被执行人”的；</w:t>
      </w:r>
    </w:p>
    <w:p w14:paraId="571B1C19">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②被列入“信用中国”网站“重大税收违法失信主体”的；</w:t>
      </w:r>
    </w:p>
    <w:p w14:paraId="63BA4A3B">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③被列入“信用中国”网站“拖欠农民工工资失信联合惩戒对象名单”的；</w:t>
      </w:r>
    </w:p>
    <w:p w14:paraId="1E8D87C0">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④被列入“信用中国”网站 “严重失信主体名单”的；</w:t>
      </w:r>
    </w:p>
    <w:p w14:paraId="2F2BB7E2">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⑤在“信用中国”网站上披露的仍在公示期的严重失信行为(具体行为类别及判定依据见附件2)的；</w:t>
      </w:r>
    </w:p>
    <w:p w14:paraId="35B5D298">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⑥被列入国家企业信用信息公示系统网站“经营异常名录”或者“严重违法失信名单”的；</w:t>
      </w:r>
    </w:p>
    <w:p w14:paraId="48F468AB">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⑦前三年有行贿犯罪行为的单位和个人；</w:t>
      </w:r>
    </w:p>
    <w:p w14:paraId="45B0D508">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⑧被滁州市县两级公管部门及各行业主管部门取消在一定期限内的投标资格且在取消期限内的；</w:t>
      </w:r>
    </w:p>
    <w:p w14:paraId="1B9C79BB">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⑨因拖欠农民工工资被县级及以上有关行政主管部门限制投标资格且在限制期限内的；</w:t>
      </w:r>
    </w:p>
    <w:p w14:paraId="3C30342D">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C5F5426">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款信誉要求①-</w:t>
      </w:r>
      <w:r>
        <w:rPr>
          <w:rFonts w:hint="eastAsia" w:ascii="仿宋" w:hAnsi="仿宋" w:eastAsia="仿宋" w:cs="Times New Roman"/>
          <w:color w:val="auto"/>
          <w:sz w:val="28"/>
          <w:szCs w:val="28"/>
          <w:highlight w:val="none"/>
          <w:lang w:val="en-US" w:eastAsia="zh-CN"/>
        </w:rPr>
        <w:t>⑩</w:t>
      </w:r>
      <w:r>
        <w:rPr>
          <w:rFonts w:hint="eastAsia" w:ascii="仿宋" w:hAnsi="仿宋" w:eastAsia="仿宋" w:cs="Times New Roman"/>
          <w:color w:val="auto"/>
          <w:sz w:val="28"/>
          <w:szCs w:val="28"/>
          <w:highlight w:val="none"/>
        </w:rPr>
        <w:t>项情形之一的，</w:t>
      </w:r>
      <w:r>
        <w:rPr>
          <w:rFonts w:hint="eastAsia" w:ascii="仿宋" w:hAnsi="仿宋" w:eastAsia="仿宋"/>
          <w:color w:val="auto"/>
          <w:sz w:val="28"/>
          <w:szCs w:val="28"/>
          <w:highlight w:val="none"/>
        </w:rPr>
        <w:t>接受投标人参加本项目</w:t>
      </w:r>
      <w:r>
        <w:rPr>
          <w:rFonts w:hint="eastAsia" w:ascii="仿宋" w:hAnsi="仿宋" w:eastAsia="仿宋" w:cs="Times New Roman"/>
          <w:color w:val="auto"/>
          <w:sz w:val="28"/>
          <w:szCs w:val="28"/>
          <w:highlight w:val="none"/>
        </w:rPr>
        <w:t>。</w:t>
      </w:r>
    </w:p>
    <w:p w14:paraId="133ADD3F">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2、3</w:t>
      </w:r>
      <w:r>
        <w:rPr>
          <w:rFonts w:hint="eastAsia" w:ascii="仿宋" w:hAnsi="仿宋" w:eastAsia="仿宋" w:cs="Times New Roman"/>
          <w:color w:val="auto"/>
          <w:sz w:val="28"/>
          <w:szCs w:val="28"/>
          <w:highlight w:val="none"/>
        </w:rPr>
        <w:t>条按照</w:t>
      </w:r>
      <w:r>
        <w:rPr>
          <w:rFonts w:hint="eastAsia" w:ascii="仿宋" w:hAnsi="仿宋" w:eastAsia="仿宋" w:cs="Times New Roman"/>
          <w:color w:val="auto"/>
          <w:sz w:val="28"/>
          <w:szCs w:val="28"/>
          <w:highlight w:val="none"/>
          <w:lang w:val="en-US" w:eastAsia="zh-CN"/>
        </w:rPr>
        <w:t>附件1</w:t>
      </w:r>
      <w:r>
        <w:rPr>
          <w:rFonts w:hint="eastAsia" w:ascii="仿宋" w:hAnsi="仿宋" w:eastAsia="仿宋" w:cs="Times New Roman"/>
          <w:color w:val="auto"/>
          <w:sz w:val="28"/>
          <w:szCs w:val="28"/>
          <w:highlight w:val="none"/>
        </w:rPr>
        <w:t>“关于联合惩戒失信行为加强信用查询管理的通知”查询或承诺。</w:t>
      </w:r>
    </w:p>
    <w:p w14:paraId="475B077C">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5F0CA3CF">
      <w:pPr>
        <w:pageBreakBefore w:val="0"/>
        <w:widowControl w:val="0"/>
        <w:kinsoku/>
        <w:wordWrap w:val="0"/>
        <w:overflowPunct/>
        <w:topLinePunct w:val="0"/>
        <w:autoSpaceDE/>
        <w:autoSpaceDN/>
        <w:bidi w:val="0"/>
        <w:adjustRightInd/>
        <w:snapToGrid/>
        <w:spacing w:line="500" w:lineRule="exact"/>
        <w:ind w:left="0" w:leftChars="0" w:firstLine="540"/>
        <w:textAlignment w:val="auto"/>
        <w:rPr>
          <w:rFonts w:hint="eastAsia"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2月6日</w:t>
      </w:r>
    </w:p>
    <w:p w14:paraId="4A781DC4">
      <w:pPr>
        <w:pageBreakBefore w:val="0"/>
        <w:widowControl w:val="0"/>
        <w:kinsoku/>
        <w:wordWrap w:val="0"/>
        <w:overflowPunct/>
        <w:topLinePunct w:val="0"/>
        <w:autoSpaceDE/>
        <w:autoSpaceDN/>
        <w:bidi w:val="0"/>
        <w:adjustRightInd/>
        <w:snapToGrid/>
        <w:spacing w:line="50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地点：滁州市公共资源交易中心网</w:t>
      </w:r>
    </w:p>
    <w:p w14:paraId="47ED78AA">
      <w:pPr>
        <w:pageBreakBefore w:val="0"/>
        <w:widowControl w:val="0"/>
        <w:kinsoku/>
        <w:wordWrap w:val="0"/>
        <w:overflowPunct/>
        <w:topLinePunct w:val="0"/>
        <w:autoSpaceDE/>
        <w:autoSpaceDN/>
        <w:bidi w:val="0"/>
        <w:adjustRightInd/>
        <w:snapToGrid/>
        <w:spacing w:line="50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方式：网上下载</w:t>
      </w:r>
    </w:p>
    <w:p w14:paraId="31E0123D">
      <w:pPr>
        <w:pageBreakBefore w:val="0"/>
        <w:widowControl w:val="0"/>
        <w:kinsoku/>
        <w:wordWrap w:val="0"/>
        <w:overflowPunct/>
        <w:topLinePunct w:val="0"/>
        <w:autoSpaceDE/>
        <w:autoSpaceDN/>
        <w:bidi w:val="0"/>
        <w:adjustRightInd/>
        <w:snapToGrid/>
        <w:spacing w:line="50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373DE464">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bookmarkStart w:id="15" w:name="_Toc28359005"/>
      <w:bookmarkStart w:id="16" w:name="_Toc28359082"/>
      <w:bookmarkStart w:id="17" w:name="_Toc35393793"/>
      <w:bookmarkStart w:id="18" w:name="_Toc35393624"/>
      <w:r>
        <w:rPr>
          <w:rFonts w:hint="eastAsia" w:ascii="黑体" w:hAnsi="黑体" w:eastAsia="黑体" w:cs="黑体"/>
          <w:color w:val="auto"/>
          <w:sz w:val="28"/>
          <w:szCs w:val="28"/>
          <w:highlight w:val="none"/>
        </w:rPr>
        <w:t>四、提交投标文件</w:t>
      </w:r>
      <w:bookmarkEnd w:id="15"/>
      <w:bookmarkEnd w:id="16"/>
      <w:r>
        <w:rPr>
          <w:rFonts w:hint="eastAsia" w:ascii="黑体" w:hAnsi="黑体" w:eastAsia="黑体" w:cs="黑体"/>
          <w:color w:val="auto"/>
          <w:sz w:val="28"/>
          <w:szCs w:val="28"/>
          <w:highlight w:val="none"/>
        </w:rPr>
        <w:t>截止时间、开标时间和地点</w:t>
      </w:r>
      <w:bookmarkEnd w:id="17"/>
      <w:bookmarkEnd w:id="18"/>
    </w:p>
    <w:p w14:paraId="367D95C6">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ascii="仿宋" w:hAnsi="仿宋" w:eastAsia="仿宋"/>
          <w:bCs/>
          <w:iCs/>
          <w:color w:val="auto"/>
          <w:sz w:val="28"/>
          <w:szCs w:val="28"/>
          <w:highlight w:val="none"/>
        </w:rPr>
      </w:pPr>
      <w:bookmarkStart w:id="19" w:name="_Toc35393625"/>
      <w:bookmarkStart w:id="20" w:name="_Toc28359084"/>
      <w:bookmarkStart w:id="21" w:name="_Toc28359007"/>
      <w:bookmarkStart w:id="22" w:name="_Toc35393794"/>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2月6日</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14:paraId="608030FE">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地点：滁州市公共资源交易中心</w:t>
      </w:r>
      <w:r>
        <w:rPr>
          <w:rFonts w:hint="eastAsia" w:ascii="仿宋" w:hAnsi="仿宋" w:eastAsia="仿宋"/>
          <w:color w:val="auto"/>
          <w:sz w:val="28"/>
          <w:szCs w:val="28"/>
          <w:highlight w:val="none"/>
          <w:lang w:val="en-US" w:eastAsia="zh-CN"/>
        </w:rPr>
        <w:t>网</w:t>
      </w:r>
      <w:r>
        <w:rPr>
          <w:rFonts w:hint="eastAsia" w:ascii="仿宋" w:hAnsi="仿宋" w:eastAsia="仿宋"/>
          <w:color w:val="auto"/>
          <w:sz w:val="28"/>
          <w:szCs w:val="28"/>
          <w:highlight w:val="none"/>
        </w:rPr>
        <w:t>。</w:t>
      </w:r>
    </w:p>
    <w:p w14:paraId="168639DF">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五、公告期限</w:t>
      </w:r>
      <w:bookmarkEnd w:id="19"/>
      <w:bookmarkEnd w:id="20"/>
      <w:bookmarkEnd w:id="21"/>
      <w:bookmarkEnd w:id="22"/>
    </w:p>
    <w:p w14:paraId="3FCEFD8B">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2BE8EBE8">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投标保证金金额及缴纳账户</w:t>
      </w:r>
    </w:p>
    <w:p w14:paraId="02FC8A3C">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lang w:eastAsia="zh-CN"/>
        </w:rPr>
      </w:pPr>
      <w:bookmarkStart w:id="23" w:name="_Toc35393795"/>
      <w:bookmarkStart w:id="24" w:name="_Toc35393626"/>
      <w:r>
        <w:rPr>
          <w:rFonts w:hint="eastAsia" w:ascii="仿宋" w:hAnsi="仿宋" w:eastAsia="仿宋" w:cs="Times New Roman"/>
          <w:color w:val="auto"/>
          <w:sz w:val="28"/>
          <w:szCs w:val="28"/>
          <w:highlight w:val="none"/>
          <w:lang w:val="en-US" w:eastAsia="zh-CN"/>
        </w:rPr>
        <w:t>本项目</w:t>
      </w:r>
      <w:r>
        <w:rPr>
          <w:rFonts w:hint="eastAsia" w:ascii="仿宋" w:hAnsi="仿宋" w:eastAsia="仿宋" w:cs="Times New Roman"/>
          <w:color w:val="auto"/>
          <w:sz w:val="28"/>
          <w:szCs w:val="28"/>
          <w:highlight w:val="none"/>
          <w:lang w:eastAsia="zh-CN"/>
        </w:rPr>
        <w:t>不要求投标人提交投标保证金。</w:t>
      </w:r>
    </w:p>
    <w:p w14:paraId="67F19344">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本项目不缴纳投标保证金条款仅针对在投标过程中未违反</w:t>
      </w:r>
      <w:r>
        <w:rPr>
          <w:rFonts w:hint="eastAsia" w:ascii="仿宋" w:hAnsi="仿宋" w:eastAsia="仿宋" w:cs="Times New Roman"/>
          <w:color w:val="auto"/>
          <w:sz w:val="28"/>
          <w:szCs w:val="28"/>
          <w:highlight w:val="none"/>
          <w:lang w:val="en-US" w:eastAsia="zh-CN"/>
        </w:rPr>
        <w:t>23.4</w:t>
      </w:r>
      <w:r>
        <w:rPr>
          <w:rFonts w:hint="eastAsia" w:ascii="仿宋" w:hAnsi="仿宋" w:eastAsia="仿宋" w:cs="Times New Roman"/>
          <w:color w:val="auto"/>
          <w:sz w:val="28"/>
          <w:szCs w:val="28"/>
          <w:highlight w:val="none"/>
          <w:lang w:eastAsia="zh-CN"/>
        </w:rPr>
        <w:t>约定的投标人。如在投标过程中投标人存在招标文件</w:t>
      </w:r>
      <w:r>
        <w:rPr>
          <w:rFonts w:hint="eastAsia" w:ascii="仿宋" w:hAnsi="仿宋" w:eastAsia="仿宋" w:cs="Times New Roman"/>
          <w:color w:val="auto"/>
          <w:sz w:val="28"/>
          <w:szCs w:val="28"/>
          <w:highlight w:val="none"/>
          <w:lang w:val="en-US" w:eastAsia="zh-CN"/>
        </w:rPr>
        <w:t>23.4</w:t>
      </w:r>
      <w:r>
        <w:rPr>
          <w:rFonts w:hint="eastAsia" w:ascii="仿宋" w:hAnsi="仿宋" w:eastAsia="仿宋" w:cs="Times New Roman"/>
          <w:color w:val="auto"/>
          <w:sz w:val="28"/>
          <w:szCs w:val="28"/>
          <w:highlight w:val="none"/>
          <w:lang w:eastAsia="zh-CN"/>
        </w:rPr>
        <w:t>约定情形，则无条件按招标人要求的金额（</w:t>
      </w:r>
      <w:r>
        <w:rPr>
          <w:rFonts w:hint="eastAsia" w:ascii="仿宋" w:hAnsi="仿宋" w:eastAsia="仿宋" w:cs="Times New Roman"/>
          <w:color w:val="auto"/>
          <w:sz w:val="28"/>
          <w:szCs w:val="28"/>
          <w:highlight w:val="none"/>
          <w:lang w:val="en-US" w:eastAsia="zh-CN"/>
        </w:rPr>
        <w:t>每标段6.0万元</w:t>
      </w:r>
      <w:r>
        <w:rPr>
          <w:rFonts w:hint="eastAsia" w:ascii="仿宋" w:hAnsi="仿宋" w:eastAsia="仿宋" w:cs="Times New Roman"/>
          <w:color w:val="auto"/>
          <w:sz w:val="28"/>
          <w:szCs w:val="28"/>
          <w:highlight w:val="none"/>
          <w:lang w:eastAsia="zh-CN"/>
        </w:rPr>
        <w:t>）、时间、帐号缴纳投标保证金</w:t>
      </w:r>
      <w:r>
        <w:rPr>
          <w:rFonts w:hint="eastAsia" w:ascii="仿宋" w:hAnsi="仿宋" w:eastAsia="仿宋" w:cs="Times New Roman"/>
          <w:color w:val="auto"/>
          <w:sz w:val="28"/>
          <w:szCs w:val="28"/>
          <w:highlight w:val="none"/>
        </w:rPr>
        <w:t>。</w:t>
      </w:r>
    </w:p>
    <w:p w14:paraId="6503DFA9">
      <w:pPr>
        <w:pStyle w:val="120"/>
        <w:pageBreakBefore w:val="0"/>
        <w:widowControl w:val="0"/>
        <w:kinsoku/>
        <w:wordWrap w:val="0"/>
        <w:overflowPunct/>
        <w:topLinePunct w:val="0"/>
        <w:autoSpaceDE/>
        <w:autoSpaceDN/>
        <w:bidi w:val="0"/>
        <w:adjustRightInd/>
        <w:snapToGrid/>
        <w:spacing w:line="500" w:lineRule="exact"/>
        <w:ind w:left="0" w:leftChars="0"/>
        <w:textAlignment w:val="auto"/>
        <w:rPr>
          <w:color w:val="auto"/>
          <w:highlight w:val="none"/>
        </w:rPr>
      </w:pPr>
      <w:r>
        <w:rPr>
          <w:color w:val="auto"/>
          <w:highlight w:val="none"/>
        </w:rPr>
        <w:t>窗体顶端</w:t>
      </w:r>
    </w:p>
    <w:p w14:paraId="42527FF2">
      <w:pPr>
        <w:pStyle w:val="121"/>
        <w:pageBreakBefore w:val="0"/>
        <w:widowControl w:val="0"/>
        <w:kinsoku/>
        <w:wordWrap w:val="0"/>
        <w:overflowPunct/>
        <w:topLinePunct w:val="0"/>
        <w:autoSpaceDE/>
        <w:autoSpaceDN/>
        <w:bidi w:val="0"/>
        <w:adjustRightInd/>
        <w:snapToGrid/>
        <w:spacing w:line="500" w:lineRule="exact"/>
        <w:ind w:left="0" w:leftChars="0"/>
        <w:textAlignment w:val="auto"/>
        <w:rPr>
          <w:color w:val="auto"/>
          <w:highlight w:val="none"/>
        </w:rPr>
      </w:pPr>
      <w:r>
        <w:rPr>
          <w:rFonts w:hint="eastAsia" w:ascii="仿宋_GB2312" w:hAnsi="仿宋_GB2312" w:eastAsia="仿宋_GB2312" w:cs="仿宋_GB2312"/>
          <w:color w:val="auto"/>
          <w:sz w:val="28"/>
          <w:szCs w:val="28"/>
          <w:highlight w:val="none"/>
        </w:rPr>
        <w:t>投标保证金的金额：</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eastAsia="仿宋_GB2312" w:cs="仿宋_GB2312"/>
          <w:color w:val="auto"/>
          <w:sz w:val="28"/>
          <w:szCs w:val="28"/>
          <w:highlight w:val="none"/>
        </w:rPr>
        <w:t>万元</w:t>
      </w:r>
      <w:r>
        <w:rPr>
          <w:color w:val="auto"/>
          <w:highlight w:val="none"/>
        </w:rPr>
        <w:t>窗体底端</w:t>
      </w:r>
    </w:p>
    <w:p w14:paraId="6B6E0875">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3"/>
      <w:bookmarkEnd w:id="24"/>
    </w:p>
    <w:p w14:paraId="61C99EEE">
      <w:pPr>
        <w:keepNext w:val="0"/>
        <w:keepLines w:val="0"/>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79D1C92F">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2.请投标人登录滁州市公共资源交易中心网站查看参加本项目的程序（具体操作步骤和程序请参见服务指南&gt;交易须知&gt;投标人填写投标信息、下载文件及网上提问操作手册）。</w:t>
      </w:r>
    </w:p>
    <w:p w14:paraId="3713EE9E">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A25691D">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4.投标文件格式、内容和制作要求以招标文件为准，投标文件制作工具中提供的相关格式及内容仅供参考，投标企业可根据招标文件要求自行调整。</w:t>
      </w:r>
    </w:p>
    <w:p w14:paraId="3B92CED2">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提出异议的截止时间及方式：如投标人对招标文件有异议，请于2026年1月27日08时30分（投标截止10日）前在滁州市公共资源交易中心网电子交易系统中进行异议，具体操作步骤和程序请参见服务指南&gt;交易须知&gt;在线异议、质疑和投诉操作手册。</w:t>
      </w:r>
    </w:p>
    <w:p w14:paraId="110471A2">
      <w:pPr>
        <w:keepNext w:val="0"/>
        <w:keepLines w:val="0"/>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6.受理异议的联系人及联系方式：李传旭0550-2201369、关勤勤0550-3519590。</w:t>
      </w:r>
    </w:p>
    <w:p w14:paraId="395B4808">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56029E8">
      <w:pPr>
        <w:pStyle w:val="3"/>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1.招标人信息</w:t>
      </w:r>
    </w:p>
    <w:p w14:paraId="368AE969">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val="en-US" w:eastAsia="zh-CN"/>
        </w:rPr>
        <w:t>滁州市苏滁市政公用发展有限公司</w:t>
      </w:r>
      <w:r>
        <w:rPr>
          <w:rFonts w:hint="eastAsia" w:ascii="仿宋" w:hAnsi="仿宋" w:eastAsia="仿宋" w:cs="仿宋"/>
          <w:color w:val="auto"/>
          <w:sz w:val="28"/>
          <w:szCs w:val="28"/>
          <w:highlight w:val="none"/>
          <w:u w:val="single"/>
        </w:rPr>
        <w:t xml:space="preserve">  </w:t>
      </w:r>
    </w:p>
    <w:p w14:paraId="44ABF0A4">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滁州市中新苏滁高新技术产业开发区双城路66号 </w:t>
      </w:r>
    </w:p>
    <w:p w14:paraId="09F47A80">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0550-2201369</w:t>
      </w:r>
    </w:p>
    <w:p w14:paraId="1002910F">
      <w:pPr>
        <w:pStyle w:val="3"/>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7A138625">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5D0C90F0">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r>
        <w:rPr>
          <w:rFonts w:hint="eastAsia" w:ascii="仿宋" w:hAnsi="仿宋" w:eastAsia="仿宋" w:cs="仿宋"/>
          <w:color w:val="auto"/>
          <w:sz w:val="28"/>
          <w:szCs w:val="28"/>
          <w:highlight w:val="none"/>
          <w:u w:val="single"/>
          <w:lang w:val="en-US" w:eastAsia="zh-CN"/>
        </w:rPr>
        <w:t>620</w:t>
      </w:r>
    </w:p>
    <w:p w14:paraId="0AB3287B">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0550-3519590</w:t>
      </w:r>
    </w:p>
    <w:p w14:paraId="4D1F0C41">
      <w:pPr>
        <w:pStyle w:val="3"/>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3FFDB35">
      <w:pPr>
        <w:pStyle w:val="19"/>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李传旭</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lang w:val="en-US" w:eastAsia="zh-CN"/>
        </w:rPr>
        <w:t>关勤勤</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none" w:color="auto"/>
        </w:rPr>
        <w:t xml:space="preserve">  </w:t>
      </w:r>
      <w:r>
        <w:rPr>
          <w:rFonts w:hint="eastAsia" w:ascii="仿宋" w:hAnsi="仿宋" w:eastAsia="仿宋" w:cs="仿宋"/>
          <w:color w:val="auto"/>
          <w:sz w:val="28"/>
          <w:szCs w:val="28"/>
          <w:highlight w:val="none"/>
          <w:u w:val="single" w:color="auto"/>
        </w:rPr>
        <w:t xml:space="preserve">    </w:t>
      </w:r>
    </w:p>
    <w:p w14:paraId="05876C33">
      <w:pPr>
        <w:pageBreakBefore w:val="0"/>
        <w:widowControl w:val="0"/>
        <w:kinsoku/>
        <w:wordWrap w:val="0"/>
        <w:overflowPunct/>
        <w:topLinePunct w:val="0"/>
        <w:autoSpaceDE/>
        <w:autoSpaceDN/>
        <w:bidi w:val="0"/>
        <w:adjustRightInd/>
        <w:snapToGrid/>
        <w:spacing w:line="500" w:lineRule="exact"/>
        <w:ind w:left="0" w:leftChars="0" w:firstLine="560" w:firstLineChars="2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0550-2201369</w:t>
      </w:r>
      <w:r>
        <w:rPr>
          <w:rFonts w:hint="eastAsia" w:ascii="仿宋_GB2312" w:hAnsi="仿宋_GB2312" w:eastAsia="仿宋_GB2312" w:cs="仿宋_GB2312"/>
          <w:color w:val="auto"/>
          <w:sz w:val="28"/>
          <w:szCs w:val="28"/>
          <w:highlight w:val="none"/>
          <w:u w:val="single"/>
          <w:lang w:val="en-US" w:eastAsia="zh-CN"/>
        </w:rPr>
        <w:t>、</w:t>
      </w:r>
      <w:r>
        <w:rPr>
          <w:rFonts w:hint="eastAsia" w:ascii="仿宋" w:hAnsi="仿宋" w:eastAsia="仿宋" w:cs="仿宋"/>
          <w:color w:val="auto"/>
          <w:sz w:val="28"/>
          <w:szCs w:val="28"/>
          <w:highlight w:val="none"/>
          <w:u w:val="single"/>
          <w:lang w:val="en-US" w:eastAsia="zh-CN"/>
        </w:rPr>
        <w:t>0550-3519590</w:t>
      </w:r>
      <w:r>
        <w:rPr>
          <w:rFonts w:hint="eastAsia" w:ascii="仿宋" w:hAnsi="仿宋" w:eastAsia="仿宋" w:cs="仿宋"/>
          <w:color w:val="auto"/>
          <w:sz w:val="28"/>
          <w:szCs w:val="28"/>
          <w:highlight w:val="none"/>
          <w:u w:val="single"/>
        </w:rPr>
        <w:t xml:space="preserve">  </w:t>
      </w:r>
    </w:p>
    <w:p w14:paraId="4CFFFA95">
      <w:pPr>
        <w:pStyle w:val="2"/>
        <w:keepNext/>
        <w:keepLines/>
        <w:pageBreakBefore w:val="0"/>
        <w:widowControl w:val="0"/>
        <w:kinsoku/>
        <w:wordWrap w:val="0"/>
        <w:overflowPunct/>
        <w:topLinePunct w:val="0"/>
        <w:autoSpaceDE/>
        <w:autoSpaceDN/>
        <w:bidi w:val="0"/>
        <w:adjustRightInd/>
        <w:snapToGrid/>
        <w:spacing w:before="0" w:beforeLines="0" w:after="0" w:afterLines="0" w:line="240" w:lineRule="auto"/>
        <w:textAlignment w:val="auto"/>
        <w:rPr>
          <w:rFonts w:hint="eastAsia" w:ascii="宋体"/>
          <w:b w:val="0"/>
          <w:color w:val="auto"/>
          <w:szCs w:val="32"/>
          <w:highlight w:val="none"/>
        </w:rPr>
      </w:pPr>
      <w:bookmarkStart w:id="25" w:name="_Toc20364"/>
      <w:r>
        <w:rPr>
          <w:rFonts w:hint="eastAsia"/>
          <w:color w:val="auto"/>
          <w:highlight w:val="none"/>
        </w:rPr>
        <w:br w:type="page"/>
      </w:r>
      <w:r>
        <w:rPr>
          <w:rFonts w:hint="eastAsia" w:ascii="华文中宋" w:hAnsi="华文中宋" w:eastAsia="华文中宋"/>
          <w:color w:val="auto"/>
          <w:highlight w:val="none"/>
        </w:rPr>
        <w:t>第二章 投标人须知</w:t>
      </w:r>
      <w:bookmarkEnd w:id="25"/>
    </w:p>
    <w:p w14:paraId="0F7DC333">
      <w:pPr>
        <w:kinsoku/>
        <w:wordWrap w:val="0"/>
        <w:overflowPunct/>
        <w:topLinePunct w:val="0"/>
        <w:bidi w:val="0"/>
        <w:snapToGrid w:val="0"/>
        <w:spacing w:line="440" w:lineRule="exact"/>
        <w:jc w:val="center"/>
        <w:outlineLvl w:val="1"/>
        <w:rPr>
          <w:rFonts w:hint="eastAsia" w:ascii="宋体"/>
          <w:b/>
          <w:color w:val="auto"/>
          <w:sz w:val="28"/>
          <w:szCs w:val="28"/>
          <w:highlight w:val="none"/>
        </w:rPr>
      </w:pPr>
      <w:bookmarkStart w:id="26" w:name="_Toc1019"/>
      <w:bookmarkStart w:id="27" w:name="_Toc58430314"/>
      <w:bookmarkStart w:id="2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6"/>
      <w:bookmarkEnd w:id="27"/>
      <w:bookmarkEnd w:id="28"/>
    </w:p>
    <w:tbl>
      <w:tblPr>
        <w:tblStyle w:val="35"/>
        <w:tblW w:w="1021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7025"/>
      </w:tblGrid>
      <w:tr w14:paraId="39AA7F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1048" w:type="dxa"/>
            <w:noWrap w:val="0"/>
            <w:vAlign w:val="center"/>
          </w:tcPr>
          <w:p w14:paraId="055B5E0F">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40" w:type="dxa"/>
            <w:gridSpan w:val="2"/>
            <w:noWrap w:val="0"/>
            <w:vAlign w:val="center"/>
          </w:tcPr>
          <w:p w14:paraId="044C8C51">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025" w:type="dxa"/>
            <w:noWrap w:val="0"/>
            <w:vAlign w:val="center"/>
          </w:tcPr>
          <w:p w14:paraId="77404232">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0331E6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jc w:val="center"/>
        </w:trPr>
        <w:tc>
          <w:tcPr>
            <w:tcW w:w="1048" w:type="dxa"/>
            <w:noWrap w:val="0"/>
            <w:vAlign w:val="center"/>
          </w:tcPr>
          <w:p w14:paraId="58AAB213">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3F8980E3">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025" w:type="dxa"/>
            <w:noWrap w:val="0"/>
            <w:vAlign w:val="center"/>
          </w:tcPr>
          <w:p w14:paraId="7AE3702A">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rPr>
            </w:pPr>
            <w:r>
              <w:rPr>
                <w:rFonts w:hint="eastAsia" w:hAnsi="宋体" w:cs="宋体"/>
                <w:color w:val="auto"/>
                <w:szCs w:val="21"/>
                <w:highlight w:val="none"/>
                <w:lang w:eastAsia="zh-CN"/>
              </w:rPr>
              <w:t>中新苏滁高新区2026-2028年度公园、景观带保安保洁服务项目</w:t>
            </w:r>
          </w:p>
        </w:tc>
      </w:tr>
      <w:tr w14:paraId="252FD0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jc w:val="center"/>
        </w:trPr>
        <w:tc>
          <w:tcPr>
            <w:tcW w:w="1048" w:type="dxa"/>
            <w:noWrap w:val="0"/>
            <w:vAlign w:val="center"/>
          </w:tcPr>
          <w:p w14:paraId="3FBFC986">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124F41DD">
            <w:pPr>
              <w:pStyle w:val="19"/>
              <w:keepNext w:val="0"/>
              <w:keepLines w:val="0"/>
              <w:pageBreakBefore w:val="0"/>
              <w:kinsoku/>
              <w:wordWrap w:val="0"/>
              <w:overflowPunct/>
              <w:topLinePunct w:val="0"/>
              <w:autoSpaceDE/>
              <w:autoSpaceDN/>
              <w:bidi w:val="0"/>
              <w:adjustRightInd/>
              <w:spacing w:line="440" w:lineRule="exact"/>
              <w:textAlignment w:val="auto"/>
              <w:rPr>
                <w:rFonts w:hint="eastAsia" w:hAnsi="宋体" w:cs="宋体"/>
                <w:color w:val="auto"/>
                <w:szCs w:val="21"/>
                <w:highlight w:val="none"/>
                <w:lang w:eastAsia="zh-CN"/>
              </w:rPr>
            </w:pPr>
            <w:r>
              <w:rPr>
                <w:rFonts w:hint="eastAsia" w:hAnsi="宋体" w:cs="宋体"/>
                <w:color w:val="auto"/>
                <w:szCs w:val="21"/>
                <w:highlight w:val="none"/>
                <w:lang w:eastAsia="zh-CN"/>
              </w:rPr>
              <w:t>项目编号</w:t>
            </w:r>
          </w:p>
        </w:tc>
        <w:tc>
          <w:tcPr>
            <w:tcW w:w="7025" w:type="dxa"/>
            <w:noWrap w:val="0"/>
            <w:vAlign w:val="center"/>
          </w:tcPr>
          <w:p w14:paraId="6AB1B6D2">
            <w:pPr>
              <w:pStyle w:val="19"/>
              <w:keepNext w:val="0"/>
              <w:keepLines w:val="0"/>
              <w:pageBreakBefore w:val="0"/>
              <w:kinsoku/>
              <w:wordWrap w:val="0"/>
              <w:overflowPunct/>
              <w:topLinePunct w:val="0"/>
              <w:autoSpaceDE/>
              <w:autoSpaceDN/>
              <w:bidi w:val="0"/>
              <w:adjustRightInd/>
              <w:spacing w:line="440" w:lineRule="exact"/>
              <w:textAlignment w:val="auto"/>
              <w:rPr>
                <w:rFonts w:hint="default" w:hAnsi="宋体" w:cs="宋体"/>
                <w:color w:val="auto"/>
                <w:szCs w:val="21"/>
                <w:highlight w:val="none"/>
                <w:lang w:val="en-US" w:eastAsia="zh-CN"/>
              </w:rPr>
            </w:pPr>
            <w:r>
              <w:rPr>
                <w:rFonts w:hint="default" w:hAnsi="宋体" w:cs="宋体"/>
                <w:color w:val="auto"/>
                <w:szCs w:val="21"/>
                <w:highlight w:val="none"/>
                <w:lang w:val="en-US" w:eastAsia="zh-CN"/>
              </w:rPr>
              <w:t>czsjqt202601-007</w:t>
            </w:r>
          </w:p>
        </w:tc>
      </w:tr>
      <w:tr w14:paraId="3EBD18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48" w:type="dxa"/>
            <w:noWrap w:val="0"/>
            <w:vAlign w:val="center"/>
          </w:tcPr>
          <w:p w14:paraId="545F3843">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3C162275">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p>
        </w:tc>
        <w:tc>
          <w:tcPr>
            <w:tcW w:w="7025" w:type="dxa"/>
            <w:noWrap w:val="0"/>
            <w:vAlign w:val="center"/>
          </w:tcPr>
          <w:p w14:paraId="29029C20">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sz w:val="21"/>
                <w:szCs w:val="21"/>
                <w:highlight w:val="none"/>
              </w:rPr>
              <w:t>具体进场日期按招标人书面通知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所有标段</w:t>
            </w:r>
            <w:r>
              <w:rPr>
                <w:rFonts w:hint="eastAsia" w:ascii="宋体" w:hAnsi="宋体" w:cs="宋体"/>
                <w:color w:val="auto"/>
                <w:sz w:val="21"/>
                <w:szCs w:val="21"/>
                <w:highlight w:val="none"/>
                <w:lang w:eastAsia="zh-CN"/>
              </w:rPr>
              <w:t>服务期</w:t>
            </w:r>
            <w:r>
              <w:rPr>
                <w:rFonts w:hint="eastAsia" w:ascii="宋体" w:hAnsi="宋体" w:cs="宋体"/>
                <w:color w:val="auto"/>
                <w:sz w:val="21"/>
                <w:szCs w:val="21"/>
                <w:highlight w:val="none"/>
                <w:lang w:val="en-US" w:eastAsia="zh-CN"/>
              </w:rPr>
              <w:t>均</w:t>
            </w:r>
            <w:r>
              <w:rPr>
                <w:rFonts w:hint="eastAsia" w:ascii="宋体" w:hAnsi="宋体" w:cs="宋体"/>
                <w:color w:val="auto"/>
                <w:sz w:val="21"/>
                <w:szCs w:val="21"/>
                <w:highlight w:val="none"/>
                <w:lang w:eastAsia="zh-CN"/>
              </w:rPr>
              <w:t>至2028年2月</w:t>
            </w:r>
            <w:r>
              <w:rPr>
                <w:rFonts w:hint="eastAsia" w:ascii="宋体" w:hAnsi="宋体" w:cs="宋体"/>
                <w:color w:val="auto"/>
                <w:sz w:val="21"/>
                <w:szCs w:val="21"/>
                <w:highlight w:val="none"/>
                <w:lang w:val="en-US" w:eastAsia="zh-CN"/>
              </w:rPr>
              <w:t>29</w:t>
            </w:r>
            <w:r>
              <w:rPr>
                <w:rFonts w:hint="eastAsia" w:ascii="宋体" w:hAnsi="宋体" w:cs="宋体"/>
                <w:color w:val="auto"/>
                <w:sz w:val="21"/>
                <w:szCs w:val="21"/>
                <w:highlight w:val="none"/>
                <w:lang w:eastAsia="zh-CN"/>
              </w:rPr>
              <w:t>日止</w:t>
            </w:r>
            <w:r>
              <w:rPr>
                <w:rFonts w:hint="eastAsia" w:ascii="宋体" w:hAnsi="宋体" w:eastAsia="宋体" w:cs="宋体"/>
                <w:color w:val="auto"/>
                <w:sz w:val="21"/>
                <w:szCs w:val="21"/>
                <w:highlight w:val="none"/>
              </w:rPr>
              <w:t>；月度量化考核,连续三次考核不合格（依据招标文件考核评分标准进行考核打分）则终止合同，中标人在合同终止后半月内撤场（当月服务费用减半，剩余费用作为罚款不再支付），招标人另行招标</w:t>
            </w:r>
            <w:r>
              <w:rPr>
                <w:rFonts w:hint="eastAsia" w:ascii="宋体" w:hAnsi="宋体" w:eastAsia="宋体" w:cs="宋体"/>
                <w:color w:val="auto"/>
                <w:sz w:val="21"/>
                <w:szCs w:val="21"/>
                <w:highlight w:val="none"/>
                <w:lang w:eastAsia="zh-CN"/>
              </w:rPr>
              <w:t>。</w:t>
            </w:r>
          </w:p>
        </w:tc>
      </w:tr>
      <w:tr w14:paraId="4D718E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jc w:val="center"/>
        </w:trPr>
        <w:tc>
          <w:tcPr>
            <w:tcW w:w="1048" w:type="dxa"/>
            <w:noWrap w:val="0"/>
            <w:vAlign w:val="center"/>
          </w:tcPr>
          <w:p w14:paraId="65698C94">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57E3254C">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7025" w:type="dxa"/>
            <w:noWrap w:val="0"/>
            <w:vAlign w:val="center"/>
          </w:tcPr>
          <w:p w14:paraId="4112ED39">
            <w:pPr>
              <w:pStyle w:val="19"/>
              <w:keepNext w:val="0"/>
              <w:keepLines w:val="0"/>
              <w:pageBreakBefore w:val="0"/>
              <w:kinsoku/>
              <w:wordWrap w:val="0"/>
              <w:overflowPunct/>
              <w:topLinePunct w:val="0"/>
              <w:autoSpaceDE/>
              <w:autoSpaceDN/>
              <w:bidi w:val="0"/>
              <w:adjustRightInd/>
              <w:spacing w:line="440" w:lineRule="exact"/>
              <w:textAlignment w:val="auto"/>
              <w:rPr>
                <w:rFonts w:hint="default" w:ascii="宋体" w:hAnsi="宋体" w:eastAsia="宋体" w:cs="宋体"/>
                <w:color w:val="auto"/>
                <w:kern w:val="2"/>
                <w:sz w:val="21"/>
                <w:szCs w:val="21"/>
                <w:highlight w:val="none"/>
                <w:u w:val="none" w:color="000000"/>
                <w:lang w:val="en-US" w:eastAsia="zh-CN" w:bidi="ar-SA"/>
              </w:rPr>
            </w:pPr>
            <w:r>
              <w:rPr>
                <w:rFonts w:hint="eastAsia" w:ascii="宋体" w:hAnsi="Times New Roman" w:eastAsia="宋体" w:cs="Times New Roman"/>
                <w:color w:val="auto"/>
                <w:kern w:val="2"/>
                <w:sz w:val="21"/>
                <w:szCs w:val="21"/>
                <w:highlight w:val="none"/>
                <w:lang w:val="en-US" w:eastAsia="zh-CN" w:bidi="ar-SA"/>
              </w:rPr>
              <w:t>招标人指定地点</w:t>
            </w:r>
          </w:p>
        </w:tc>
      </w:tr>
      <w:tr w14:paraId="353BC4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48" w:type="dxa"/>
            <w:noWrap w:val="0"/>
            <w:vAlign w:val="center"/>
          </w:tcPr>
          <w:p w14:paraId="7B76056F">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140" w:type="dxa"/>
            <w:gridSpan w:val="2"/>
            <w:noWrap w:val="0"/>
            <w:vAlign w:val="center"/>
          </w:tcPr>
          <w:p w14:paraId="34497193">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招标人联系人及电话</w:t>
            </w:r>
          </w:p>
        </w:tc>
        <w:tc>
          <w:tcPr>
            <w:tcW w:w="7025" w:type="dxa"/>
            <w:noWrap w:val="0"/>
            <w:vAlign w:val="center"/>
          </w:tcPr>
          <w:p w14:paraId="660CEB90">
            <w:pPr>
              <w:pStyle w:val="19"/>
              <w:keepNext w:val="0"/>
              <w:keepLines w:val="0"/>
              <w:pageBreakBefore w:val="0"/>
              <w:kinsoku/>
              <w:wordWrap w:val="0"/>
              <w:overflowPunct/>
              <w:topLinePunct w:val="0"/>
              <w:autoSpaceDE/>
              <w:autoSpaceDN/>
              <w:bidi w:val="0"/>
              <w:adjustRightInd/>
              <w:spacing w:line="440" w:lineRule="exact"/>
              <w:textAlignment w:val="auto"/>
              <w:rPr>
                <w:rFonts w:hint="default" w:hAnsi="宋体" w:cs="宋体-18030"/>
                <w:color w:val="auto"/>
                <w:szCs w:val="21"/>
                <w:highlight w:val="none"/>
                <w:lang w:val="en-US" w:eastAsia="zh-CN"/>
              </w:rPr>
            </w:pPr>
            <w:r>
              <w:rPr>
                <w:rFonts w:hint="eastAsia" w:hAnsi="宋体" w:cs="宋体-18030"/>
                <w:color w:val="auto"/>
                <w:szCs w:val="21"/>
                <w:highlight w:val="none"/>
                <w:lang w:val="en-US" w:eastAsia="zh-CN"/>
              </w:rPr>
              <w:t>李传旭 0550-2201369</w:t>
            </w:r>
          </w:p>
        </w:tc>
      </w:tr>
      <w:tr w14:paraId="36E2B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1048" w:type="dxa"/>
            <w:noWrap w:val="0"/>
            <w:vAlign w:val="center"/>
          </w:tcPr>
          <w:p w14:paraId="45030870">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140" w:type="dxa"/>
            <w:gridSpan w:val="2"/>
            <w:noWrap w:val="0"/>
            <w:vAlign w:val="center"/>
          </w:tcPr>
          <w:p w14:paraId="7C898304">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采购代理机构联系人及电话</w:t>
            </w:r>
          </w:p>
        </w:tc>
        <w:tc>
          <w:tcPr>
            <w:tcW w:w="7025" w:type="dxa"/>
            <w:noWrap w:val="0"/>
            <w:vAlign w:val="center"/>
          </w:tcPr>
          <w:p w14:paraId="739D79FD">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 xml:space="preserve">关勤勤 </w:t>
            </w:r>
            <w:bookmarkStart w:id="138" w:name="_GoBack"/>
            <w:bookmarkEnd w:id="138"/>
            <w:r>
              <w:rPr>
                <w:rFonts w:hint="eastAsia" w:hAnsi="宋体" w:cs="宋体"/>
                <w:color w:val="auto"/>
                <w:kern w:val="2"/>
                <w:sz w:val="21"/>
                <w:szCs w:val="21"/>
                <w:highlight w:val="none"/>
                <w:u w:val="none" w:color="000000"/>
                <w:lang w:val="en-US" w:eastAsia="zh-CN" w:bidi="ar-SA"/>
              </w:rPr>
              <w:t>0550-3519590</w:t>
            </w:r>
          </w:p>
        </w:tc>
      </w:tr>
      <w:tr w14:paraId="6CC807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1048" w:type="dxa"/>
            <w:noWrap w:val="0"/>
            <w:vAlign w:val="center"/>
          </w:tcPr>
          <w:p w14:paraId="7FE15D6D">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140" w:type="dxa"/>
            <w:gridSpan w:val="2"/>
            <w:noWrap w:val="0"/>
            <w:vAlign w:val="center"/>
          </w:tcPr>
          <w:p w14:paraId="785042AE">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7025" w:type="dxa"/>
            <w:noWrap w:val="0"/>
            <w:vAlign w:val="center"/>
          </w:tcPr>
          <w:p w14:paraId="398BB176">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自筹资金</w:t>
            </w:r>
          </w:p>
        </w:tc>
      </w:tr>
      <w:tr w14:paraId="7164D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jc w:val="center"/>
        </w:trPr>
        <w:tc>
          <w:tcPr>
            <w:tcW w:w="1048" w:type="dxa"/>
            <w:noWrap w:val="0"/>
            <w:vAlign w:val="center"/>
          </w:tcPr>
          <w:p w14:paraId="5FC943D6">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140" w:type="dxa"/>
            <w:gridSpan w:val="2"/>
            <w:noWrap w:val="0"/>
            <w:vAlign w:val="center"/>
          </w:tcPr>
          <w:p w14:paraId="497CB69A">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采购预算</w:t>
            </w:r>
          </w:p>
        </w:tc>
        <w:tc>
          <w:tcPr>
            <w:tcW w:w="7025" w:type="dxa"/>
            <w:noWrap w:val="0"/>
            <w:vAlign w:val="center"/>
          </w:tcPr>
          <w:p w14:paraId="435A9125">
            <w:pPr>
              <w:keepNext w:val="0"/>
              <w:keepLines w:val="0"/>
              <w:pageBreakBefore w:val="0"/>
              <w:kinsoku/>
              <w:wordWrap w:val="0"/>
              <w:overflowPunct/>
              <w:topLinePunct w:val="0"/>
              <w:autoSpaceDE/>
              <w:autoSpaceDN/>
              <w:bidi w:val="0"/>
              <w:adjustRightInd/>
              <w:spacing w:line="44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一标段：404万元，二标段：325万元； 三标段：502万元；</w:t>
            </w:r>
          </w:p>
        </w:tc>
      </w:tr>
      <w:tr w14:paraId="5C56D5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5DCB8659">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140" w:type="dxa"/>
            <w:gridSpan w:val="2"/>
            <w:noWrap w:val="0"/>
            <w:vAlign w:val="center"/>
          </w:tcPr>
          <w:p w14:paraId="07733A79">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p>
        </w:tc>
        <w:tc>
          <w:tcPr>
            <w:tcW w:w="7025" w:type="dxa"/>
            <w:noWrap w:val="0"/>
            <w:vAlign w:val="center"/>
          </w:tcPr>
          <w:p w14:paraId="3F36D462">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一标段：投标总报价最高限价为404万元（含税）；二标段：投标总报价最高限价为325万元（含税）；三标段：投标总报价最高限价为502万元（含税）；</w:t>
            </w:r>
          </w:p>
        </w:tc>
      </w:tr>
      <w:tr w14:paraId="59B41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jc w:val="center"/>
        </w:trPr>
        <w:tc>
          <w:tcPr>
            <w:tcW w:w="1048" w:type="dxa"/>
            <w:noWrap w:val="0"/>
            <w:vAlign w:val="center"/>
          </w:tcPr>
          <w:p w14:paraId="5C384A0C">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140" w:type="dxa"/>
            <w:gridSpan w:val="2"/>
            <w:noWrap w:val="0"/>
            <w:vAlign w:val="center"/>
          </w:tcPr>
          <w:p w14:paraId="19F1D852">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7025" w:type="dxa"/>
            <w:noWrap w:val="0"/>
            <w:vAlign w:val="center"/>
          </w:tcPr>
          <w:p w14:paraId="2B995C4A">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具体详见招标文件第</w:t>
            </w:r>
            <w:r>
              <w:rPr>
                <w:rFonts w:hint="eastAsia" w:hAnsi="宋体" w:cs="宋体"/>
                <w:color w:val="auto"/>
                <w:kern w:val="2"/>
                <w:sz w:val="21"/>
                <w:szCs w:val="21"/>
                <w:highlight w:val="none"/>
                <w:u w:val="none" w:color="000000"/>
                <w:lang w:val="en-US" w:eastAsia="zh-CN" w:bidi="ar-SA"/>
              </w:rPr>
              <w:t>五</w:t>
            </w:r>
            <w:r>
              <w:rPr>
                <w:rFonts w:hint="eastAsia" w:ascii="宋体" w:hAnsi="宋体" w:eastAsia="宋体" w:cs="宋体"/>
                <w:color w:val="auto"/>
                <w:kern w:val="2"/>
                <w:sz w:val="21"/>
                <w:szCs w:val="21"/>
                <w:highlight w:val="none"/>
                <w:u w:val="none" w:color="000000"/>
                <w:lang w:val="en-US" w:eastAsia="zh-CN" w:bidi="ar-SA"/>
              </w:rPr>
              <w:t>章《采购需求》</w:t>
            </w:r>
          </w:p>
        </w:tc>
      </w:tr>
      <w:tr w14:paraId="2F4E38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30AA7329">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40" w:type="dxa"/>
            <w:gridSpan w:val="2"/>
            <w:noWrap w:val="0"/>
            <w:vAlign w:val="center"/>
          </w:tcPr>
          <w:p w14:paraId="4C24B410">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r>
              <w:rPr>
                <w:rFonts w:hint="eastAsia" w:hAnsi="宋体" w:cs="宋体"/>
                <w:color w:val="auto"/>
                <w:szCs w:val="21"/>
                <w:highlight w:val="none"/>
                <w:lang w:val="en-US" w:eastAsia="zh-CN"/>
              </w:rPr>
              <w:t>段</w:t>
            </w:r>
            <w:r>
              <w:rPr>
                <w:rFonts w:hint="eastAsia" w:ascii="宋体" w:hAnsi="宋体" w:eastAsia="宋体" w:cs="宋体"/>
                <w:color w:val="auto"/>
                <w:szCs w:val="21"/>
                <w:highlight w:val="none"/>
              </w:rPr>
              <w:t>划分</w:t>
            </w:r>
          </w:p>
        </w:tc>
        <w:tc>
          <w:tcPr>
            <w:tcW w:w="7025" w:type="dxa"/>
            <w:noWrap w:val="0"/>
            <w:vAlign w:val="center"/>
          </w:tcPr>
          <w:p w14:paraId="7E022AAC">
            <w:pPr>
              <w:pStyle w:val="19"/>
              <w:keepNext w:val="0"/>
              <w:keepLines w:val="0"/>
              <w:pageBreakBefore w:val="0"/>
              <w:kinsoku/>
              <w:wordWrap w:val="0"/>
              <w:overflowPunct/>
              <w:topLinePunct w:val="0"/>
              <w:autoSpaceDE/>
              <w:autoSpaceDN/>
              <w:bidi w:val="0"/>
              <w:adjustRightInd/>
              <w:spacing w:line="440" w:lineRule="exact"/>
              <w:textAlignment w:val="auto"/>
              <w:rPr>
                <w:rFonts w:hint="default"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val="none" w:color="000000"/>
                <w:lang w:val="en-US" w:eastAsia="zh-CN" w:bidi="ar-SA"/>
              </w:rPr>
              <w:t>本项目划分为</w:t>
            </w:r>
            <w:r>
              <w:rPr>
                <w:rFonts w:hint="eastAsia" w:hAnsi="宋体" w:cs="宋体"/>
                <w:color w:val="auto"/>
                <w:kern w:val="2"/>
                <w:sz w:val="21"/>
                <w:szCs w:val="21"/>
                <w:highlight w:val="none"/>
                <w:u w:val="none" w:color="000000"/>
                <w:lang w:val="en-US" w:eastAsia="zh-CN" w:bidi="ar-SA"/>
              </w:rPr>
              <w:t>3</w:t>
            </w:r>
            <w:r>
              <w:rPr>
                <w:rFonts w:hint="eastAsia" w:ascii="宋体" w:hAnsi="宋体" w:eastAsia="宋体" w:cs="宋体"/>
                <w:color w:val="auto"/>
                <w:kern w:val="2"/>
                <w:sz w:val="21"/>
                <w:szCs w:val="21"/>
                <w:highlight w:val="none"/>
                <w:u w:val="none" w:color="000000"/>
                <w:lang w:val="en-US" w:eastAsia="zh-CN" w:bidi="ar-SA"/>
              </w:rPr>
              <w:t>个标</w:t>
            </w:r>
            <w:r>
              <w:rPr>
                <w:rFonts w:hint="eastAsia" w:hAnsi="宋体" w:cs="宋体"/>
                <w:color w:val="auto"/>
                <w:kern w:val="2"/>
                <w:sz w:val="21"/>
                <w:szCs w:val="21"/>
                <w:highlight w:val="none"/>
                <w:u w:val="none" w:color="000000"/>
                <w:lang w:val="en-US" w:eastAsia="zh-CN" w:bidi="ar-SA"/>
              </w:rPr>
              <w:t>段</w:t>
            </w:r>
            <w:r>
              <w:rPr>
                <w:rFonts w:hint="eastAsia" w:ascii="宋体" w:hAnsi="宋体" w:eastAsia="宋体" w:cs="宋体"/>
                <w:color w:val="auto"/>
                <w:kern w:val="2"/>
                <w:sz w:val="21"/>
                <w:szCs w:val="21"/>
                <w:highlight w:val="none"/>
                <w:u w:val="none" w:color="000000"/>
                <w:lang w:val="en-US" w:eastAsia="zh-CN" w:bidi="ar-SA"/>
              </w:rPr>
              <w:t>。</w:t>
            </w:r>
            <w:r>
              <w:rPr>
                <w:rFonts w:hint="eastAsia" w:hAnsi="宋体" w:eastAsia="宋体" w:cs="宋体"/>
                <w:color w:val="auto"/>
                <w:sz w:val="21"/>
                <w:szCs w:val="21"/>
                <w:highlight w:val="none"/>
                <w:lang w:val="en-US" w:eastAsia="zh-CN"/>
              </w:rPr>
              <w:t>其中一标段为</w:t>
            </w:r>
            <w:r>
              <w:rPr>
                <w:rFonts w:hint="eastAsia" w:hAnsi="宋体" w:eastAsia="宋体" w:cs="宋体"/>
                <w:color w:val="auto"/>
                <w:szCs w:val="21"/>
                <w:highlight w:val="none"/>
                <w:lang w:eastAsia="zh-CN"/>
              </w:rPr>
              <w:t>：</w:t>
            </w:r>
            <w:r>
              <w:rPr>
                <w:rFonts w:hint="eastAsia" w:hAnsi="宋体" w:cs="宋体"/>
                <w:color w:val="auto"/>
                <w:szCs w:val="21"/>
                <w:highlight w:val="none"/>
                <w:lang w:val="en-US" w:eastAsia="zh-CN"/>
              </w:rPr>
              <w:t>体育</w:t>
            </w:r>
            <w:r>
              <w:rPr>
                <w:rFonts w:hint="eastAsia" w:hAnsi="宋体" w:eastAsia="宋体" w:cs="宋体"/>
                <w:color w:val="auto"/>
                <w:szCs w:val="21"/>
                <w:highlight w:val="none"/>
                <w:lang w:val="en-US" w:eastAsia="zh-CN"/>
              </w:rPr>
              <w:t>公园、丰收渠沿岸东侧景观带、清流河沿岸北侧景观带、徽州路滨水景观带</w:t>
            </w:r>
            <w:r>
              <w:rPr>
                <w:rFonts w:hint="eastAsia" w:hAnsi="宋体" w:eastAsia="宋体" w:cs="宋体"/>
                <w:color w:val="auto"/>
                <w:sz w:val="21"/>
                <w:szCs w:val="21"/>
                <w:highlight w:val="none"/>
                <w:lang w:val="en-US" w:eastAsia="zh-CN"/>
              </w:rPr>
              <w:t>，总占地面积达46.1万平方米；二标段为</w:t>
            </w:r>
            <w:r>
              <w:rPr>
                <w:rFonts w:hint="eastAsia" w:hAnsi="宋体" w:eastAsia="宋体" w:cs="宋体"/>
                <w:color w:val="auto"/>
                <w:szCs w:val="21"/>
                <w:highlight w:val="none"/>
                <w:lang w:eastAsia="zh-CN"/>
              </w:rPr>
              <w:t>：</w:t>
            </w:r>
            <w:r>
              <w:rPr>
                <w:rFonts w:hint="eastAsia" w:hAnsi="宋体" w:eastAsia="宋体" w:cs="宋体"/>
                <w:color w:val="auto"/>
                <w:szCs w:val="21"/>
                <w:highlight w:val="none"/>
                <w:lang w:val="en-US" w:eastAsia="zh-CN"/>
              </w:rPr>
              <w:t>鱼尾狮公园、时代公园（含3号停车场），总占地面积达32.7万平方米</w:t>
            </w:r>
            <w:r>
              <w:rPr>
                <w:rFonts w:hint="eastAsia"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三标段为：苏州公园（滁州市良塘湖景区）、大王公园、锦州路停车场，总占地面积达41.1万平方米。</w:t>
            </w:r>
          </w:p>
          <w:p w14:paraId="6F518146">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hAnsi="宋体" w:eastAsia="宋体" w:cs="宋体"/>
                <w:b/>
                <w:bCs/>
                <w:color w:val="auto"/>
                <w:sz w:val="21"/>
                <w:szCs w:val="21"/>
                <w:highlight w:val="none"/>
                <w:lang w:val="en-US" w:eastAsia="zh-CN"/>
              </w:rPr>
              <w:t>投标人可同时参与</w:t>
            </w:r>
            <w:r>
              <w:rPr>
                <w:rFonts w:hint="eastAsia" w:hAnsi="宋体" w:cs="宋体"/>
                <w:b/>
                <w:bCs/>
                <w:color w:val="auto"/>
                <w:sz w:val="21"/>
                <w:szCs w:val="21"/>
                <w:highlight w:val="none"/>
                <w:lang w:val="en-US" w:eastAsia="zh-CN"/>
              </w:rPr>
              <w:t>3</w:t>
            </w:r>
            <w:r>
              <w:rPr>
                <w:rFonts w:hint="eastAsia" w:hAnsi="宋体" w:eastAsia="宋体" w:cs="宋体"/>
                <w:b/>
                <w:bCs/>
                <w:color w:val="auto"/>
                <w:sz w:val="21"/>
                <w:szCs w:val="21"/>
                <w:highlight w:val="none"/>
                <w:lang w:val="en-US" w:eastAsia="zh-CN"/>
              </w:rPr>
              <w:t>个标段的投标，但只能按开标顺序成为一个标段的第一中标候选人。</w:t>
            </w:r>
            <w:r>
              <w:rPr>
                <w:rFonts w:hint="eastAsia" w:hAnsi="宋体" w:cs="宋体"/>
                <w:b/>
                <w:bCs/>
                <w:color w:val="auto"/>
                <w:sz w:val="21"/>
                <w:szCs w:val="21"/>
                <w:highlight w:val="none"/>
                <w:lang w:val="en-US" w:eastAsia="zh-CN"/>
              </w:rPr>
              <w:t>如</w:t>
            </w:r>
            <w:r>
              <w:rPr>
                <w:rFonts w:hint="eastAsia" w:hAnsi="宋体" w:eastAsia="宋体" w:cs="宋体"/>
                <w:b/>
                <w:bCs/>
                <w:color w:val="auto"/>
                <w:sz w:val="21"/>
                <w:szCs w:val="21"/>
                <w:highlight w:val="none"/>
                <w:lang w:val="en-US" w:eastAsia="zh-CN"/>
              </w:rPr>
              <w:t>一标段的第一中标候选人可以继续参与二标段的开评标，但不能成为二标段的第一中标候选人。</w:t>
            </w:r>
          </w:p>
        </w:tc>
      </w:tr>
      <w:tr w14:paraId="21B54B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048" w:type="dxa"/>
            <w:noWrap w:val="0"/>
            <w:vAlign w:val="center"/>
          </w:tcPr>
          <w:p w14:paraId="41C07448">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2140" w:type="dxa"/>
            <w:gridSpan w:val="2"/>
            <w:noWrap w:val="0"/>
            <w:vAlign w:val="center"/>
          </w:tcPr>
          <w:p w14:paraId="5AF290DB">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025" w:type="dxa"/>
            <w:noWrap w:val="0"/>
            <w:vAlign w:val="center"/>
          </w:tcPr>
          <w:p w14:paraId="21ACDCBF">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公开招标</w:t>
            </w:r>
          </w:p>
        </w:tc>
      </w:tr>
      <w:tr w14:paraId="710414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1048" w:type="dxa"/>
            <w:noWrap w:val="0"/>
            <w:vAlign w:val="center"/>
          </w:tcPr>
          <w:p w14:paraId="3A423DBD">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140" w:type="dxa"/>
            <w:gridSpan w:val="2"/>
            <w:noWrap w:val="0"/>
            <w:vAlign w:val="center"/>
          </w:tcPr>
          <w:p w14:paraId="017CCF4F">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投标人资格条件及其他要求</w:t>
            </w:r>
          </w:p>
        </w:tc>
        <w:tc>
          <w:tcPr>
            <w:tcW w:w="7025" w:type="dxa"/>
            <w:noWrap w:val="0"/>
            <w:vAlign w:val="center"/>
          </w:tcPr>
          <w:p w14:paraId="3517199A">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详见第一章“招标公告”</w:t>
            </w:r>
          </w:p>
        </w:tc>
      </w:tr>
      <w:tr w14:paraId="14CC67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4CC03E38">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p>
        </w:tc>
        <w:tc>
          <w:tcPr>
            <w:tcW w:w="2140" w:type="dxa"/>
            <w:gridSpan w:val="2"/>
            <w:noWrap w:val="0"/>
            <w:vAlign w:val="center"/>
          </w:tcPr>
          <w:p w14:paraId="427C5534">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7025" w:type="dxa"/>
            <w:noWrap w:val="0"/>
            <w:vAlign w:val="center"/>
          </w:tcPr>
          <w:p w14:paraId="5919B2C7">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不组织,投标人自行踏勘。</w:t>
            </w:r>
          </w:p>
        </w:tc>
      </w:tr>
      <w:tr w14:paraId="4AE7BD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1B5E7B5A">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2140" w:type="dxa"/>
            <w:gridSpan w:val="2"/>
            <w:noWrap w:val="0"/>
            <w:vAlign w:val="center"/>
          </w:tcPr>
          <w:p w14:paraId="2410C623">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7025" w:type="dxa"/>
            <w:noWrap w:val="0"/>
            <w:vAlign w:val="center"/>
          </w:tcPr>
          <w:p w14:paraId="7383FF14">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14:paraId="5916F9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6504DCEB">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2140" w:type="dxa"/>
            <w:gridSpan w:val="2"/>
            <w:noWrap w:val="0"/>
            <w:vAlign w:val="center"/>
          </w:tcPr>
          <w:p w14:paraId="4F8795CC">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投标人提出</w:t>
            </w:r>
            <w:r>
              <w:rPr>
                <w:rFonts w:hint="eastAsia" w:ascii="宋体" w:hAnsi="宋体" w:eastAsia="宋体" w:cs="宋体"/>
                <w:color w:val="auto"/>
                <w:szCs w:val="21"/>
                <w:highlight w:val="none"/>
                <w:u w:val="none" w:color="auto"/>
              </w:rPr>
              <w:t>疑问</w:t>
            </w:r>
            <w:r>
              <w:rPr>
                <w:rFonts w:hint="eastAsia" w:ascii="宋体" w:hAnsi="宋体" w:eastAsia="宋体" w:cs="宋体"/>
                <w:color w:val="auto"/>
                <w:szCs w:val="21"/>
                <w:highlight w:val="none"/>
              </w:rPr>
              <w:t>的截止时间及方式</w:t>
            </w:r>
          </w:p>
        </w:tc>
        <w:tc>
          <w:tcPr>
            <w:tcW w:w="7025" w:type="dxa"/>
            <w:noWrap w:val="0"/>
            <w:vAlign w:val="center"/>
          </w:tcPr>
          <w:p w14:paraId="4E5FDCD3">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color="auto"/>
              </w:rPr>
              <w:t>如投标人对招标文件有疑问，请于</w:t>
            </w:r>
            <w:r>
              <w:rPr>
                <w:rFonts w:hint="eastAsia" w:ascii="宋体" w:hAnsi="宋体" w:eastAsia="宋体" w:cs="宋体"/>
                <w:b/>
                <w:bCs/>
                <w:color w:val="auto"/>
                <w:szCs w:val="21"/>
                <w:highlight w:val="none"/>
                <w:u w:val="none" w:color="auto"/>
              </w:rPr>
              <w:t>202</w:t>
            </w:r>
            <w:r>
              <w:rPr>
                <w:rFonts w:hint="eastAsia" w:hAnsi="宋体" w:cs="宋体"/>
                <w:b/>
                <w:bCs/>
                <w:color w:val="auto"/>
                <w:szCs w:val="21"/>
                <w:highlight w:val="none"/>
                <w:u w:val="none" w:color="auto"/>
                <w:lang w:val="en-US" w:eastAsia="zh-CN"/>
              </w:rPr>
              <w:t>6</w:t>
            </w:r>
            <w:r>
              <w:rPr>
                <w:rFonts w:hint="eastAsia" w:ascii="宋体" w:hAnsi="宋体" w:eastAsia="宋体" w:cs="宋体"/>
                <w:b/>
                <w:bCs/>
                <w:color w:val="auto"/>
                <w:szCs w:val="21"/>
                <w:highlight w:val="none"/>
                <w:u w:val="none" w:color="auto"/>
              </w:rPr>
              <w:t>年</w:t>
            </w:r>
            <w:r>
              <w:rPr>
                <w:rFonts w:hint="eastAsia" w:hAnsi="宋体" w:cs="宋体"/>
                <w:b/>
                <w:bCs/>
                <w:color w:val="auto"/>
                <w:szCs w:val="21"/>
                <w:highlight w:val="none"/>
                <w:u w:val="none" w:color="auto"/>
                <w:lang w:val="en-US" w:eastAsia="zh-CN"/>
              </w:rPr>
              <w:t>01</w:t>
            </w:r>
            <w:r>
              <w:rPr>
                <w:rFonts w:hint="eastAsia" w:ascii="宋体" w:hAnsi="宋体" w:eastAsia="宋体" w:cs="宋体"/>
                <w:b/>
                <w:bCs/>
                <w:color w:val="auto"/>
                <w:szCs w:val="21"/>
                <w:highlight w:val="none"/>
                <w:u w:val="none" w:color="auto"/>
              </w:rPr>
              <w:t>月</w:t>
            </w:r>
            <w:r>
              <w:rPr>
                <w:rFonts w:hint="eastAsia" w:hAnsi="宋体" w:cs="宋体"/>
                <w:b/>
                <w:bCs/>
                <w:color w:val="auto"/>
                <w:szCs w:val="21"/>
                <w:highlight w:val="none"/>
                <w:u w:val="none" w:color="auto"/>
                <w:lang w:val="en-US" w:eastAsia="zh-CN"/>
              </w:rPr>
              <w:t>27</w:t>
            </w:r>
            <w:r>
              <w:rPr>
                <w:rFonts w:hint="eastAsia" w:ascii="宋体" w:hAnsi="宋体" w:eastAsia="宋体" w:cs="宋体"/>
                <w:b/>
                <w:bCs/>
                <w:color w:val="auto"/>
                <w:szCs w:val="21"/>
                <w:highlight w:val="none"/>
                <w:u w:val="none" w:color="auto"/>
              </w:rPr>
              <w:t>日</w:t>
            </w:r>
            <w:r>
              <w:rPr>
                <w:rFonts w:hint="eastAsia" w:hAnsi="宋体" w:cs="宋体"/>
                <w:b/>
                <w:bCs/>
                <w:color w:val="auto"/>
                <w:szCs w:val="21"/>
                <w:highlight w:val="none"/>
                <w:u w:val="none" w:color="auto"/>
                <w:lang w:val="en-US" w:eastAsia="zh-CN"/>
              </w:rPr>
              <w:t>8</w:t>
            </w:r>
            <w:r>
              <w:rPr>
                <w:rFonts w:hint="eastAsia" w:ascii="宋体" w:hAnsi="宋体" w:eastAsia="宋体" w:cs="宋体"/>
                <w:b/>
                <w:bCs/>
                <w:color w:val="auto"/>
                <w:szCs w:val="21"/>
                <w:highlight w:val="none"/>
                <w:u w:val="none" w:color="auto"/>
              </w:rPr>
              <w:t>时</w:t>
            </w:r>
            <w:r>
              <w:rPr>
                <w:rFonts w:hint="eastAsia" w:hAnsi="宋体" w:cs="宋体"/>
                <w:b/>
                <w:bCs/>
                <w:color w:val="auto"/>
                <w:szCs w:val="21"/>
                <w:highlight w:val="none"/>
                <w:u w:val="none" w:color="auto"/>
                <w:lang w:val="en-US" w:eastAsia="zh-CN"/>
              </w:rPr>
              <w:t>30分</w:t>
            </w:r>
            <w:r>
              <w:rPr>
                <w:rFonts w:hint="eastAsia" w:ascii="宋体" w:hAnsi="宋体" w:eastAsia="宋体" w:cs="宋体"/>
                <w:color w:val="auto"/>
                <w:szCs w:val="21"/>
                <w:highlight w:val="none"/>
                <w:u w:val="none" w:color="auto"/>
              </w:rPr>
              <w:t>（投标截止10日）前</w:t>
            </w:r>
            <w:bookmarkStart w:id="29" w:name="_Hlk61815279"/>
            <w:r>
              <w:rPr>
                <w:rFonts w:hint="eastAsia" w:ascii="宋体" w:hAnsi="宋体" w:eastAsia="宋体" w:cs="宋体"/>
                <w:color w:val="auto"/>
                <w:szCs w:val="21"/>
                <w:highlight w:val="none"/>
                <w:u w:val="none" w:color="auto"/>
              </w:rPr>
              <w:t xml:space="preserve">在滁州市公共资源交易中心网电子交易系统中进行异议（质疑），具体操作步骤和程序请参见服务指南&gt;交易须知&gt;在线异议、质疑和投诉操作手册。 </w:t>
            </w:r>
            <w:bookmarkEnd w:id="29"/>
          </w:p>
        </w:tc>
      </w:tr>
      <w:tr w14:paraId="62D53E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66DF5308">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2140" w:type="dxa"/>
            <w:gridSpan w:val="2"/>
            <w:noWrap w:val="0"/>
            <w:vAlign w:val="center"/>
          </w:tcPr>
          <w:p w14:paraId="5051C68B">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招标人澄清的时间及方式</w:t>
            </w:r>
          </w:p>
        </w:tc>
        <w:tc>
          <w:tcPr>
            <w:tcW w:w="7025" w:type="dxa"/>
            <w:noWrap w:val="0"/>
            <w:vAlign w:val="center"/>
          </w:tcPr>
          <w:p w14:paraId="37A490CC">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none" w:color="000000"/>
              </w:rPr>
              <w:t>202</w:t>
            </w:r>
            <w:r>
              <w:rPr>
                <w:rFonts w:hint="eastAsia" w:ascii="宋体" w:hAnsi="宋体" w:cs="宋体"/>
                <w:b/>
                <w:bCs/>
                <w:color w:val="auto"/>
                <w:szCs w:val="21"/>
                <w:highlight w:val="none"/>
                <w:u w:val="none" w:color="000000"/>
                <w:lang w:val="en-US" w:eastAsia="zh-CN"/>
              </w:rPr>
              <w:t>6</w:t>
            </w:r>
            <w:r>
              <w:rPr>
                <w:rFonts w:hint="eastAsia" w:ascii="宋体" w:hAnsi="宋体" w:eastAsia="宋体" w:cs="宋体"/>
                <w:b/>
                <w:bCs/>
                <w:color w:val="auto"/>
                <w:szCs w:val="21"/>
                <w:highlight w:val="none"/>
                <w:u w:val="none" w:color="000000"/>
              </w:rPr>
              <w:t>年</w:t>
            </w:r>
            <w:r>
              <w:rPr>
                <w:rFonts w:hint="eastAsia" w:ascii="宋体" w:hAnsi="宋体" w:cs="宋体"/>
                <w:b/>
                <w:bCs/>
                <w:color w:val="auto"/>
                <w:szCs w:val="21"/>
                <w:highlight w:val="none"/>
                <w:u w:val="none" w:color="000000"/>
                <w:lang w:val="en-US" w:eastAsia="zh-CN"/>
              </w:rPr>
              <w:t>1</w:t>
            </w:r>
            <w:r>
              <w:rPr>
                <w:rFonts w:hint="eastAsia" w:ascii="宋体" w:hAnsi="宋体" w:eastAsia="宋体" w:cs="宋体"/>
                <w:b/>
                <w:bCs/>
                <w:color w:val="auto"/>
                <w:szCs w:val="21"/>
                <w:highlight w:val="none"/>
                <w:u w:val="none" w:color="000000"/>
              </w:rPr>
              <w:t>月</w:t>
            </w:r>
            <w:r>
              <w:rPr>
                <w:rFonts w:hint="eastAsia" w:ascii="宋体" w:hAnsi="宋体" w:cs="宋体"/>
                <w:b/>
                <w:bCs/>
                <w:color w:val="auto"/>
                <w:szCs w:val="21"/>
                <w:highlight w:val="none"/>
                <w:u w:val="none" w:color="000000"/>
                <w:lang w:val="en-US" w:eastAsia="zh-CN"/>
              </w:rPr>
              <w:t>29</w:t>
            </w:r>
            <w:r>
              <w:rPr>
                <w:rFonts w:hint="eastAsia" w:ascii="宋体" w:hAnsi="宋体" w:eastAsia="宋体" w:cs="宋体"/>
                <w:b/>
                <w:bCs/>
                <w:color w:val="auto"/>
                <w:szCs w:val="21"/>
                <w:highlight w:val="none"/>
                <w:u w:val="none" w:color="000000"/>
              </w:rPr>
              <w:t>日17时</w:t>
            </w:r>
            <w:r>
              <w:rPr>
                <w:rFonts w:hint="eastAsia" w:ascii="宋体" w:hAnsi="宋体" w:eastAsia="宋体" w:cs="宋体"/>
                <w:b/>
                <w:bCs/>
                <w:color w:val="auto"/>
                <w:szCs w:val="21"/>
                <w:highlight w:val="none"/>
              </w:rPr>
              <w:t>前</w:t>
            </w:r>
            <w:r>
              <w:rPr>
                <w:rFonts w:hint="eastAsia" w:ascii="宋体" w:hAnsi="宋体" w:eastAsia="宋体" w:cs="宋体"/>
                <w:color w:val="auto"/>
                <w:kern w:val="2"/>
                <w:sz w:val="21"/>
                <w:szCs w:val="21"/>
                <w:highlight w:val="none"/>
                <w:u w:val="none" w:color="auto"/>
                <w:lang w:val="en-US" w:eastAsia="zh-CN" w:bidi="ar-SA"/>
              </w:rPr>
              <w:t>在滁州市公共资源交易中心网站 “答疑澄清文件”栏目予以公告。</w:t>
            </w:r>
          </w:p>
        </w:tc>
      </w:tr>
      <w:tr w14:paraId="1C514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jc w:val="center"/>
        </w:trPr>
        <w:tc>
          <w:tcPr>
            <w:tcW w:w="1048" w:type="dxa"/>
            <w:noWrap w:val="0"/>
            <w:vAlign w:val="center"/>
          </w:tcPr>
          <w:p w14:paraId="4BF9D386">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140" w:type="dxa"/>
            <w:gridSpan w:val="2"/>
            <w:noWrap w:val="0"/>
            <w:vAlign w:val="center"/>
          </w:tcPr>
          <w:p w14:paraId="019D8C8E">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w:t>
            </w:r>
          </w:p>
        </w:tc>
        <w:tc>
          <w:tcPr>
            <w:tcW w:w="7025" w:type="dxa"/>
            <w:noWrap w:val="0"/>
            <w:vAlign w:val="center"/>
          </w:tcPr>
          <w:p w14:paraId="43999CAE">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w:t>
            </w:r>
            <w:r>
              <w:rPr>
                <w:rFonts w:hint="eastAsia" w:ascii="宋体" w:hAnsi="宋体" w:eastAsia="宋体" w:cs="宋体"/>
                <w:color w:val="auto"/>
                <w:szCs w:val="21"/>
                <w:highlight w:val="none"/>
                <w:u w:val="none" w:color="auto"/>
              </w:rPr>
              <w:t>不接受</w:t>
            </w:r>
            <w:r>
              <w:rPr>
                <w:rFonts w:hint="eastAsia" w:ascii="宋体" w:hAnsi="宋体" w:eastAsia="宋体" w:cs="宋体"/>
                <w:color w:val="auto"/>
                <w:szCs w:val="21"/>
                <w:highlight w:val="none"/>
              </w:rPr>
              <w:t>联合体投标</w:t>
            </w:r>
          </w:p>
        </w:tc>
      </w:tr>
      <w:tr w14:paraId="55C831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667DC5D8">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140" w:type="dxa"/>
            <w:gridSpan w:val="2"/>
            <w:noWrap w:val="0"/>
            <w:vAlign w:val="center"/>
          </w:tcPr>
          <w:p w14:paraId="14B666AD">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招标代理费</w:t>
            </w:r>
          </w:p>
        </w:tc>
        <w:tc>
          <w:tcPr>
            <w:tcW w:w="7025" w:type="dxa"/>
            <w:noWrap w:val="0"/>
            <w:vAlign w:val="center"/>
          </w:tcPr>
          <w:p w14:paraId="7EFBBE24">
            <w:pPr>
              <w:keepNext w:val="0"/>
              <w:keepLines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20" w:lineRule="exact"/>
              <w:ind w:left="0" w:right="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代理服务费金额：</w:t>
            </w:r>
            <w:r>
              <w:rPr>
                <w:rFonts w:hint="eastAsia" w:ascii="宋体" w:hAnsi="宋体" w:cs="宋体"/>
                <w:color w:val="auto"/>
                <w:szCs w:val="21"/>
                <w:highlight w:val="none"/>
                <w:lang w:val="en-US" w:eastAsia="zh-CN"/>
              </w:rPr>
              <w:t>一标段19500元</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二标段16200元；三标段23400元。</w:t>
            </w:r>
            <w:r>
              <w:rPr>
                <w:rFonts w:hint="eastAsia" w:ascii="宋体" w:hAnsi="宋体" w:eastAsia="宋体" w:cs="宋体"/>
                <w:color w:val="auto"/>
                <w:szCs w:val="21"/>
                <w:highlight w:val="none"/>
                <w:lang w:val="en-US" w:eastAsia="zh-CN"/>
              </w:rPr>
              <w:t>参考计价格【2002】1980号文件规定的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，以最高限价为计费基数。</w:t>
            </w:r>
          </w:p>
          <w:p w14:paraId="57530574">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代理服务费</w:t>
            </w:r>
            <w:r>
              <w:rPr>
                <w:rFonts w:hint="eastAsia" w:ascii="宋体" w:hAnsi="宋体" w:eastAsia="宋体" w:cs="宋体"/>
                <w:color w:val="auto"/>
                <w:szCs w:val="21"/>
                <w:highlight w:val="none"/>
                <w:lang w:val="en-US" w:eastAsia="zh-CN"/>
              </w:rPr>
              <w:t>支付主体</w:t>
            </w:r>
            <w:r>
              <w:rPr>
                <w:rFonts w:hint="eastAsia" w:ascii="宋体" w:hAnsi="宋体" w:eastAsia="宋体" w:cs="宋体"/>
                <w:color w:val="auto"/>
                <w:szCs w:val="21"/>
                <w:highlight w:val="none"/>
              </w:rPr>
              <w:t>：中标单位。</w:t>
            </w:r>
          </w:p>
        </w:tc>
      </w:tr>
      <w:tr w14:paraId="4D3176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2A8C53EB">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2</w:t>
            </w:r>
          </w:p>
        </w:tc>
        <w:tc>
          <w:tcPr>
            <w:tcW w:w="2140" w:type="dxa"/>
            <w:gridSpan w:val="2"/>
            <w:noWrap w:val="0"/>
            <w:vAlign w:val="center"/>
          </w:tcPr>
          <w:p w14:paraId="23788468">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专家评审劳务费</w:t>
            </w:r>
          </w:p>
        </w:tc>
        <w:tc>
          <w:tcPr>
            <w:tcW w:w="7025" w:type="dxa"/>
            <w:noWrap w:val="0"/>
            <w:vAlign w:val="center"/>
          </w:tcPr>
          <w:p w14:paraId="34DEFD6A">
            <w:pPr>
              <w:keepNext w:val="0"/>
              <w:keepLines w:val="0"/>
              <w:pageBreakBefore w:val="0"/>
              <w:kinsoku/>
              <w:wordWrap w:val="0"/>
              <w:overflowPunct/>
              <w:topLinePunct w:val="0"/>
              <w:autoSpaceDE/>
              <w:autoSpaceDN/>
              <w:bidi w:val="0"/>
              <w:adjustRightIn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费用或支付标准：按实支付。</w:t>
            </w:r>
          </w:p>
          <w:p w14:paraId="1DAB0A91">
            <w:pPr>
              <w:keepNext w:val="0"/>
              <w:keepLines w:val="0"/>
              <w:pageBreakBefore w:val="0"/>
              <w:kinsoku/>
              <w:wordWrap w:val="0"/>
              <w:overflowPunct/>
              <w:topLinePunct w:val="0"/>
              <w:autoSpaceDE/>
              <w:autoSpaceDN/>
              <w:bidi w:val="0"/>
              <w:adjustRightInd/>
              <w:spacing w:line="440" w:lineRule="exact"/>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支付主体：</w:t>
            </w:r>
            <w:r>
              <w:rPr>
                <w:rFonts w:hint="eastAsia" w:ascii="宋体" w:hAnsi="宋体" w:cs="宋体"/>
                <w:color w:val="auto"/>
                <w:szCs w:val="21"/>
                <w:highlight w:val="none"/>
                <w:lang w:val="en-US" w:eastAsia="zh-CN"/>
              </w:rPr>
              <w:t>招标单位</w:t>
            </w:r>
            <w:r>
              <w:rPr>
                <w:rFonts w:hint="eastAsia" w:ascii="宋体" w:hAnsi="宋体" w:eastAsia="宋体" w:cs="宋体"/>
                <w:color w:val="auto"/>
                <w:szCs w:val="21"/>
                <w:highlight w:val="none"/>
                <w:lang w:val="en-US" w:eastAsia="zh-CN"/>
              </w:rPr>
              <w:t>。</w:t>
            </w:r>
          </w:p>
        </w:tc>
      </w:tr>
      <w:tr w14:paraId="253BC7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jc w:val="center"/>
        </w:trPr>
        <w:tc>
          <w:tcPr>
            <w:tcW w:w="1048" w:type="dxa"/>
            <w:noWrap w:val="0"/>
            <w:vAlign w:val="center"/>
          </w:tcPr>
          <w:p w14:paraId="1D0E2D4B">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w:t>
            </w:r>
          </w:p>
        </w:tc>
        <w:tc>
          <w:tcPr>
            <w:tcW w:w="2140" w:type="dxa"/>
            <w:gridSpan w:val="2"/>
            <w:noWrap w:val="0"/>
            <w:vAlign w:val="center"/>
          </w:tcPr>
          <w:p w14:paraId="7CFE93A0">
            <w:pPr>
              <w:keepNext w:val="0"/>
              <w:keepLines w:val="0"/>
              <w:pageBreakBefore w:val="0"/>
              <w:kinsoku/>
              <w:wordWrap w:val="0"/>
              <w:overflowPunct/>
              <w:topLinePunct w:val="0"/>
              <w:autoSpaceDE/>
              <w:autoSpaceDN/>
              <w:bidi w:val="0"/>
              <w:adjustRightInd/>
              <w:spacing w:line="440" w:lineRule="exact"/>
              <w:ind w:right="-27" w:rightChars="-13"/>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投标人要求澄清招标文件的截止时间及方式</w:t>
            </w:r>
          </w:p>
        </w:tc>
        <w:tc>
          <w:tcPr>
            <w:tcW w:w="7025" w:type="dxa"/>
            <w:noWrap w:val="0"/>
            <w:vAlign w:val="center"/>
          </w:tcPr>
          <w:p w14:paraId="318D5C74">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同表10.2款</w:t>
            </w:r>
          </w:p>
        </w:tc>
      </w:tr>
      <w:tr w14:paraId="1D2027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4B8769BD">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2140" w:type="dxa"/>
            <w:gridSpan w:val="2"/>
            <w:noWrap w:val="0"/>
            <w:vAlign w:val="center"/>
          </w:tcPr>
          <w:p w14:paraId="78472053">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025" w:type="dxa"/>
            <w:noWrap w:val="0"/>
            <w:vAlign w:val="center"/>
          </w:tcPr>
          <w:p w14:paraId="02821FA5">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投标有效期为</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日历天（从投标截止之日算起）。在此期限内，凡符合本招标文件要求的投标文件均保持有效。</w:t>
            </w:r>
          </w:p>
        </w:tc>
      </w:tr>
      <w:tr w14:paraId="515BA3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048" w:type="dxa"/>
            <w:noWrap w:val="0"/>
            <w:vAlign w:val="center"/>
          </w:tcPr>
          <w:p w14:paraId="6633D0B5">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2140" w:type="dxa"/>
            <w:gridSpan w:val="2"/>
            <w:noWrap w:val="0"/>
            <w:vAlign w:val="center"/>
          </w:tcPr>
          <w:p w14:paraId="4C54C166">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025" w:type="dxa"/>
            <w:noWrap w:val="0"/>
            <w:vAlign w:val="top"/>
          </w:tcPr>
          <w:p w14:paraId="77597DB1">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投标保证金收取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投标保证金的金额：</w:t>
            </w:r>
            <w:permStart w:id="0" w:edGrp="everyone"/>
            <w:r>
              <w:rPr>
                <w:rFonts w:hint="eastAsia" w:ascii="宋体" w:hAnsi="宋体" w:cs="宋体"/>
                <w:color w:val="auto"/>
                <w:szCs w:val="21"/>
                <w:highlight w:val="none"/>
                <w:lang w:val="en-US" w:eastAsia="zh-CN"/>
              </w:rPr>
              <w:t>每标段</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 xml:space="preserve"> </w:t>
            </w:r>
            <w:permEnd w:id="0"/>
            <w:r>
              <w:rPr>
                <w:rFonts w:hint="eastAsia" w:ascii="宋体" w:hAnsi="宋体" w:eastAsia="宋体" w:cs="宋体"/>
                <w:color w:val="auto"/>
                <w:szCs w:val="21"/>
                <w:highlight w:val="none"/>
              </w:rPr>
              <w:t>万元，</w:t>
            </w:r>
            <w:permStart w:id="1" w:edGrp="everyone"/>
            <w:r>
              <w:rPr>
                <w:rFonts w:hint="eastAsia" w:ascii="宋体" w:hAnsi="宋体" w:eastAsia="宋体" w:cs="宋体"/>
                <w:color w:val="auto"/>
                <w:szCs w:val="21"/>
                <w:highlight w:val="none"/>
              </w:rPr>
              <w:t>不要求</w:t>
            </w:r>
            <w:permEnd w:id="1"/>
            <w:r>
              <w:rPr>
                <w:rFonts w:hint="eastAsia" w:ascii="宋体" w:hAnsi="宋体" w:eastAsia="宋体" w:cs="宋体"/>
                <w:color w:val="auto"/>
                <w:szCs w:val="21"/>
                <w:highlight w:val="none"/>
              </w:rPr>
              <w:t>投标人提交投标保证金。</w:t>
            </w:r>
          </w:p>
          <w:p w14:paraId="07956EED">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（2）投标保证金形式：</w:t>
            </w:r>
            <w:bookmarkStart w:id="30" w:name="OLE_LINK69"/>
            <w:bookmarkStart w:id="31" w:name="OLE_LINK71"/>
            <w:bookmarkStart w:id="32" w:name="OLE_LINK61"/>
            <w:bookmarkStart w:id="33" w:name="OLE_LINK62"/>
            <w:bookmarkStart w:id="34" w:name="OLE_LINK66"/>
            <w:r>
              <w:rPr>
                <w:rFonts w:hint="eastAsia" w:ascii="宋体" w:hAnsi="宋体" w:eastAsia="宋体" w:cs="宋体"/>
                <w:color w:val="auto"/>
                <w:szCs w:val="21"/>
                <w:highlight w:val="none"/>
              </w:rPr>
              <w:t>支持现金（银行转账、银行电汇等）、非现金形式（支票、银行汇票、本票等）、电子保函、纸质银行保函。</w:t>
            </w:r>
            <w:bookmarkEnd w:id="30"/>
            <w:bookmarkEnd w:id="31"/>
            <w:bookmarkEnd w:id="32"/>
            <w:bookmarkEnd w:id="33"/>
            <w:bookmarkEnd w:id="34"/>
          </w:p>
          <w:p w14:paraId="16F25B66">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（3）接收投标保证金的账户信息：</w:t>
            </w:r>
          </w:p>
          <w:p w14:paraId="6219D173">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421BBE4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①户名：滁州市公共资源交易中心</w:t>
            </w:r>
          </w:p>
          <w:p w14:paraId="02428FEC">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开户行：中国银行滁州分行 </w:t>
            </w:r>
          </w:p>
          <w:p w14:paraId="316C7F01">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 </w:t>
            </w:r>
          </w:p>
          <w:p w14:paraId="24BD37F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②户  名：滁州市公共资源交易中心 </w:t>
            </w:r>
          </w:p>
          <w:p w14:paraId="4D908EEF">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开户行：中国建设银行股份有限公司滁州南谯支行</w:t>
            </w:r>
          </w:p>
          <w:p w14:paraId="74C795C6">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账  号：</w:t>
            </w:r>
            <w:r>
              <w:rPr>
                <w:rFonts w:hint="eastAsia" w:ascii="宋体" w:hAnsi="宋体" w:cs="宋体"/>
                <w:color w:val="auto"/>
                <w:szCs w:val="21"/>
                <w:highlight w:val="none"/>
                <w:lang w:val="en-US" w:eastAsia="zh-CN"/>
              </w:rPr>
              <w:t>/</w:t>
            </w:r>
          </w:p>
          <w:p w14:paraId="5C87515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③户  名：滁州市公共资源交易中心        </w:t>
            </w:r>
          </w:p>
          <w:p w14:paraId="56420BD1">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开户行：中国农业银行滁州中都支行                </w:t>
            </w:r>
          </w:p>
          <w:p w14:paraId="023A1EB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账  号：</w:t>
            </w:r>
            <w:r>
              <w:rPr>
                <w:rFonts w:hint="eastAsia" w:ascii="宋体" w:hAnsi="宋体" w:cs="宋体"/>
                <w:color w:val="auto"/>
                <w:szCs w:val="21"/>
                <w:highlight w:val="none"/>
                <w:lang w:val="en-US" w:eastAsia="zh-CN"/>
              </w:rPr>
              <w:t>/</w:t>
            </w:r>
          </w:p>
          <w:p w14:paraId="01B2F2CD">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采用现金形式缴纳保证金时须在交易附言中注明：“（招标项目编号）项目投标保证金”。</w:t>
            </w:r>
          </w:p>
          <w:p w14:paraId="5B697F3E">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银行汇票、本票等非现金形式提交投标保证金时，投标人应在付款人开户行申请书附言处注明“（招标项目编号）项目投标保证金”字样，应确保收款人开户行进账单完整反映交易附言内容，由此导致无法识别投标保证金对应的投标项目，其后果由投标人负责。</w:t>
            </w:r>
          </w:p>
          <w:p w14:paraId="2C4C7203">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3)采用电子保函形式具体要求如下：</w:t>
            </w:r>
          </w:p>
          <w:p w14:paraId="4DEB0AB2">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①电子保函提交要求：</w:t>
            </w:r>
          </w:p>
          <w:p w14:paraId="7F1BC24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a.投标人须在投标文件提交截止时间前提供与滁州市公共资源交易中心金融服务平台对接的电子保函，否则视为投标保证金未按规定要求缴纳。</w:t>
            </w:r>
          </w:p>
          <w:p w14:paraId="7C346CE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2511EE2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c.投标有效期内未能确定中标结果，需要延长投标有效期，投标人同意延长投标有效期的，须相应延长电子保函的有效期。</w:t>
            </w:r>
          </w:p>
          <w:p w14:paraId="02679D2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d.</w:t>
            </w:r>
            <w:bookmarkStart w:id="35" w:name="OLE_LINK52"/>
            <w:bookmarkStart w:id="36" w:name="OLE_LINK53"/>
            <w:r>
              <w:rPr>
                <w:rFonts w:hint="eastAsia" w:ascii="宋体" w:hAnsi="宋体" w:eastAsia="宋体" w:cs="宋体"/>
                <w:color w:val="auto"/>
                <w:szCs w:val="21"/>
                <w:highlight w:val="none"/>
              </w:rPr>
              <w:t>投标人存在投标保证金不予退还的情形，采用电子保函形式的将予以追缴。</w:t>
            </w:r>
          </w:p>
          <w:bookmarkEnd w:id="35"/>
          <w:bookmarkEnd w:id="36"/>
          <w:p w14:paraId="140664C8">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4)采用纸质</w:t>
            </w:r>
            <w:r>
              <w:rPr>
                <w:rFonts w:hint="eastAsia" w:ascii="宋体" w:hAnsi="宋体" w:eastAsia="宋体" w:cs="宋体"/>
                <w:color w:val="auto"/>
                <w:szCs w:val="21"/>
                <w:highlight w:val="none"/>
                <w:lang w:eastAsia="zh-CN"/>
              </w:rPr>
              <w:t>银行</w:t>
            </w:r>
            <w:r>
              <w:rPr>
                <w:rFonts w:hint="eastAsia" w:ascii="宋体" w:hAnsi="宋体" w:eastAsia="宋体" w:cs="宋体"/>
                <w:color w:val="auto"/>
                <w:szCs w:val="21"/>
                <w:highlight w:val="none"/>
              </w:rPr>
              <w:t>保函形式具体要求如下：</w:t>
            </w:r>
          </w:p>
          <w:p w14:paraId="3327C70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①应为投标人基本账户开户银行出具的不可撤销、不可转让的见索即付独立保函,所需费用由投标人承担。</w:t>
            </w:r>
          </w:p>
          <w:p w14:paraId="564FEC7B">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②投标人在投标文件中必须提供基本存款账户证明（如基本存款账户开户许可证或基本存款账户信息），同时将纸质保函扫描件提供在投标文件中</w:t>
            </w:r>
            <w:r>
              <w:rPr>
                <w:rFonts w:hint="eastAsia" w:ascii="宋体" w:hAnsi="宋体" w:eastAsia="宋体" w:cs="宋体"/>
                <w:color w:val="auto"/>
                <w:szCs w:val="21"/>
                <w:highlight w:val="none"/>
                <w:lang w:eastAsia="zh-CN"/>
              </w:rPr>
              <w:t>。</w:t>
            </w:r>
          </w:p>
          <w:p w14:paraId="6B0EB27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③投标人在投标文件中必须提供明确有效的查询途径（ 网址链接及查询方式），否则该纸质银行保函无效。</w:t>
            </w:r>
          </w:p>
          <w:p w14:paraId="7F18CE75">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406F6A82">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2.保证金电子保函业务应急处置措施。由于自然灾害、事故灾难、突发公共网络安全事件或者系统原因，以及保证金电子保函系统使用过程中出现的以下情况：</w:t>
            </w:r>
          </w:p>
          <w:p w14:paraId="5FCD3BC5">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（1）开标时，系统获取明文保函文件异常，无法正常获取保函文件；</w:t>
            </w:r>
          </w:p>
          <w:p w14:paraId="0E8DCE9E">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（2）保证金电子保函系统的软件或数据库出现错误，不能进行正常操作；</w:t>
            </w:r>
          </w:p>
          <w:p w14:paraId="46BD1CF6">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（3）保证金电子保函系统服务器发生故障等情况，无法访问或无法使用电子保函；</w:t>
            </w:r>
          </w:p>
          <w:p w14:paraId="03958A5C">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（4）保证金电子保函系统服务器受到病毒或其他外来的攻击；</w:t>
            </w:r>
          </w:p>
          <w:p w14:paraId="5EC821F8">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（5）其他影响电子保函出具的异常情形。</w:t>
            </w:r>
          </w:p>
          <w:p w14:paraId="480DE016">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57B91997">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3.本次招标失败，再次进行招标的，投标人须按照新的账户重新缴纳投标保证金。</w:t>
            </w:r>
          </w:p>
          <w:p w14:paraId="037B9460">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4.投标人为联合体投标的，由牵头人基本账户转出投标保证金或由牵头人办理保函。</w:t>
            </w:r>
          </w:p>
          <w:p w14:paraId="63881C65">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5.是否适用免缴投标保证金政策</w:t>
            </w:r>
            <w:r>
              <w:rPr>
                <w:rFonts w:hint="eastAsia" w:ascii="宋体" w:hAnsi="宋体" w:cs="宋体"/>
                <w:color w:val="auto"/>
                <w:szCs w:val="21"/>
                <w:highlight w:val="none"/>
                <w:lang w:eastAsia="zh-CN"/>
              </w:rPr>
              <w:t>：</w:t>
            </w:r>
          </w:p>
          <w:p w14:paraId="1549D7AA">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permStart w:id="2" w:edGrp="everyone"/>
            <w:r>
              <w:rPr>
                <w:rFonts w:hint="eastAsia" w:ascii="宋体" w:hAnsi="宋体" w:eastAsia="宋体" w:cs="宋体"/>
                <w:color w:val="auto"/>
                <w:szCs w:val="21"/>
                <w:highlight w:val="none"/>
              </w:rPr>
              <w:t xml:space="preserve">不适用 </w:t>
            </w:r>
            <w:permEnd w:id="2"/>
            <w:r>
              <w:rPr>
                <w:rFonts w:hint="eastAsia" w:ascii="宋体" w:hAnsi="宋体" w:eastAsia="宋体" w:cs="宋体"/>
                <w:color w:val="auto"/>
                <w:szCs w:val="21"/>
                <w:highlight w:val="none"/>
              </w:rPr>
              <w:t>。</w:t>
            </w:r>
          </w:p>
        </w:tc>
      </w:tr>
      <w:tr w14:paraId="5EC849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47FCC79A">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p>
        </w:tc>
        <w:tc>
          <w:tcPr>
            <w:tcW w:w="2140" w:type="dxa"/>
            <w:gridSpan w:val="2"/>
            <w:noWrap w:val="0"/>
            <w:vAlign w:val="center"/>
          </w:tcPr>
          <w:p w14:paraId="3F4BB70E">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投标文件数量</w:t>
            </w:r>
          </w:p>
        </w:tc>
        <w:tc>
          <w:tcPr>
            <w:tcW w:w="7025" w:type="dxa"/>
            <w:noWrap w:val="0"/>
            <w:vAlign w:val="center"/>
          </w:tcPr>
          <w:p w14:paraId="0199DB69">
            <w:pPr>
              <w:keepNext w:val="0"/>
              <w:keepLines w:val="0"/>
              <w:pageBreakBefore w:val="0"/>
              <w:widowControl/>
              <w:kinsoku/>
              <w:wordWrap w:val="0"/>
              <w:overflowPunct/>
              <w:topLinePunct w:val="0"/>
              <w:autoSpaceDE/>
              <w:autoSpaceDN/>
              <w:bidi w:val="0"/>
              <w:adjustRightInd/>
              <w:spacing w:line="440" w:lineRule="exact"/>
              <w:ind w:firstLine="88" w:firstLineChars="42"/>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网上递交的电子投标文件：一份。以投标人在投标截止时间前网上递交的电子投标文件为准，逾期提交的，投标文件将被拒绝。</w:t>
            </w:r>
          </w:p>
          <w:p w14:paraId="52DDC81E">
            <w:pPr>
              <w:keepNext w:val="0"/>
              <w:keepLines w:val="0"/>
              <w:pageBreakBefore w:val="0"/>
              <w:widowControl/>
              <w:kinsoku/>
              <w:wordWrap w:val="0"/>
              <w:overflowPunct/>
              <w:topLinePunct w:val="0"/>
              <w:autoSpaceDE/>
              <w:autoSpaceDN/>
              <w:bidi w:val="0"/>
              <w:adjustRightInd/>
              <w:spacing w:line="440" w:lineRule="exact"/>
              <w:ind w:firstLine="89" w:firstLineChars="42"/>
              <w:jc w:val="left"/>
              <w:textAlignment w:val="auto"/>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Cs w:val="21"/>
                <w:highlight w:val="none"/>
                <w:u w:val="single"/>
              </w:rPr>
              <w:t xml:space="preserve"> 1 </w:t>
            </w:r>
            <w:r>
              <w:rPr>
                <w:rFonts w:hint="eastAsia" w:ascii="宋体" w:hAnsi="宋体" w:eastAsia="宋体" w:cs="宋体"/>
                <w:b/>
                <w:color w:val="auto"/>
                <w:kern w:val="0"/>
                <w:szCs w:val="21"/>
                <w:highlight w:val="none"/>
              </w:rPr>
              <w:t>份，副本</w:t>
            </w:r>
            <w:r>
              <w:rPr>
                <w:rFonts w:hint="eastAsia" w:ascii="宋体" w:hAnsi="宋体" w:eastAsia="宋体" w:cs="宋体"/>
                <w:b/>
                <w:color w:val="auto"/>
                <w:kern w:val="0"/>
                <w:szCs w:val="21"/>
                <w:highlight w:val="none"/>
                <w:u w:val="single"/>
              </w:rPr>
              <w:t xml:space="preserve"> 2 </w:t>
            </w:r>
            <w:r>
              <w:rPr>
                <w:rFonts w:hint="eastAsia" w:ascii="宋体" w:hAnsi="宋体" w:eastAsia="宋体" w:cs="宋体"/>
                <w:b/>
                <w:color w:val="auto"/>
                <w:kern w:val="0"/>
                <w:szCs w:val="21"/>
                <w:highlight w:val="none"/>
              </w:rPr>
              <w:t>份；中标人领取中标通知书时，一并递交给招标代理机构）。</w:t>
            </w:r>
          </w:p>
        </w:tc>
      </w:tr>
      <w:tr w14:paraId="1329C6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4110D6E7">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w:t>
            </w:r>
          </w:p>
        </w:tc>
        <w:tc>
          <w:tcPr>
            <w:tcW w:w="2140" w:type="dxa"/>
            <w:gridSpan w:val="2"/>
            <w:noWrap w:val="0"/>
            <w:vAlign w:val="center"/>
          </w:tcPr>
          <w:p w14:paraId="414E88B0">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7025" w:type="dxa"/>
            <w:noWrap w:val="0"/>
            <w:vAlign w:val="center"/>
          </w:tcPr>
          <w:p w14:paraId="62A7AAE6">
            <w:pPr>
              <w:keepNext w:val="0"/>
              <w:keepLines w:val="0"/>
              <w:pageBreakBefore w:val="0"/>
              <w:widowControl/>
              <w:kinsoku/>
              <w:wordWrap w:val="0"/>
              <w:overflowPunct/>
              <w:topLinePunct w:val="0"/>
              <w:autoSpaceDE/>
              <w:autoSpaceDN/>
              <w:bidi w:val="0"/>
              <w:adjustRightInd/>
              <w:spacing w:line="440" w:lineRule="exact"/>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电子投标文件须按格式文件要求签字或盖章（电子签章），招标文件格式中要求“签章”部位，指电子签章或盖章后扫描上传均可。</w:t>
            </w:r>
          </w:p>
          <w:p w14:paraId="400380CC">
            <w:pPr>
              <w:keepNext w:val="0"/>
              <w:keepLines w:val="0"/>
              <w:pageBreakBefore w:val="0"/>
              <w:widowControl/>
              <w:kinsoku/>
              <w:wordWrap w:val="0"/>
              <w:overflowPunct/>
              <w:topLinePunct w:val="0"/>
              <w:autoSpaceDE/>
              <w:autoSpaceDN/>
              <w:bidi w:val="0"/>
              <w:adjustRightInd/>
              <w:spacing w:line="44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否则经评委会一致认定且经过招投标监管部门批准后，按照无效投标处理。</w:t>
            </w:r>
          </w:p>
        </w:tc>
      </w:tr>
      <w:tr w14:paraId="565B71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1048" w:type="dxa"/>
            <w:noWrap w:val="0"/>
            <w:vAlign w:val="center"/>
          </w:tcPr>
          <w:p w14:paraId="67F7DF61">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w:t>
            </w:r>
          </w:p>
        </w:tc>
        <w:tc>
          <w:tcPr>
            <w:tcW w:w="2140" w:type="dxa"/>
            <w:gridSpan w:val="2"/>
            <w:noWrap w:val="0"/>
            <w:vAlign w:val="center"/>
          </w:tcPr>
          <w:p w14:paraId="0D1A74CA">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投标文件提交截止时间</w:t>
            </w:r>
          </w:p>
        </w:tc>
        <w:tc>
          <w:tcPr>
            <w:tcW w:w="7025" w:type="dxa"/>
            <w:noWrap w:val="0"/>
            <w:vAlign w:val="center"/>
          </w:tcPr>
          <w:p w14:paraId="132C8FF6">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网上递交投标文件截止时间：</w:t>
            </w:r>
            <w:r>
              <w:rPr>
                <w:rFonts w:hint="eastAsia" w:ascii="宋体" w:hAnsi="宋体" w:eastAsia="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02月06日08</w:t>
            </w:r>
            <w:r>
              <w:rPr>
                <w:rFonts w:hint="eastAsia" w:ascii="宋体" w:hAnsi="宋体" w:eastAsia="宋体" w:cs="宋体"/>
                <w:b/>
                <w:bCs/>
                <w:color w:val="auto"/>
                <w:szCs w:val="21"/>
                <w:highlight w:val="none"/>
              </w:rPr>
              <w:t>点</w:t>
            </w:r>
            <w:r>
              <w:rPr>
                <w:rFonts w:hint="eastAsia" w:ascii="宋体" w:hAnsi="宋体" w:cs="宋体"/>
                <w:b/>
                <w:bCs/>
                <w:color w:val="auto"/>
                <w:szCs w:val="21"/>
                <w:highlight w:val="none"/>
                <w:lang w:val="en-US" w:eastAsia="zh-CN"/>
              </w:rPr>
              <w:t>30分</w:t>
            </w:r>
            <w:r>
              <w:rPr>
                <w:rFonts w:hint="eastAsia" w:ascii="宋体" w:hAnsi="宋体" w:eastAsia="宋体" w:cs="宋体"/>
                <w:b/>
                <w:bCs/>
                <w:color w:val="auto"/>
                <w:szCs w:val="21"/>
                <w:highlight w:val="none"/>
              </w:rPr>
              <w:t>（北京时间）</w:t>
            </w:r>
          </w:p>
          <w:p w14:paraId="486E1351">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注：以投标人在投标截止时间前网上递交的电子投标文件为准，逾期提交的，投标文件将被拒绝。</w:t>
            </w:r>
          </w:p>
          <w:p w14:paraId="24FC95C9">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1.解密程序开始后60分钟内（以本项目网上招投标系统解密倒计时为准）。</w:t>
            </w:r>
          </w:p>
          <w:p w14:paraId="767DE5FB">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02月06日08</w:t>
            </w:r>
            <w:r>
              <w:rPr>
                <w:rFonts w:hint="eastAsia" w:ascii="宋体" w:hAnsi="宋体" w:eastAsia="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02月06日08</w:t>
            </w:r>
            <w:r>
              <w:rPr>
                <w:rFonts w:hint="eastAsia" w:ascii="宋体" w:hAnsi="宋体" w:eastAsia="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w:t>
            </w:r>
          </w:p>
        </w:tc>
      </w:tr>
      <w:tr w14:paraId="59A759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48" w:type="dxa"/>
            <w:noWrap w:val="0"/>
            <w:vAlign w:val="center"/>
          </w:tcPr>
          <w:p w14:paraId="283BD2C4">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w:t>
            </w:r>
          </w:p>
        </w:tc>
        <w:tc>
          <w:tcPr>
            <w:tcW w:w="2140" w:type="dxa"/>
            <w:gridSpan w:val="2"/>
            <w:noWrap w:val="0"/>
            <w:vAlign w:val="center"/>
          </w:tcPr>
          <w:p w14:paraId="21F9804E">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7025" w:type="dxa"/>
            <w:noWrap w:val="0"/>
            <w:vAlign w:val="center"/>
          </w:tcPr>
          <w:p w14:paraId="10D6252D">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75E1C3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3E3F47C5">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2140" w:type="dxa"/>
            <w:gridSpan w:val="2"/>
            <w:noWrap w:val="0"/>
            <w:vAlign w:val="center"/>
          </w:tcPr>
          <w:p w14:paraId="6334176A">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开标时间及地点</w:t>
            </w:r>
          </w:p>
        </w:tc>
        <w:tc>
          <w:tcPr>
            <w:tcW w:w="7025" w:type="dxa"/>
            <w:noWrap w:val="0"/>
            <w:vAlign w:val="center"/>
          </w:tcPr>
          <w:p w14:paraId="097BBF43">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开标时间：</w:t>
            </w:r>
            <w:r>
              <w:rPr>
                <w:rFonts w:hint="eastAsia" w:ascii="宋体" w:hAnsi="宋体" w:eastAsia="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02月06日08</w:t>
            </w:r>
            <w:r>
              <w:rPr>
                <w:rFonts w:hint="eastAsia" w:ascii="宋体" w:hAnsi="宋体" w:eastAsia="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分（北京时间）</w:t>
            </w:r>
          </w:p>
          <w:p w14:paraId="5FE4E9B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开标地点：网上开标，投标人登录滁州市不见面开标系统参与网上开标（网址：</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"https://ggzy.chuzhou.gov.cn/BidOpening/bidopeninghallaction/hall/login）。操作手册见"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https://ggzy.chuzhou.gov.cn/BidOpening/bidopeninghallaction/hall/login）。操作手册见</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https://ggzy.chuzhou.gov.cn/fwzn/011006/20240510/f0637388-583d-4c69-8331-05b6adfcf24d.html。</w:t>
            </w:r>
          </w:p>
        </w:tc>
      </w:tr>
      <w:tr w14:paraId="6CBA1D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3537D84B">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w:t>
            </w:r>
          </w:p>
        </w:tc>
        <w:tc>
          <w:tcPr>
            <w:tcW w:w="2140" w:type="dxa"/>
            <w:gridSpan w:val="2"/>
            <w:noWrap w:val="0"/>
            <w:vAlign w:val="center"/>
          </w:tcPr>
          <w:p w14:paraId="62D4C071">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7025" w:type="dxa"/>
            <w:noWrap w:val="0"/>
            <w:vAlign w:val="center"/>
          </w:tcPr>
          <w:p w14:paraId="39E342F0">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开标顺序：解密电子投标文件后，由评标委员会评审。</w:t>
            </w:r>
          </w:p>
        </w:tc>
      </w:tr>
      <w:tr w14:paraId="608CE7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jc w:val="center"/>
        </w:trPr>
        <w:tc>
          <w:tcPr>
            <w:tcW w:w="1048" w:type="dxa"/>
            <w:noWrap w:val="0"/>
            <w:vAlign w:val="center"/>
          </w:tcPr>
          <w:p w14:paraId="51773FFC">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140" w:type="dxa"/>
            <w:gridSpan w:val="2"/>
            <w:noWrap w:val="0"/>
            <w:vAlign w:val="center"/>
          </w:tcPr>
          <w:p w14:paraId="1544EF6A">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7025" w:type="dxa"/>
            <w:noWrap w:val="0"/>
            <w:vAlign w:val="top"/>
          </w:tcPr>
          <w:p w14:paraId="2AFB3A49">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评标委员会构成：</w:t>
            </w:r>
            <w:r>
              <w:rPr>
                <w:rFonts w:hint="eastAsia" w:ascii="宋体" w:hAnsi="宋体" w:cs="宋体"/>
                <w:color w:val="auto"/>
                <w:highlight w:val="none"/>
                <w:lang w:val="en-US" w:eastAsia="zh-CN"/>
              </w:rPr>
              <w:t>招标人依法组建</w:t>
            </w:r>
            <w:r>
              <w:rPr>
                <w:rFonts w:hint="eastAsia" w:ascii="宋体" w:hAnsi="宋体" w:eastAsia="宋体" w:cs="宋体"/>
                <w:color w:val="auto"/>
                <w:highlight w:val="none"/>
              </w:rPr>
              <w:t>。</w:t>
            </w:r>
          </w:p>
          <w:p w14:paraId="647B28CD">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评标专家确定方式：评标专家由招标人在开标前从专家库中随机抽取。</w:t>
            </w:r>
          </w:p>
        </w:tc>
      </w:tr>
      <w:tr w14:paraId="55E8CD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1048" w:type="dxa"/>
            <w:noWrap w:val="0"/>
            <w:vAlign w:val="center"/>
          </w:tcPr>
          <w:p w14:paraId="00885B72">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32.1.1</w:t>
            </w:r>
          </w:p>
        </w:tc>
        <w:tc>
          <w:tcPr>
            <w:tcW w:w="2140" w:type="dxa"/>
            <w:gridSpan w:val="2"/>
            <w:noWrap w:val="0"/>
            <w:vAlign w:val="center"/>
          </w:tcPr>
          <w:p w14:paraId="6B9F1732">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是否授权评标委员会确定中标候选人</w:t>
            </w:r>
          </w:p>
        </w:tc>
        <w:tc>
          <w:tcPr>
            <w:tcW w:w="7025" w:type="dxa"/>
            <w:noWrap w:val="0"/>
            <w:vAlign w:val="center"/>
          </w:tcPr>
          <w:p w14:paraId="5E70B89E">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是，评标委员会推荐3名中标候选人。</w:t>
            </w:r>
          </w:p>
        </w:tc>
      </w:tr>
      <w:tr w14:paraId="2A7E80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1048" w:type="dxa"/>
            <w:noWrap w:val="0"/>
            <w:vAlign w:val="center"/>
          </w:tcPr>
          <w:p w14:paraId="20314E1A">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32.1.2</w:t>
            </w:r>
          </w:p>
        </w:tc>
        <w:tc>
          <w:tcPr>
            <w:tcW w:w="2140" w:type="dxa"/>
            <w:gridSpan w:val="2"/>
            <w:noWrap w:val="0"/>
            <w:vAlign w:val="center"/>
          </w:tcPr>
          <w:p w14:paraId="0C7EEE5A">
            <w:pPr>
              <w:pStyle w:val="19"/>
              <w:keepNext w:val="0"/>
              <w:keepLines w:val="0"/>
              <w:pageBreakBefore w:val="0"/>
              <w:kinsoku/>
              <w:wordWrap w:val="0"/>
              <w:overflowPunct/>
              <w:topLinePunct w:val="0"/>
              <w:autoSpaceDE/>
              <w:autoSpaceDN/>
              <w:bidi w:val="0"/>
              <w:adjustRightIn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中标结果公告媒介</w:t>
            </w:r>
            <w:r>
              <w:rPr>
                <w:rFonts w:hint="eastAsia" w:hAnsi="宋体" w:cs="宋体"/>
                <w:color w:val="auto"/>
                <w:szCs w:val="21"/>
                <w:highlight w:val="none"/>
                <w:lang w:val="en-US" w:eastAsia="zh-CN"/>
              </w:rPr>
              <w:t>及期限</w:t>
            </w:r>
          </w:p>
        </w:tc>
        <w:tc>
          <w:tcPr>
            <w:tcW w:w="7025" w:type="dxa"/>
            <w:noWrap w:val="0"/>
            <w:vAlign w:val="top"/>
          </w:tcPr>
          <w:p w14:paraId="7BA8BE6D">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公示媒介：同招标公告发布媒介</w:t>
            </w:r>
          </w:p>
          <w:p w14:paraId="16AF3A95">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pacing w:val="-4"/>
                <w:szCs w:val="21"/>
                <w:highlight w:val="none"/>
              </w:rPr>
            </w:pPr>
            <w:r>
              <w:rPr>
                <w:rFonts w:hint="eastAsia" w:ascii="宋体" w:hAnsi="宋体" w:eastAsia="宋体" w:cs="宋体"/>
                <w:color w:val="auto"/>
                <w:szCs w:val="21"/>
                <w:highlight w:val="none"/>
              </w:rPr>
              <w:t>公示期限：公示发布次日起3日（如公示第三日为休息日或节假日，则顺延至休息日或节假日后第一个工作日）</w:t>
            </w:r>
          </w:p>
        </w:tc>
      </w:tr>
      <w:tr w14:paraId="73DDB7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1048" w:type="dxa"/>
            <w:vMerge w:val="restart"/>
            <w:noWrap w:val="0"/>
            <w:vAlign w:val="center"/>
          </w:tcPr>
          <w:p w14:paraId="0C2AFA01">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2140" w:type="dxa"/>
            <w:gridSpan w:val="2"/>
            <w:noWrap w:val="0"/>
            <w:vAlign w:val="center"/>
          </w:tcPr>
          <w:p w14:paraId="3551FFFC">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w:t>
            </w:r>
          </w:p>
        </w:tc>
        <w:tc>
          <w:tcPr>
            <w:tcW w:w="7025" w:type="dxa"/>
            <w:noWrap w:val="0"/>
            <w:vAlign w:val="center"/>
          </w:tcPr>
          <w:p w14:paraId="6CEC7E40">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中标通知书须加盖公共资源交易中心见证章后方可发出。</w:t>
            </w:r>
          </w:p>
        </w:tc>
      </w:tr>
      <w:tr w14:paraId="04A4B7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1048" w:type="dxa"/>
            <w:vMerge w:val="continue"/>
            <w:noWrap w:val="0"/>
            <w:vAlign w:val="center"/>
          </w:tcPr>
          <w:p w14:paraId="12CB57A4">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p>
        </w:tc>
        <w:tc>
          <w:tcPr>
            <w:tcW w:w="2140" w:type="dxa"/>
            <w:gridSpan w:val="2"/>
            <w:noWrap w:val="0"/>
            <w:vAlign w:val="center"/>
          </w:tcPr>
          <w:p w14:paraId="62F9DA9A">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中标通知书发出形式</w:t>
            </w:r>
          </w:p>
        </w:tc>
        <w:tc>
          <w:tcPr>
            <w:tcW w:w="7025" w:type="dxa"/>
            <w:noWrap w:val="0"/>
            <w:vAlign w:val="center"/>
          </w:tcPr>
          <w:p w14:paraId="2507B046">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数据电文</w:t>
            </w:r>
          </w:p>
        </w:tc>
      </w:tr>
      <w:tr w14:paraId="21B96F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5" w:hRule="atLeast"/>
          <w:jc w:val="center"/>
        </w:trPr>
        <w:tc>
          <w:tcPr>
            <w:tcW w:w="1048" w:type="dxa"/>
            <w:noWrap w:val="0"/>
            <w:vAlign w:val="center"/>
          </w:tcPr>
          <w:p w14:paraId="59BBECF9">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140" w:type="dxa"/>
            <w:gridSpan w:val="2"/>
            <w:noWrap w:val="0"/>
            <w:vAlign w:val="center"/>
          </w:tcPr>
          <w:p w14:paraId="7033EEF0">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履约担保</w:t>
            </w:r>
          </w:p>
        </w:tc>
        <w:tc>
          <w:tcPr>
            <w:tcW w:w="7025" w:type="dxa"/>
            <w:noWrap w:val="0"/>
            <w:vAlign w:val="center"/>
          </w:tcPr>
          <w:p w14:paraId="12BDD6A9">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要求中标人提交履约保证金</w:t>
            </w:r>
            <w:r>
              <w:rPr>
                <w:rFonts w:hint="eastAsia" w:ascii="宋体" w:hAnsi="宋体" w:eastAsia="宋体" w:cs="宋体"/>
                <w:color w:val="auto"/>
                <w:szCs w:val="21"/>
                <w:highlight w:val="none"/>
                <w:lang w:eastAsia="zh-CN"/>
              </w:rPr>
              <w:t>。</w:t>
            </w:r>
          </w:p>
          <w:p w14:paraId="6E368133">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b/>
                <w:bCs/>
                <w:color w:val="auto"/>
                <w:szCs w:val="21"/>
                <w:highlight w:val="none"/>
              </w:rPr>
              <w:t>支持银行转账、银行电汇、银行保函、担保机构担保、保证保险使用。</w:t>
            </w:r>
          </w:p>
          <w:p w14:paraId="189BDF46">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r>
              <w:rPr>
                <w:rFonts w:hint="eastAsia" w:ascii="宋体" w:hAnsi="宋体"/>
                <w:color w:val="auto"/>
                <w:szCs w:val="21"/>
                <w:highlight w:val="none"/>
                <w:lang w:val="en-US" w:eastAsia="zh-CN"/>
              </w:rPr>
              <w:t>中标价</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%，取整到千位</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 xml:space="preserve"> </w:t>
            </w:r>
          </w:p>
          <w:p w14:paraId="007234AB">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收款单位：</w:t>
            </w:r>
            <w:r>
              <w:rPr>
                <w:rFonts w:hint="eastAsia" w:ascii="宋体" w:hAnsi="宋体" w:cs="宋体"/>
                <w:color w:val="auto"/>
                <w:szCs w:val="21"/>
                <w:highlight w:val="none"/>
                <w:lang w:val="en-US" w:eastAsia="zh-CN"/>
              </w:rPr>
              <w:t xml:space="preserve"> 另行通知</w:t>
            </w:r>
            <w:r>
              <w:rPr>
                <w:rFonts w:hint="eastAsia" w:ascii="宋体" w:hAnsi="宋体" w:eastAsia="宋体" w:cs="宋体"/>
                <w:color w:val="auto"/>
                <w:szCs w:val="21"/>
                <w:highlight w:val="none"/>
              </w:rPr>
              <w:t xml:space="preserve">                 </w:t>
            </w:r>
          </w:p>
          <w:p w14:paraId="743D13E4">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cs="宋体"/>
                <w:color w:val="auto"/>
                <w:szCs w:val="21"/>
                <w:highlight w:val="none"/>
                <w:lang w:val="en-US" w:eastAsia="zh-CN"/>
              </w:rPr>
              <w:t xml:space="preserve"> 另行通知</w:t>
            </w:r>
            <w:r>
              <w:rPr>
                <w:rFonts w:hint="eastAsia" w:ascii="宋体" w:hAnsi="宋体" w:eastAsia="宋体" w:cs="宋体"/>
                <w:color w:val="auto"/>
                <w:szCs w:val="21"/>
                <w:highlight w:val="none"/>
              </w:rPr>
              <w:t xml:space="preserve">                     </w:t>
            </w:r>
          </w:p>
          <w:p w14:paraId="46359778">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cs="宋体"/>
                <w:color w:val="auto"/>
                <w:szCs w:val="21"/>
                <w:highlight w:val="none"/>
                <w:lang w:val="en-US" w:eastAsia="zh-CN"/>
              </w:rPr>
              <w:t xml:space="preserve"> 另行通知</w:t>
            </w:r>
            <w:r>
              <w:rPr>
                <w:rFonts w:hint="eastAsia" w:ascii="宋体" w:hAnsi="宋体" w:eastAsia="宋体" w:cs="宋体"/>
                <w:color w:val="auto"/>
                <w:szCs w:val="21"/>
                <w:highlight w:val="none"/>
              </w:rPr>
              <w:t xml:space="preserve">                  </w:t>
            </w:r>
          </w:p>
          <w:p w14:paraId="1AC0442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汇款务必注明缴款人名称及用途，切勿以现金存入。</w:t>
            </w:r>
          </w:p>
          <w:p w14:paraId="3627FE6F">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缴纳时限：</w:t>
            </w:r>
            <w:r>
              <w:rPr>
                <w:rFonts w:hint="eastAsia" w:ascii="宋体" w:hAnsi="宋体"/>
                <w:color w:val="auto"/>
                <w:szCs w:val="21"/>
                <w:highlight w:val="none"/>
              </w:rPr>
              <w:t>中标人须在中标通知书发出后</w:t>
            </w:r>
            <w:r>
              <w:rPr>
                <w:rFonts w:hint="eastAsia" w:ascii="宋体" w:hAnsi="宋体"/>
                <w:color w:val="auto"/>
                <w:szCs w:val="21"/>
                <w:highlight w:val="none"/>
                <w:lang w:val="en-US" w:eastAsia="zh-CN"/>
              </w:rPr>
              <w:t>30</w:t>
            </w:r>
            <w:r>
              <w:rPr>
                <w:rFonts w:hint="eastAsia" w:ascii="宋体" w:hAnsi="宋体"/>
                <w:color w:val="auto"/>
                <w:szCs w:val="21"/>
                <w:highlight w:val="none"/>
              </w:rPr>
              <w:t>日内完成履约保证金缴纳及合同签订，如未按期交齐履约保证金或未按期签订合同的，视同放弃中标资格，招标人将扣除投标保证金</w:t>
            </w:r>
            <w:r>
              <w:rPr>
                <w:rFonts w:hint="eastAsia" w:ascii="Times New Roman" w:hAnsi="Times New Roman" w:eastAsia="宋体" w:cs="Times New Roman"/>
                <w:color w:val="auto"/>
                <w:kern w:val="2"/>
                <w:sz w:val="21"/>
                <w:szCs w:val="21"/>
                <w:highlight w:val="none"/>
                <w:lang w:val="en-US" w:eastAsia="zh-CN" w:bidi="ar-SA"/>
              </w:rPr>
              <w:t>。</w:t>
            </w:r>
            <w:r>
              <w:rPr>
                <w:rFonts w:hint="eastAsia" w:ascii="宋体" w:hAnsi="宋体" w:eastAsia="宋体" w:cs="宋体"/>
                <w:color w:val="auto"/>
                <w:szCs w:val="21"/>
                <w:highlight w:val="none"/>
              </w:rPr>
              <w:t xml:space="preserve">                </w:t>
            </w:r>
          </w:p>
          <w:p w14:paraId="515853C9">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履约保证金退还时限：履约保证金有效期满</w:t>
            </w:r>
            <w:r>
              <w:rPr>
                <w:rFonts w:hint="eastAsia" w:ascii="宋体" w:hAnsi="宋体" w:cs="宋体"/>
                <w:color w:val="auto"/>
                <w:szCs w:val="21"/>
                <w:highlight w:val="none"/>
                <w:lang w:val="en-US" w:eastAsia="zh-CN"/>
              </w:rPr>
              <w:t>一个月</w:t>
            </w:r>
            <w:r>
              <w:rPr>
                <w:rFonts w:hint="eastAsia" w:ascii="宋体" w:hAnsi="宋体" w:eastAsia="宋体" w:cs="宋体"/>
                <w:color w:val="auto"/>
                <w:szCs w:val="21"/>
                <w:highlight w:val="none"/>
                <w:lang w:val="en-US" w:eastAsia="zh-CN"/>
              </w:rPr>
              <w:t>内。采用银行转</w:t>
            </w:r>
            <w:r>
              <w:rPr>
                <w:rFonts w:hint="eastAsia" w:ascii="宋体" w:hAnsi="宋体" w:cs="宋体"/>
                <w:color w:val="auto"/>
                <w:szCs w:val="21"/>
                <w:highlight w:val="none"/>
                <w:lang w:val="en-US" w:eastAsia="zh-CN"/>
              </w:rPr>
              <w:t>账</w:t>
            </w:r>
            <w:r>
              <w:rPr>
                <w:rFonts w:hint="eastAsia" w:ascii="宋体" w:hAnsi="宋体" w:eastAsia="宋体" w:cs="宋体"/>
                <w:color w:val="auto"/>
                <w:szCs w:val="21"/>
                <w:highlight w:val="none"/>
                <w:lang w:val="en-US" w:eastAsia="zh-CN"/>
              </w:rPr>
              <w:t>方式的，待项目完成后双方无异议办理书面正式移交手续后按招标人相关制度退还；采用银行或保险公司保函或</w:t>
            </w:r>
            <w:r>
              <w:rPr>
                <w:rFonts w:hint="eastAsia" w:ascii="宋体" w:hAnsi="宋体" w:eastAsia="宋体" w:cs="宋体"/>
                <w:color w:val="auto"/>
                <w:szCs w:val="21"/>
                <w:highlight w:val="none"/>
              </w:rPr>
              <w:t>担保机构担保</w:t>
            </w:r>
            <w:r>
              <w:rPr>
                <w:rFonts w:hint="eastAsia" w:ascii="宋体" w:hAnsi="宋体" w:eastAsia="宋体" w:cs="宋体"/>
                <w:color w:val="auto"/>
                <w:szCs w:val="21"/>
                <w:highlight w:val="none"/>
                <w:lang w:val="en-US" w:eastAsia="zh-CN"/>
              </w:rPr>
              <w:t>或保证保险方式的，有效期为自合同签订之日起至项目完成后</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个月内，如果项目合同提前终止，应在终止日后满3个月后由采购人准许后撤销。</w:t>
            </w:r>
          </w:p>
          <w:p w14:paraId="4002A98C">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具体要求：</w:t>
            </w:r>
          </w:p>
          <w:p w14:paraId="4A0C0F3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1、采用银行保函的具体要求：见索即付型（无条件保函），保函内容及格式须经招标人确认后开具；</w:t>
            </w:r>
          </w:p>
          <w:p w14:paraId="5CB4232D">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2、采用担保保函的具体要求：见索即付型（无条件保函），保函内容及格式须经招标人确认后开具；</w:t>
            </w:r>
          </w:p>
          <w:p w14:paraId="5977F03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3、采用商业保险的具体要求：保险内容及格式须经招标人确认后开具；</w:t>
            </w:r>
          </w:p>
          <w:p w14:paraId="4048F02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4、采用第三方担保的具体要求：担保内容及格式须经招标人确认后开具。</w:t>
            </w:r>
          </w:p>
          <w:p w14:paraId="546F4990">
            <w:pPr>
              <w:keepNext w:val="0"/>
              <w:keepLines w:val="0"/>
              <w:pageBreakBefore w:val="0"/>
              <w:kinsoku/>
              <w:wordWrap w:val="0"/>
              <w:overflowPunct/>
              <w:topLinePunct w:val="0"/>
              <w:autoSpaceDE/>
              <w:autoSpaceDN/>
              <w:bidi w:val="0"/>
              <w:adjustRightInd/>
              <w:spacing w:line="440" w:lineRule="exact"/>
              <w:textAlignment w:val="auto"/>
              <w:rPr>
                <w:rFonts w:hint="eastAsia"/>
                <w:color w:val="auto"/>
                <w:highlight w:val="none"/>
                <w:lang w:val="en-US" w:eastAsia="zh-CN"/>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投标人或委托其分公司及全资子公司办理履约担保事项视同投标人办理。</w:t>
            </w:r>
          </w:p>
        </w:tc>
      </w:tr>
      <w:tr w14:paraId="4863E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926" w:type="dxa"/>
            <w:gridSpan w:val="2"/>
            <w:noWrap w:val="0"/>
            <w:vAlign w:val="center"/>
          </w:tcPr>
          <w:p w14:paraId="72E13AED">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付款方式、时间、条件</w:t>
            </w:r>
          </w:p>
        </w:tc>
        <w:tc>
          <w:tcPr>
            <w:tcW w:w="8287" w:type="dxa"/>
            <w:gridSpan w:val="2"/>
            <w:noWrap w:val="0"/>
            <w:vAlign w:val="center"/>
          </w:tcPr>
          <w:p w14:paraId="5B58D803">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付款方式：</w:t>
            </w:r>
          </w:p>
          <w:p w14:paraId="1DEEAC49">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按月支付，中标人开具增值税专用发票办理服务费用结算。若当月服务不足月，则按天数扣除相应比例。</w:t>
            </w:r>
          </w:p>
          <w:p w14:paraId="75F7108C">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综合管理日常考核汇总表》作为中标人每月进度款支付的依据，中标人根据每月检查考核结果提起支付申请，经招标人确认后支付当月的服务费用的90%，余款作为预留款，待合同期结束六个月后根据《项目综合管理考核评分表》的考评结果一次性支付。</w:t>
            </w:r>
          </w:p>
          <w:p w14:paraId="32EAEA2A">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每月实际支付进度款=月服务费*90%-月度考核扣款-其他扣款；</w:t>
            </w:r>
          </w:p>
          <w:p w14:paraId="53D602E2">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color w:val="auto"/>
                <w:highlight w:val="none"/>
                <w:lang w:val="en-US" w:eastAsia="zh-CN"/>
              </w:rPr>
            </w:pPr>
            <w:r>
              <w:rPr>
                <w:rFonts w:hint="eastAsia" w:ascii="宋体" w:hAnsi="宋体" w:cs="宋体"/>
                <w:b/>
                <w:bCs/>
                <w:color w:val="auto"/>
                <w:highlight w:val="none"/>
                <w:lang w:val="en-US" w:eastAsia="zh-CN"/>
              </w:rPr>
              <w:t>招标人</w:t>
            </w:r>
            <w:r>
              <w:rPr>
                <w:rFonts w:hint="eastAsia" w:ascii="宋体" w:hAnsi="宋体" w:eastAsia="宋体" w:cs="宋体"/>
                <w:b/>
                <w:bCs/>
                <w:color w:val="auto"/>
                <w:highlight w:val="none"/>
                <w:lang w:val="en-US" w:eastAsia="zh-CN"/>
              </w:rPr>
              <w:t>对</w:t>
            </w: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服务情况进行月度考核和评分，月度考评与月度服务费的支付和奖罚挂钩。月考评分在95分以上则月度服务费按合同约定标准全额正常发放；月考评分在</w:t>
            </w:r>
            <w:r>
              <w:rPr>
                <w:rFonts w:hint="eastAsia" w:ascii="宋体" w:hAnsi="宋体" w:cs="宋体"/>
                <w:b/>
                <w:bCs/>
                <w:color w:val="auto"/>
                <w:highlight w:val="none"/>
                <w:lang w:val="en-US" w:eastAsia="zh-CN"/>
              </w:rPr>
              <w:t>80</w:t>
            </w:r>
            <w:r>
              <w:rPr>
                <w:rFonts w:hint="eastAsia" w:ascii="宋体" w:hAnsi="宋体" w:eastAsia="宋体" w:cs="宋体"/>
                <w:b/>
                <w:bCs/>
                <w:color w:val="auto"/>
                <w:highlight w:val="none"/>
                <w:lang w:val="en-US" w:eastAsia="zh-CN"/>
              </w:rPr>
              <w:t>分以上95分以下则按每分500元从月度服务费中扣除；月考评分在</w:t>
            </w:r>
            <w:r>
              <w:rPr>
                <w:rFonts w:hint="eastAsia" w:ascii="宋体" w:hAnsi="宋体" w:cs="宋体"/>
                <w:b/>
                <w:bCs/>
                <w:color w:val="auto"/>
                <w:highlight w:val="none"/>
                <w:lang w:val="en-US" w:eastAsia="zh-CN"/>
              </w:rPr>
              <w:t>80</w:t>
            </w:r>
            <w:r>
              <w:rPr>
                <w:rFonts w:hint="eastAsia" w:ascii="宋体" w:hAnsi="宋体" w:eastAsia="宋体" w:cs="宋体"/>
                <w:b/>
                <w:bCs/>
                <w:color w:val="auto"/>
                <w:highlight w:val="none"/>
                <w:lang w:val="en-US" w:eastAsia="zh-CN"/>
              </w:rPr>
              <w:t>分以下则按每分500元从月度服务费中扣除，并加扣月度服务费用5%；连续两月未满</w:t>
            </w:r>
            <w:r>
              <w:rPr>
                <w:rFonts w:hint="eastAsia" w:ascii="宋体" w:hAnsi="宋体" w:cs="宋体"/>
                <w:b/>
                <w:bCs/>
                <w:color w:val="auto"/>
                <w:highlight w:val="none"/>
                <w:lang w:val="en-US" w:eastAsia="zh-CN"/>
              </w:rPr>
              <w:t>80</w:t>
            </w:r>
            <w:r>
              <w:rPr>
                <w:rFonts w:hint="eastAsia" w:ascii="宋体" w:hAnsi="宋体" w:eastAsia="宋体" w:cs="宋体"/>
                <w:b/>
                <w:bCs/>
                <w:color w:val="auto"/>
                <w:highlight w:val="none"/>
                <w:lang w:val="en-US" w:eastAsia="zh-CN"/>
              </w:rPr>
              <w:t>分则扣月度服务费用30%并限期整改，如第三月月考评分仍在</w:t>
            </w:r>
            <w:r>
              <w:rPr>
                <w:rFonts w:hint="eastAsia" w:ascii="宋体" w:hAnsi="宋体" w:cs="宋体"/>
                <w:b/>
                <w:bCs/>
                <w:color w:val="auto"/>
                <w:highlight w:val="none"/>
                <w:lang w:val="en-US" w:eastAsia="zh-CN"/>
              </w:rPr>
              <w:t>80</w:t>
            </w:r>
            <w:r>
              <w:rPr>
                <w:rFonts w:hint="eastAsia" w:ascii="宋体" w:hAnsi="宋体" w:eastAsia="宋体" w:cs="宋体"/>
                <w:b/>
                <w:bCs/>
                <w:color w:val="auto"/>
                <w:highlight w:val="none"/>
                <w:lang w:val="en-US" w:eastAsia="zh-CN"/>
              </w:rPr>
              <w:t>分以下则终止合同。</w:t>
            </w:r>
          </w:p>
          <w:p w14:paraId="793DC36A">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（2）预留款支付</w:t>
            </w:r>
          </w:p>
          <w:p w14:paraId="411A39E0">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合同期内综合考评得分的算术平均值≥90分，全额支付预留款；</w:t>
            </w:r>
          </w:p>
          <w:p w14:paraId="01BE8296">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80分≤合同期内综合考评得分的算术平均值＜90分，支付预留款的85%；</w:t>
            </w:r>
          </w:p>
          <w:p w14:paraId="4D25E229">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70分≤合同期内综合考评得分的算术平均值＜80分，支付预留款的75%；</w:t>
            </w:r>
          </w:p>
          <w:p w14:paraId="3E9DCCC7">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60分≤合同期内综合考评得分的算术平均值＜70分，支付预留款的65%；</w:t>
            </w:r>
          </w:p>
          <w:p w14:paraId="5D0BA587">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合同期内综合考评得分的算术平均值＜60分，扣除全部预留款，支付金额为零。</w:t>
            </w:r>
          </w:p>
        </w:tc>
      </w:tr>
      <w:tr w14:paraId="3946A1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6A97D197">
            <w:pPr>
              <w:tabs>
                <w:tab w:val="left" w:pos="5034"/>
              </w:tabs>
              <w:kinsoku/>
              <w:wordWrap w:val="0"/>
              <w:overflowPunct/>
              <w:topLinePunct w:val="0"/>
              <w:bidi w:val="0"/>
              <w:spacing w:line="400" w:lineRule="exact"/>
              <w:jc w:val="center"/>
              <w:rPr>
                <w:rFonts w:hint="eastAsia" w:ascii="宋体" w:hAnsi="宋体" w:eastAsia="宋体" w:cs="宋体"/>
                <w:color w:val="auto"/>
                <w:szCs w:val="21"/>
                <w:highlight w:val="none"/>
              </w:rPr>
            </w:pPr>
            <w:r>
              <w:rPr>
                <w:rFonts w:hint="eastAsia"/>
                <w:color w:val="auto"/>
                <w:highlight w:val="none"/>
              </w:rPr>
              <w:t>电子招投标</w:t>
            </w:r>
          </w:p>
        </w:tc>
        <w:tc>
          <w:tcPr>
            <w:tcW w:w="8287" w:type="dxa"/>
            <w:gridSpan w:val="2"/>
            <w:noWrap w:val="0"/>
            <w:vAlign w:val="center"/>
          </w:tcPr>
          <w:p w14:paraId="19367C48">
            <w:pPr>
              <w:tabs>
                <w:tab w:val="left" w:pos="5034"/>
              </w:tabs>
              <w:kinsoku/>
              <w:wordWrap w:val="0"/>
              <w:overflowPunct/>
              <w:topLinePunct w:val="0"/>
              <w:bidi w:val="0"/>
              <w:spacing w:line="360" w:lineRule="exact"/>
              <w:rPr>
                <w:rFonts w:hint="eastAsia" w:ascii="宋体" w:hAnsi="宋体" w:eastAsia="宋体" w:cs="宋体"/>
                <w:color w:val="auto"/>
                <w:szCs w:val="21"/>
                <w:highlight w:val="none"/>
              </w:rPr>
            </w:pPr>
            <w:r>
              <w:rPr>
                <w:rFonts w:hint="eastAsia"/>
                <w:color w:val="auto"/>
                <w:highlight w:val="none"/>
              </w:rPr>
              <w:t>本项目采用电子招标投标方式。</w:t>
            </w:r>
          </w:p>
        </w:tc>
      </w:tr>
      <w:tr w14:paraId="2578BD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334BAC33">
            <w:pPr>
              <w:kinsoku/>
              <w:wordWrap w:val="0"/>
              <w:overflowPunct/>
              <w:topLinePunct w:val="0"/>
              <w:bidi w:val="0"/>
              <w:spacing w:line="400" w:lineRule="exact"/>
              <w:jc w:val="center"/>
              <w:rPr>
                <w:rFonts w:hint="eastAsia" w:ascii="宋体" w:hAnsi="宋体" w:eastAsia="宋体" w:cs="宋体"/>
                <w:color w:val="auto"/>
                <w:szCs w:val="21"/>
                <w:highlight w:val="none"/>
              </w:rPr>
            </w:pPr>
            <w:r>
              <w:rPr>
                <w:rFonts w:hint="eastAsia" w:ascii="宋体"/>
                <w:color w:val="auto"/>
                <w:szCs w:val="21"/>
                <w:highlight w:val="none"/>
              </w:rPr>
              <w:t>获取与查看通知</w:t>
            </w:r>
          </w:p>
        </w:tc>
        <w:tc>
          <w:tcPr>
            <w:tcW w:w="8287" w:type="dxa"/>
            <w:gridSpan w:val="2"/>
            <w:noWrap w:val="0"/>
            <w:vAlign w:val="center"/>
          </w:tcPr>
          <w:p w14:paraId="6A170896">
            <w:pPr>
              <w:kinsoku/>
              <w:wordWrap w:val="0"/>
              <w:overflowPunct/>
              <w:topLinePunct w:val="0"/>
              <w:bidi w:val="0"/>
              <w:spacing w:line="360" w:lineRule="exact"/>
              <w:jc w:val="left"/>
              <w:rPr>
                <w:rFonts w:hint="eastAsia" w:ascii="宋体" w:hAnsi="宋体" w:eastAsia="宋体" w:cs="宋体"/>
                <w:color w:val="auto"/>
                <w:szCs w:val="21"/>
                <w:highlight w:val="none"/>
              </w:rPr>
            </w:pPr>
            <w:r>
              <w:rPr>
                <w:rFonts w:hint="eastAsia" w:ascii="宋体"/>
                <w:color w:val="auto"/>
                <w:szCs w:val="21"/>
                <w:highlight w:val="none"/>
              </w:rPr>
              <w:t>本项目的招标文件等相关资料均通过滁州市公共资源交易中心网站发布，投标人应自行下载。投标人应当及时登录滁州市公共资源交易中心交易系统查看。</w:t>
            </w:r>
          </w:p>
        </w:tc>
      </w:tr>
      <w:tr w14:paraId="76B2BF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38E570E2">
            <w:pPr>
              <w:kinsoku/>
              <w:wordWrap w:val="0"/>
              <w:overflowPunct/>
              <w:topLinePunct w:val="0"/>
              <w:bidi w:val="0"/>
              <w:spacing w:line="400" w:lineRule="exact"/>
              <w:jc w:val="center"/>
              <w:rPr>
                <w:rFonts w:hint="eastAsia" w:ascii="宋体" w:hAnsi="宋体" w:eastAsia="宋体" w:cs="宋体"/>
                <w:color w:val="auto"/>
                <w:szCs w:val="21"/>
                <w:highlight w:val="none"/>
              </w:rPr>
            </w:pPr>
            <w:r>
              <w:rPr>
                <w:rFonts w:hint="eastAsia" w:ascii="宋体"/>
                <w:color w:val="auto"/>
                <w:szCs w:val="21"/>
                <w:highlight w:val="none"/>
              </w:rPr>
              <w:t>评标过程中的澄清、说明或补正</w:t>
            </w:r>
          </w:p>
        </w:tc>
        <w:tc>
          <w:tcPr>
            <w:tcW w:w="8287" w:type="dxa"/>
            <w:gridSpan w:val="2"/>
            <w:noWrap w:val="0"/>
            <w:vAlign w:val="center"/>
          </w:tcPr>
          <w:p w14:paraId="38D42A50">
            <w:pPr>
              <w:kinsoku/>
              <w:wordWrap w:val="0"/>
              <w:overflowPunct/>
              <w:topLinePunct w:val="0"/>
              <w:bidi w:val="0"/>
              <w:spacing w:line="36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w:t>
            </w:r>
            <w:r>
              <w:rPr>
                <w:rFonts w:hint="eastAsia" w:ascii="宋体" w:cs="Times New Roman"/>
                <w:color w:val="auto"/>
                <w:szCs w:val="21"/>
                <w:highlight w:val="none"/>
                <w:lang w:eastAsia="zh-CN"/>
              </w:rPr>
              <w:t>.</w:t>
            </w:r>
            <w:r>
              <w:rPr>
                <w:rFonts w:hint="eastAsia" w:ascii="宋体" w:hAnsi="Times New Roman" w:eastAsia="宋体" w:cs="Times New Roman"/>
                <w:color w:val="auto"/>
                <w:szCs w:val="21"/>
                <w:highlight w:val="none"/>
              </w:rPr>
              <w:t>评标委员会通过网上招投标系统将需要澄清、说明或补正的内容以询标函的形式发送给投标人，投标人应安排专人登录网上招投标系统并保持在线状态，并确保联系方式有效，以便及时接收评标委员会可能发出的询标函。</w:t>
            </w:r>
          </w:p>
          <w:p w14:paraId="755C0084">
            <w:pPr>
              <w:kinsoku/>
              <w:wordWrap w:val="0"/>
              <w:overflowPunct/>
              <w:topLinePunct w:val="0"/>
              <w:bidi w:val="0"/>
              <w:spacing w:line="36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w:t>
            </w:r>
            <w:r>
              <w:rPr>
                <w:rFonts w:hint="eastAsia" w:ascii="宋体" w:cs="Times New Roman"/>
                <w:color w:val="auto"/>
                <w:szCs w:val="21"/>
                <w:highlight w:val="none"/>
                <w:lang w:eastAsia="zh-CN"/>
              </w:rPr>
              <w:t>.</w:t>
            </w:r>
            <w:r>
              <w:rPr>
                <w:rFonts w:hint="eastAsia" w:ascii="宋体" w:hAnsi="Times New Roman" w:eastAsia="宋体" w:cs="Times New Roman"/>
                <w:color w:val="auto"/>
                <w:szCs w:val="21"/>
                <w:highlight w:val="none"/>
              </w:rPr>
              <w:t>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766899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3260EBC4">
            <w:pPr>
              <w:kinsoku/>
              <w:wordWrap w:val="0"/>
              <w:overflowPunct/>
              <w:topLinePunct w:val="0"/>
              <w:bidi w:val="0"/>
              <w:adjustRightInd w:val="0"/>
              <w:snapToGrid w:val="0"/>
              <w:spacing w:line="56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解释权</w:t>
            </w:r>
          </w:p>
        </w:tc>
        <w:tc>
          <w:tcPr>
            <w:tcW w:w="8287" w:type="dxa"/>
            <w:gridSpan w:val="2"/>
            <w:noWrap w:val="0"/>
            <w:vAlign w:val="center"/>
          </w:tcPr>
          <w:p w14:paraId="29A1A8A4">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构成本招标文件的各个组成文件应互为解释，互为说明；</w:t>
            </w:r>
          </w:p>
          <w:p w14:paraId="0005F3AA">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同一组成文件中就同一事项的规定或约定不一致的，以编排顺序在后者为准；</w:t>
            </w:r>
          </w:p>
          <w:p w14:paraId="01D38F20">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如有不明确或不一致，构成合同文件组成内容的，以合同文件约定内容为准，且以专用合同条款约定的合同文件优先顺序解释；</w:t>
            </w:r>
          </w:p>
          <w:p w14:paraId="584F57C3">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4</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系统中提供的表格（或格式文件）与招标文件中不一致时，以招标文件中提供的为准；</w:t>
            </w:r>
          </w:p>
          <w:p w14:paraId="090D82C4">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5</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按本款前述规定仍不能形成结论的，由招标人负责解释。</w:t>
            </w:r>
          </w:p>
        </w:tc>
      </w:tr>
      <w:tr w14:paraId="0A8C8E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073A9E89">
            <w:pPr>
              <w:kinsoku/>
              <w:wordWrap w:val="0"/>
              <w:overflowPunct/>
              <w:topLinePunct w:val="0"/>
              <w:bidi w:val="0"/>
              <w:adjustRightInd w:val="0"/>
              <w:snapToGrid w:val="0"/>
              <w:spacing w:line="56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同义词语</w:t>
            </w:r>
          </w:p>
        </w:tc>
        <w:tc>
          <w:tcPr>
            <w:tcW w:w="8287" w:type="dxa"/>
            <w:gridSpan w:val="2"/>
            <w:noWrap w:val="0"/>
            <w:vAlign w:val="center"/>
          </w:tcPr>
          <w:p w14:paraId="590F7465">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构成招标文件组成部分的“通用合同条款”、“专用合同条款”、“</w:t>
            </w:r>
            <w:r>
              <w:rPr>
                <w:rFonts w:hint="eastAsia" w:ascii="宋体" w:hAnsi="宋体" w:cs="宋体"/>
                <w:b w:val="0"/>
                <w:bCs w:val="0"/>
                <w:color w:val="auto"/>
                <w:highlight w:val="none"/>
                <w:lang w:val="en-US" w:eastAsia="zh-CN"/>
              </w:rPr>
              <w:t>采购需求</w:t>
            </w:r>
            <w:r>
              <w:rPr>
                <w:rFonts w:hint="eastAsia" w:ascii="宋体" w:hAnsi="宋体" w:eastAsia="宋体" w:cs="宋体"/>
                <w:b w:val="0"/>
                <w:bCs w:val="0"/>
                <w:color w:val="auto"/>
                <w:highlight w:val="none"/>
              </w:rPr>
              <w:t>”等章节中 “发包人”和“承包人”，等同于招标投标阶段的“招标人”和“投标人/中标人”。</w:t>
            </w:r>
          </w:p>
        </w:tc>
      </w:tr>
      <w:tr w14:paraId="24CCF6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926" w:type="dxa"/>
            <w:gridSpan w:val="2"/>
            <w:noWrap w:val="0"/>
            <w:vAlign w:val="center"/>
          </w:tcPr>
          <w:p w14:paraId="64FA8420">
            <w:pPr>
              <w:keepNext w:val="0"/>
              <w:keepLines w:val="0"/>
              <w:pageBreakBefore w:val="0"/>
              <w:widowControl/>
              <w:suppressLineNumbers w:val="0"/>
              <w:kinsoku/>
              <w:wordWrap w:val="0"/>
              <w:overflowPunct/>
              <w:topLinePunct w:val="0"/>
              <w:autoSpaceDE/>
              <w:autoSpaceDN/>
              <w:bidi w:val="0"/>
              <w:spacing w:before="0" w:beforeAutospacing="0" w:afterAutospacing="0" w:line="500" w:lineRule="exact"/>
              <w:ind w:left="0" w:leftChars="0"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特别提示</w:t>
            </w:r>
          </w:p>
        </w:tc>
        <w:tc>
          <w:tcPr>
            <w:tcW w:w="8287" w:type="dxa"/>
            <w:gridSpan w:val="2"/>
            <w:noWrap w:val="0"/>
            <w:vAlign w:val="top"/>
          </w:tcPr>
          <w:p w14:paraId="7E6F1641">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1.本项目投标保证金、履约保证金、工程质量保证金、农民工工资保证金均支持保函使用。以现金形式提交保证金的，应当同时退还保证金本金和银行同期存款利息。</w:t>
            </w:r>
          </w:p>
          <w:p w14:paraId="2DF7718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2.投标人应填写投标信息并下载招标文件，否则无法上传投标文件。</w:t>
            </w:r>
          </w:p>
          <w:p w14:paraId="2E43510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C9AC8B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4.如果过程中出现招标文件更改，应以最后发布的招标答疑澄清文件中的模板制作本项目最新投标文件。</w:t>
            </w:r>
          </w:p>
          <w:p w14:paraId="55231E46">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5.投标人应当用本单位CA数字证书制作投标文件，制作成功后进行投标文件上传。 </w:t>
            </w:r>
          </w:p>
          <w:p w14:paraId="443239E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E4962D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7.请投标人注意加密投标文件CA数字证书的有效期，不在有效期的CA数字证书无法解密投标文件。</w:t>
            </w:r>
          </w:p>
          <w:p w14:paraId="05937AC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8.投标人投标MAC地址一致或申请开具电子保函MAC地址一致的，由评标委员会否决其投标。</w:t>
            </w:r>
          </w:p>
          <w:p w14:paraId="4A189C00">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9.投标人投标文件中单方面出现其他投标人材料的（依法组成联合体投标的除外），由评标委员会否决其投标。</w:t>
            </w:r>
          </w:p>
          <w:p w14:paraId="071F6DBC">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F0F7491">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11.若存在不予退还投标人投标保证金的情形，银行转账的，由市公共资源交易中心代为收缴，递交保函的，由招标人予以追缴。</w:t>
            </w:r>
          </w:p>
          <w:p w14:paraId="145B61D5">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72E7BFB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13.投标人联系人或联系电话相同的，由评标委员会否决其投标，并报告监管部门作不良行为处理和进一步调查。</w:t>
            </w:r>
          </w:p>
          <w:p w14:paraId="0F395F74">
            <w:pPr>
              <w:keepNext w:val="0"/>
              <w:keepLines w:val="0"/>
              <w:pageBreakBefore w:val="0"/>
              <w:suppressLineNumbers w:val="0"/>
              <w:kinsoku/>
              <w:wordWrap w:val="0"/>
              <w:overflowPunct/>
              <w:topLinePunct w:val="0"/>
              <w:autoSpaceDE/>
              <w:autoSpaceDN/>
              <w:bidi w:val="0"/>
              <w:spacing w:before="0" w:beforeAutospacing="0" w:afterAutospacing="0" w:line="500" w:lineRule="exact"/>
              <w:ind w:left="0" w:leftChars="0" w:right="0" w:rightChars="0"/>
              <w:jc w:val="left"/>
              <w:textAlignment w:val="auto"/>
              <w:rPr>
                <w:rFonts w:hint="eastAsia" w:ascii="宋体" w:hAnsi="宋体" w:eastAsia="宋体" w:cs="宋体"/>
                <w:b/>
                <w:bCs/>
                <w:color w:val="auto"/>
                <w:szCs w:val="21"/>
                <w:highlight w:val="none"/>
                <w:lang w:bidi="ar"/>
              </w:rPr>
            </w:pPr>
            <w:r>
              <w:rPr>
                <w:rFonts w:hint="eastAsia" w:ascii="宋体" w:hAnsi="宋体" w:eastAsia="宋体" w:cs="宋体"/>
                <w:b w:val="0"/>
                <w:bCs w:val="0"/>
                <w:color w:val="auto"/>
                <w:sz w:val="21"/>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BC1A8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926" w:type="dxa"/>
            <w:gridSpan w:val="2"/>
            <w:noWrap w:val="0"/>
            <w:vAlign w:val="center"/>
          </w:tcPr>
          <w:p w14:paraId="2528ACD9">
            <w:pPr>
              <w:keepNext w:val="0"/>
              <w:keepLines w:val="0"/>
              <w:pageBreakBefore w:val="0"/>
              <w:suppressLineNumbers w:val="0"/>
              <w:kinsoku/>
              <w:wordWrap w:val="0"/>
              <w:overflowPunct/>
              <w:topLinePunct w:val="0"/>
              <w:autoSpaceDE/>
              <w:autoSpaceDN/>
              <w:bidi w:val="0"/>
              <w:adjustRightInd/>
              <w:spacing w:before="0" w:beforeAutospacing="0" w:afterAutospacing="0" w:line="500" w:lineRule="exact"/>
              <w:ind w:left="0" w:leftChars="0" w:right="0" w:rightChars="0"/>
              <w:jc w:val="center"/>
              <w:textAlignment w:val="auto"/>
              <w:rPr>
                <w:rFonts w:hint="eastAsia" w:ascii="宋体" w:hAnsi="宋体" w:eastAsia="宋体" w:cs="宋体"/>
                <w:bCs/>
                <w:color w:val="auto"/>
                <w:szCs w:val="21"/>
                <w:highlight w:val="none"/>
                <w:lang w:val="en-US" w:eastAsia="zh-CN" w:bidi="ar"/>
              </w:rPr>
            </w:pPr>
            <w:bookmarkStart w:id="37" w:name="_Toc449028866"/>
            <w:bookmarkStart w:id="38" w:name="_Toc28397"/>
            <w:bookmarkStart w:id="39" w:name="_Toc58430315"/>
            <w:r>
              <w:rPr>
                <w:rFonts w:hint="eastAsia" w:ascii="宋体" w:hAnsi="宋体" w:eastAsia="宋体" w:cs="宋体"/>
                <w:bCs/>
                <w:color w:val="auto"/>
                <w:sz w:val="21"/>
                <w:szCs w:val="21"/>
                <w:highlight w:val="none"/>
                <w:lang w:val="en-US" w:eastAsia="zh-CN" w:bidi="ar"/>
              </w:rPr>
              <w:t>其他</w:t>
            </w:r>
          </w:p>
        </w:tc>
        <w:tc>
          <w:tcPr>
            <w:tcW w:w="8287" w:type="dxa"/>
            <w:gridSpan w:val="2"/>
            <w:noWrap w:val="0"/>
            <w:vAlign w:val="top"/>
          </w:tcPr>
          <w:p w14:paraId="4F9EB6D5">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26C482A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2.中标人未履行下述义务的，滁州市公共资源交易监督管理局将依法对中标人进行处理，追究相关责任：</w:t>
            </w:r>
          </w:p>
          <w:p w14:paraId="2D3AC748">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①中标人无正当理由不与招标人订立合同，在签订合同时向招标人提出附加条件，或者不按照招标文件要求提交履约保证金的，招标人有权取消中标人中标资格，并将相关违约行为报送监管部门处理；</w:t>
            </w:r>
          </w:p>
          <w:p w14:paraId="793CB6AF">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Autospacing="0" w:line="500" w:lineRule="exact"/>
              <w:ind w:left="0" w:leftChars="0" w:right="0" w:rightChars="0" w:firstLine="0" w:firstLineChars="0"/>
              <w:textAlignment w:val="auto"/>
              <w:rPr>
                <w:rFonts w:hint="eastAsia" w:eastAsia="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7F3396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926" w:type="dxa"/>
            <w:gridSpan w:val="2"/>
            <w:noWrap w:val="0"/>
            <w:vAlign w:val="center"/>
          </w:tcPr>
          <w:p w14:paraId="0CE4781F">
            <w:pPr>
              <w:kinsoku/>
              <w:wordWrap w:val="0"/>
              <w:overflowPunct/>
              <w:topLinePunct w:val="0"/>
              <w:bidi w:val="0"/>
              <w:adjustRightInd w:val="0"/>
              <w:snapToGrid w:val="0"/>
              <w:spacing w:line="560" w:lineRule="exact"/>
              <w:jc w:val="center"/>
              <w:rPr>
                <w:rFonts w:hint="eastAsia" w:ascii="宋体" w:hAnsi="宋体" w:cs="宋体"/>
                <w:bCs/>
                <w:color w:val="auto"/>
                <w:szCs w:val="21"/>
                <w:highlight w:val="none"/>
                <w:lang w:val="en-US" w:eastAsia="zh-CN" w:bidi="ar"/>
              </w:rPr>
            </w:pPr>
            <w:r>
              <w:rPr>
                <w:rFonts w:hint="eastAsia" w:ascii="宋体" w:hAnsi="宋体" w:eastAsia="宋体" w:cs="宋体"/>
                <w:bCs/>
                <w:color w:val="auto"/>
                <w:szCs w:val="21"/>
                <w:highlight w:val="none"/>
                <w:lang w:val="en-US" w:eastAsia="zh-CN" w:bidi="ar"/>
              </w:rPr>
              <w:t>变更招标方式</w:t>
            </w:r>
          </w:p>
        </w:tc>
        <w:tc>
          <w:tcPr>
            <w:tcW w:w="8287" w:type="dxa"/>
            <w:gridSpan w:val="2"/>
            <w:noWrap w:val="0"/>
            <w:vAlign w:val="center"/>
          </w:tcPr>
          <w:p w14:paraId="36675E4B">
            <w:pPr>
              <w:pStyle w:val="17"/>
              <w:kinsoku/>
              <w:wordWrap w:val="0"/>
              <w:overflowPunct/>
              <w:topLinePunct w:val="0"/>
              <w:bidi w:val="0"/>
              <w:adjustRightInd w:val="0"/>
              <w:snapToGrid w:val="0"/>
              <w:spacing w:after="0" w:line="560" w:lineRule="exact"/>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按照滁州市公共资源交易监督管理局现行规定执行。</w:t>
            </w:r>
          </w:p>
        </w:tc>
      </w:tr>
    </w:tbl>
    <w:p w14:paraId="1A5C89D1">
      <w:pPr>
        <w:keepNext w:val="0"/>
        <w:keepLines w:val="0"/>
        <w:pageBreakBefore/>
        <w:widowControl w:val="0"/>
        <w:kinsoku/>
        <w:wordWrap w:val="0"/>
        <w:overflowPunct/>
        <w:topLinePunct w:val="0"/>
        <w:autoSpaceDE/>
        <w:autoSpaceDN/>
        <w:bidi w:val="0"/>
        <w:spacing w:line="520" w:lineRule="exact"/>
        <w:ind w:left="0" w:right="0" w:rightChars="0" w:firstLine="562" w:firstLineChars="200"/>
        <w:jc w:val="center"/>
        <w:textAlignment w:val="auto"/>
        <w:outlineLvl w:val="1"/>
        <w:rPr>
          <w:rFonts w:hint="eastAsia" w:ascii="宋体"/>
          <w:b/>
          <w:color w:val="auto"/>
          <w:sz w:val="28"/>
          <w:szCs w:val="32"/>
          <w:highlight w:val="none"/>
        </w:rPr>
      </w:pPr>
      <w:r>
        <w:rPr>
          <w:rFonts w:hint="eastAsia" w:ascii="宋体"/>
          <w:b/>
          <w:color w:val="auto"/>
          <w:sz w:val="28"/>
          <w:szCs w:val="28"/>
          <w:highlight w:val="none"/>
        </w:rPr>
        <w:t>二、投标人须知</w:t>
      </w:r>
      <w:bookmarkEnd w:id="37"/>
      <w:bookmarkEnd w:id="38"/>
      <w:bookmarkEnd w:id="39"/>
    </w:p>
    <w:p w14:paraId="5C3CC863">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eastAsia" w:ascii="宋体" w:hAnsi="宋体" w:cs="宋体"/>
          <w:color w:val="auto"/>
          <w:sz w:val="28"/>
          <w:szCs w:val="28"/>
          <w:highlight w:val="none"/>
        </w:rPr>
      </w:pPr>
      <w:bookmarkStart w:id="40" w:name="_Toc449028867"/>
      <w:r>
        <w:rPr>
          <w:rFonts w:hint="eastAsia" w:ascii="宋体" w:hAnsi="宋体" w:cs="宋体"/>
          <w:b/>
          <w:color w:val="auto"/>
          <w:sz w:val="28"/>
          <w:szCs w:val="28"/>
          <w:highlight w:val="none"/>
        </w:rPr>
        <w:t>（一）总  则</w:t>
      </w:r>
      <w:bookmarkEnd w:id="40"/>
    </w:p>
    <w:p w14:paraId="30DDF07D">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D758039">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1.1本次招标项目名称：见投标人须知前附表。</w:t>
      </w:r>
    </w:p>
    <w:p w14:paraId="2BB1F285">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项目编号：见投标人须知前附表。</w:t>
      </w:r>
    </w:p>
    <w:p w14:paraId="6BE129B6">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招标人：见投标人须知前附表。</w:t>
      </w:r>
    </w:p>
    <w:p w14:paraId="47DCFA30">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rPr>
        <w:t>：见投标人须知前附表。</w:t>
      </w:r>
    </w:p>
    <w:p w14:paraId="2D3F4BF1">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服务地点：见投标人须知前附表。</w:t>
      </w:r>
    </w:p>
    <w:p w14:paraId="40CB3F65">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1.2招标人及联系人: 见投标人须知前附表。</w:t>
      </w:r>
    </w:p>
    <w:p w14:paraId="44191BDF">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代理机构及联系人：见投标人须知前附表。</w:t>
      </w:r>
    </w:p>
    <w:p w14:paraId="507A5E0A">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14:paraId="4F4B6FCE">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14:paraId="4D0F5F0C">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1.5本项目最高限价：见投标人须知前附表。</w:t>
      </w:r>
    </w:p>
    <w:p w14:paraId="5098E02E">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458EA95A">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p>
    <w:p w14:paraId="7931DE94">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p>
    <w:p w14:paraId="196C9EBA">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FA4CAAA">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75A8800B">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5B019EB2">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5CA8B9A2">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742417EB">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u w:val="single"/>
        </w:rPr>
        <w:t xml:space="preserve"> 。</w:t>
      </w:r>
    </w:p>
    <w:p w14:paraId="59898711">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526C073E">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b/>
          <w:bCs/>
          <w:color w:val="auto"/>
          <w:szCs w:val="21"/>
          <w:highlight w:val="none"/>
          <w:u w:val="single"/>
          <w:lang w:val="en-US" w:eastAsia="zh-CN"/>
        </w:rPr>
        <w:t>综合评分法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章评标办法）</w:t>
      </w:r>
    </w:p>
    <w:p w14:paraId="5EAD2306">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6BE26A5A">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229B958">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415BA09F">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8.1投标人准备和参加投标活动发生费用的自理。</w:t>
      </w:r>
    </w:p>
    <w:p w14:paraId="6381C1A8">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9.</w:t>
      </w:r>
      <w:bookmarkStart w:id="41" w:name="_Toc144974507"/>
      <w:bookmarkStart w:id="42" w:name="_Toc247513962"/>
      <w:bookmarkStart w:id="43" w:name="_Toc247527563"/>
      <w:bookmarkStart w:id="44" w:name="_Toc152045539"/>
      <w:bookmarkStart w:id="45" w:name="_Toc152042315"/>
      <w:bookmarkStart w:id="46" w:name="_Toc296602429"/>
      <w:bookmarkStart w:id="47" w:name="_Toc247592876"/>
      <w:r>
        <w:rPr>
          <w:rFonts w:hint="eastAsia" w:ascii="宋体" w:hAnsi="宋体" w:cs="宋体"/>
          <w:b/>
          <w:color w:val="auto"/>
          <w:szCs w:val="21"/>
          <w:highlight w:val="none"/>
        </w:rPr>
        <w:t xml:space="preserve"> 踏勘现场</w:t>
      </w:r>
      <w:bookmarkEnd w:id="41"/>
      <w:bookmarkEnd w:id="42"/>
      <w:bookmarkEnd w:id="43"/>
      <w:bookmarkEnd w:id="44"/>
      <w:bookmarkEnd w:id="45"/>
      <w:bookmarkEnd w:id="46"/>
      <w:bookmarkEnd w:id="47"/>
    </w:p>
    <w:p w14:paraId="51C99CB2">
      <w:pPr>
        <w:kinsoku/>
        <w:wordWrap w:val="0"/>
        <w:overflowPunct/>
        <w:topLinePunct w:val="0"/>
        <w:bidi w:val="0"/>
        <w:spacing w:line="440" w:lineRule="exact"/>
        <w:ind w:firstLine="409" w:firstLineChars="195"/>
        <w:rPr>
          <w:rFonts w:hint="eastAsia" w:ascii="宋体"/>
          <w:color w:val="auto"/>
          <w:szCs w:val="21"/>
          <w:highlight w:val="none"/>
        </w:rPr>
      </w:pPr>
      <w:bookmarkStart w:id="48" w:name="_Toc152045540"/>
      <w:bookmarkStart w:id="49" w:name="_Toc247527564"/>
      <w:bookmarkStart w:id="50" w:name="_Toc247513963"/>
      <w:bookmarkStart w:id="51" w:name="_Toc152042316"/>
      <w:bookmarkStart w:id="52" w:name="_Toc247592877"/>
      <w:bookmarkStart w:id="53" w:name="_Toc144974508"/>
      <w:bookmarkStart w:id="54" w:name="_Toc296602430"/>
      <w:r>
        <w:rPr>
          <w:rFonts w:hint="eastAsia" w:ascii="宋体"/>
          <w:color w:val="auto"/>
          <w:szCs w:val="21"/>
          <w:highlight w:val="none"/>
        </w:rPr>
        <w:t xml:space="preserve">9.1 投标人须知前附表规定组织踏勘现场的，招标人按投标人须知前附表规定的时间、地点组织投标人踏勘项目现场。 </w:t>
      </w:r>
    </w:p>
    <w:p w14:paraId="07EA6D32">
      <w:pPr>
        <w:kinsoku/>
        <w:wordWrap w:val="0"/>
        <w:overflowPunct/>
        <w:topLinePunct w:val="0"/>
        <w:bidi w:val="0"/>
        <w:spacing w:line="440" w:lineRule="exact"/>
        <w:ind w:firstLine="409" w:firstLineChars="195"/>
        <w:outlineLvl w:val="4"/>
        <w:rPr>
          <w:rFonts w:hint="eastAsia" w:ascii="宋体"/>
          <w:color w:val="auto"/>
          <w:szCs w:val="21"/>
          <w:highlight w:val="none"/>
        </w:rPr>
      </w:pPr>
      <w:r>
        <w:rPr>
          <w:rFonts w:hint="eastAsia" w:ascii="宋体"/>
          <w:color w:val="auto"/>
          <w:szCs w:val="21"/>
          <w:highlight w:val="none"/>
        </w:rPr>
        <w:t>9.2 投标人踏勘现场发生的费用自理。</w:t>
      </w:r>
    </w:p>
    <w:p w14:paraId="585FB609">
      <w:pPr>
        <w:kinsoku/>
        <w:wordWrap w:val="0"/>
        <w:overflowPunct/>
        <w:topLinePunct w:val="0"/>
        <w:bidi w:val="0"/>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071E463D">
      <w:pPr>
        <w:kinsoku/>
        <w:wordWrap w:val="0"/>
        <w:overflowPunct/>
        <w:topLinePunct w:val="0"/>
        <w:bidi w:val="0"/>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p>
    <w:p w14:paraId="321E3E5C">
      <w:pPr>
        <w:kinsoku/>
        <w:wordWrap w:val="0"/>
        <w:overflowPunct/>
        <w:topLinePunct w:val="0"/>
        <w:bidi w:val="0"/>
        <w:spacing w:line="440" w:lineRule="exact"/>
        <w:ind w:firstLine="409" w:firstLineChars="195"/>
        <w:rPr>
          <w:rFonts w:hint="eastAsia" w:ascii="宋体"/>
          <w:color w:val="auto"/>
          <w:szCs w:val="21"/>
          <w:highlight w:val="none"/>
        </w:rPr>
      </w:pPr>
      <w:r>
        <w:rPr>
          <w:rFonts w:hint="eastAsia" w:ascii="宋体"/>
          <w:color w:val="auto"/>
          <w:szCs w:val="21"/>
          <w:highlight w:val="none"/>
        </w:rPr>
        <w:t>9.5无论投标人是否到现场实地踏勘，中标后签订合同时和履约过程中，投标人不得以不完全了解现场情况或现场情况与招标文件描述不一致等为由，提出任何形式的增加</w:t>
      </w:r>
      <w:r>
        <w:rPr>
          <w:rFonts w:hint="eastAsia" w:ascii="宋体"/>
          <w:color w:val="auto"/>
          <w:szCs w:val="21"/>
          <w:highlight w:val="none"/>
          <w:lang w:val="en-US" w:eastAsia="zh-CN"/>
        </w:rPr>
        <w:t>合同价</w:t>
      </w:r>
      <w:r>
        <w:rPr>
          <w:rFonts w:hint="eastAsia" w:ascii="宋体"/>
          <w:color w:val="auto"/>
          <w:szCs w:val="21"/>
          <w:highlight w:val="none"/>
        </w:rPr>
        <w:t>或索赔的要求。</w:t>
      </w:r>
    </w:p>
    <w:p w14:paraId="488ED471">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48"/>
      <w:bookmarkEnd w:id="49"/>
      <w:bookmarkEnd w:id="50"/>
      <w:bookmarkEnd w:id="51"/>
      <w:bookmarkEnd w:id="52"/>
      <w:bookmarkEnd w:id="53"/>
      <w:bookmarkEnd w:id="54"/>
      <w:r>
        <w:rPr>
          <w:rFonts w:hint="eastAsia" w:ascii="宋体" w:hAnsi="宋体" w:cs="宋体"/>
          <w:b/>
          <w:color w:val="auto"/>
          <w:szCs w:val="21"/>
          <w:highlight w:val="none"/>
        </w:rPr>
        <w:t>（本项目不采用）</w:t>
      </w:r>
    </w:p>
    <w:p w14:paraId="1E52D0E3">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2429F51E">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11.联合投标</w:t>
      </w:r>
    </w:p>
    <w:p w14:paraId="2B69FA50">
      <w:pPr>
        <w:pStyle w:val="13"/>
        <w:kinsoku/>
        <w:wordWrap w:val="0"/>
        <w:overflowPunct/>
        <w:topLinePunct w:val="0"/>
        <w:bidi w:val="0"/>
        <w:spacing w:after="0" w:line="400" w:lineRule="exact"/>
        <w:ind w:left="0" w:leftChars="0" w:firstLine="424" w:firstLineChars="202"/>
        <w:outlineLvl w:val="4"/>
        <w:rPr>
          <w:rFonts w:hint="eastAsia"/>
          <w:bCs/>
          <w:color w:val="auto"/>
          <w:szCs w:val="21"/>
          <w:highlight w:val="none"/>
        </w:rPr>
      </w:pPr>
      <w:r>
        <w:rPr>
          <w:rFonts w:hint="eastAsia" w:ascii="宋体"/>
          <w:bCs/>
          <w:color w:val="auto"/>
          <w:szCs w:val="21"/>
          <w:highlight w:val="none"/>
        </w:rPr>
        <w:t>11.1本项</w:t>
      </w:r>
      <w:r>
        <w:rPr>
          <w:rFonts w:hint="eastAsia"/>
          <w:bCs/>
          <w:color w:val="auto"/>
          <w:szCs w:val="21"/>
          <w:highlight w:val="none"/>
        </w:rPr>
        <w:t xml:space="preserve">目不接受联合体投标。 </w:t>
      </w:r>
    </w:p>
    <w:p w14:paraId="7157FD07">
      <w:pPr>
        <w:kinsoku/>
        <w:wordWrap w:val="0"/>
        <w:overflowPunct/>
        <w:topLinePunct w:val="0"/>
        <w:bidi w:val="0"/>
        <w:spacing w:line="440" w:lineRule="exact"/>
        <w:ind w:firstLine="413" w:firstLineChars="196"/>
        <w:jc w:val="left"/>
        <w:outlineLvl w:val="3"/>
        <w:rPr>
          <w:rFonts w:hint="eastAsia" w:ascii="宋体"/>
          <w:b/>
          <w:color w:val="auto"/>
          <w:szCs w:val="21"/>
          <w:highlight w:val="none"/>
        </w:rPr>
      </w:pPr>
      <w:r>
        <w:rPr>
          <w:rFonts w:hint="eastAsia" w:ascii="宋体"/>
          <w:b/>
          <w:color w:val="auto"/>
          <w:szCs w:val="21"/>
          <w:highlight w:val="none"/>
        </w:rPr>
        <w:t>12.招标代理服务费和专家评审劳务费</w:t>
      </w:r>
    </w:p>
    <w:p w14:paraId="5914372D">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12.1 本项目的招标代理服务费详见投标人须知前附表。</w:t>
      </w:r>
    </w:p>
    <w:p w14:paraId="7E27BB00">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12.2本项目的专家评审劳务费详见投标人须知前附表。</w:t>
      </w:r>
    </w:p>
    <w:p w14:paraId="2C12BBC3">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59DDAAA0">
      <w:pPr>
        <w:kinsoku/>
        <w:wordWrap w:val="0"/>
        <w:overflowPunct/>
        <w:topLinePunct w:val="0"/>
        <w:bidi w:val="0"/>
        <w:spacing w:line="360" w:lineRule="auto"/>
        <w:ind w:firstLine="420" w:firstLineChars="200"/>
        <w:rPr>
          <w:rFonts w:hint="eastAsia" w:ascii="宋体"/>
          <w:color w:val="auto"/>
          <w:szCs w:val="21"/>
          <w:highlight w:val="none"/>
        </w:rPr>
      </w:pPr>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8F1CC34">
      <w:pPr>
        <w:kinsoku/>
        <w:wordWrap w:val="0"/>
        <w:overflowPunct/>
        <w:topLinePunct w:val="0"/>
        <w:bidi w:val="0"/>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w:t>
      </w:r>
      <w:r>
        <w:rPr>
          <w:rFonts w:hint="eastAsia" w:ascii="宋体"/>
          <w:color w:val="auto"/>
          <w:szCs w:val="21"/>
          <w:highlight w:val="none"/>
          <w:lang w:eastAsia="zh-CN"/>
        </w:rPr>
        <w:t>采购需求及服务要求</w:t>
      </w:r>
      <w:r>
        <w:rPr>
          <w:rFonts w:hint="eastAsia" w:ascii="宋体"/>
          <w:color w:val="auto"/>
          <w:szCs w:val="21"/>
          <w:highlight w:val="none"/>
        </w:rPr>
        <w:t>等必须满足招标文件的相关要求。</w:t>
      </w:r>
    </w:p>
    <w:p w14:paraId="7B304D94">
      <w:pPr>
        <w:kinsoku/>
        <w:wordWrap w:val="0"/>
        <w:overflowPunct/>
        <w:topLinePunct w:val="0"/>
        <w:bidi w:val="0"/>
        <w:spacing w:line="440" w:lineRule="exact"/>
        <w:ind w:firstLine="411" w:firstLineChars="196"/>
        <w:rPr>
          <w:rFonts w:ascii="宋体"/>
          <w:bCs/>
          <w:color w:val="auto"/>
          <w:szCs w:val="21"/>
          <w:highlight w:val="none"/>
        </w:rPr>
      </w:pPr>
      <w:r>
        <w:rPr>
          <w:rFonts w:hint="eastAsia" w:ascii="宋体"/>
          <w:bCs/>
          <w:color w:val="auto"/>
          <w:szCs w:val="21"/>
          <w:highlight w:val="none"/>
        </w:rPr>
        <w:t>13.3 所有投标人的投标保证金都应在招标文件规定的投标保证金缴纳截止日期前缴纳，银行转账形式的以资金到账时间为准。</w:t>
      </w:r>
    </w:p>
    <w:p w14:paraId="3176867E">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4</w:t>
      </w:r>
      <w:r>
        <w:rPr>
          <w:rFonts w:hint="eastAsia" w:ascii="宋体" w:hAnsi="宋体" w:cs="宋体"/>
          <w:bCs/>
          <w:color w:val="auto"/>
          <w:szCs w:val="21"/>
          <w:highlight w:val="none"/>
        </w:rPr>
        <w:t>单位负责人为同一人或者存在直接控股、管理关系的</w:t>
      </w:r>
      <w:r>
        <w:rPr>
          <w:rFonts w:hint="eastAsia" w:ascii="宋体" w:hAnsi="宋体" w:eastAsia="宋体" w:cs="宋体"/>
          <w:bCs/>
          <w:color w:val="auto"/>
          <w:szCs w:val="21"/>
          <w:highlight w:val="none"/>
        </w:rPr>
        <w:t>不同投标人</w:t>
      </w:r>
      <w:r>
        <w:rPr>
          <w:rFonts w:hint="eastAsia" w:ascii="宋体" w:hAnsi="宋体" w:eastAsia="宋体" w:cs="宋体"/>
          <w:bCs/>
          <w:color w:val="auto"/>
          <w:szCs w:val="21"/>
          <w:highlight w:val="none"/>
          <w:lang w:val="en-US" w:eastAsia="zh-CN"/>
        </w:rPr>
        <w:t>（包含法定代表人为同一个人的两个及两个以上法人，母公司、全资子公司及其控股公司）</w:t>
      </w:r>
      <w:r>
        <w:rPr>
          <w:rFonts w:hint="eastAsia" w:ascii="宋体" w:hAnsi="宋体" w:cs="宋体"/>
          <w:bCs/>
          <w:color w:val="auto"/>
          <w:szCs w:val="21"/>
          <w:highlight w:val="none"/>
        </w:rPr>
        <w:t>，不得参加同一合同项下的采购活动。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F47966D">
      <w:pPr>
        <w:kinsoku/>
        <w:wordWrap w:val="0"/>
        <w:overflowPunct/>
        <w:topLinePunct w:val="0"/>
        <w:bidi w:val="0"/>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13.5投标人被视为充分熟悉本招标项目所在地的与履行合同有关的各种情况，包括但不限于：</w:t>
      </w:r>
    </w:p>
    <w:p w14:paraId="5CB60E44">
      <w:pPr>
        <w:kinsoku/>
        <w:wordWrap w:val="0"/>
        <w:overflowPunct/>
        <w:topLinePunct w:val="0"/>
        <w:bidi w:val="0"/>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25A24885">
      <w:pPr>
        <w:kinsoku/>
        <w:wordWrap w:val="0"/>
        <w:overflowPunct/>
        <w:topLinePunct w:val="0"/>
        <w:bidi w:val="0"/>
        <w:spacing w:line="400" w:lineRule="exact"/>
        <w:ind w:firstLine="315" w:firstLineChars="150"/>
        <w:outlineLvl w:val="4"/>
        <w:rPr>
          <w:rFonts w:hint="eastAsia" w:ascii="宋体"/>
          <w:color w:val="auto"/>
          <w:szCs w:val="21"/>
          <w:highlight w:val="none"/>
        </w:rPr>
      </w:pPr>
      <w:r>
        <w:rPr>
          <w:rFonts w:hint="eastAsia" w:ascii="宋体"/>
          <w:color w:val="auto"/>
          <w:szCs w:val="21"/>
          <w:highlight w:val="none"/>
        </w:rPr>
        <w:t>（2）安徽省及滁州市等有关管理部门的相关规定；</w:t>
      </w:r>
    </w:p>
    <w:p w14:paraId="655D8710">
      <w:pPr>
        <w:kinsoku/>
        <w:wordWrap w:val="0"/>
        <w:overflowPunct/>
        <w:topLinePunct w:val="0"/>
        <w:bidi w:val="0"/>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42DB41A3">
      <w:pPr>
        <w:kinsoku/>
        <w:wordWrap w:val="0"/>
        <w:overflowPunct/>
        <w:topLinePunct w:val="0"/>
        <w:bidi w:val="0"/>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14EDD162">
      <w:pPr>
        <w:kinsoku/>
        <w:wordWrap w:val="0"/>
        <w:overflowPunct/>
        <w:topLinePunct w:val="0"/>
        <w:bidi w:val="0"/>
        <w:spacing w:line="400" w:lineRule="exact"/>
        <w:ind w:firstLine="420" w:firstLineChars="200"/>
        <w:rPr>
          <w:rFonts w:hint="eastAsia" w:ascii="宋体"/>
          <w:color w:val="auto"/>
          <w:szCs w:val="21"/>
          <w:highlight w:val="none"/>
        </w:rPr>
      </w:pPr>
      <w:r>
        <w:rPr>
          <w:rFonts w:hint="eastAsia" w:ascii="宋体"/>
          <w:color w:val="auto"/>
          <w:szCs w:val="21"/>
          <w:highlight w:val="none"/>
        </w:rPr>
        <w:t>13.6 凡投标人在我市公共资源交易活动中出现违法违规、破坏市场秩序等不良行为且被监管部门处罚的，一律在滁州市公共资源交易网等相关网站曝光。</w:t>
      </w:r>
    </w:p>
    <w:p w14:paraId="1F89E23E">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rPr>
        <w:t>13.7 投标人的不良行为、失信行为及行政处罚等效力不因企业名称的变更而改变。</w:t>
      </w:r>
    </w:p>
    <w:p w14:paraId="3E4D9409">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14.保密</w:t>
      </w:r>
    </w:p>
    <w:p w14:paraId="51BADE8E">
      <w:pPr>
        <w:pStyle w:val="12"/>
        <w:keepNext w:val="0"/>
        <w:keepLines w:val="0"/>
        <w:widowControl w:val="0"/>
        <w:kinsoku/>
        <w:wordWrap w:val="0"/>
        <w:overflowPunct/>
        <w:topLinePunct w:val="0"/>
        <w:autoSpaceDE/>
        <w:autoSpaceDN/>
        <w:bidi w:val="0"/>
        <w:spacing w:after="0" w:afterLines="0" w:line="520" w:lineRule="exact"/>
        <w:ind w:left="0" w:leftChars="0"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58B48058">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eastAsia" w:ascii="宋体" w:hAnsi="宋体" w:cs="宋体"/>
          <w:b/>
          <w:color w:val="auto"/>
          <w:sz w:val="28"/>
          <w:szCs w:val="28"/>
          <w:highlight w:val="none"/>
        </w:rPr>
      </w:pPr>
      <w:bookmarkStart w:id="55" w:name="_Toc449028868"/>
      <w:r>
        <w:rPr>
          <w:rFonts w:hint="eastAsia" w:ascii="宋体" w:hAnsi="宋体" w:cs="宋体"/>
          <w:b/>
          <w:color w:val="auto"/>
          <w:sz w:val="28"/>
          <w:szCs w:val="28"/>
          <w:highlight w:val="none"/>
        </w:rPr>
        <w:t>（二）</w:t>
      </w:r>
      <w:bookmarkEnd w:id="55"/>
      <w:r>
        <w:rPr>
          <w:rFonts w:hint="eastAsia" w:ascii="宋体" w:hAnsi="宋体" w:cs="宋体"/>
          <w:b/>
          <w:color w:val="auto"/>
          <w:sz w:val="28"/>
          <w:szCs w:val="28"/>
          <w:highlight w:val="none"/>
        </w:rPr>
        <w:t>招标文件</w:t>
      </w:r>
    </w:p>
    <w:p w14:paraId="0027A16E">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15. 招标文件的编制依据</w:t>
      </w:r>
    </w:p>
    <w:p w14:paraId="13B0B48A">
      <w:pPr>
        <w:keepNext w:val="0"/>
        <w:keepLines w:val="0"/>
        <w:widowControl w:val="0"/>
        <w:kinsoku/>
        <w:wordWrap w:val="0"/>
        <w:overflowPunct/>
        <w:topLinePunct w:val="0"/>
        <w:autoSpaceDE/>
        <w:autoSpaceDN/>
        <w:bidi w:val="0"/>
        <w:spacing w:line="520" w:lineRule="exact"/>
        <w:ind w:left="0" w:right="0" w:rightChars="0" w:firstLine="420" w:firstLineChars="200"/>
        <w:textAlignment w:val="auto"/>
        <w:rPr>
          <w:rFonts w:hint="eastAsia"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385D3B0B">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16. 招标文件的组成</w:t>
      </w:r>
    </w:p>
    <w:p w14:paraId="6F797A01">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16.1 招标文件包括内容：</w:t>
      </w:r>
    </w:p>
    <w:p w14:paraId="26711374">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第一章  招标公告</w:t>
      </w:r>
    </w:p>
    <w:p w14:paraId="754F1C1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第二章  投标人须知</w:t>
      </w:r>
    </w:p>
    <w:p w14:paraId="02C3A6D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第三章  资格审查办法</w:t>
      </w:r>
    </w:p>
    <w:p w14:paraId="7CEF56E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第四章  评标办法</w:t>
      </w:r>
    </w:p>
    <w:p w14:paraId="58CFF9D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eastAsia="宋体"/>
          <w:color w:val="auto"/>
          <w:szCs w:val="21"/>
          <w:highlight w:val="none"/>
          <w:lang w:eastAsia="zh-CN"/>
        </w:rPr>
      </w:pPr>
      <w:r>
        <w:rPr>
          <w:rFonts w:hint="eastAsia" w:ascii="宋体"/>
          <w:color w:val="auto"/>
          <w:szCs w:val="21"/>
          <w:highlight w:val="none"/>
        </w:rPr>
        <w:t xml:space="preserve">第五章  </w:t>
      </w:r>
      <w:r>
        <w:rPr>
          <w:rFonts w:hint="eastAsia" w:ascii="宋体" w:hAnsi="宋体" w:cs="宋体"/>
          <w:color w:val="auto"/>
          <w:szCs w:val="21"/>
          <w:highlight w:val="none"/>
          <w:lang w:eastAsia="zh-CN"/>
        </w:rPr>
        <w:t>采购需求</w:t>
      </w:r>
    </w:p>
    <w:p w14:paraId="7A6C21F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第六章  合同条款及格式</w:t>
      </w:r>
    </w:p>
    <w:p w14:paraId="2800122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第七章  投标文件格式</w:t>
      </w:r>
    </w:p>
    <w:p w14:paraId="06F0958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color w:val="auto"/>
          <w:highlight w:val="none"/>
        </w:rPr>
      </w:pPr>
      <w:r>
        <w:rPr>
          <w:rFonts w:hint="eastAsia" w:ascii="宋体"/>
          <w:color w:val="auto"/>
          <w:szCs w:val="21"/>
          <w:highlight w:val="none"/>
        </w:rPr>
        <w:t>第八章  招标单位、招标代理机构对本招标文件的确认</w:t>
      </w:r>
    </w:p>
    <w:p w14:paraId="35BCF40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16.2 除16.1款内容外，招标答疑亦为招标文件的组成部分，对招标人和投标人起约束作用。</w:t>
      </w:r>
    </w:p>
    <w:p w14:paraId="5D44C0C5">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16.3投标人应仔细阅读和检查招标文件的全部内容。如发现缺页或附件不全，应及时向招标人提出，以便补齐。</w:t>
      </w:r>
    </w:p>
    <w:p w14:paraId="31A36B3D">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16.4 当招标文件、招标文件的澄清或修改等在同一内容的表述上不一致时，以最后发出的文件为准。</w:t>
      </w:r>
    </w:p>
    <w:p w14:paraId="15A0950E">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5808696E">
      <w:pPr>
        <w:kinsoku/>
        <w:wordWrap w:val="0"/>
        <w:overflowPunct/>
        <w:topLinePunct w:val="0"/>
        <w:bidi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17.1投标人或其他利害关系人投标人应仔细阅读和检查招标文件的全部内容，对招标文件有异议的，应在投标截止时间10日前以以投标人须知前附表规定的网上留言或书面形式提出。招标人将在收到异议之日起3日内作出答复；作出答复前，将暂停招标投标活动。</w:t>
      </w:r>
    </w:p>
    <w:p w14:paraId="72B364BD">
      <w:pPr>
        <w:kinsoku/>
        <w:wordWrap w:val="0"/>
        <w:overflowPunct/>
        <w:topLinePunct w:val="0"/>
        <w:bidi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17.2 招标人可以澄清招标文件，并以以投标人须知前附表规定澄清的方式在滁州市公共资源交易中心网站发布。但如果修改招标文件的时间距投标截止时间不足15天，并且修改内容影响投标文件编制的，将相应延长投标截止时间。</w:t>
      </w:r>
    </w:p>
    <w:p w14:paraId="65B76F57">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18. 招标文件的发出</w:t>
      </w:r>
    </w:p>
    <w:p w14:paraId="1871AC2A">
      <w:pPr>
        <w:kinsoku/>
        <w:wordWrap w:val="0"/>
        <w:overflowPunct/>
        <w:topLinePunct w:val="0"/>
        <w:bidi w:val="0"/>
        <w:spacing w:line="440" w:lineRule="exact"/>
        <w:ind w:firstLine="420" w:firstLineChars="200"/>
        <w:rPr>
          <w:rFonts w:hint="eastAsia" w:ascii="宋体"/>
          <w:color w:val="auto"/>
          <w:szCs w:val="21"/>
          <w:highlight w:val="none"/>
        </w:rPr>
      </w:pPr>
      <w:bookmarkStart w:id="56" w:name="_Toc449028869"/>
      <w:r>
        <w:rPr>
          <w:rFonts w:hint="eastAsia" w:ascii="宋体"/>
          <w:color w:val="auto"/>
          <w:szCs w:val="21"/>
          <w:highlight w:val="none"/>
        </w:rPr>
        <w:t>18.1招标文件、招标文件的澄清、修改、补充及招标答疑等均应报公共资源交易监督管理机构备案后，方可发出。</w:t>
      </w:r>
    </w:p>
    <w:p w14:paraId="661DCFC9">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（三）投标文件的编制</w:t>
      </w:r>
      <w:bookmarkEnd w:id="56"/>
    </w:p>
    <w:p w14:paraId="6FB3E67E">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19</w:t>
      </w:r>
      <w:r>
        <w:rPr>
          <w:rFonts w:hint="eastAsia" w:ascii="宋体" w:hAnsi="宋体" w:cs="宋体"/>
          <w:b/>
          <w:color w:val="auto"/>
          <w:szCs w:val="21"/>
          <w:highlight w:val="none"/>
        </w:rPr>
        <w:t>. 投标的语言及度量衡单位</w:t>
      </w:r>
    </w:p>
    <w:p w14:paraId="7649C1C8">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rPr>
        <w:t>.1投标人的投标文件、以及投标人与招标人就投标的所有往来函电，均须使用简体中文。</w:t>
      </w:r>
    </w:p>
    <w:p w14:paraId="2FC1A9AD">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.2除招标文件中另有规定外，投标文件所使用的度量衡均须采用法定计量单位。</w:t>
      </w:r>
    </w:p>
    <w:p w14:paraId="26AB3A44">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 xml:space="preserve">. </w:t>
      </w:r>
      <w:r>
        <w:rPr>
          <w:rFonts w:hint="eastAsia" w:ascii="宋体"/>
          <w:b/>
          <w:bCs/>
          <w:color w:val="auto"/>
          <w:szCs w:val="21"/>
          <w:highlight w:val="none"/>
        </w:rPr>
        <w:t>投标文件的组成、编制</w:t>
      </w:r>
    </w:p>
    <w:p w14:paraId="777D9332">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4"/>
        <w:rPr>
          <w:rFonts w:hint="eastAsia" w:ascii="宋体" w:hAnsi="宋体" w:cs="宋体"/>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.1投标文件的组成</w:t>
      </w:r>
    </w:p>
    <w:p w14:paraId="2F9D8B3B">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rPr>
          <w:rFonts w:hint="eastAsia" w:ascii="宋体" w:hAnsi="宋体" w:cs="宋体"/>
          <w:color w:val="auto"/>
          <w:szCs w:val="21"/>
          <w:highlight w:val="none"/>
        </w:rPr>
      </w:pPr>
      <w:r>
        <w:rPr>
          <w:rFonts w:hint="eastAsia" w:ascii="宋体" w:hAnsi="宋体"/>
          <w:b/>
          <w:bCs/>
          <w:color w:val="auto"/>
          <w:szCs w:val="21"/>
          <w:highlight w:val="none"/>
        </w:rPr>
        <w:t>投标文件具体详见第七章投标文件格式内容。</w:t>
      </w:r>
    </w:p>
    <w:p w14:paraId="4BF7BD5F">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20</w:t>
      </w:r>
      <w:r>
        <w:rPr>
          <w:rFonts w:hint="eastAsia" w:ascii="宋体" w:hAnsi="宋体" w:eastAsia="宋体" w:cs="宋体"/>
          <w:b/>
          <w:color w:val="auto"/>
          <w:szCs w:val="21"/>
          <w:highlight w:val="none"/>
        </w:rPr>
        <w:t>.2投标文件的编制</w:t>
      </w:r>
    </w:p>
    <w:p w14:paraId="3F6E3099">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.2.1投标文件应按第七章“投标文件格式”进行编写，如有必要，可以增加附页，作为投标文件的组成部分。其中，投标函在满足招标文件实质性要求的基础上，可以提出比招标文件要求更有利于招标人的承诺。</w:t>
      </w:r>
    </w:p>
    <w:p w14:paraId="46B0D0DD">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.2.2本次投标不需要提供纸质投标文件，投标人应按照电子招标投标的要求，在投标人的电子系统中制作、签章、上传加密的电子投标文件。</w:t>
      </w:r>
    </w:p>
    <w:p w14:paraId="710C938C">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.2.3投标文件应当对招标文件有关</w:t>
      </w:r>
      <w:r>
        <w:rPr>
          <w:rFonts w:hint="eastAsia" w:ascii="宋体" w:hAnsi="宋体"/>
          <w:color w:val="auto"/>
          <w:szCs w:val="21"/>
          <w:highlight w:val="none"/>
          <w:lang w:val="en-US" w:eastAsia="zh-CN"/>
        </w:rPr>
        <w:t>服务期</w:t>
      </w:r>
      <w:r>
        <w:rPr>
          <w:rFonts w:hint="eastAsia" w:ascii="宋体" w:hAnsi="宋体"/>
          <w:color w:val="auto"/>
          <w:szCs w:val="21"/>
          <w:highlight w:val="none"/>
        </w:rPr>
        <w:t>、投标有效期、质量要求、技术标准和要求、招标范围等实质性内容作出响应。</w:t>
      </w:r>
    </w:p>
    <w:p w14:paraId="127CDD9F">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公共资源交易监督管理部门处理。</w:t>
      </w:r>
    </w:p>
    <w:p w14:paraId="29531483">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.2.5投标文件的制作应满足以下规定：</w:t>
      </w:r>
    </w:p>
    <w:p w14:paraId="76E28193">
      <w:pPr>
        <w:kinsoku/>
        <w:wordWrap w:val="0"/>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lang w:eastAsia="zh-CN"/>
        </w:rPr>
        <w:t>　　</w:t>
      </w:r>
      <w:r>
        <w:rPr>
          <w:rFonts w:hint="eastAsia" w:ascii="宋体" w:hAnsi="宋体"/>
          <w:color w:val="auto"/>
          <w:szCs w:val="21"/>
          <w:highlight w:val="none"/>
        </w:rPr>
        <w:t>（1）投标文件由投标人使用电子交易系统提供的“投标文件制作工具”制作生成。“投标文件制作工具”可以通过电子交易系统下载。</w:t>
      </w:r>
    </w:p>
    <w:p w14:paraId="3574143F">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招标文件中“签章”是指签字或盖章。在第七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77AC24F4">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12682191">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（4）投标文件制作的具体方法详见“投标文件制作工具”中的帮助文档。</w:t>
      </w:r>
    </w:p>
    <w:p w14:paraId="74883A5D">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.2.6 因投标人自身原因而导致投标文件无法导入电子交易系统电子开标、评标系统，该投标视为无效投标，投标人自行承担由此导致的全部责任。</w:t>
      </w:r>
    </w:p>
    <w:p w14:paraId="7C1A545A">
      <w:pPr>
        <w:kinsoku/>
        <w:wordWrap w:val="0"/>
        <w:overflowPunct/>
        <w:topLinePunct w:val="0"/>
        <w:bidi w:val="0"/>
        <w:spacing w:line="400" w:lineRule="exact"/>
        <w:ind w:firstLine="420" w:firstLineChars="200"/>
        <w:rPr>
          <w:rFonts w:ascii="宋体"/>
          <w:b/>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.2.7 投标人中标后须递交与网上电子投标文件完全一致的纸质版投标文件，在领取中标通知书时，一并递交给招标代理机构。</w:t>
      </w:r>
    </w:p>
    <w:p w14:paraId="569F9F9B">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color w:val="auto"/>
          <w:szCs w:val="21"/>
          <w:highlight w:val="none"/>
        </w:rPr>
      </w:pPr>
      <w:r>
        <w:rPr>
          <w:rFonts w:hint="eastAsia" w:ascii="宋体" w:hAnsi="宋体" w:cs="宋体"/>
          <w:b/>
          <w:color w:val="auto"/>
          <w:szCs w:val="21"/>
          <w:highlight w:val="none"/>
          <w:lang w:eastAsia="zh-CN"/>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130BEA42">
      <w:pPr>
        <w:kinsoku/>
        <w:wordWrap w:val="0"/>
        <w:overflowPunct/>
        <w:topLinePunct w:val="0"/>
        <w:bidi w:val="0"/>
        <w:spacing w:line="40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、利润、税金、政策性文件规定及合同包含的所有风险、责任、义务等，即为完成招标文件要求的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中标价格除合同约定调整内容以外的</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1A863FFE">
      <w:pPr>
        <w:keepNext w:val="0"/>
        <w:keepLines w:val="0"/>
        <w:pageBreakBefore w:val="0"/>
        <w:kinsoku/>
        <w:wordWrap w:val="0"/>
        <w:overflowPunct/>
        <w:topLinePunct w:val="0"/>
        <w:bidi w:val="0"/>
        <w:spacing w:line="36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.2投标人只允许有一个方案、一个报价。</w:t>
      </w:r>
    </w:p>
    <w:p w14:paraId="5525CFF4">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.3投标报价是完成项目全部内容（包括后期的相关服务）交付验收的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单价</w:t>
      </w:r>
      <w:r>
        <w:rPr>
          <w:rFonts w:hint="eastAsia" w:ascii="宋体"/>
          <w:color w:val="auto"/>
          <w:szCs w:val="21"/>
          <w:highlight w:val="none"/>
        </w:rPr>
        <w:t>。</w:t>
      </w:r>
    </w:p>
    <w:p w14:paraId="4F46D99D">
      <w:pPr>
        <w:keepNext w:val="0"/>
        <w:keepLines w:val="0"/>
        <w:pageBreakBefore w:val="0"/>
        <w:kinsoku/>
        <w:wordWrap w:val="0"/>
        <w:overflowPunct/>
        <w:topLinePunct w:val="0"/>
        <w:bidi w:val="0"/>
        <w:spacing w:line="36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.4投标报价应由法定代表人或被授权人签署。</w:t>
      </w:r>
    </w:p>
    <w:p w14:paraId="2BBD7C61">
      <w:pPr>
        <w:keepNext w:val="0"/>
        <w:keepLines w:val="0"/>
        <w:pageBreakBefore w:val="0"/>
        <w:kinsoku/>
        <w:wordWrap w:val="0"/>
        <w:overflowPunct/>
        <w:topLinePunct w:val="0"/>
        <w:bidi w:val="0"/>
        <w:spacing w:line="360" w:lineRule="exact"/>
        <w:ind w:firstLine="420" w:firstLineChars="200"/>
        <w:textAlignment w:val="auto"/>
        <w:rPr>
          <w:rFonts w:hint="eastAsia" w:ascii="宋体" w:hAnsi="宋体"/>
          <w:b/>
          <w:bCs/>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D73893C">
      <w:pPr>
        <w:keepNext w:val="0"/>
        <w:keepLines w:val="0"/>
        <w:pageBreakBefore w:val="0"/>
        <w:kinsoku/>
        <w:wordWrap w:val="0"/>
        <w:overflowPunct/>
        <w:topLinePunct w:val="0"/>
        <w:bidi w:val="0"/>
        <w:spacing w:line="36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.6如投标文件中未列明全面实现投标货物功能而必须配置的配套或辅助设施及相应技术措施的费用，这些费用将被视为已包含在总投标价中。</w:t>
      </w:r>
    </w:p>
    <w:p w14:paraId="24465A9B">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.7投标价中不得包含招标文件要求以外的内容，否则，在评标时不予核减，但在授予合同时，招标人有权将这部分价格从其中标价格中扣除。</w:t>
      </w:r>
    </w:p>
    <w:p w14:paraId="28BEECA2">
      <w:pPr>
        <w:kinsoku/>
        <w:wordWrap w:val="0"/>
        <w:overflowPunct/>
        <w:topLinePunct w:val="0"/>
        <w:bidi w:val="0"/>
        <w:spacing w:line="440" w:lineRule="exact"/>
        <w:ind w:firstLine="403" w:firstLineChars="192"/>
        <w:rPr>
          <w:rFonts w:hint="eastAsia" w:ascii="宋体"/>
          <w:color w:val="auto"/>
          <w:szCs w:val="21"/>
          <w:highlight w:val="none"/>
        </w:rPr>
      </w:pPr>
      <w:r>
        <w:rPr>
          <w:rFonts w:hint="eastAsia" w:ascii="宋体"/>
          <w:b w:val="0"/>
          <w:bCs/>
          <w:color w:val="auto"/>
          <w:szCs w:val="21"/>
          <w:highlight w:val="none"/>
        </w:rPr>
        <w:t>2</w:t>
      </w:r>
      <w:r>
        <w:rPr>
          <w:rFonts w:hint="eastAsia" w:ascii="宋体"/>
          <w:b w:val="0"/>
          <w:bCs/>
          <w:color w:val="auto"/>
          <w:szCs w:val="21"/>
          <w:highlight w:val="none"/>
          <w:lang w:val="en-US" w:eastAsia="zh-CN"/>
        </w:rPr>
        <w:t>1</w:t>
      </w:r>
      <w:r>
        <w:rPr>
          <w:rFonts w:hint="eastAsia" w:ascii="宋体"/>
          <w:b w:val="0"/>
          <w:bCs/>
          <w:color w:val="auto"/>
          <w:szCs w:val="21"/>
          <w:highlight w:val="none"/>
        </w:rPr>
        <w:t>.8</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A05B75A">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22</w:t>
      </w:r>
      <w:r>
        <w:rPr>
          <w:rFonts w:hint="eastAsia" w:ascii="宋体" w:hAnsi="宋体" w:cs="宋体"/>
          <w:b/>
          <w:color w:val="auto"/>
          <w:szCs w:val="21"/>
          <w:highlight w:val="none"/>
        </w:rPr>
        <w:t>. 投标有效期</w:t>
      </w:r>
    </w:p>
    <w:p w14:paraId="79EC7EA8">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 xml:space="preserve">.1 </w:t>
      </w:r>
      <w:r>
        <w:rPr>
          <w:rFonts w:hint="eastAsia" w:ascii="宋体"/>
          <w:color w:val="auto"/>
          <w:szCs w:val="21"/>
          <w:highlight w:val="none"/>
        </w:rPr>
        <w:t>投标有效期见投标人须知前附表。</w:t>
      </w:r>
    </w:p>
    <w:p w14:paraId="287051E5">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.2</w:t>
      </w:r>
      <w:r>
        <w:rPr>
          <w:rFonts w:hint="eastAsia" w:ascii="宋体"/>
          <w:color w:val="auto"/>
          <w:szCs w:val="21"/>
          <w:highlight w:val="none"/>
        </w:rPr>
        <w:t>在投标有效期内，投标人撤销或修改其投标文件的，应承担招标文件和法律规定的责任。</w:t>
      </w:r>
    </w:p>
    <w:p w14:paraId="7E807804">
      <w:pPr>
        <w:kinsoku/>
        <w:wordWrap w:val="0"/>
        <w:overflowPunct/>
        <w:topLinePunct w:val="0"/>
        <w:bidi w:val="0"/>
        <w:spacing w:line="440" w:lineRule="exact"/>
        <w:ind w:firstLine="420" w:firstLineChars="200"/>
        <w:rPr>
          <w:rFonts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.3</w:t>
      </w:r>
      <w:r>
        <w:rPr>
          <w:rFonts w:hint="eastAsia" w:ascii="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76653B8">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eastAsia="zh-CN"/>
        </w:rPr>
        <w:t>23</w:t>
      </w:r>
      <w:r>
        <w:rPr>
          <w:rFonts w:hint="eastAsia" w:ascii="宋体" w:hAnsi="宋体" w:cs="宋体"/>
          <w:b/>
          <w:color w:val="auto"/>
          <w:szCs w:val="21"/>
          <w:highlight w:val="none"/>
        </w:rPr>
        <w:t>. 投标保证金</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val="en-US" w:eastAsia="zh-CN"/>
        </w:rPr>
        <w:t>本项目</w:t>
      </w:r>
      <w:r>
        <w:rPr>
          <w:rFonts w:hint="eastAsia" w:ascii="宋体" w:hAnsi="宋体" w:cs="宋体"/>
          <w:b/>
          <w:color w:val="auto"/>
          <w:szCs w:val="21"/>
          <w:highlight w:val="none"/>
          <w:lang w:val="en-US" w:eastAsia="zh-CN"/>
        </w:rPr>
        <w:t>投标时</w:t>
      </w:r>
      <w:r>
        <w:rPr>
          <w:rFonts w:hint="eastAsia" w:ascii="宋体" w:hAnsi="宋体" w:eastAsia="宋体" w:cs="宋体"/>
          <w:b/>
          <w:color w:val="auto"/>
          <w:szCs w:val="21"/>
          <w:highlight w:val="none"/>
          <w:lang w:val="en-US" w:eastAsia="zh-CN"/>
        </w:rPr>
        <w:t>不要求投标人提交投标保证金）</w:t>
      </w:r>
    </w:p>
    <w:p w14:paraId="6A2A2E5D">
      <w:pPr>
        <w:kinsoku/>
        <w:wordWrap w:val="0"/>
        <w:overflowPunct/>
        <w:topLinePunct w:val="0"/>
        <w:bidi w:val="0"/>
        <w:spacing w:line="440" w:lineRule="exact"/>
        <w:ind w:firstLine="420" w:firstLineChars="200"/>
        <w:rPr>
          <w:rFonts w:hint="eastAsia" w:ascii="宋体"/>
          <w:color w:val="auto"/>
          <w:szCs w:val="21"/>
          <w:highlight w:val="none"/>
        </w:rPr>
      </w:pPr>
      <w:bookmarkStart w:id="57" w:name="_Toc449028870"/>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七章“投标文件格式”规定的或者事先经过招标人认可的保证金格式递交保证金，并作为其投标文件的组成部分。联合体投标的，其投标保证金由牵头人递交，并应符合投标人须知前附表的规定。</w:t>
      </w:r>
    </w:p>
    <w:p w14:paraId="10C0FB75">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无论采取何种形式的投标保证金，投标保证金有效期均应与投标有效期一致（采用投标电子保函的保证期截止时间不得早于该项目投标有效期的截止时间）。招标人如果按本章第2</w:t>
      </w:r>
      <w:r>
        <w:rPr>
          <w:rFonts w:hint="eastAsia" w:ascii="宋体"/>
          <w:color w:val="auto"/>
          <w:szCs w:val="21"/>
          <w:highlight w:val="none"/>
          <w:lang w:val="en-US" w:eastAsia="zh-CN"/>
        </w:rPr>
        <w:t>2</w:t>
      </w:r>
      <w:r>
        <w:rPr>
          <w:rFonts w:hint="eastAsia" w:ascii="宋体"/>
          <w:color w:val="auto"/>
          <w:szCs w:val="21"/>
          <w:highlight w:val="none"/>
        </w:rPr>
        <w:t>.3项的规定延长了投标有效期，则投标保证金的有效期也相应延长。</w:t>
      </w:r>
    </w:p>
    <w:p w14:paraId="0A2F9F5C">
      <w:pPr>
        <w:kinsoku/>
        <w:wordWrap w:val="0"/>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.2投标人不按本章第2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.1项要求提交投标保证金的，评标委员会将否决其投标。</w:t>
      </w:r>
    </w:p>
    <w:p w14:paraId="719E8206">
      <w:pPr>
        <w:kinsoku/>
        <w:wordWrap w:val="0"/>
        <w:overflowPunct/>
        <w:topLinePunct w:val="0"/>
        <w:bidi w:val="0"/>
        <w:spacing w:line="440" w:lineRule="exact"/>
        <w:ind w:firstLine="420" w:firstLineChars="200"/>
        <w:rPr>
          <w:rFonts w:hint="eastAsia" w:ascii="宋体" w:eastAsia="宋体"/>
          <w:color w:val="auto"/>
          <w:szCs w:val="21"/>
          <w:highlight w:val="none"/>
          <w:lang w:eastAsia="zh-CN"/>
        </w:rPr>
      </w:pPr>
      <w:r>
        <w:rPr>
          <w:rFonts w:hint="eastAsia" w:ascii="宋体"/>
          <w:color w:val="auto"/>
          <w:szCs w:val="21"/>
          <w:highlight w:val="none"/>
          <w:lang w:val="en-US" w:eastAsia="zh-CN"/>
        </w:rPr>
        <w:t>23</w:t>
      </w:r>
      <w:r>
        <w:rPr>
          <w:rFonts w:hint="eastAsia" w:ascii="宋体"/>
          <w:color w:val="auto"/>
          <w:szCs w:val="21"/>
          <w:highlight w:val="none"/>
        </w:rPr>
        <w:t>.3</w:t>
      </w:r>
      <w:r>
        <w:rPr>
          <w:rFonts w:hint="eastAsia" w:ascii="宋体" w:hAnsi="宋体" w:cs="宋体"/>
          <w:color w:val="auto"/>
          <w:szCs w:val="21"/>
          <w:highlight w:val="none"/>
          <w:lang w:eastAsia="zh-CN"/>
        </w:rPr>
        <w:t>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593AEAE">
      <w:pPr>
        <w:kinsoku/>
        <w:wordWrap w:val="0"/>
        <w:overflowPunct/>
        <w:topLinePunct w:val="0"/>
        <w:bidi w:val="0"/>
        <w:spacing w:line="44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.4有下列情形之一的，投标保证金将不予退还： </w:t>
      </w:r>
    </w:p>
    <w:p w14:paraId="10D9E8AB">
      <w:pPr>
        <w:kinsoku/>
        <w:wordWrap w:val="0"/>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1B922C42">
      <w:pPr>
        <w:kinsoku/>
        <w:wordWrap w:val="0"/>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31EEBEB6">
      <w:pPr>
        <w:kinsoku/>
        <w:wordWrap w:val="0"/>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.5投标保证金按《</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"https://www.chuzhou.gov.cn/group1/M00/12/83/CpYI8mGDiKqAD_IkAAEIAMLVghw186.doc" \t "_blank"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45A4FAD7">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（四）投标文件的递交</w:t>
      </w:r>
      <w:bookmarkEnd w:id="57"/>
    </w:p>
    <w:p w14:paraId="0C04D2F3">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24</w:t>
      </w:r>
      <w:r>
        <w:rPr>
          <w:rFonts w:hint="eastAsia" w:ascii="宋体" w:hAnsi="宋体" w:eastAsia="宋体" w:cs="宋体"/>
          <w:b/>
          <w:color w:val="auto"/>
          <w:szCs w:val="21"/>
          <w:highlight w:val="none"/>
        </w:rPr>
        <w:t>.投标文件的密封和标记</w:t>
      </w:r>
    </w:p>
    <w:p w14:paraId="6693D198">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bookmarkStart w:id="58" w:name="_Toc449028871"/>
      <w:r>
        <w:rPr>
          <w:rFonts w:hint="eastAsia" w:ascii="宋体" w:hAnsi="宋体" w:eastAsia="宋体" w:cs="宋体"/>
          <w:color w:val="auto"/>
          <w:szCs w:val="21"/>
          <w:highlight w:val="none"/>
          <w:lang w:eastAsia="zh-CN"/>
        </w:rPr>
        <w:t>24.1投标文件应按照本章第2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.2.5项要求制作并加密，未按要求加密的投标文件将被拒绝接收。以投标人在投标截止时间前网上递交的电子投标文件为准。</w:t>
      </w:r>
    </w:p>
    <w:p w14:paraId="2E82EAFD">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25</w:t>
      </w:r>
      <w:r>
        <w:rPr>
          <w:rFonts w:hint="eastAsia" w:ascii="宋体" w:hAnsi="宋体" w:cs="宋体"/>
          <w:b/>
          <w:color w:val="auto"/>
          <w:szCs w:val="21"/>
          <w:highlight w:val="none"/>
        </w:rPr>
        <w:t xml:space="preserve">. </w:t>
      </w:r>
      <w:r>
        <w:rPr>
          <w:rFonts w:hint="eastAsia" w:ascii="宋体"/>
          <w:b/>
          <w:color w:val="auto"/>
          <w:szCs w:val="21"/>
          <w:highlight w:val="none"/>
        </w:rPr>
        <w:t>投标文件上传</w:t>
      </w:r>
    </w:p>
    <w:p w14:paraId="7473381A">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eastAsia="zh-CN"/>
        </w:rPr>
        <w:t>.1请投标人通过系统下载投标工具制作投标文件，并利用CA数字证书进行上传投标文件，上传已加密的投标文件，务必通过此方式上传投标文件。</w:t>
      </w:r>
    </w:p>
    <w:p w14:paraId="14957C63">
      <w:pPr>
        <w:kinsoku/>
        <w:wordWrap w:val="0"/>
        <w:overflowPunct/>
        <w:topLinePunct w:val="0"/>
        <w:bidi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w:t>
      </w:r>
      <w:r>
        <w:rPr>
          <w:rFonts w:hint="eastAsia" w:ascii="宋体" w:hAnsi="宋体" w:eastAsia="宋体" w:cs="宋体"/>
          <w:color w:val="auto"/>
          <w:szCs w:val="21"/>
          <w:highlight w:val="none"/>
          <w:lang w:eastAsia="zh-CN"/>
        </w:rPr>
        <w:t>投标人在投标文件编制、签章、上传过程中如有任何操作的疑问请及时联系技术支持，电话：0550-3801701。</w:t>
      </w:r>
    </w:p>
    <w:p w14:paraId="364B74B2">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26</w:t>
      </w:r>
      <w:r>
        <w:rPr>
          <w:rFonts w:hint="eastAsia" w:ascii="宋体" w:hAnsi="Times New Roman" w:eastAsia="宋体" w:cs="Times New Roman"/>
          <w:b/>
          <w:color w:val="auto"/>
          <w:szCs w:val="21"/>
          <w:highlight w:val="none"/>
        </w:rPr>
        <w:t>．投标文件的递交</w:t>
      </w:r>
    </w:p>
    <w:p w14:paraId="27889FEF">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.1 投标人应当在第一章“招标公告”规定的投标截止时间前，将加密投标文件上传至电子交易系统。</w:t>
      </w:r>
    </w:p>
    <w:p w14:paraId="3A402126">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.2 除投标人须知前附表另有规定外，投标人所递交的投标文件不予退还。</w:t>
      </w:r>
    </w:p>
    <w:p w14:paraId="5C58DBE0">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59A65B1A">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27</w:t>
      </w:r>
      <w:r>
        <w:rPr>
          <w:rFonts w:hint="eastAsia" w:ascii="宋体"/>
          <w:b/>
          <w:color w:val="auto"/>
          <w:szCs w:val="21"/>
          <w:highlight w:val="none"/>
        </w:rPr>
        <w:t>.投标文件的修改与撤回</w:t>
      </w:r>
    </w:p>
    <w:p w14:paraId="66E280A0">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.1在第一章“招标公告”规定的投标截止时间前，投标人可以自行从网上招投标系统撤回已递交的投标文件，并可修改后重新加密上传，开标时以投标截止时间前投标人最终上传的投标文件为准。</w:t>
      </w:r>
    </w:p>
    <w:p w14:paraId="5C999B15">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2</w:t>
      </w:r>
      <w:r>
        <w:rPr>
          <w:rFonts w:hint="eastAsia" w:ascii="宋体" w:hAnsi="Times New Roman" w:eastAsia="宋体" w:cs="Times New Roman"/>
          <w:b/>
          <w:color w:val="auto"/>
          <w:szCs w:val="21"/>
          <w:highlight w:val="none"/>
          <w:lang w:val="en-US" w:eastAsia="zh-CN"/>
        </w:rPr>
        <w:t>8</w:t>
      </w:r>
      <w:r>
        <w:rPr>
          <w:rFonts w:hint="eastAsia" w:ascii="宋体" w:hAnsi="Times New Roman" w:eastAsia="宋体" w:cs="Times New Roman"/>
          <w:b/>
          <w:color w:val="auto"/>
          <w:szCs w:val="21"/>
          <w:highlight w:val="none"/>
        </w:rPr>
        <w:t>.偏离</w:t>
      </w:r>
    </w:p>
    <w:p w14:paraId="0A490C86">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.1投标文件偏离招标文件某些要求，视为投标文件存在偏差。偏差包括重大偏差和细微偏差。</w:t>
      </w:r>
    </w:p>
    <w:p w14:paraId="5DE849ED">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.1.1投标文件应对招标文件的实质性要求和条件作出满足性或更有利于招标人的响应，否则，视为投标文件存在重大偏差，投标人的投标将被否决。</w:t>
      </w:r>
    </w:p>
    <w:p w14:paraId="6E73B1C9">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投标文件存在第四章“评标办法”中所列任一无效投标情形的，均属于存在重大偏差。</w:t>
      </w:r>
    </w:p>
    <w:p w14:paraId="1C02BF72">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.1.2投标文件中的下列偏差为细微偏差：</w:t>
      </w:r>
    </w:p>
    <w:p w14:paraId="6A23A1A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3391FA10">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32D37E94">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.1.3评标委员会对投标文件中的细微偏差按如下规定处理：</w:t>
      </w:r>
    </w:p>
    <w:p w14:paraId="3ECFDE34">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项（1）目所述的细微偏差，按照第</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章“评标办法”的规定予以修正并要求投标人进行澄清；</w:t>
      </w:r>
    </w:p>
    <w:p w14:paraId="2688EC33">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项（2）目所述的细微偏差，可要求投标人对细微偏差进行澄清。</w:t>
      </w:r>
    </w:p>
    <w:p w14:paraId="77F74337">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（五）开标和评标</w:t>
      </w:r>
      <w:bookmarkEnd w:id="58"/>
    </w:p>
    <w:p w14:paraId="01090C61">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29</w:t>
      </w:r>
      <w:r>
        <w:rPr>
          <w:rFonts w:hint="eastAsia" w:ascii="宋体"/>
          <w:b/>
          <w:color w:val="auto"/>
          <w:szCs w:val="21"/>
          <w:highlight w:val="none"/>
        </w:rPr>
        <w:t>. 开标</w:t>
      </w:r>
    </w:p>
    <w:p w14:paraId="5D620E4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 开标的时间和地点</w:t>
      </w:r>
    </w:p>
    <w:p w14:paraId="3C9C1676">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.1.1招标人在第一章“招标公告”规定的投标截止时间前（开标时间）和地点通过电子交易系统公开开标。</w:t>
      </w:r>
    </w:p>
    <w:p w14:paraId="7087F77E">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.2开标程序</w:t>
      </w:r>
    </w:p>
    <w:p w14:paraId="73162B70">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.2.1主持人按下列程序进行开标：</w:t>
      </w:r>
    </w:p>
    <w:p w14:paraId="689C4A41">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591439C8">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453120C9">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66D590B6">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0512B007">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7D649818">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.3开标异议</w:t>
      </w:r>
    </w:p>
    <w:p w14:paraId="77FAF369">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.3.1投标人对开标有异议的，应当在开标过程中提出，招标人在开标过程中作出答复，并制作记录。异议与答复应通过电子交易系统进行。</w:t>
      </w:r>
    </w:p>
    <w:p w14:paraId="35299798">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30</w:t>
      </w:r>
      <w:r>
        <w:rPr>
          <w:rFonts w:hint="eastAsia" w:ascii="宋体"/>
          <w:b/>
          <w:color w:val="auto"/>
          <w:szCs w:val="21"/>
          <w:highlight w:val="none"/>
        </w:rPr>
        <w:t>.评标委员会</w:t>
      </w:r>
    </w:p>
    <w:p w14:paraId="00F35BB7">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159AAA4">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F9C2A2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B452B94">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A238691">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4E826B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62D2709">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44BB892">
      <w:pPr>
        <w:kinsoku/>
        <w:wordWrap w:val="0"/>
        <w:overflowPunct/>
        <w:topLinePunct w:val="0"/>
        <w:bidi w:val="0"/>
        <w:spacing w:line="42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项目实施主体及其子公司、下属单位、上级主管部门或者控股公司的工作人员或者退休人员不得以专家身份参与本单位或者代理项目的评标评审。 </w:t>
      </w:r>
    </w:p>
    <w:p w14:paraId="25F00B30">
      <w:pPr>
        <w:kinsoku/>
        <w:wordWrap w:val="0"/>
        <w:overflowPunct/>
        <w:topLinePunct w:val="0"/>
        <w:bidi w:val="0"/>
        <w:spacing w:line="420" w:lineRule="exact"/>
        <w:ind w:firstLine="422" w:firstLineChars="200"/>
        <w:jc w:val="left"/>
        <w:rPr>
          <w:rFonts w:hint="eastAsia" w:ascii="宋体" w:hAnsi="宋体" w:cs="宋体"/>
          <w:b/>
          <w:bCs/>
          <w:color w:val="auto"/>
          <w:szCs w:val="21"/>
          <w:highlight w:val="none"/>
          <w:lang w:val="en-US" w:eastAsia="zh-CN"/>
        </w:rPr>
      </w:pPr>
      <w:r>
        <w:rPr>
          <w:rFonts w:hint="eastAsia" w:ascii="宋体" w:hAnsi="宋体" w:eastAsia="宋体" w:cs="宋体"/>
          <w:b/>
          <w:bCs/>
          <w:color w:val="auto"/>
          <w:szCs w:val="21"/>
          <w:highlight w:val="none"/>
        </w:rPr>
        <w:t xml:space="preserve">评标委员会或评审机构成员有前两款规定情形的，应当主动提出回避；已经进入的应当更换，被更换的成员评标评审意见无效。 </w:t>
      </w:r>
    </w:p>
    <w:p w14:paraId="533E5B8A">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42535C5D">
      <w:pPr>
        <w:kinsoku/>
        <w:wordWrap w:val="0"/>
        <w:overflowPunct/>
        <w:topLinePunct w:val="0"/>
        <w:bidi w:val="0"/>
        <w:spacing w:line="420" w:lineRule="exact"/>
        <w:ind w:firstLine="421"/>
        <w:jc w:val="left"/>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.评标原则</w:t>
      </w:r>
    </w:p>
    <w:p w14:paraId="56C5A9CB">
      <w:pPr>
        <w:kinsoku/>
        <w:wordWrap w:val="0"/>
        <w:overflowPunct/>
        <w:topLinePunct w:val="0"/>
        <w:bidi w:val="0"/>
        <w:spacing w:line="420" w:lineRule="exact"/>
        <w:ind w:firstLine="420" w:firstLineChars="200"/>
        <w:jc w:val="left"/>
        <w:outlineLvl w:val="4"/>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.1评标活动遵循公平、公正、科学和择优的原则。</w:t>
      </w:r>
    </w:p>
    <w:p w14:paraId="23680C65">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.评标</w:t>
      </w:r>
    </w:p>
    <w:p w14:paraId="33ADBD21">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59" w:name="_Toc449028873"/>
      <w:r>
        <w:rPr>
          <w:rFonts w:hint="eastAsia" w:ascii="宋体" w:hAnsi="宋体" w:eastAsia="宋体" w:cs="宋体"/>
          <w:color w:val="auto"/>
          <w:szCs w:val="21"/>
          <w:highlight w:val="none"/>
        </w:rPr>
        <w:t>评标委员会按照第四章“评标办法”规定的方法、评审因素、标准和程序对投标文件进行评审。第四章“评标办法”没有规定的方法、评审因素和标准，不作为评标依据。</w:t>
      </w:r>
    </w:p>
    <w:p w14:paraId="224B4852">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26D13EE6">
      <w:pPr>
        <w:keepNext w:val="0"/>
        <w:keepLines w:val="0"/>
        <w:widowControl w:val="0"/>
        <w:kinsoku/>
        <w:wordWrap w:val="0"/>
        <w:overflowPunct/>
        <w:topLinePunct w:val="0"/>
        <w:autoSpaceDE/>
        <w:autoSpaceDN/>
        <w:bidi w:val="0"/>
        <w:spacing w:line="520" w:lineRule="exact"/>
        <w:ind w:left="0" w:right="0" w:rightChars="0" w:firstLine="560" w:firstLineChars="200"/>
        <w:jc w:val="center"/>
        <w:textAlignment w:val="auto"/>
        <w:outlineLvl w:val="2"/>
        <w:rPr>
          <w:rFonts w:hint="eastAsia" w:ascii="黑体" w:eastAsia="黑体"/>
          <w:color w:val="auto"/>
          <w:sz w:val="24"/>
          <w:highlight w:val="none"/>
        </w:rPr>
      </w:pPr>
      <w:r>
        <w:rPr>
          <w:rFonts w:hint="eastAsia" w:ascii="黑体" w:eastAsia="黑体"/>
          <w:color w:val="auto"/>
          <w:sz w:val="28"/>
          <w:szCs w:val="28"/>
          <w:highlight w:val="none"/>
        </w:rPr>
        <w:t>（六）合同授予</w:t>
      </w:r>
      <w:bookmarkEnd w:id="59"/>
    </w:p>
    <w:p w14:paraId="4636B96D">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bookmarkStart w:id="60" w:name="_Toc449028874"/>
      <w:r>
        <w:rPr>
          <w:rFonts w:hint="eastAsia" w:ascii="宋体" w:hAnsi="Times New Roman" w:eastAsia="宋体" w:cs="Times New Roman"/>
          <w:b/>
          <w:color w:val="auto"/>
          <w:szCs w:val="21"/>
          <w:highlight w:val="none"/>
        </w:rPr>
        <w:t>3</w:t>
      </w:r>
      <w:r>
        <w:rPr>
          <w:rFonts w:hint="eastAsia" w:ascii="宋体" w:hAnsi="Times New Roman" w:eastAsia="宋体" w:cs="Times New Roman"/>
          <w:b/>
          <w:color w:val="auto"/>
          <w:szCs w:val="21"/>
          <w:highlight w:val="none"/>
          <w:lang w:val="en-US" w:eastAsia="zh-CN"/>
        </w:rPr>
        <w:t>2</w:t>
      </w:r>
      <w:r>
        <w:rPr>
          <w:rFonts w:hint="eastAsia" w:ascii="宋体" w:hAnsi="Times New Roman" w:eastAsia="宋体" w:cs="Times New Roman"/>
          <w:b/>
          <w:color w:val="auto"/>
          <w:szCs w:val="21"/>
          <w:highlight w:val="none"/>
        </w:rPr>
        <w:t>.中标公示</w:t>
      </w:r>
    </w:p>
    <w:p w14:paraId="568E5602">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.1招标人在收到评标报告之日起3日内，按照投标人须知前附表规定的公示媒介和期限依法公示。公示期不得少于3日。</w:t>
      </w:r>
    </w:p>
    <w:p w14:paraId="02295EEA">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33.</w:t>
      </w:r>
      <w:r>
        <w:rPr>
          <w:rFonts w:hint="eastAsia" w:ascii="宋体" w:hAnsi="Times New Roman" w:eastAsia="宋体" w:cs="Times New Roman"/>
          <w:b/>
          <w:color w:val="auto"/>
          <w:szCs w:val="21"/>
          <w:highlight w:val="none"/>
        </w:rPr>
        <w:t>评标结果异议</w:t>
      </w:r>
    </w:p>
    <w:p w14:paraId="69234AB3">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.1投标人或其他利害关系人对评标结果有异议的，应在中标候选人公示期内提出。招标人将在收到异议之日起3日内作出答复；作出答复前，将暂停招标投标活动。</w:t>
      </w:r>
    </w:p>
    <w:p w14:paraId="365352A6">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34.</w:t>
      </w:r>
      <w:r>
        <w:rPr>
          <w:rFonts w:hint="eastAsia" w:ascii="宋体" w:hAnsi="Times New Roman" w:eastAsia="宋体" w:cs="Times New Roman"/>
          <w:b/>
          <w:color w:val="auto"/>
          <w:szCs w:val="21"/>
          <w:highlight w:val="none"/>
        </w:rPr>
        <w:t>中标候选人履约能力审查</w:t>
      </w:r>
    </w:p>
    <w:p w14:paraId="081FB1E6">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.1中标候选人的经营、财务状况发生较大变化或者存在违法行为，招标人认为可能影响其履约能力的，应当在发出中标通知书前由原评标委员会按照招标文件规定的标准和方法审查确认。</w:t>
      </w:r>
    </w:p>
    <w:p w14:paraId="7F9C4509">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35.</w:t>
      </w:r>
      <w:r>
        <w:rPr>
          <w:rFonts w:hint="eastAsia" w:ascii="宋体" w:hAnsi="Times New Roman" w:eastAsia="宋体" w:cs="Times New Roman"/>
          <w:b/>
          <w:color w:val="auto"/>
          <w:szCs w:val="21"/>
          <w:highlight w:val="none"/>
        </w:rPr>
        <w:t>业绩公示</w:t>
      </w:r>
    </w:p>
    <w:p w14:paraId="771F4BCB">
      <w:pPr>
        <w:kinsoku/>
        <w:wordWrap w:val="0"/>
        <w:overflowPunct/>
        <w:topLinePunct w:val="0"/>
        <w:bidi w:val="0"/>
        <w:spacing w:line="420" w:lineRule="exact"/>
        <w:ind w:firstLine="420" w:firstLineChars="200"/>
        <w:jc w:val="left"/>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.1招标人对中标人的得分业绩进行公示。</w:t>
      </w:r>
    </w:p>
    <w:p w14:paraId="56FFBD3C">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36.</w:t>
      </w:r>
      <w:r>
        <w:rPr>
          <w:rFonts w:hint="eastAsia" w:ascii="宋体" w:hAnsi="Times New Roman" w:eastAsia="宋体" w:cs="Times New Roman"/>
          <w:b/>
          <w:color w:val="auto"/>
          <w:szCs w:val="21"/>
          <w:highlight w:val="none"/>
        </w:rPr>
        <w:t>定标</w:t>
      </w:r>
    </w:p>
    <w:p w14:paraId="1B1C5EA6">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685F399">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37.</w:t>
      </w:r>
      <w:r>
        <w:rPr>
          <w:rFonts w:hint="eastAsia" w:ascii="宋体" w:hAnsi="Times New Roman" w:eastAsia="宋体" w:cs="Times New Roman"/>
          <w:b/>
          <w:color w:val="auto"/>
          <w:szCs w:val="21"/>
          <w:highlight w:val="none"/>
        </w:rPr>
        <w:t>中标通知</w:t>
      </w:r>
    </w:p>
    <w:p w14:paraId="4A5D538A">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.1在本招标文件规定的投标有效期内，招标人以数据电文向中标人发出中标通知书，同时将中标结果通知未中标的投标人。</w:t>
      </w:r>
    </w:p>
    <w:p w14:paraId="41B418CA">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38.</w:t>
      </w:r>
      <w:r>
        <w:rPr>
          <w:rFonts w:hint="eastAsia" w:ascii="宋体" w:hAnsi="Times New Roman" w:eastAsia="宋体" w:cs="Times New Roman"/>
          <w:b/>
          <w:color w:val="auto"/>
          <w:szCs w:val="21"/>
          <w:highlight w:val="none"/>
        </w:rPr>
        <w:t>履约担保</w:t>
      </w:r>
    </w:p>
    <w:p w14:paraId="559875E8">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在签订合同前，中标人应按投标人须知前附表规定的担保形式和招标文件第六章“合同条款及格式”规定的或者事先经过招标人书面认可的履约担保格式向招标人提交履约担保。联合体中标的，其履约担保应符合投标人须知前附表规定的金额、担保形式和招标文件第六章“合同条款及格式”规定的履约担保格式要求。</w:t>
      </w:r>
    </w:p>
    <w:p w14:paraId="522C2A1D">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.2中标人不能按本章第</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.1项要求提交履约担保的，视为放弃中标，其投标保证金不予退还，给招标人造成的损失超过投标保证金数额的，中标人还应当对超过部分予以赔偿。</w:t>
      </w:r>
    </w:p>
    <w:p w14:paraId="714716C8">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39.</w:t>
      </w:r>
      <w:r>
        <w:rPr>
          <w:rFonts w:hint="eastAsia" w:ascii="宋体" w:hAnsi="Times New Roman" w:eastAsia="宋体" w:cs="Times New Roman"/>
          <w:b/>
          <w:color w:val="auto"/>
          <w:szCs w:val="21"/>
          <w:highlight w:val="none"/>
        </w:rPr>
        <w:t>签订合同</w:t>
      </w:r>
    </w:p>
    <w:p w14:paraId="30514238">
      <w:pPr>
        <w:kinsoku/>
        <w:wordWrap w:val="0"/>
        <w:overflowPunct/>
        <w:topLinePunct w:val="0"/>
        <w:bidi w:val="0"/>
        <w:spacing w:line="420" w:lineRule="exact"/>
        <w:ind w:firstLine="420" w:firstLineChars="200"/>
        <w:jc w:val="left"/>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.1本项目合同将授予按本须知第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款规定所确定的中标人。</w:t>
      </w:r>
    </w:p>
    <w:p w14:paraId="07827BB3">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290FBC6D">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.3发出中标通知书后，招标人无正当理由拒签合同的，招标人向中标人退还投标保证金；给中标人造成损失的，还应当赔偿损失。</w:t>
      </w:r>
    </w:p>
    <w:p w14:paraId="72486D3B">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.4 除法定情形外，建设工程合同履行期间项目经理（建造师）不得更换。项目经理（建造师）确需变更的，应根据招标文件要求，变更后的项目经理（建造师）不低于投标文件中拟派项目经理（建造师）的资格条件。</w:t>
      </w:r>
    </w:p>
    <w:p w14:paraId="58E4699E">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.5联合体中标的，联合体各方应当共同与招标人签订合同，就中标项目向招标人承担连带责任。</w:t>
      </w:r>
    </w:p>
    <w:p w14:paraId="52E4472B">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40.</w:t>
      </w:r>
      <w:r>
        <w:rPr>
          <w:rFonts w:hint="eastAsia" w:ascii="宋体" w:hAnsi="Times New Roman" w:eastAsia="宋体" w:cs="Times New Roman"/>
          <w:b/>
          <w:color w:val="auto"/>
          <w:szCs w:val="21"/>
          <w:highlight w:val="none"/>
        </w:rPr>
        <w:t>重新招标和不再招标</w:t>
      </w:r>
    </w:p>
    <w:p w14:paraId="1E131DFC">
      <w:pPr>
        <w:kinsoku/>
        <w:wordWrap w:val="0"/>
        <w:overflowPunct/>
        <w:topLinePunct w:val="0"/>
        <w:bidi w:val="0"/>
        <w:spacing w:line="420" w:lineRule="exact"/>
        <w:ind w:firstLine="420" w:firstLineChars="200"/>
        <w:jc w:val="left"/>
        <w:outlineLvl w:val="4"/>
        <w:rPr>
          <w:rFonts w:hint="eastAsia" w:ascii="宋体" w:hAnsi="宋体" w:eastAsia="宋体" w:cs="宋体"/>
          <w:color w:val="auto"/>
          <w:szCs w:val="21"/>
          <w:highlight w:val="none"/>
        </w:rPr>
      </w:pPr>
      <w:bookmarkStart w:id="61" w:name="_Toc179632590"/>
      <w:bookmarkStart w:id="62" w:name="_Toc152042348"/>
      <w:bookmarkStart w:id="63" w:name="_Toc60061479"/>
      <w:bookmarkStart w:id="64" w:name="_Toc83301733"/>
      <w:bookmarkStart w:id="65" w:name="_Toc95223382"/>
      <w:bookmarkStart w:id="66" w:name="_Toc144974540"/>
      <w:bookmarkStart w:id="67" w:name="_Toc152045572"/>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 重新招标</w:t>
      </w:r>
      <w:bookmarkEnd w:id="61"/>
      <w:bookmarkEnd w:id="62"/>
      <w:bookmarkEnd w:id="63"/>
      <w:bookmarkEnd w:id="64"/>
      <w:bookmarkEnd w:id="65"/>
      <w:bookmarkEnd w:id="66"/>
      <w:bookmarkEnd w:id="67"/>
    </w:p>
    <w:p w14:paraId="22E3163D">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.1.1依法必须招标的项目有下列情形之一的，招标人将重新招标：</w:t>
      </w:r>
    </w:p>
    <w:p w14:paraId="28D0EC33">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73FF38E9">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03203369">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7698396F">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45FDAF26">
      <w:pPr>
        <w:kinsoku/>
        <w:wordWrap w:val="0"/>
        <w:overflowPunct/>
        <w:topLinePunct w:val="0"/>
        <w:bidi w:val="0"/>
        <w:spacing w:line="420" w:lineRule="exact"/>
        <w:ind w:firstLine="420" w:firstLineChars="200"/>
        <w:jc w:val="left"/>
        <w:outlineLvl w:val="4"/>
        <w:rPr>
          <w:rFonts w:hint="eastAsia" w:ascii="宋体" w:hAnsi="宋体" w:eastAsia="宋体" w:cs="宋体"/>
          <w:color w:val="auto"/>
          <w:szCs w:val="21"/>
          <w:highlight w:val="none"/>
        </w:rPr>
      </w:pPr>
      <w:bookmarkStart w:id="68" w:name="_Toc83301734"/>
      <w:bookmarkStart w:id="69" w:name="_Toc95223383"/>
      <w:bookmarkStart w:id="70" w:name="_Toc60061480"/>
      <w:bookmarkStart w:id="71" w:name="_Toc179632591"/>
      <w:bookmarkStart w:id="72" w:name="_Toc144974541"/>
      <w:bookmarkStart w:id="73" w:name="_Toc152045573"/>
      <w:bookmarkStart w:id="74" w:name="_Toc152042349"/>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 不再招标</w:t>
      </w:r>
      <w:bookmarkEnd w:id="68"/>
      <w:bookmarkEnd w:id="69"/>
      <w:bookmarkEnd w:id="70"/>
      <w:bookmarkEnd w:id="71"/>
      <w:bookmarkEnd w:id="72"/>
      <w:bookmarkEnd w:id="73"/>
      <w:bookmarkEnd w:id="74"/>
    </w:p>
    <w:p w14:paraId="4760FEC9">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.2.1重新招标后投标人仍少于3个或者所有投标被否决的，属于必须审批或核准的工程建设项目，经原审批或核准部门批准后不再进行招标。</w:t>
      </w:r>
    </w:p>
    <w:p w14:paraId="0567F33D">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（七）纪律和监督</w:t>
      </w:r>
      <w:bookmarkEnd w:id="60"/>
    </w:p>
    <w:p w14:paraId="5228FBB9">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41.</w:t>
      </w:r>
      <w:r>
        <w:rPr>
          <w:rFonts w:hint="eastAsia" w:ascii="宋体" w:hAnsi="Times New Roman" w:eastAsia="宋体" w:cs="Times New Roman"/>
          <w:b/>
          <w:color w:val="auto"/>
          <w:szCs w:val="21"/>
          <w:highlight w:val="none"/>
        </w:rPr>
        <w:t xml:space="preserve">对招标人的纪律要求 </w:t>
      </w:r>
    </w:p>
    <w:p w14:paraId="4D21C0A1">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.1招标人不得泄漏招标投标活动中应当保密的情况和资料，不得与投标人串通损害国家利益、社会公共利益或者他人合法权益。</w:t>
      </w:r>
    </w:p>
    <w:p w14:paraId="227A8D31">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42.</w:t>
      </w:r>
      <w:r>
        <w:rPr>
          <w:rFonts w:hint="eastAsia" w:ascii="宋体" w:hAnsi="Times New Roman" w:eastAsia="宋体" w:cs="Times New Roman"/>
          <w:b/>
          <w:color w:val="auto"/>
          <w:szCs w:val="21"/>
          <w:highlight w:val="none"/>
        </w:rPr>
        <w:t xml:space="preserve">对投标人的纪律要求 </w:t>
      </w:r>
    </w:p>
    <w:p w14:paraId="597D9998">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4AF56EB7">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43.</w:t>
      </w:r>
      <w:r>
        <w:rPr>
          <w:rFonts w:hint="eastAsia" w:ascii="宋体" w:hAnsi="Times New Roman" w:eastAsia="宋体" w:cs="Times New Roman"/>
          <w:b/>
          <w:color w:val="auto"/>
          <w:szCs w:val="21"/>
          <w:highlight w:val="none"/>
        </w:rPr>
        <w:t xml:space="preserve">对评标委员会成员的纪律要求 </w:t>
      </w:r>
    </w:p>
    <w:p w14:paraId="082DD567">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1EF15B87">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44.</w:t>
      </w:r>
      <w:r>
        <w:rPr>
          <w:rFonts w:hint="eastAsia" w:ascii="宋体" w:hAnsi="Times New Roman" w:eastAsia="宋体" w:cs="Times New Roman"/>
          <w:b/>
          <w:color w:val="auto"/>
          <w:szCs w:val="21"/>
          <w:highlight w:val="none"/>
        </w:rPr>
        <w:t xml:space="preserve">对与评标活动有关的工作人员的纪律要求 </w:t>
      </w:r>
    </w:p>
    <w:p w14:paraId="1C1F2639">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bookmarkStart w:id="75" w:name="_Toc152042355"/>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5"/>
    </w:p>
    <w:p w14:paraId="2E11900B">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（八）投诉</w:t>
      </w:r>
    </w:p>
    <w:p w14:paraId="5D9A1662">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4</w:t>
      </w:r>
      <w:r>
        <w:rPr>
          <w:rFonts w:hint="eastAsia" w:ascii="宋体" w:hAnsi="Times New Roman" w:eastAsia="宋体" w:cs="Times New Roman"/>
          <w:b/>
          <w:color w:val="auto"/>
          <w:szCs w:val="21"/>
          <w:highlight w:val="none"/>
          <w:lang w:val="en-US" w:eastAsia="zh-CN"/>
        </w:rPr>
        <w:t>5</w:t>
      </w:r>
      <w:r>
        <w:rPr>
          <w:rFonts w:hint="eastAsia" w:ascii="宋体" w:hAnsi="Times New Roman" w:eastAsia="宋体" w:cs="Times New Roman"/>
          <w:b/>
          <w:color w:val="auto"/>
          <w:szCs w:val="21"/>
          <w:highlight w:val="none"/>
        </w:rPr>
        <w:t>. 投诉</w:t>
      </w:r>
    </w:p>
    <w:p w14:paraId="7C554752">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.1投标人或者其他利害关系人认为招标投标活动违反法律、法规和规章规定的，有权向相关行政监督部门投诉。投诉应当有明确的请求和必要的证明材料。</w:t>
      </w:r>
    </w:p>
    <w:p w14:paraId="2277CC36">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.2投标人和其他利害关系人对招标文件、开标和评标结果事项投诉的，应当按照投标人须知的规定先向招标人提出异议。异议答复期间不计算在第4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.1项规定的期限内。</w:t>
      </w:r>
    </w:p>
    <w:p w14:paraId="23A690D3">
      <w:pPr>
        <w:kinsoku/>
        <w:wordWrap w:val="0"/>
        <w:overflowPunct/>
        <w:topLinePunct w:val="0"/>
        <w:bidi w:val="0"/>
        <w:rPr>
          <w:rFonts w:hint="eastAsia" w:ascii="宋体"/>
          <w:bCs w:val="0"/>
          <w:color w:val="auto"/>
          <w:szCs w:val="32"/>
          <w:highlight w:val="none"/>
        </w:rPr>
      </w:pPr>
      <w:bookmarkStart w:id="76" w:name="_Toc28871"/>
      <w:r>
        <w:rPr>
          <w:rFonts w:hint="eastAsia" w:ascii="宋体"/>
          <w:bCs w:val="0"/>
          <w:color w:val="auto"/>
          <w:szCs w:val="32"/>
          <w:highlight w:val="none"/>
        </w:rPr>
        <w:br w:type="page"/>
      </w:r>
    </w:p>
    <w:p w14:paraId="4075E232">
      <w:pPr>
        <w:pStyle w:val="2"/>
        <w:kinsoku/>
        <w:wordWrap w:val="0"/>
        <w:overflowPunct/>
        <w:topLinePunct w:val="0"/>
        <w:bidi w:val="0"/>
        <w:spacing w:before="0" w:after="0" w:line="240" w:lineRule="auto"/>
        <w:jc w:val="center"/>
        <w:rPr>
          <w:rFonts w:hint="eastAsia"/>
          <w:color w:val="auto"/>
          <w:highlight w:val="none"/>
        </w:rPr>
      </w:pPr>
      <w:r>
        <w:rPr>
          <w:rFonts w:hint="eastAsia" w:ascii="宋体"/>
          <w:b/>
          <w:color w:val="auto"/>
          <w:sz w:val="28"/>
          <w:szCs w:val="28"/>
          <w:highlight w:val="none"/>
        </w:rPr>
        <w:t>第三章 资格审查办法</w:t>
      </w:r>
    </w:p>
    <w:p w14:paraId="6F597E36">
      <w:pPr>
        <w:kinsoku/>
        <w:wordWrap w:val="0"/>
        <w:overflowPunct/>
        <w:topLinePunct w:val="0"/>
        <w:bidi w:val="0"/>
        <w:spacing w:before="240" w:beforeLines="100" w:after="240" w:afterLines="100" w:line="400" w:lineRule="exact"/>
        <w:jc w:val="center"/>
        <w:rPr>
          <w:rFonts w:hint="eastAsia" w:ascii="宋体"/>
          <w:b/>
          <w:color w:val="auto"/>
          <w:sz w:val="28"/>
          <w:szCs w:val="28"/>
          <w:highlight w:val="none"/>
        </w:rPr>
      </w:pPr>
      <w:r>
        <w:rPr>
          <w:rFonts w:hint="eastAsia" w:ascii="宋体"/>
          <w:b/>
          <w:color w:val="auto"/>
          <w:sz w:val="28"/>
          <w:szCs w:val="28"/>
          <w:highlight w:val="none"/>
        </w:rPr>
        <w:t>资格审查办法前附表</w:t>
      </w:r>
    </w:p>
    <w:tbl>
      <w:tblPr>
        <w:tblStyle w:val="35"/>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429"/>
        <w:gridCol w:w="3680"/>
      </w:tblGrid>
      <w:tr w14:paraId="381B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noWrap w:val="0"/>
            <w:vAlign w:val="center"/>
          </w:tcPr>
          <w:p w14:paraId="4CC309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color w:val="auto"/>
                <w:highlight w:val="none"/>
              </w:rPr>
            </w:pPr>
            <w:r>
              <w:rPr>
                <w:rFonts w:hint="eastAsia" w:ascii="黑体" w:eastAsia="黑体" w:cs="黑体"/>
                <w:b/>
                <w:bCs/>
                <w:color w:val="auto"/>
                <w:szCs w:val="21"/>
                <w:highlight w:val="none"/>
              </w:rPr>
              <w:t>序号</w:t>
            </w:r>
          </w:p>
        </w:tc>
        <w:tc>
          <w:tcPr>
            <w:tcW w:w="4664" w:type="dxa"/>
            <w:gridSpan w:val="2"/>
            <w:noWrap w:val="0"/>
            <w:vAlign w:val="center"/>
          </w:tcPr>
          <w:p w14:paraId="353F4A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color w:val="auto"/>
                <w:highlight w:val="none"/>
              </w:rPr>
            </w:pPr>
            <w:r>
              <w:rPr>
                <w:rFonts w:hint="eastAsia" w:ascii="宋体" w:hAnsi="宋体"/>
                <w:color w:val="auto"/>
                <w:szCs w:val="21"/>
                <w:highlight w:val="none"/>
              </w:rPr>
              <w:t>评审因素</w:t>
            </w:r>
          </w:p>
        </w:tc>
        <w:tc>
          <w:tcPr>
            <w:tcW w:w="3680" w:type="dxa"/>
            <w:noWrap w:val="0"/>
            <w:vAlign w:val="center"/>
          </w:tcPr>
          <w:p w14:paraId="3CE63EC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color w:val="auto"/>
                <w:highlight w:val="none"/>
              </w:rPr>
            </w:pPr>
            <w:r>
              <w:rPr>
                <w:rFonts w:hint="eastAsia" w:ascii="宋体" w:hAnsi="宋体"/>
                <w:color w:val="auto"/>
                <w:szCs w:val="21"/>
                <w:highlight w:val="none"/>
              </w:rPr>
              <w:t>评审标准</w:t>
            </w:r>
          </w:p>
        </w:tc>
      </w:tr>
      <w:tr w14:paraId="6D88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25" w:type="dxa"/>
            <w:noWrap w:val="0"/>
            <w:vAlign w:val="center"/>
          </w:tcPr>
          <w:p w14:paraId="62C1915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75869B6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color w:val="auto"/>
                <w:szCs w:val="21"/>
                <w:highlight w:val="none"/>
              </w:rPr>
              <w:t>重要要求</w:t>
            </w:r>
          </w:p>
        </w:tc>
        <w:tc>
          <w:tcPr>
            <w:tcW w:w="3429" w:type="dxa"/>
            <w:noWrap w:val="0"/>
            <w:vAlign w:val="center"/>
          </w:tcPr>
          <w:p w14:paraId="45B7DAB0">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680" w:type="dxa"/>
            <w:noWrap w:val="0"/>
            <w:vAlign w:val="center"/>
          </w:tcPr>
          <w:p w14:paraId="0BE743AD">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19B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25" w:type="dxa"/>
            <w:vMerge w:val="restart"/>
            <w:noWrap w:val="0"/>
            <w:vAlign w:val="center"/>
          </w:tcPr>
          <w:p w14:paraId="4C7456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37B251B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429" w:type="dxa"/>
            <w:noWrap w:val="0"/>
            <w:vAlign w:val="center"/>
          </w:tcPr>
          <w:p w14:paraId="482EC6B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3680" w:type="dxa"/>
            <w:noWrap w:val="0"/>
            <w:vAlign w:val="center"/>
          </w:tcPr>
          <w:p w14:paraId="395DA89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0BDF0C0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宋体" w:eastAsia="宋体"/>
                <w:color w:val="auto"/>
                <w:szCs w:val="21"/>
                <w:highlight w:val="none"/>
                <w:lang w:val="en-US" w:eastAsia="zh-CN"/>
              </w:rPr>
            </w:pPr>
            <w:r>
              <w:rPr>
                <w:rFonts w:hint="eastAsia" w:ascii="宋体"/>
                <w:color w:val="auto"/>
                <w:szCs w:val="21"/>
                <w:highlight w:val="none"/>
              </w:rPr>
              <w:t>投标人有效的营业执照、税务登记证、组织机构码证（或“三证合一证书”）</w:t>
            </w:r>
            <w:r>
              <w:rPr>
                <w:rFonts w:hint="eastAsia" w:ascii="宋体"/>
                <w:color w:val="auto"/>
                <w:szCs w:val="21"/>
                <w:highlight w:val="none"/>
                <w:lang w:val="en-US" w:eastAsia="zh-CN"/>
              </w:rPr>
              <w:t>或事业单位法人证书；</w:t>
            </w:r>
          </w:p>
        </w:tc>
      </w:tr>
      <w:tr w14:paraId="38B0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5" w:type="dxa"/>
            <w:vMerge w:val="continue"/>
            <w:noWrap w:val="0"/>
            <w:vAlign w:val="center"/>
          </w:tcPr>
          <w:p w14:paraId="49AB816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p>
        </w:tc>
        <w:tc>
          <w:tcPr>
            <w:tcW w:w="1235" w:type="dxa"/>
            <w:vMerge w:val="continue"/>
            <w:noWrap w:val="0"/>
            <w:vAlign w:val="center"/>
          </w:tcPr>
          <w:p w14:paraId="52A2F36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olor w:val="auto"/>
                <w:szCs w:val="21"/>
                <w:highlight w:val="none"/>
              </w:rPr>
            </w:pPr>
          </w:p>
        </w:tc>
        <w:tc>
          <w:tcPr>
            <w:tcW w:w="3429" w:type="dxa"/>
            <w:noWrap w:val="0"/>
            <w:vAlign w:val="top"/>
          </w:tcPr>
          <w:p w14:paraId="7A5CE12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）诚信投标承诺书（或《</w:t>
            </w:r>
            <w:r>
              <w:rPr>
                <w:rFonts w:hint="eastAsia" w:ascii="宋体" w:hAnsi="宋体" w:eastAsia="宋体" w:cs="宋体"/>
                <w:color w:val="auto"/>
                <w:kern w:val="0"/>
                <w:szCs w:val="21"/>
                <w:highlight w:val="none"/>
              </w:rPr>
              <w:t>公共信用信息报告（无违法违规证明版或核查版）</w:t>
            </w:r>
            <w:r>
              <w:rPr>
                <w:rFonts w:hint="eastAsia" w:ascii="宋体" w:hAnsi="宋体" w:eastAsia="宋体" w:cs="宋体"/>
                <w:color w:val="auto"/>
                <w:szCs w:val="21"/>
                <w:highlight w:val="none"/>
              </w:rPr>
              <w:t>》）</w:t>
            </w:r>
          </w:p>
        </w:tc>
        <w:tc>
          <w:tcPr>
            <w:tcW w:w="3680" w:type="dxa"/>
            <w:noWrap w:val="0"/>
            <w:vAlign w:val="center"/>
          </w:tcPr>
          <w:p w14:paraId="2C38A85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格式见附件，检验电子标书</w:t>
            </w:r>
          </w:p>
        </w:tc>
      </w:tr>
      <w:tr w14:paraId="680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5" w:type="dxa"/>
            <w:vMerge w:val="continue"/>
            <w:noWrap w:val="0"/>
            <w:vAlign w:val="center"/>
          </w:tcPr>
          <w:p w14:paraId="0077545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p>
        </w:tc>
        <w:tc>
          <w:tcPr>
            <w:tcW w:w="1235" w:type="dxa"/>
            <w:vMerge w:val="continue"/>
            <w:noWrap w:val="0"/>
            <w:vAlign w:val="center"/>
          </w:tcPr>
          <w:p w14:paraId="11D3626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olor w:val="auto"/>
                <w:szCs w:val="21"/>
                <w:highlight w:val="none"/>
              </w:rPr>
            </w:pPr>
          </w:p>
        </w:tc>
        <w:tc>
          <w:tcPr>
            <w:tcW w:w="3429" w:type="dxa"/>
            <w:noWrap w:val="0"/>
            <w:vAlign w:val="center"/>
          </w:tcPr>
          <w:p w14:paraId="4B6A9C2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）服务承诺书</w:t>
            </w:r>
          </w:p>
        </w:tc>
        <w:tc>
          <w:tcPr>
            <w:tcW w:w="3680" w:type="dxa"/>
            <w:noWrap w:val="0"/>
            <w:vAlign w:val="center"/>
          </w:tcPr>
          <w:p w14:paraId="18D7A63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宋体"/>
                <w:color w:val="auto"/>
                <w:szCs w:val="21"/>
                <w:highlight w:val="none"/>
              </w:rPr>
            </w:pPr>
            <w:r>
              <w:rPr>
                <w:rFonts w:hint="eastAsia"/>
                <w:color w:val="auto"/>
                <w:highlight w:val="none"/>
              </w:rPr>
              <w:t>格式见附件，检验电子标书</w:t>
            </w:r>
          </w:p>
        </w:tc>
      </w:tr>
    </w:tbl>
    <w:p w14:paraId="7037EF55">
      <w:pPr>
        <w:kinsoku/>
        <w:wordWrap w:val="0"/>
        <w:overflowPunct/>
        <w:topLinePunct w:val="0"/>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35520FE8">
      <w:pPr>
        <w:kinsoku/>
        <w:wordWrap w:val="0"/>
        <w:overflowPunct/>
        <w:topLinePunct w:val="0"/>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bookmarkStart w:id="77" w:name="_Toc506107320"/>
      <w:bookmarkStart w:id="78" w:name="_Toc95223395"/>
      <w:bookmarkStart w:id="79" w:name="_Toc60061492"/>
      <w:bookmarkStart w:id="80" w:name="_Toc15058909"/>
      <w:r>
        <w:rPr>
          <w:rFonts w:hint="eastAsia" w:ascii="黑体" w:hAnsi="黑体" w:eastAsia="黑体" w:cs="黑体"/>
          <w:b/>
          <w:bCs/>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C0B0C1E">
      <w:pPr>
        <w:kinsoku/>
        <w:wordWrap w:val="0"/>
        <w:overflowPunct/>
        <w:topLinePunct w:val="0"/>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77"/>
    <w:bookmarkEnd w:id="78"/>
    <w:bookmarkEnd w:id="79"/>
    <w:bookmarkEnd w:id="80"/>
    <w:p w14:paraId="18D4AEAA">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1.审查资料</w:t>
      </w:r>
    </w:p>
    <w:p w14:paraId="1860720F">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（1）法定代表人身份证明及其有效身份证（或法定代表人授权委托书及其有效身份证）（格式见附件）；</w:t>
      </w:r>
    </w:p>
    <w:p w14:paraId="64BBF026">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（2）投标人有效的营业执照、税务登记证、组织机构代码证（或三合一证书）</w:t>
      </w:r>
      <w:r>
        <w:rPr>
          <w:rFonts w:hint="eastAsia" w:ascii="宋体" w:hAnsi="宋体" w:cs="宋体"/>
          <w:color w:val="auto"/>
          <w:szCs w:val="21"/>
          <w:highlight w:val="none"/>
          <w:lang w:val="en-US" w:eastAsia="zh-CN"/>
        </w:rPr>
        <w:t>或事业单位法人证书</w:t>
      </w:r>
      <w:r>
        <w:rPr>
          <w:rFonts w:hint="eastAsia" w:ascii="宋体" w:hAnsi="宋体" w:cs="宋体"/>
          <w:color w:val="auto"/>
          <w:szCs w:val="21"/>
          <w:highlight w:val="none"/>
        </w:rPr>
        <w:t>；</w:t>
      </w:r>
    </w:p>
    <w:p w14:paraId="3B535541">
      <w:pPr>
        <w:kinsoku/>
        <w:wordWrap w:val="0"/>
        <w:overflowPunct/>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（3）诚信投标承诺书（或《公共信用信息报告（无违法违规证明版或核查版）》）；</w:t>
      </w:r>
    </w:p>
    <w:p w14:paraId="18C152D9">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）服务承诺：是否响应招标文件要求的书面说明和服务承诺书（格式见附件）</w:t>
      </w:r>
      <w:r>
        <w:rPr>
          <w:rFonts w:hint="eastAsia" w:ascii="宋体" w:hAnsi="宋体" w:cs="宋体"/>
          <w:color w:val="auto"/>
          <w:szCs w:val="21"/>
          <w:highlight w:val="none"/>
          <w:lang w:eastAsia="zh-CN"/>
        </w:rPr>
        <w:t>。</w:t>
      </w:r>
    </w:p>
    <w:p w14:paraId="2B76722F">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2.审查办法</w:t>
      </w:r>
    </w:p>
    <w:p w14:paraId="179AC7E3">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bookmarkStart w:id="81" w:name="_Toc60061493"/>
      <w:bookmarkStart w:id="82" w:name="_Toc15058910"/>
      <w:bookmarkStart w:id="83" w:name="_Toc324404868"/>
      <w:bookmarkStart w:id="84" w:name="_Toc506107321"/>
      <w:r>
        <w:rPr>
          <w:rFonts w:hint="eastAsia" w:ascii="宋体" w:hAnsi="宋体" w:cs="宋体"/>
          <w:color w:val="auto"/>
          <w:szCs w:val="21"/>
          <w:highlight w:val="none"/>
          <w:lang w:eastAsia="zh-CN"/>
        </w:rPr>
        <w:t>　</w:t>
      </w: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0F02F6DA">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bookmarkStart w:id="85" w:name="_Toc95223396"/>
      <w:r>
        <w:rPr>
          <w:rFonts w:hint="eastAsia" w:ascii="宋体" w:hAnsi="宋体" w:cs="宋体"/>
          <w:color w:val="auto"/>
          <w:szCs w:val="21"/>
          <w:highlight w:val="none"/>
          <w:lang w:eastAsia="zh-CN"/>
        </w:rPr>
        <w:t>　</w:t>
      </w:r>
      <w:r>
        <w:rPr>
          <w:rFonts w:hint="eastAsia" w:ascii="宋体" w:hAnsi="宋体" w:cs="宋体"/>
          <w:color w:val="auto"/>
          <w:szCs w:val="21"/>
          <w:highlight w:val="none"/>
        </w:rPr>
        <w:t>3.资格审查委员会和审查标准</w:t>
      </w:r>
      <w:bookmarkEnd w:id="81"/>
      <w:bookmarkEnd w:id="82"/>
      <w:bookmarkEnd w:id="83"/>
      <w:bookmarkEnd w:id="84"/>
      <w:bookmarkEnd w:id="85"/>
    </w:p>
    <w:p w14:paraId="62916BFD">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3.1资格审查由招标人依法组建的资格审查委员会（或评标委员会）负责。审查标准见资格审查办法前附表。</w:t>
      </w:r>
    </w:p>
    <w:p w14:paraId="354A9A59">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18A0622E">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bookmarkStart w:id="86" w:name="_Toc60061494"/>
      <w:bookmarkStart w:id="87" w:name="_Toc324404869"/>
      <w:bookmarkStart w:id="88" w:name="_Toc506107322"/>
      <w:bookmarkStart w:id="89" w:name="_Toc15058911"/>
      <w:bookmarkStart w:id="90" w:name="_Toc95223397"/>
      <w:r>
        <w:rPr>
          <w:rFonts w:hint="eastAsia" w:ascii="宋体" w:hAnsi="宋体" w:cs="宋体"/>
          <w:color w:val="auto"/>
          <w:szCs w:val="21"/>
          <w:highlight w:val="none"/>
        </w:rPr>
        <w:t>（1）未上传电子标书或电子标书经审查不合格；</w:t>
      </w:r>
    </w:p>
    <w:p w14:paraId="6AF53C30">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rPr>
        <w:t>；</w:t>
      </w:r>
    </w:p>
    <w:p w14:paraId="6BF68436">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（3）保证金不按第一章“招标公告”要求提交投标保证金的； </w:t>
      </w:r>
    </w:p>
    <w:p w14:paraId="0769E61C">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（4）投标人未办理省主体库登记入库手续的；</w:t>
      </w:r>
    </w:p>
    <w:p w14:paraId="437D4C2F">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（5）投标人投标 MAC 地址一致的；</w:t>
      </w:r>
    </w:p>
    <w:p w14:paraId="6BE07A49">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（6）投标人申请开具电子保函 MAC 地址一致的；</w:t>
      </w:r>
    </w:p>
    <w:p w14:paraId="4C3B8022">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（7）投标人投标文件制作机器码、文件创建标识码及造价软件加密锁号信息雷同的；</w:t>
      </w:r>
    </w:p>
    <w:p w14:paraId="6C7FBE6F">
      <w:pPr>
        <w:kinsoku/>
        <w:wordWrap w:val="0"/>
        <w:overflowPunct/>
        <w:topLinePunct w:val="0"/>
        <w:bidi w:val="0"/>
        <w:adjustRightInd w:val="0"/>
        <w:snapToGrid w:val="0"/>
        <w:spacing w:line="420" w:lineRule="exact"/>
        <w:ind w:firstLine="315" w:firstLineChars="150"/>
        <w:outlineLvl w:val="2"/>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）法律、法规规定的其他情形。</w:t>
      </w:r>
    </w:p>
    <w:p w14:paraId="170DCB94">
      <w:pPr>
        <w:kinsoku/>
        <w:wordWrap w:val="0"/>
        <w:overflowPunct/>
        <w:topLinePunct w:val="0"/>
        <w:bidi w:val="0"/>
        <w:adjustRightInd w:val="0"/>
        <w:snapToGrid w:val="0"/>
        <w:spacing w:line="420" w:lineRule="exact"/>
        <w:outlineLvl w:val="1"/>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4.审查结果</w:t>
      </w:r>
      <w:bookmarkEnd w:id="86"/>
      <w:bookmarkEnd w:id="87"/>
      <w:bookmarkEnd w:id="88"/>
      <w:bookmarkEnd w:id="89"/>
      <w:bookmarkEnd w:id="90"/>
    </w:p>
    <w:p w14:paraId="466E39FD">
      <w:pPr>
        <w:kinsoku/>
        <w:wordWrap w:val="0"/>
        <w:overflowPunct/>
        <w:topLinePunct w:val="0"/>
        <w:bidi w:val="0"/>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只有通过资格审查的投标人才能进入下一步的评标程序。</w:t>
      </w:r>
    </w:p>
    <w:p w14:paraId="30E52F2C">
      <w:pPr>
        <w:kinsoku/>
        <w:wordWrap w:val="0"/>
        <w:overflowPunct/>
        <w:topLinePunct w:val="0"/>
        <w:bidi w:val="0"/>
        <w:rPr>
          <w:rFonts w:hint="eastAsia" w:ascii="华文中宋" w:hAnsi="华文中宋" w:eastAsia="华文中宋"/>
          <w:color w:val="auto"/>
          <w:highlight w:val="none"/>
        </w:rPr>
      </w:pPr>
      <w:r>
        <w:rPr>
          <w:rFonts w:hint="eastAsia" w:ascii="华文中宋" w:hAnsi="华文中宋" w:eastAsia="华文中宋"/>
          <w:color w:val="auto"/>
          <w:highlight w:val="none"/>
        </w:rPr>
        <w:br w:type="page"/>
      </w:r>
    </w:p>
    <w:bookmarkEnd w:id="76"/>
    <w:p w14:paraId="1E183FA0">
      <w:pPr>
        <w:pStyle w:val="2"/>
        <w:kinsoku/>
        <w:wordWrap w:val="0"/>
        <w:overflowPunct/>
        <w:topLinePunct w:val="0"/>
        <w:bidi w:val="0"/>
        <w:adjustRightInd w:val="0"/>
        <w:snapToGrid w:val="0"/>
        <w:spacing w:before="0" w:after="0" w:line="560" w:lineRule="exact"/>
        <w:jc w:val="center"/>
        <w:rPr>
          <w:rFonts w:hint="eastAsia"/>
          <w:color w:val="auto"/>
          <w:highlight w:val="none"/>
        </w:rPr>
      </w:pPr>
      <w:bookmarkStart w:id="91" w:name="_Toc95223428"/>
      <w:bookmarkStart w:id="92" w:name="_Toc267320058"/>
      <w:bookmarkStart w:id="93" w:name="_Toc363135205"/>
      <w:r>
        <w:rPr>
          <w:rFonts w:hint="eastAsia"/>
          <w:color w:val="auto"/>
          <w:highlight w:val="none"/>
        </w:rPr>
        <w:t>第四章 评标办法</w:t>
      </w:r>
      <w:bookmarkEnd w:id="91"/>
    </w:p>
    <w:p w14:paraId="2CCDE303">
      <w:pPr>
        <w:numPr>
          <w:ilvl w:val="0"/>
          <w:numId w:val="8"/>
        </w:numPr>
        <w:kinsoku/>
        <w:wordWrap w:val="0"/>
        <w:overflowPunct/>
        <w:topLinePunct w:val="0"/>
        <w:bidi w:val="0"/>
        <w:spacing w:line="560" w:lineRule="exact"/>
        <w:ind w:left="0"/>
        <w:jc w:val="center"/>
        <w:outlineLvl w:val="1"/>
        <w:rPr>
          <w:rFonts w:hint="eastAsia"/>
          <w:b/>
          <w:color w:val="auto"/>
          <w:sz w:val="28"/>
          <w:szCs w:val="21"/>
          <w:highlight w:val="none"/>
        </w:rPr>
      </w:pPr>
      <w:r>
        <w:rPr>
          <w:rFonts w:hint="eastAsia"/>
          <w:b/>
          <w:color w:val="auto"/>
          <w:sz w:val="28"/>
          <w:szCs w:val="21"/>
          <w:highlight w:val="none"/>
        </w:rPr>
        <w:t>中标候选人的确定</w:t>
      </w:r>
    </w:p>
    <w:p w14:paraId="5EE5B8D6">
      <w:pPr>
        <w:keepNext w:val="0"/>
        <w:keepLines w:val="0"/>
        <w:pageBreakBefore w:val="0"/>
        <w:widowControl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eastAsia="宋体" w:cs="宋体"/>
          <w:color w:val="auto"/>
          <w:szCs w:val="21"/>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6DF2A266">
      <w:pPr>
        <w:numPr>
          <w:ilvl w:val="0"/>
          <w:numId w:val="8"/>
        </w:numPr>
        <w:kinsoku/>
        <w:wordWrap w:val="0"/>
        <w:overflowPunct/>
        <w:topLinePunct w:val="0"/>
        <w:bidi w:val="0"/>
        <w:spacing w:line="560" w:lineRule="exact"/>
        <w:ind w:left="0"/>
        <w:jc w:val="center"/>
        <w:rPr>
          <w:rFonts w:hint="eastAsia" w:ascii="Times New Roman" w:hAnsi="Times New Roman" w:eastAsia="宋体" w:cs="Times New Roman"/>
          <w:b/>
          <w:color w:val="auto"/>
          <w:sz w:val="28"/>
          <w:szCs w:val="21"/>
          <w:highlight w:val="none"/>
        </w:rPr>
      </w:pPr>
      <w:r>
        <w:rPr>
          <w:rFonts w:hint="eastAsia" w:ascii="Times New Roman" w:hAnsi="Times New Roman" w:eastAsia="宋体" w:cs="Times New Roman"/>
          <w:b/>
          <w:color w:val="auto"/>
          <w:sz w:val="28"/>
          <w:szCs w:val="21"/>
          <w:highlight w:val="none"/>
        </w:rPr>
        <w:t>资信标评审</w:t>
      </w:r>
      <w:r>
        <w:rPr>
          <w:rFonts w:hint="eastAsia" w:cs="Times New Roman"/>
          <w:b/>
          <w:color w:val="auto"/>
          <w:sz w:val="28"/>
          <w:szCs w:val="21"/>
          <w:highlight w:val="none"/>
          <w:lang w:eastAsia="zh-CN"/>
        </w:rPr>
        <w:t>（</w:t>
      </w:r>
      <w:r>
        <w:rPr>
          <w:rFonts w:hint="eastAsia" w:cs="Times New Roman"/>
          <w:b/>
          <w:color w:val="auto"/>
          <w:sz w:val="28"/>
          <w:szCs w:val="21"/>
          <w:highlight w:val="none"/>
          <w:lang w:val="en-US" w:eastAsia="zh-CN"/>
        </w:rPr>
        <w:t>34分）</w:t>
      </w:r>
    </w:p>
    <w:tbl>
      <w:tblPr>
        <w:tblStyle w:val="35"/>
        <w:tblW w:w="9651"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6981"/>
      </w:tblGrid>
      <w:tr w14:paraId="7CDE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A6A0837">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1ADAC392">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3DF3CA6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6981" w:type="dxa"/>
            <w:shd w:val="clear" w:color="auto" w:fill="auto"/>
            <w:noWrap/>
            <w:vAlign w:val="center"/>
          </w:tcPr>
          <w:p w14:paraId="7D7BD7FF">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2456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8F6227B">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78" w:type="dxa"/>
            <w:shd w:val="clear" w:color="auto" w:fill="auto"/>
            <w:noWrap/>
            <w:vAlign w:val="center"/>
          </w:tcPr>
          <w:p w14:paraId="167E967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投标人业绩</w:t>
            </w:r>
          </w:p>
        </w:tc>
        <w:tc>
          <w:tcPr>
            <w:tcW w:w="840" w:type="dxa"/>
            <w:shd w:val="clear" w:color="auto" w:fill="auto"/>
            <w:noWrap/>
            <w:vAlign w:val="center"/>
          </w:tcPr>
          <w:p w14:paraId="4C2A3E09">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5分</w:t>
            </w:r>
          </w:p>
        </w:tc>
        <w:tc>
          <w:tcPr>
            <w:tcW w:w="6981" w:type="dxa"/>
            <w:shd w:val="clear" w:color="auto" w:fill="auto"/>
            <w:noWrap/>
            <w:vAlign w:val="center"/>
          </w:tcPr>
          <w:p w14:paraId="115901A6">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投标人自202</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年1月1日（以合同签订时间为准）以来，具有类似业绩，每提供一个得5分，本项最高得5分。</w:t>
            </w:r>
          </w:p>
          <w:p w14:paraId="146A4F75">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类似业绩：指市政公园</w:t>
            </w:r>
            <w:r>
              <w:rPr>
                <w:rFonts w:hint="eastAsia" w:ascii="宋体" w:hAnsi="宋体" w:cs="宋体"/>
                <w:color w:val="auto"/>
                <w:kern w:val="0"/>
                <w:sz w:val="21"/>
                <w:szCs w:val="21"/>
                <w:highlight w:val="none"/>
                <w:lang w:val="en-US" w:eastAsia="zh-CN" w:bidi="ar"/>
              </w:rPr>
              <w:t>或</w:t>
            </w:r>
            <w:r>
              <w:rPr>
                <w:rFonts w:hint="eastAsia" w:ascii="宋体" w:hAnsi="宋体" w:eastAsia="宋体" w:cs="宋体"/>
                <w:color w:val="auto"/>
                <w:kern w:val="0"/>
                <w:sz w:val="21"/>
                <w:szCs w:val="21"/>
                <w:highlight w:val="none"/>
                <w:lang w:val="en-US" w:eastAsia="zh-CN" w:bidi="ar"/>
              </w:rPr>
              <w:t>开放式市民广场或者景观带的保安保洁</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或物业管理</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业绩。</w:t>
            </w:r>
          </w:p>
          <w:p w14:paraId="080E4F33">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Times New Roman"/>
                <w:b/>
                <w:bCs w:val="0"/>
                <w:color w:val="auto"/>
                <w:sz w:val="21"/>
                <w:szCs w:val="21"/>
                <w:highlight w:val="none"/>
                <w:lang w:val="zh-CN" w:eastAsia="zh-CN"/>
              </w:rPr>
            </w:pP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投标文件中须提供</w:t>
            </w:r>
            <w:r>
              <w:rPr>
                <w:rFonts w:hint="eastAsia" w:ascii="宋体" w:hAnsi="宋体"/>
                <w:b/>
                <w:bCs w:val="0"/>
                <w:color w:val="auto"/>
                <w:sz w:val="21"/>
                <w:szCs w:val="21"/>
                <w:highlight w:val="none"/>
                <w:lang w:val="zh-CN" w:eastAsia="zh-CN"/>
              </w:rPr>
              <w:t>①中标通知书，中标通知书须加盖招投标管理部门印章或招投标管理部门备案印章，无招投标管理部门盖章的还须提供招投标管理部门官网或公共资源交易平台官网发布的中标公示网页完整截图及网址链接，②合同。二者缺一不可</w:t>
            </w:r>
            <w:r>
              <w:rPr>
                <w:rFonts w:hint="eastAsia" w:ascii="宋体" w:hAnsi="宋体" w:eastAsia="宋体" w:cs="宋体"/>
                <w:b/>
                <w:bCs/>
                <w:color w:val="auto"/>
                <w:kern w:val="0"/>
                <w:sz w:val="21"/>
                <w:szCs w:val="21"/>
                <w:highlight w:val="none"/>
                <w:lang w:val="en-US" w:eastAsia="zh-CN" w:bidi="ar"/>
              </w:rPr>
              <w:t>；如上述材料</w:t>
            </w:r>
            <w:r>
              <w:rPr>
                <w:rFonts w:hint="eastAsia" w:ascii="宋体" w:hAnsi="宋体" w:cs="宋体"/>
                <w:b/>
                <w:bCs/>
                <w:color w:val="auto"/>
                <w:kern w:val="0"/>
                <w:sz w:val="21"/>
                <w:szCs w:val="21"/>
                <w:highlight w:val="none"/>
                <w:lang w:val="en-US" w:eastAsia="zh-CN" w:bidi="ar"/>
              </w:rPr>
              <w:t>中体现不出评审因素的</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须</w:t>
            </w:r>
            <w:r>
              <w:rPr>
                <w:rFonts w:hint="eastAsia" w:ascii="宋体" w:hAnsi="宋体" w:eastAsia="宋体" w:cs="宋体"/>
                <w:b/>
                <w:bCs/>
                <w:color w:val="auto"/>
                <w:kern w:val="0"/>
                <w:sz w:val="21"/>
                <w:szCs w:val="21"/>
                <w:highlight w:val="none"/>
                <w:lang w:val="en-US" w:eastAsia="zh-CN" w:bidi="ar"/>
              </w:rPr>
              <w:t>另</w:t>
            </w:r>
            <w:r>
              <w:rPr>
                <w:rFonts w:hint="eastAsia" w:ascii="宋体" w:hAnsi="宋体" w:cs="宋体"/>
                <w:b/>
                <w:bCs/>
                <w:color w:val="auto"/>
                <w:kern w:val="0"/>
                <w:sz w:val="21"/>
                <w:szCs w:val="21"/>
                <w:highlight w:val="none"/>
                <w:lang w:val="en-US" w:eastAsia="zh-CN" w:bidi="ar"/>
              </w:rPr>
              <w:t>附业主盖章</w:t>
            </w:r>
            <w:r>
              <w:rPr>
                <w:rFonts w:hint="eastAsia" w:ascii="宋体" w:hAnsi="宋体" w:eastAsia="宋体" w:cs="宋体"/>
                <w:b/>
                <w:bCs/>
                <w:color w:val="auto"/>
                <w:kern w:val="0"/>
                <w:sz w:val="21"/>
                <w:szCs w:val="21"/>
                <w:highlight w:val="none"/>
                <w:lang w:val="en-US" w:eastAsia="zh-CN" w:bidi="ar"/>
              </w:rPr>
              <w:t>证明材料扫描件，</w:t>
            </w:r>
            <w:r>
              <w:rPr>
                <w:rFonts w:hint="eastAsia"/>
                <w:b/>
                <w:bCs w:val="0"/>
                <w:color w:val="auto"/>
                <w:sz w:val="21"/>
                <w:szCs w:val="21"/>
                <w:highlight w:val="none"/>
                <w:lang w:val="en-US" w:eastAsia="zh-CN"/>
              </w:rPr>
              <w:t>证明材料</w:t>
            </w:r>
            <w:r>
              <w:rPr>
                <w:rFonts w:hint="eastAsia"/>
                <w:b/>
                <w:bCs w:val="0"/>
                <w:color w:val="auto"/>
                <w:sz w:val="21"/>
                <w:szCs w:val="21"/>
                <w:highlight w:val="none"/>
              </w:rPr>
              <w:t>必须提供业主单位联系方式以</w:t>
            </w:r>
            <w:r>
              <w:rPr>
                <w:rFonts w:hint="eastAsia" w:ascii="宋体" w:hAnsi="宋体" w:eastAsia="宋体" w:cs="Times New Roman"/>
                <w:b/>
                <w:bCs w:val="0"/>
                <w:color w:val="auto"/>
                <w:sz w:val="21"/>
                <w:szCs w:val="21"/>
                <w:highlight w:val="none"/>
                <w:lang w:val="zh-CN" w:eastAsia="zh-CN"/>
              </w:rPr>
              <w:t>便核实，否则不得分。】</w:t>
            </w:r>
          </w:p>
          <w:p w14:paraId="2E44F144">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default"/>
                <w:color w:val="auto"/>
                <w:sz w:val="21"/>
                <w:szCs w:val="21"/>
                <w:highlight w:val="none"/>
                <w:lang w:val="en-US" w:eastAsia="zh-CN"/>
              </w:rPr>
            </w:pPr>
            <w:r>
              <w:rPr>
                <w:rFonts w:hint="default" w:ascii="宋体" w:hAnsi="宋体" w:eastAsia="宋体" w:cs="Times New Roman"/>
                <w:b/>
                <w:bCs w:val="0"/>
                <w:color w:val="auto"/>
                <w:sz w:val="21"/>
                <w:szCs w:val="21"/>
                <w:highlight w:val="none"/>
                <w:lang w:val="en-US" w:eastAsia="zh-CN"/>
              </w:rPr>
              <w:t>投标人业绩</w:t>
            </w:r>
            <w:r>
              <w:rPr>
                <w:rFonts w:hint="eastAsia" w:ascii="宋体" w:hAnsi="宋体" w:cs="Times New Roman"/>
                <w:b/>
                <w:bCs w:val="0"/>
                <w:color w:val="auto"/>
                <w:sz w:val="21"/>
                <w:szCs w:val="21"/>
                <w:highlight w:val="none"/>
                <w:lang w:val="en-US" w:eastAsia="zh-CN"/>
              </w:rPr>
              <w:t>、项目负责人（经理）业绩评审时</w:t>
            </w:r>
            <w:r>
              <w:rPr>
                <w:rFonts w:hint="default" w:ascii="宋体" w:hAnsi="宋体" w:eastAsia="宋体" w:cs="Times New Roman"/>
                <w:b/>
                <w:bCs w:val="0"/>
                <w:color w:val="auto"/>
                <w:sz w:val="21"/>
                <w:szCs w:val="21"/>
                <w:highlight w:val="none"/>
                <w:lang w:val="en-US" w:eastAsia="zh-CN"/>
              </w:rPr>
              <w:t>同一</w:t>
            </w:r>
            <w:r>
              <w:rPr>
                <w:rFonts w:hint="eastAsia" w:ascii="宋体" w:hAnsi="宋体" w:eastAsia="宋体" w:cs="Times New Roman"/>
                <w:b/>
                <w:bCs w:val="0"/>
                <w:color w:val="auto"/>
                <w:sz w:val="21"/>
                <w:szCs w:val="21"/>
                <w:highlight w:val="none"/>
                <w:lang w:val="en-US" w:eastAsia="zh-CN"/>
              </w:rPr>
              <w:t>项目</w:t>
            </w:r>
            <w:r>
              <w:rPr>
                <w:rFonts w:hint="default" w:ascii="宋体" w:hAnsi="宋体" w:eastAsia="宋体" w:cs="Times New Roman"/>
                <w:b/>
                <w:bCs w:val="0"/>
                <w:color w:val="auto"/>
                <w:sz w:val="21"/>
                <w:szCs w:val="21"/>
                <w:highlight w:val="none"/>
                <w:lang w:val="en-US" w:eastAsia="zh-CN"/>
              </w:rPr>
              <w:t>不同年份的续签合同，仅计取一次。</w:t>
            </w:r>
          </w:p>
        </w:tc>
      </w:tr>
      <w:tr w14:paraId="078C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57940275">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594D4638">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项目负责人（经理）业绩</w:t>
            </w:r>
          </w:p>
        </w:tc>
        <w:tc>
          <w:tcPr>
            <w:tcW w:w="840" w:type="dxa"/>
            <w:shd w:val="clear" w:color="auto" w:fill="auto"/>
            <w:noWrap/>
            <w:vAlign w:val="center"/>
          </w:tcPr>
          <w:p w14:paraId="2961E5D1">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5分</w:t>
            </w:r>
          </w:p>
        </w:tc>
        <w:tc>
          <w:tcPr>
            <w:tcW w:w="6981" w:type="dxa"/>
            <w:shd w:val="clear" w:color="auto" w:fill="auto"/>
            <w:noWrap/>
            <w:vAlign w:val="center"/>
          </w:tcPr>
          <w:p w14:paraId="77BF1A6F">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拟派项目负责人自202</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年1月1日（以合同签订时间为准）以来，具有类似业绩，每提供一个得5分，本项最高得5分。</w:t>
            </w:r>
          </w:p>
          <w:p w14:paraId="74AC66C5">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类似业绩：指市政公园</w:t>
            </w:r>
            <w:r>
              <w:rPr>
                <w:rFonts w:hint="eastAsia" w:ascii="宋体" w:hAnsi="宋体" w:cs="宋体"/>
                <w:color w:val="auto"/>
                <w:kern w:val="0"/>
                <w:sz w:val="21"/>
                <w:szCs w:val="21"/>
                <w:highlight w:val="none"/>
                <w:lang w:val="en-US" w:eastAsia="zh-CN" w:bidi="ar"/>
              </w:rPr>
              <w:t>或</w:t>
            </w:r>
            <w:r>
              <w:rPr>
                <w:rFonts w:hint="eastAsia" w:ascii="宋体" w:hAnsi="宋体" w:eastAsia="宋体" w:cs="宋体"/>
                <w:color w:val="auto"/>
                <w:kern w:val="0"/>
                <w:sz w:val="21"/>
                <w:szCs w:val="21"/>
                <w:highlight w:val="none"/>
                <w:lang w:val="en-US" w:eastAsia="zh-CN" w:bidi="ar"/>
              </w:rPr>
              <w:t>开放式市民广场或者景观带的保安保洁</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或物业管理</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业绩。</w:t>
            </w:r>
          </w:p>
          <w:p w14:paraId="0BC261CB">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default"/>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项目负责人业绩必须是以项目负责人</w:t>
            </w:r>
            <w:r>
              <w:rPr>
                <w:rFonts w:hint="eastAsia" w:ascii="宋体" w:hAnsi="宋体" w:cs="宋体"/>
                <w:color w:val="auto"/>
                <w:kern w:val="0"/>
                <w:sz w:val="21"/>
                <w:szCs w:val="21"/>
                <w:highlight w:val="none"/>
                <w:lang w:val="en-US" w:eastAsia="zh-CN" w:bidi="ar"/>
              </w:rPr>
              <w:t>（或项目经理）</w:t>
            </w:r>
            <w:r>
              <w:rPr>
                <w:rFonts w:hint="eastAsia" w:ascii="宋体" w:hAnsi="宋体" w:eastAsia="宋体" w:cs="宋体"/>
                <w:color w:val="auto"/>
                <w:kern w:val="0"/>
                <w:sz w:val="21"/>
                <w:szCs w:val="21"/>
                <w:highlight w:val="none"/>
                <w:lang w:val="en-US" w:eastAsia="zh-CN" w:bidi="ar"/>
              </w:rPr>
              <w:t>身份参与的业绩，以其他身份参与的不予认可；项目负责人以合同中体现为准。</w:t>
            </w:r>
          </w:p>
          <w:p w14:paraId="6FEC8EBC">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b/>
                <w:bCs w:val="0"/>
                <w:color w:val="auto"/>
                <w:sz w:val="21"/>
                <w:szCs w:val="21"/>
                <w:highlight w:val="none"/>
                <w:lang w:eastAsia="zh-CN"/>
              </w:rPr>
            </w:pP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投标文件中须提供</w:t>
            </w:r>
            <w:r>
              <w:rPr>
                <w:rFonts w:hint="eastAsia" w:ascii="宋体" w:hAnsi="宋体"/>
                <w:b/>
                <w:bCs w:val="0"/>
                <w:color w:val="auto"/>
                <w:sz w:val="21"/>
                <w:szCs w:val="21"/>
                <w:highlight w:val="none"/>
                <w:lang w:val="zh-CN" w:eastAsia="zh-CN"/>
              </w:rPr>
              <w:t>①中标通知书，中标通知书须加盖招投标管理部门印章或招投标管理部门备案印章，无招投标管理部门盖章的还须提供招投标管理部门官网或公共资源交易平台官网发布的中标公示网页完整截图及网址链接，②合同。二者缺一不可</w:t>
            </w:r>
            <w:r>
              <w:rPr>
                <w:rFonts w:hint="eastAsia" w:ascii="宋体" w:hAnsi="宋体" w:eastAsia="宋体" w:cs="宋体"/>
                <w:b/>
                <w:bCs/>
                <w:color w:val="auto"/>
                <w:kern w:val="0"/>
                <w:sz w:val="21"/>
                <w:szCs w:val="21"/>
                <w:highlight w:val="none"/>
                <w:lang w:val="en-US" w:eastAsia="zh-CN" w:bidi="ar"/>
              </w:rPr>
              <w:t>；如上述材料</w:t>
            </w:r>
            <w:r>
              <w:rPr>
                <w:rFonts w:hint="eastAsia" w:ascii="宋体" w:hAnsi="宋体" w:cs="宋体"/>
                <w:b/>
                <w:bCs/>
                <w:color w:val="auto"/>
                <w:kern w:val="0"/>
                <w:sz w:val="21"/>
                <w:szCs w:val="21"/>
                <w:highlight w:val="none"/>
                <w:lang w:val="en-US" w:eastAsia="zh-CN" w:bidi="ar"/>
              </w:rPr>
              <w:t>中体现不出评审因素的</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须</w:t>
            </w:r>
            <w:r>
              <w:rPr>
                <w:rFonts w:hint="eastAsia" w:ascii="宋体" w:hAnsi="宋体" w:eastAsia="宋体" w:cs="宋体"/>
                <w:b/>
                <w:bCs/>
                <w:color w:val="auto"/>
                <w:kern w:val="0"/>
                <w:sz w:val="21"/>
                <w:szCs w:val="21"/>
                <w:highlight w:val="none"/>
                <w:lang w:val="en-US" w:eastAsia="zh-CN" w:bidi="ar"/>
              </w:rPr>
              <w:t>另</w:t>
            </w:r>
            <w:r>
              <w:rPr>
                <w:rFonts w:hint="eastAsia" w:ascii="宋体" w:hAnsi="宋体" w:cs="宋体"/>
                <w:b/>
                <w:bCs/>
                <w:color w:val="auto"/>
                <w:kern w:val="0"/>
                <w:sz w:val="21"/>
                <w:szCs w:val="21"/>
                <w:highlight w:val="none"/>
                <w:lang w:val="en-US" w:eastAsia="zh-CN" w:bidi="ar"/>
              </w:rPr>
              <w:t>附业主盖章</w:t>
            </w:r>
            <w:r>
              <w:rPr>
                <w:rFonts w:hint="eastAsia" w:ascii="宋体" w:hAnsi="宋体" w:eastAsia="宋体" w:cs="宋体"/>
                <w:b/>
                <w:bCs/>
                <w:color w:val="auto"/>
                <w:kern w:val="0"/>
                <w:sz w:val="21"/>
                <w:szCs w:val="21"/>
                <w:highlight w:val="none"/>
                <w:lang w:val="en-US" w:eastAsia="zh-CN" w:bidi="ar"/>
              </w:rPr>
              <w:t>证明材料扫描件，</w:t>
            </w:r>
            <w:r>
              <w:rPr>
                <w:rFonts w:hint="eastAsia"/>
                <w:b/>
                <w:bCs w:val="0"/>
                <w:color w:val="auto"/>
                <w:sz w:val="21"/>
                <w:szCs w:val="21"/>
                <w:highlight w:val="none"/>
                <w:lang w:val="en-US" w:eastAsia="zh-CN"/>
              </w:rPr>
              <w:t>证明材料</w:t>
            </w:r>
            <w:r>
              <w:rPr>
                <w:rFonts w:hint="eastAsia"/>
                <w:b/>
                <w:bCs w:val="0"/>
                <w:color w:val="auto"/>
                <w:sz w:val="21"/>
                <w:szCs w:val="21"/>
                <w:highlight w:val="none"/>
              </w:rPr>
              <w:t>必须提供业主单位联系方式以便核实，否则不得分。</w:t>
            </w:r>
            <w:r>
              <w:rPr>
                <w:rFonts w:hint="eastAsia"/>
                <w:b/>
                <w:bCs w:val="0"/>
                <w:color w:val="auto"/>
                <w:sz w:val="21"/>
                <w:szCs w:val="21"/>
                <w:highlight w:val="none"/>
                <w:lang w:eastAsia="zh-CN"/>
              </w:rPr>
              <w:t>】</w:t>
            </w:r>
          </w:p>
          <w:p w14:paraId="0A8E99B9">
            <w:pPr>
              <w:pStyle w:val="1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default"/>
                <w:color w:val="auto"/>
                <w:sz w:val="21"/>
                <w:szCs w:val="21"/>
                <w:highlight w:val="none"/>
                <w:lang w:val="en-US" w:eastAsia="zh-CN"/>
              </w:rPr>
            </w:pPr>
            <w:r>
              <w:rPr>
                <w:rFonts w:hint="default" w:ascii="宋体" w:hAnsi="宋体" w:eastAsia="宋体" w:cs="Times New Roman"/>
                <w:b/>
                <w:bCs w:val="0"/>
                <w:color w:val="auto"/>
                <w:sz w:val="21"/>
                <w:szCs w:val="21"/>
                <w:highlight w:val="none"/>
                <w:lang w:val="en-US" w:eastAsia="zh-CN"/>
              </w:rPr>
              <w:t>投标人业绩</w:t>
            </w:r>
            <w:r>
              <w:rPr>
                <w:rFonts w:hint="eastAsia" w:ascii="宋体" w:hAnsi="宋体" w:cs="Times New Roman"/>
                <w:b/>
                <w:bCs w:val="0"/>
                <w:color w:val="auto"/>
                <w:sz w:val="21"/>
                <w:szCs w:val="21"/>
                <w:highlight w:val="none"/>
                <w:lang w:val="en-US" w:eastAsia="zh-CN"/>
              </w:rPr>
              <w:t>、项目负责人（经理）业绩评审时</w:t>
            </w:r>
            <w:r>
              <w:rPr>
                <w:rFonts w:hint="default" w:ascii="宋体" w:hAnsi="宋体" w:eastAsia="宋体" w:cs="Times New Roman"/>
                <w:b/>
                <w:bCs w:val="0"/>
                <w:color w:val="auto"/>
                <w:sz w:val="21"/>
                <w:szCs w:val="21"/>
                <w:highlight w:val="none"/>
                <w:lang w:val="en-US" w:eastAsia="zh-CN"/>
              </w:rPr>
              <w:t>同一</w:t>
            </w:r>
            <w:r>
              <w:rPr>
                <w:rFonts w:hint="eastAsia" w:ascii="宋体" w:hAnsi="宋体" w:eastAsia="宋体" w:cs="Times New Roman"/>
                <w:b/>
                <w:bCs w:val="0"/>
                <w:color w:val="auto"/>
                <w:sz w:val="21"/>
                <w:szCs w:val="21"/>
                <w:highlight w:val="none"/>
                <w:lang w:val="en-US" w:eastAsia="zh-CN"/>
              </w:rPr>
              <w:t>项目</w:t>
            </w:r>
            <w:r>
              <w:rPr>
                <w:rFonts w:hint="default" w:ascii="宋体" w:hAnsi="宋体" w:eastAsia="宋体" w:cs="Times New Roman"/>
                <w:b/>
                <w:bCs w:val="0"/>
                <w:color w:val="auto"/>
                <w:sz w:val="21"/>
                <w:szCs w:val="21"/>
                <w:highlight w:val="none"/>
                <w:lang w:val="en-US" w:eastAsia="zh-CN"/>
              </w:rPr>
              <w:t>不同年份的续签合同，仅计取一次</w:t>
            </w:r>
            <w:r>
              <w:rPr>
                <w:rFonts w:hint="eastAsia" w:ascii="宋体" w:hAnsi="宋体" w:cs="宋体"/>
                <w:b/>
                <w:bCs/>
                <w:color w:val="auto"/>
                <w:sz w:val="21"/>
                <w:szCs w:val="21"/>
                <w:highlight w:val="none"/>
                <w:lang w:val="en-US" w:eastAsia="zh-CN"/>
              </w:rPr>
              <w:t>。</w:t>
            </w:r>
          </w:p>
        </w:tc>
      </w:tr>
      <w:tr w14:paraId="021B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3C2FF8E">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26510DC8">
            <w:pPr>
              <w:keepNext w:val="0"/>
              <w:keepLines w:val="0"/>
              <w:pageBreakBefore w:val="0"/>
              <w:kinsoku/>
              <w:wordWrap w:val="0"/>
              <w:overflowPunct/>
              <w:topLinePunct w:val="0"/>
              <w:autoSpaceDE/>
              <w:autoSpaceDN/>
              <w:bidi w:val="0"/>
              <w:adjustRightInd/>
              <w:snapToGrid/>
              <w:spacing w:line="4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履约评价</w:t>
            </w:r>
          </w:p>
        </w:tc>
        <w:tc>
          <w:tcPr>
            <w:tcW w:w="840" w:type="dxa"/>
            <w:shd w:val="clear" w:color="auto" w:fill="auto"/>
            <w:noWrap/>
            <w:vAlign w:val="center"/>
          </w:tcPr>
          <w:p w14:paraId="76495EEA">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2分</w:t>
            </w:r>
          </w:p>
        </w:tc>
        <w:tc>
          <w:tcPr>
            <w:tcW w:w="6981" w:type="dxa"/>
            <w:shd w:val="clear" w:color="auto" w:fill="auto"/>
            <w:noWrap/>
            <w:vAlign w:val="center"/>
          </w:tcPr>
          <w:p w14:paraId="254FDC2F">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cs="宋体"/>
                <w:b/>
                <w:bCs/>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投标人符合得分条件的业绩，获得该业绩的业主（或合同甲方）书面评价优秀（或满意）的，每提供1个得2分，最高得2分。</w:t>
            </w:r>
          </w:p>
          <w:p w14:paraId="2E262E27">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b/>
                <w:bCs w:val="0"/>
                <w:color w:val="auto"/>
                <w:sz w:val="21"/>
                <w:szCs w:val="21"/>
                <w:highlight w:val="none"/>
                <w:lang w:eastAsia="zh-CN"/>
              </w:rPr>
            </w:pPr>
            <w:r>
              <w:rPr>
                <w:rFonts w:hint="eastAsia" w:ascii="宋体" w:hAnsi="宋体" w:cs="宋体"/>
                <w:b/>
                <w:bCs/>
                <w:color w:val="auto"/>
                <w:kern w:val="0"/>
                <w:sz w:val="21"/>
                <w:szCs w:val="21"/>
                <w:highlight w:val="none"/>
                <w:lang w:val="en-US" w:eastAsia="zh-CN" w:bidi="ar"/>
              </w:rPr>
              <w:t>【投标文件中提供业主（或合同甲方）评价材料扫描件，评价材料须体现投标人在该业绩履约结果为优秀（或满意）。</w:t>
            </w:r>
            <w:r>
              <w:rPr>
                <w:rFonts w:hint="eastAsia"/>
                <w:b/>
                <w:bCs w:val="0"/>
                <w:color w:val="auto"/>
                <w:sz w:val="21"/>
                <w:szCs w:val="21"/>
                <w:highlight w:val="none"/>
                <w:lang w:eastAsia="zh-CN"/>
              </w:rPr>
              <w:t>】</w:t>
            </w:r>
          </w:p>
          <w:p w14:paraId="7859635C">
            <w:pPr>
              <w:pStyle w:val="1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default"/>
                <w:color w:val="auto"/>
                <w:sz w:val="21"/>
                <w:szCs w:val="21"/>
                <w:highlight w:val="none"/>
                <w:lang w:val="en-US" w:eastAsia="zh-CN"/>
              </w:rPr>
            </w:pPr>
            <w:r>
              <w:rPr>
                <w:rFonts w:hint="eastAsia"/>
                <w:b/>
                <w:bCs w:val="0"/>
                <w:color w:val="auto"/>
                <w:sz w:val="21"/>
                <w:szCs w:val="21"/>
                <w:highlight w:val="none"/>
                <w:lang w:val="en-US" w:eastAsia="zh-CN"/>
              </w:rPr>
              <w:t>同一项目不同年度的履约评价，仅计取一次。</w:t>
            </w:r>
          </w:p>
        </w:tc>
      </w:tr>
      <w:tr w14:paraId="62D0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B01D7D4">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6CDE882F">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荣誉</w:t>
            </w:r>
          </w:p>
        </w:tc>
        <w:tc>
          <w:tcPr>
            <w:tcW w:w="840" w:type="dxa"/>
            <w:shd w:val="clear" w:color="auto" w:fill="auto"/>
            <w:noWrap/>
            <w:vAlign w:val="center"/>
          </w:tcPr>
          <w:p w14:paraId="5F8D55C5">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8分</w:t>
            </w:r>
          </w:p>
        </w:tc>
        <w:tc>
          <w:tcPr>
            <w:tcW w:w="6981" w:type="dxa"/>
            <w:shd w:val="clear" w:color="auto" w:fill="auto"/>
            <w:noWrap/>
            <w:vAlign w:val="center"/>
          </w:tcPr>
          <w:p w14:paraId="259B6F05">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.自</w:t>
            </w:r>
            <w:r>
              <w:rPr>
                <w:rFonts w:hint="default" w:ascii="Times New Roman" w:hAnsi="Times New Roman" w:eastAsia="宋体" w:cs="Times New Roman"/>
                <w:color w:val="auto"/>
                <w:kern w:val="0"/>
                <w:sz w:val="21"/>
                <w:szCs w:val="21"/>
                <w:highlight w:val="none"/>
                <w:lang w:val="en-US" w:eastAsia="zh-CN" w:bidi="ar"/>
              </w:rPr>
              <w:t>20</w:t>
            </w:r>
            <w:r>
              <w:rPr>
                <w:rFonts w:hint="eastAsia" w:cs="Times New Roman"/>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年</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日以来（以证书或者证明文件的颁发时间为准），投标人</w:t>
            </w:r>
            <w:r>
              <w:rPr>
                <w:rFonts w:hint="eastAsia" w:ascii="宋体" w:hAnsi="宋体" w:cs="宋体"/>
                <w:color w:val="auto"/>
                <w:kern w:val="0"/>
                <w:sz w:val="21"/>
                <w:szCs w:val="21"/>
                <w:highlight w:val="none"/>
                <w:lang w:val="en-US" w:eastAsia="zh-CN" w:bidi="ar"/>
              </w:rPr>
              <w:t>（或投标人承揽</w:t>
            </w:r>
            <w:r>
              <w:rPr>
                <w:rFonts w:hint="eastAsia" w:ascii="宋体" w:hAnsi="宋体" w:eastAsia="宋体" w:cs="宋体"/>
                <w:color w:val="auto"/>
                <w:kern w:val="0"/>
                <w:sz w:val="21"/>
                <w:szCs w:val="21"/>
                <w:highlight w:val="none"/>
                <w:lang w:val="en-US" w:eastAsia="zh-CN" w:bidi="ar"/>
              </w:rPr>
              <w:t>物业</w:t>
            </w:r>
            <w:r>
              <w:rPr>
                <w:rFonts w:hint="eastAsia" w:ascii="宋体" w:hAnsi="宋体" w:cs="宋体"/>
                <w:color w:val="auto"/>
                <w:kern w:val="0"/>
                <w:sz w:val="21"/>
                <w:szCs w:val="21"/>
                <w:highlight w:val="none"/>
                <w:lang w:val="en-US" w:eastAsia="zh-CN" w:bidi="ar"/>
              </w:rPr>
              <w:t>（或保安保洁）</w:t>
            </w:r>
            <w:r>
              <w:rPr>
                <w:rFonts w:hint="eastAsia" w:ascii="宋体" w:hAnsi="宋体" w:eastAsia="宋体" w:cs="宋体"/>
                <w:color w:val="auto"/>
                <w:kern w:val="0"/>
                <w:sz w:val="21"/>
                <w:szCs w:val="21"/>
                <w:highlight w:val="none"/>
                <w:lang w:val="en-US" w:eastAsia="zh-CN" w:bidi="ar"/>
              </w:rPr>
              <w:t>服务项目</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在服务期间获得地市级</w:t>
            </w:r>
            <w:r>
              <w:rPr>
                <w:rFonts w:hint="eastAsia" w:ascii="宋体" w:hAnsi="宋体" w:cs="宋体"/>
                <w:color w:val="auto"/>
                <w:kern w:val="0"/>
                <w:sz w:val="21"/>
                <w:szCs w:val="21"/>
                <w:highlight w:val="none"/>
                <w:lang w:val="en-US" w:eastAsia="zh-CN" w:bidi="ar"/>
              </w:rPr>
              <w:t>及</w:t>
            </w:r>
            <w:r>
              <w:rPr>
                <w:rFonts w:hint="eastAsia" w:ascii="宋体" w:hAnsi="宋体" w:eastAsia="宋体" w:cs="宋体"/>
                <w:color w:val="auto"/>
                <w:kern w:val="0"/>
                <w:sz w:val="21"/>
                <w:szCs w:val="21"/>
                <w:highlight w:val="none"/>
                <w:lang w:val="en-US" w:eastAsia="zh-CN" w:bidi="ar"/>
              </w:rPr>
              <w:t>以上政府或者物业行政主管部门（不含协会）授予荣誉的，每提供一个得</w:t>
            </w:r>
            <w:r>
              <w:rPr>
                <w:rFonts w:hint="eastAsia" w:cs="Times New Roman"/>
                <w:color w:val="auto"/>
                <w:kern w:val="0"/>
                <w:sz w:val="21"/>
                <w:szCs w:val="21"/>
                <w:highlight w:val="none"/>
                <w:lang w:val="en-US" w:eastAsia="zh-CN" w:bidi="ar"/>
              </w:rPr>
              <w:t>2分</w:t>
            </w:r>
            <w:r>
              <w:rPr>
                <w:rFonts w:hint="eastAsia" w:ascii="宋体" w:hAnsi="宋体" w:eastAsia="宋体" w:cs="宋体"/>
                <w:color w:val="auto"/>
                <w:kern w:val="0"/>
                <w:sz w:val="21"/>
                <w:szCs w:val="21"/>
                <w:highlight w:val="none"/>
                <w:lang w:val="en-US" w:eastAsia="zh-CN" w:bidi="ar"/>
              </w:rPr>
              <w:t>，最高得</w:t>
            </w:r>
            <w:r>
              <w:rPr>
                <w:rFonts w:hint="eastAsia"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分。 </w:t>
            </w:r>
          </w:p>
          <w:p w14:paraId="1C782C77">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投标文件中提供证书、批复、颁发单位荣誉文件、网上公示截图（具有其中之一即可）等证明材料。以上材料提供扫描件，须能体现投标人在</w:t>
            </w:r>
            <w:r>
              <w:rPr>
                <w:rFonts w:hint="eastAsia" w:ascii="宋体" w:hAnsi="宋体" w:cs="宋体"/>
                <w:b/>
                <w:bCs/>
                <w:color w:val="auto"/>
                <w:kern w:val="0"/>
                <w:sz w:val="21"/>
                <w:szCs w:val="21"/>
                <w:highlight w:val="none"/>
                <w:lang w:val="en-US" w:eastAsia="zh-CN" w:bidi="ar"/>
              </w:rPr>
              <w:t>服务</w:t>
            </w:r>
            <w:r>
              <w:rPr>
                <w:rFonts w:hint="eastAsia" w:ascii="宋体" w:hAnsi="宋体" w:eastAsia="宋体" w:cs="宋体"/>
                <w:b/>
                <w:bCs/>
                <w:color w:val="auto"/>
                <w:kern w:val="0"/>
                <w:sz w:val="21"/>
                <w:szCs w:val="21"/>
                <w:highlight w:val="none"/>
                <w:lang w:val="en-US" w:eastAsia="zh-CN" w:bidi="ar"/>
              </w:rPr>
              <w:t>管理工作中获得的荣誉，如无法体现，须另附颁发单位的相关证明材料，未提供或提供不全的不得分。如为所管项目荣誉，投标文件中同时提供业绩合同扫描件。</w:t>
            </w:r>
            <w:r>
              <w:rPr>
                <w:rFonts w:hint="eastAsia" w:ascii="宋体" w:hAnsi="宋体" w:eastAsia="宋体" w:cs="宋体"/>
                <w:b/>
                <w:bCs/>
                <w:color w:val="auto"/>
                <w:kern w:val="0"/>
                <w:sz w:val="21"/>
                <w:szCs w:val="21"/>
                <w:highlight w:val="none"/>
                <w:lang w:val="en-US" w:bidi="zh-CN"/>
              </w:rPr>
              <w:t>】</w:t>
            </w:r>
          </w:p>
          <w:p w14:paraId="41E0D61D">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.自</w:t>
            </w:r>
            <w:r>
              <w:rPr>
                <w:rFonts w:hint="default" w:ascii="Times New Roman" w:hAnsi="Times New Roman" w:eastAsia="宋体" w:cs="Times New Roman"/>
                <w:color w:val="auto"/>
                <w:kern w:val="0"/>
                <w:sz w:val="21"/>
                <w:szCs w:val="21"/>
                <w:highlight w:val="none"/>
                <w:lang w:val="en-US" w:eastAsia="zh-CN" w:bidi="ar"/>
              </w:rPr>
              <w:t>20</w:t>
            </w:r>
            <w:r>
              <w:rPr>
                <w:rFonts w:hint="eastAsia" w:cs="Times New Roman"/>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年</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日以来（以证书或者证明文件的颁发时间为准），投标人物业信用等级被市级及以上行政主管部门评为甲级（类）的得2分，被评为乙级(类)的得1分</w:t>
            </w:r>
            <w:r>
              <w:rPr>
                <w:rFonts w:hint="eastAsia" w:ascii="宋体" w:hAnsi="宋体" w:cs="宋体"/>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最高得</w:t>
            </w:r>
            <w:r>
              <w:rPr>
                <w:rFonts w:hint="eastAsia" w:cs="Times New Roman"/>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分</w:t>
            </w:r>
            <w:r>
              <w:rPr>
                <w:rFonts w:hint="eastAsia" w:ascii="宋体" w:hAnsi="宋体" w:eastAsia="宋体" w:cs="宋体"/>
                <w:b/>
                <w:bCs/>
                <w:color w:val="auto"/>
                <w:kern w:val="0"/>
                <w:sz w:val="21"/>
                <w:szCs w:val="21"/>
                <w:highlight w:val="none"/>
                <w:lang w:val="en-US" w:eastAsia="zh-CN" w:bidi="ar"/>
              </w:rPr>
              <w:t>。</w:t>
            </w:r>
          </w:p>
          <w:p w14:paraId="3DD47142">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注：自高到低全国各地规定、说法可能不一致，如</w:t>
            </w:r>
            <w:r>
              <w:rPr>
                <w:rFonts w:hint="default" w:ascii="Times New Roman" w:hAnsi="Times New Roman" w:eastAsia="宋体" w:cs="Times New Roman"/>
                <w:color w:val="auto"/>
                <w:kern w:val="0"/>
                <w:sz w:val="21"/>
                <w:szCs w:val="21"/>
                <w:highlight w:val="none"/>
                <w:lang w:val="en-US" w:eastAsia="zh-CN" w:bidi="ar"/>
              </w:rPr>
              <w:t>:</w:t>
            </w:r>
            <w:r>
              <w:rPr>
                <w:rFonts w:hint="eastAsia" w:ascii="Times New Roman" w:hAnsi="Times New Roman" w:eastAsia="宋体" w:cs="Times New Roman"/>
                <w:color w:val="auto"/>
                <w:kern w:val="0"/>
                <w:sz w:val="21"/>
                <w:szCs w:val="21"/>
                <w:highlight w:val="none"/>
                <w:lang w:val="en-US" w:eastAsia="zh-CN" w:bidi="ar"/>
              </w:rPr>
              <w:t>ABCDE级</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甲乙丙级</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类</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AAA</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AA</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A </w:t>
            </w:r>
            <w:r>
              <w:rPr>
                <w:rFonts w:hint="eastAsia" w:ascii="宋体" w:hAnsi="宋体" w:eastAsia="宋体" w:cs="宋体"/>
                <w:color w:val="auto"/>
                <w:kern w:val="0"/>
                <w:sz w:val="21"/>
                <w:szCs w:val="21"/>
                <w:highlight w:val="none"/>
                <w:lang w:val="en-US" w:eastAsia="zh-CN" w:bidi="ar"/>
              </w:rPr>
              <w:t>级</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类</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一二三级</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类</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等，物业信用等级命名如有不同，性质相同均予以认可。最高等级的以甲级(类)计算，次高等级的按乙级(类)计算。不累计计分，以最高分</w:t>
            </w:r>
            <w:r>
              <w:rPr>
                <w:rFonts w:hint="eastAsia" w:ascii="宋体" w:hAnsi="宋体" w:cs="宋体"/>
                <w:color w:val="auto"/>
                <w:kern w:val="0"/>
                <w:sz w:val="21"/>
                <w:szCs w:val="21"/>
                <w:highlight w:val="none"/>
                <w:lang w:val="en-US" w:eastAsia="zh-CN" w:bidi="ar"/>
              </w:rPr>
              <w:t>计取。</w:t>
            </w:r>
          </w:p>
          <w:p w14:paraId="35E29694">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最多提供两个信用评定，按照排列顺序从首个评分项开始评审至对应数量，超出部分不进行评审。</w:t>
            </w:r>
          </w:p>
          <w:p w14:paraId="62837A6B">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投标文件中提供市级及以上物业行政主管部门颁发的证明文件或网上公示截图等材料扫描件；信用等级命名不同的，还须提供市级及以上行政主管部门划分信用等级的证明材料扫描件。</w:t>
            </w:r>
            <w:r>
              <w:rPr>
                <w:rFonts w:hint="eastAsia" w:ascii="宋体" w:hAnsi="宋体" w:eastAsia="宋体" w:cs="宋体"/>
                <w:b/>
                <w:bCs/>
                <w:color w:val="auto"/>
                <w:kern w:val="0"/>
                <w:sz w:val="21"/>
                <w:szCs w:val="21"/>
                <w:highlight w:val="none"/>
                <w:lang w:val="en-US" w:bidi="zh-CN"/>
              </w:rPr>
              <w:t>】</w:t>
            </w:r>
          </w:p>
        </w:tc>
      </w:tr>
      <w:tr w14:paraId="6009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41F6F24">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078" w:type="dxa"/>
            <w:shd w:val="clear" w:color="auto" w:fill="auto"/>
            <w:noWrap/>
            <w:vAlign w:val="center"/>
          </w:tcPr>
          <w:p w14:paraId="123486E1">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拟派团队人员能力</w:t>
            </w:r>
          </w:p>
        </w:tc>
        <w:tc>
          <w:tcPr>
            <w:tcW w:w="840" w:type="dxa"/>
            <w:shd w:val="clear" w:color="auto" w:fill="auto"/>
            <w:noWrap/>
            <w:vAlign w:val="center"/>
          </w:tcPr>
          <w:p w14:paraId="6E8E1C38">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8分</w:t>
            </w:r>
          </w:p>
        </w:tc>
        <w:tc>
          <w:tcPr>
            <w:tcW w:w="6981" w:type="dxa"/>
            <w:shd w:val="clear" w:color="auto" w:fill="auto"/>
            <w:noWrap/>
            <w:vAlign w:val="center"/>
          </w:tcPr>
          <w:p w14:paraId="2956646D">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拟派项目负责人（经理）</w:t>
            </w:r>
            <w:r>
              <w:rPr>
                <w:rFonts w:hint="eastAsia" w:ascii="宋体" w:hAnsi="宋体" w:eastAsia="宋体" w:cs="宋体"/>
                <w:color w:val="auto"/>
                <w:sz w:val="21"/>
                <w:szCs w:val="21"/>
                <w:highlight w:val="none"/>
              </w:rPr>
              <w:t>具有物业管理员（师）二级及以上技能证书的得2分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p w14:paraId="6BB04C43">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投标文件中</w:t>
            </w:r>
            <w:r>
              <w:rPr>
                <w:rFonts w:hint="eastAsia" w:ascii="宋体" w:hAnsi="宋体" w:eastAsia="宋体" w:cs="宋体"/>
                <w:b/>
                <w:bCs/>
                <w:color w:val="auto"/>
                <w:sz w:val="21"/>
                <w:szCs w:val="21"/>
                <w:highlight w:val="none"/>
              </w:rPr>
              <w:t>提供证书扫描件</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技能人才评价证书全国联网查询系统截图</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社保部门出具的本单位为其缴纳的投标前近三个月内任意一月的养老保险证明（含官网在线打印件，证明文件两个月内有效）</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身份证扫描件。所有证件均需在有效期内，否则不予得分</w:t>
            </w:r>
            <w:r>
              <w:rPr>
                <w:rFonts w:hint="eastAsia" w:ascii="宋体" w:hAnsi="宋体" w:cs="宋体"/>
                <w:color w:val="auto"/>
                <w:sz w:val="21"/>
                <w:szCs w:val="21"/>
                <w:highlight w:val="none"/>
                <w:lang w:eastAsia="zh-CN"/>
              </w:rPr>
              <w:t>】</w:t>
            </w:r>
          </w:p>
          <w:p w14:paraId="30BE9E54">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拟派项目负责人（经理）</w:t>
            </w:r>
            <w:r>
              <w:rPr>
                <w:rFonts w:hint="eastAsia" w:ascii="宋体" w:hAnsi="宋体" w:cs="宋体"/>
                <w:color w:val="auto"/>
                <w:sz w:val="21"/>
                <w:szCs w:val="21"/>
                <w:highlight w:val="none"/>
                <w:lang w:val="en-US" w:eastAsia="zh-CN"/>
              </w:rPr>
              <w:t>具有中级及以上技术职称的得2分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3D41341B">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投标文件中</w:t>
            </w:r>
            <w:r>
              <w:rPr>
                <w:rFonts w:hint="eastAsia" w:ascii="宋体" w:hAnsi="宋体" w:eastAsia="宋体" w:cs="宋体"/>
                <w:b/>
                <w:bCs/>
                <w:color w:val="auto"/>
                <w:sz w:val="21"/>
                <w:szCs w:val="21"/>
                <w:highlight w:val="none"/>
              </w:rPr>
              <w:t>提供证书扫描件</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社保部门出具的本单位为其缴纳的投标前近三个月内任意一月的养老保险证明（含官网在线打印件，证明文件两个月内有效）</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身份证扫描件。所有证件均需在有效期内，否则不予得分</w:t>
            </w:r>
            <w:r>
              <w:rPr>
                <w:rFonts w:hint="eastAsia" w:ascii="宋体" w:hAnsi="宋体" w:cs="宋体"/>
                <w:color w:val="auto"/>
                <w:sz w:val="21"/>
                <w:szCs w:val="21"/>
                <w:highlight w:val="none"/>
                <w:lang w:eastAsia="zh-CN"/>
              </w:rPr>
              <w:t>】</w:t>
            </w:r>
          </w:p>
          <w:p w14:paraId="0FA11648">
            <w:pPr>
              <w:keepNext w:val="0"/>
              <w:keepLines w:val="0"/>
              <w:pageBreakBefore w:val="0"/>
              <w:numPr>
                <w:ilvl w:val="0"/>
                <w:numId w:val="0"/>
              </w:numPr>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sz w:val="21"/>
                <w:szCs w:val="21"/>
                <w:highlight w:val="none"/>
                <w:lang w:val="en-US" w:eastAsia="zh-CN"/>
              </w:rPr>
              <w:t>拟派其他人员</w:t>
            </w: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val="en-US" w:eastAsia="zh-CN"/>
              </w:rPr>
              <w:t>及以上电工职业技能证书</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3FA854FF">
            <w:pPr>
              <w:keepNext w:val="0"/>
              <w:keepLines w:val="0"/>
              <w:pageBreakBefore w:val="0"/>
              <w:numPr>
                <w:ilvl w:val="0"/>
                <w:numId w:val="0"/>
              </w:numPr>
              <w:kinsoku/>
              <w:wordWrap w:val="0"/>
              <w:overflowPunct/>
              <w:topLinePunct w:val="0"/>
              <w:autoSpaceDE/>
              <w:autoSpaceDN/>
              <w:bidi w:val="0"/>
              <w:adjustRightInd/>
              <w:snapToGrid/>
              <w:spacing w:line="440" w:lineRule="exact"/>
              <w:jc w:val="left"/>
              <w:textAlignment w:val="auto"/>
              <w:rPr>
                <w:rFonts w:hint="eastAsia" w:asciiTheme="minorEastAsia" w:hAnsiTheme="minorEastAsia" w:eastAsiaTheme="minorEastAsia"/>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提供证书扫描件以及技能人才评价证书全国联网查询系统截图</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社保部门出具的本单位为其缴纳的投标前近三个月内任意一月的养老保险证明（含官网在线打印件，证明文件两个月内有效）</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身份证扫描件。所有证件均需在有效期内，否则不予得分</w:t>
            </w:r>
            <w:r>
              <w:rPr>
                <w:rFonts w:hint="eastAsia" w:ascii="宋体" w:hAnsi="宋体" w:cs="宋体"/>
                <w:color w:val="auto"/>
                <w:sz w:val="21"/>
                <w:szCs w:val="21"/>
                <w:highlight w:val="none"/>
                <w:lang w:eastAsia="zh-CN"/>
              </w:rPr>
              <w:t>】</w:t>
            </w:r>
          </w:p>
          <w:p w14:paraId="24F3AC53">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default"/>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上述人员不得兼任，否则不予重复得分。</w:t>
            </w:r>
          </w:p>
        </w:tc>
      </w:tr>
      <w:tr w14:paraId="54D5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7D2A198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078" w:type="dxa"/>
            <w:shd w:val="clear" w:color="auto" w:fill="auto"/>
            <w:noWrap/>
            <w:vAlign w:val="center"/>
          </w:tcPr>
          <w:p w14:paraId="7274A27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管理体系</w:t>
            </w:r>
          </w:p>
          <w:p w14:paraId="683E476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认证</w:t>
            </w:r>
          </w:p>
        </w:tc>
        <w:tc>
          <w:tcPr>
            <w:tcW w:w="840" w:type="dxa"/>
            <w:shd w:val="clear" w:color="auto" w:fill="auto"/>
            <w:noWrap/>
            <w:vAlign w:val="center"/>
          </w:tcPr>
          <w:p w14:paraId="5B81EEB3">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6981" w:type="dxa"/>
            <w:shd w:val="clear" w:color="auto" w:fill="auto"/>
            <w:noWrap/>
            <w:vAlign w:val="center"/>
          </w:tcPr>
          <w:p w14:paraId="38955DCE">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投标人具有经中国国家认证认可监督管理委员会认证机构颁发的有效的下列证书： </w:t>
            </w:r>
          </w:p>
          <w:p w14:paraId="11881059">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投标人具有ISO9001质量体系认证证书，得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1F202396">
            <w:pPr>
              <w:keepNext w:val="0"/>
              <w:keepLines w:val="0"/>
              <w:pageBreakBefore w:val="0"/>
              <w:widowControl w:val="0"/>
              <w:kinsoku/>
              <w:wordWrap w:val="0"/>
              <w:overflowPunct/>
              <w:topLinePunct w:val="0"/>
              <w:autoSpaceDE/>
              <w:autoSpaceDN/>
              <w:bidi w:val="0"/>
              <w:adjustRightInd/>
              <w:snapToGrid/>
              <w:spacing w:line="440" w:lineRule="exact"/>
              <w:ind w:right="164" w:rightChars="78"/>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投标人具有ISO14001环境管理体系认证证书，得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658701F4">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投标人具有ISO45001职业安全健康体系认证证书，得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0"/>
                <w:sz w:val="21"/>
                <w:szCs w:val="21"/>
                <w:highlight w:val="none"/>
                <w:lang w:val="en-US" w:eastAsia="zh-CN" w:bidi="ar"/>
              </w:rPr>
              <w:t>；</w:t>
            </w:r>
          </w:p>
          <w:p w14:paraId="205F8E09">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每提供1个得</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分，最高得</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p>
          <w:p w14:paraId="1769A478">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【上述证书均在有效期内，并提供全国认证认可信息公共服务平台官网查询截图，且与投标人所提供的认证证书一致，检验电子标书，证书单位名称与投标人名称一致，否则不得分。】</w:t>
            </w:r>
          </w:p>
        </w:tc>
      </w:tr>
    </w:tbl>
    <w:p w14:paraId="2EAAE6E0">
      <w:pPr>
        <w:pStyle w:val="12"/>
        <w:kinsoku/>
        <w:wordWrap w:val="0"/>
        <w:overflowPunct/>
        <w:topLinePunct w:val="0"/>
        <w:bidi w:val="0"/>
        <w:adjustRightInd w:val="0"/>
        <w:snapToGrid w:val="0"/>
        <w:spacing w:after="0" w:line="560" w:lineRule="exact"/>
        <w:ind w:left="0" w:leftChars="0" w:firstLine="0" w:firstLineChars="0"/>
        <w:jc w:val="center"/>
        <w:rPr>
          <w:rFonts w:hint="eastAsia"/>
          <w:b/>
          <w:color w:val="auto"/>
          <w:sz w:val="28"/>
          <w:szCs w:val="21"/>
          <w:highlight w:val="none"/>
        </w:rPr>
      </w:pPr>
    </w:p>
    <w:p w14:paraId="1589319A">
      <w:pPr>
        <w:pStyle w:val="12"/>
        <w:kinsoku/>
        <w:wordWrap w:val="0"/>
        <w:overflowPunct/>
        <w:topLinePunct w:val="0"/>
        <w:bidi w:val="0"/>
        <w:adjustRightInd w:val="0"/>
        <w:snapToGrid w:val="0"/>
        <w:spacing w:after="0" w:line="560" w:lineRule="exact"/>
        <w:ind w:left="0" w:leftChars="0" w:firstLine="0" w:firstLineChars="0"/>
        <w:jc w:val="center"/>
        <w:rPr>
          <w:rFonts w:hint="default" w:eastAsia="宋体"/>
          <w:b/>
          <w:color w:val="auto"/>
          <w:sz w:val="28"/>
          <w:szCs w:val="21"/>
          <w:highlight w:val="none"/>
          <w:lang w:val="en-US" w:eastAsia="zh-CN"/>
        </w:rPr>
      </w:pPr>
      <w:r>
        <w:rPr>
          <w:rFonts w:hint="eastAsia"/>
          <w:b/>
          <w:color w:val="auto"/>
          <w:sz w:val="28"/>
          <w:szCs w:val="21"/>
          <w:highlight w:val="none"/>
        </w:rPr>
        <w:t>（三）技术标评审</w:t>
      </w:r>
      <w:r>
        <w:rPr>
          <w:rFonts w:hint="eastAsia"/>
          <w:b/>
          <w:color w:val="auto"/>
          <w:sz w:val="28"/>
          <w:szCs w:val="21"/>
          <w:highlight w:val="none"/>
          <w:lang w:eastAsia="zh-CN"/>
        </w:rPr>
        <w:t>（</w:t>
      </w:r>
      <w:r>
        <w:rPr>
          <w:rFonts w:hint="eastAsia"/>
          <w:b/>
          <w:color w:val="auto"/>
          <w:sz w:val="28"/>
          <w:szCs w:val="21"/>
          <w:highlight w:val="none"/>
          <w:lang w:val="en-US" w:eastAsia="zh-CN"/>
        </w:rPr>
        <w:t>56分）</w:t>
      </w:r>
    </w:p>
    <w:bookmarkEnd w:id="92"/>
    <w:tbl>
      <w:tblPr>
        <w:tblStyle w:val="35"/>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39"/>
        <w:gridCol w:w="840"/>
        <w:gridCol w:w="6749"/>
      </w:tblGrid>
      <w:tr w14:paraId="0317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87A8039">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bookmarkStart w:id="94" w:name="_Toc362983805"/>
            <w:r>
              <w:rPr>
                <w:rFonts w:hint="eastAsia" w:ascii="宋体" w:hAnsi="宋体" w:eastAsia="宋体" w:cs="宋体"/>
                <w:color w:val="auto"/>
                <w:sz w:val="21"/>
                <w:szCs w:val="21"/>
                <w:highlight w:val="none"/>
              </w:rPr>
              <w:t>序号</w:t>
            </w:r>
          </w:p>
        </w:tc>
        <w:tc>
          <w:tcPr>
            <w:tcW w:w="1639" w:type="dxa"/>
            <w:noWrap w:val="0"/>
            <w:vAlign w:val="center"/>
          </w:tcPr>
          <w:p w14:paraId="43E2BCB7">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840" w:type="dxa"/>
            <w:noWrap w:val="0"/>
            <w:vAlign w:val="center"/>
          </w:tcPr>
          <w:p w14:paraId="4FBACCD3">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749" w:type="dxa"/>
            <w:noWrap w:val="0"/>
            <w:vAlign w:val="center"/>
          </w:tcPr>
          <w:p w14:paraId="65CAD6BA">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技术标评审细则</w:t>
            </w:r>
          </w:p>
        </w:tc>
      </w:tr>
      <w:tr w14:paraId="001A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50B57CBA">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w:t>
            </w:r>
          </w:p>
        </w:tc>
        <w:tc>
          <w:tcPr>
            <w:tcW w:w="1639" w:type="dxa"/>
            <w:noWrap w:val="0"/>
            <w:vAlign w:val="center"/>
          </w:tcPr>
          <w:p w14:paraId="36541930">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重大活动保障方案</w:t>
            </w:r>
          </w:p>
        </w:tc>
        <w:tc>
          <w:tcPr>
            <w:tcW w:w="840" w:type="dxa"/>
            <w:noWrap w:val="0"/>
            <w:vAlign w:val="center"/>
          </w:tcPr>
          <w:p w14:paraId="68F710B5">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8分</w:t>
            </w:r>
          </w:p>
        </w:tc>
        <w:tc>
          <w:tcPr>
            <w:tcW w:w="6749" w:type="dxa"/>
            <w:noWrap w:val="0"/>
            <w:vAlign w:val="top"/>
          </w:tcPr>
          <w:p w14:paraId="5ABCDCFC">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根据</w:t>
            </w:r>
            <w:r>
              <w:rPr>
                <w:rFonts w:hint="eastAsia" w:ascii="宋体" w:hAnsi="宋体" w:cs="宋体"/>
                <w:color w:val="auto"/>
                <w:kern w:val="2"/>
                <w:sz w:val="21"/>
                <w:szCs w:val="24"/>
                <w:highlight w:val="none"/>
                <w:lang w:val="en-US" w:eastAsia="zh-CN" w:bidi="ar-SA"/>
              </w:rPr>
              <w:t>项目</w:t>
            </w:r>
            <w:r>
              <w:rPr>
                <w:rFonts w:hint="eastAsia" w:ascii="宋体" w:hAnsi="宋体" w:eastAsia="宋体" w:cs="宋体"/>
                <w:color w:val="auto"/>
                <w:kern w:val="2"/>
                <w:sz w:val="21"/>
                <w:szCs w:val="24"/>
                <w:highlight w:val="none"/>
                <w:lang w:val="en-US" w:eastAsia="zh-CN" w:bidi="ar-SA"/>
              </w:rPr>
              <w:t>特点，编制重大活动保障方案，包括但不限于人员配置、设备设施检查、现场环境准备、活动流程配合等多方面综合考虑，由评标委员会综合</w:t>
            </w:r>
            <w:r>
              <w:rPr>
                <w:rFonts w:hint="eastAsia" w:ascii="宋体" w:hAnsi="宋体" w:cs="宋体"/>
                <w:color w:val="auto"/>
                <w:kern w:val="2"/>
                <w:sz w:val="21"/>
                <w:szCs w:val="24"/>
                <w:highlight w:val="none"/>
                <w:lang w:val="en-US" w:eastAsia="zh-CN" w:bidi="ar-SA"/>
              </w:rPr>
              <w:t>评审：</w:t>
            </w:r>
          </w:p>
          <w:p w14:paraId="366DF423">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方案周密、详尽、保障措施完善，充分满足项目实施要求的得</w:t>
            </w:r>
            <w:r>
              <w:rPr>
                <w:rFonts w:hint="eastAsia" w:ascii="宋体" w:hAnsi="宋体" w:cs="宋体"/>
                <w:color w:val="auto"/>
                <w:kern w:val="2"/>
                <w:sz w:val="21"/>
                <w:szCs w:val="24"/>
                <w:highlight w:val="none"/>
                <w:lang w:val="en-US" w:eastAsia="zh-CN" w:bidi="ar-SA"/>
              </w:rPr>
              <w:t>8</w:t>
            </w:r>
            <w:r>
              <w:rPr>
                <w:rFonts w:hint="eastAsia" w:ascii="宋体" w:hAnsi="宋体" w:eastAsia="宋体" w:cs="宋体"/>
                <w:color w:val="auto"/>
                <w:kern w:val="2"/>
                <w:sz w:val="21"/>
                <w:szCs w:val="24"/>
                <w:highlight w:val="none"/>
                <w:lang w:val="en-US" w:eastAsia="zh-CN" w:bidi="ar-SA"/>
              </w:rPr>
              <w:t>分；</w:t>
            </w:r>
          </w:p>
          <w:p w14:paraId="3DFCC31C">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方案完整、有具体的保障措施，满足项目实施要求的得</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 xml:space="preserve"> 分</w:t>
            </w:r>
            <w:r>
              <w:rPr>
                <w:rFonts w:hint="eastAsia" w:ascii="宋体" w:hAnsi="宋体" w:cs="宋体"/>
                <w:color w:val="auto"/>
                <w:kern w:val="2"/>
                <w:sz w:val="21"/>
                <w:szCs w:val="24"/>
                <w:highlight w:val="none"/>
                <w:lang w:val="en-US" w:eastAsia="zh-CN" w:bidi="ar-SA"/>
              </w:rPr>
              <w:t>；</w:t>
            </w:r>
          </w:p>
          <w:p w14:paraId="71E51CAE">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方案基本可行，部分存在不足的得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148B4830">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6236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FC9C80C">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w:t>
            </w:r>
          </w:p>
        </w:tc>
        <w:tc>
          <w:tcPr>
            <w:tcW w:w="1639" w:type="dxa"/>
            <w:noWrap w:val="0"/>
            <w:vAlign w:val="center"/>
          </w:tcPr>
          <w:p w14:paraId="11BDF2D0">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进退场交接方案</w:t>
            </w:r>
          </w:p>
        </w:tc>
        <w:tc>
          <w:tcPr>
            <w:tcW w:w="840" w:type="dxa"/>
            <w:noWrap w:val="0"/>
            <w:vAlign w:val="center"/>
          </w:tcPr>
          <w:p w14:paraId="779A879D">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8分</w:t>
            </w:r>
          </w:p>
        </w:tc>
        <w:tc>
          <w:tcPr>
            <w:tcW w:w="6749" w:type="dxa"/>
            <w:noWrap w:val="0"/>
            <w:vAlign w:val="top"/>
          </w:tcPr>
          <w:p w14:paraId="6107ED12">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根据投标人针对本项目制订的进退场交接方案，由评标委员会综合</w:t>
            </w:r>
            <w:r>
              <w:rPr>
                <w:rFonts w:hint="eastAsia" w:ascii="宋体" w:hAnsi="宋体" w:cs="宋体"/>
                <w:color w:val="auto"/>
                <w:kern w:val="2"/>
                <w:sz w:val="21"/>
                <w:szCs w:val="24"/>
                <w:highlight w:val="none"/>
                <w:lang w:val="en-US" w:eastAsia="zh-CN" w:bidi="ar-SA"/>
              </w:rPr>
              <w:t>评审：</w:t>
            </w:r>
          </w:p>
          <w:p w14:paraId="2919D2D0">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对本项目特点和难点理解准确，进退场交接方案详细具体，具有有效的保障措施，得</w:t>
            </w:r>
            <w:r>
              <w:rPr>
                <w:rFonts w:hint="eastAsia" w:ascii="宋体" w:hAnsi="宋体" w:cs="宋体"/>
                <w:color w:val="auto"/>
                <w:kern w:val="2"/>
                <w:sz w:val="21"/>
                <w:szCs w:val="24"/>
                <w:highlight w:val="none"/>
                <w:lang w:val="en-US" w:eastAsia="zh-CN" w:bidi="ar-SA"/>
              </w:rPr>
              <w:t>8</w:t>
            </w:r>
            <w:r>
              <w:rPr>
                <w:rFonts w:hint="eastAsia" w:ascii="宋体" w:hAnsi="宋体" w:eastAsia="宋体" w:cs="宋体"/>
                <w:color w:val="auto"/>
                <w:kern w:val="2"/>
                <w:sz w:val="21"/>
                <w:szCs w:val="24"/>
                <w:highlight w:val="none"/>
                <w:lang w:val="en-US" w:eastAsia="zh-CN" w:bidi="ar-SA"/>
              </w:rPr>
              <w:t>分；</w:t>
            </w:r>
          </w:p>
          <w:p w14:paraId="63EF6E7F">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对本项目进退场交接方案安排得当，具有保障措施，得</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分；</w:t>
            </w:r>
          </w:p>
          <w:p w14:paraId="0F0DFCD3">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对本项目进退场交接方案简单，存在不足，得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24BEFD3F">
            <w:pPr>
              <w:keepNext w:val="0"/>
              <w:keepLines w:val="0"/>
              <w:pageBreakBefore w:val="0"/>
              <w:widowControl w:val="0"/>
              <w:kinsoku/>
              <w:wordWrap w:val="0"/>
              <w:overflowPunct/>
              <w:topLinePunct w:val="0"/>
              <w:autoSpaceDE/>
              <w:autoSpaceDN/>
              <w:bidi w:val="0"/>
              <w:adjustRightInd/>
              <w:snapToGrid/>
              <w:spacing w:line="440" w:lineRule="exact"/>
              <w:jc w:val="both"/>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1D42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75999C86">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w:t>
            </w:r>
          </w:p>
        </w:tc>
        <w:tc>
          <w:tcPr>
            <w:tcW w:w="1639" w:type="dxa"/>
            <w:noWrap w:val="0"/>
            <w:vAlign w:val="center"/>
          </w:tcPr>
          <w:p w14:paraId="3D41B65E">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日常秩序维护方案</w:t>
            </w:r>
          </w:p>
        </w:tc>
        <w:tc>
          <w:tcPr>
            <w:tcW w:w="840" w:type="dxa"/>
            <w:noWrap w:val="0"/>
            <w:vAlign w:val="center"/>
          </w:tcPr>
          <w:p w14:paraId="4A985C2B">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8分</w:t>
            </w:r>
          </w:p>
        </w:tc>
        <w:tc>
          <w:tcPr>
            <w:tcW w:w="6749" w:type="dxa"/>
            <w:noWrap w:val="0"/>
            <w:vAlign w:val="top"/>
          </w:tcPr>
          <w:p w14:paraId="115BDEE5">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针对本项目的工作特点提供日常秩序维护方案内容，由评标委员会综合</w:t>
            </w:r>
            <w:r>
              <w:rPr>
                <w:rFonts w:hint="eastAsia" w:ascii="宋体" w:hAnsi="宋体" w:cs="宋体"/>
                <w:color w:val="auto"/>
                <w:kern w:val="2"/>
                <w:sz w:val="21"/>
                <w:szCs w:val="24"/>
                <w:highlight w:val="none"/>
                <w:lang w:val="en-US" w:eastAsia="zh-CN" w:bidi="ar-SA"/>
              </w:rPr>
              <w:t>评审：</w:t>
            </w:r>
          </w:p>
          <w:p w14:paraId="0D08A29C">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服务方案全面、完整、详尽、切实从项目各方面安全出发、考虑，各项服务措施完善，充分考虑各岗位日常人员配合、工作安排实施方案等因素，可实施性突出，充分满足项目实施要求，得</w:t>
            </w:r>
            <w:r>
              <w:rPr>
                <w:rFonts w:hint="eastAsia" w:ascii="宋体" w:hAnsi="宋体" w:cs="宋体"/>
                <w:color w:val="auto"/>
                <w:kern w:val="2"/>
                <w:sz w:val="21"/>
                <w:szCs w:val="24"/>
                <w:highlight w:val="none"/>
                <w:lang w:val="en-US" w:eastAsia="zh-CN" w:bidi="ar-SA"/>
              </w:rPr>
              <w:t>8</w:t>
            </w:r>
            <w:r>
              <w:rPr>
                <w:rFonts w:hint="eastAsia" w:ascii="宋体" w:hAnsi="宋体" w:eastAsia="宋体" w:cs="宋体"/>
                <w:color w:val="auto"/>
                <w:kern w:val="2"/>
                <w:sz w:val="21"/>
                <w:szCs w:val="24"/>
                <w:highlight w:val="none"/>
                <w:lang w:val="en-US" w:eastAsia="zh-CN" w:bidi="ar-SA"/>
              </w:rPr>
              <w:t>分；</w:t>
            </w:r>
          </w:p>
          <w:p w14:paraId="58D1EBEB">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从项目各方面安全考虑，服务方案有各项服务措施，各岗位日常人员配合、工作安排具有实施性，满足项目实施要求，得</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分；</w:t>
            </w:r>
          </w:p>
          <w:p w14:paraId="4A29F11F">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服务方案简单，服务措施片面，服务措施及服务安排存在不足，得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6B2F14B1">
            <w:pPr>
              <w:keepNext w:val="0"/>
              <w:keepLines w:val="0"/>
              <w:pageBreakBefore w:val="0"/>
              <w:widowControl w:val="0"/>
              <w:kinsoku/>
              <w:wordWrap w:val="0"/>
              <w:overflowPunct/>
              <w:topLinePunct w:val="0"/>
              <w:autoSpaceDE/>
              <w:autoSpaceDN/>
              <w:bidi w:val="0"/>
              <w:adjustRightInd/>
              <w:snapToGrid/>
              <w:spacing w:line="440" w:lineRule="exact"/>
              <w:jc w:val="both"/>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0BC5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4756ABB4">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w:t>
            </w:r>
          </w:p>
        </w:tc>
        <w:tc>
          <w:tcPr>
            <w:tcW w:w="1639" w:type="dxa"/>
            <w:noWrap w:val="0"/>
            <w:vAlign w:val="center"/>
          </w:tcPr>
          <w:p w14:paraId="25F476D1">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日常保洁服务方案</w:t>
            </w:r>
          </w:p>
        </w:tc>
        <w:tc>
          <w:tcPr>
            <w:tcW w:w="840" w:type="dxa"/>
            <w:noWrap w:val="0"/>
            <w:vAlign w:val="center"/>
          </w:tcPr>
          <w:p w14:paraId="3CBC7856">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8分</w:t>
            </w:r>
          </w:p>
        </w:tc>
        <w:tc>
          <w:tcPr>
            <w:tcW w:w="6749" w:type="dxa"/>
            <w:noWrap w:val="0"/>
            <w:vAlign w:val="top"/>
          </w:tcPr>
          <w:p w14:paraId="4615BCE7">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针对本项目的工作特点提供日常保洁服务方案内容，由评标委员会综合</w:t>
            </w:r>
            <w:r>
              <w:rPr>
                <w:rFonts w:hint="eastAsia" w:ascii="宋体" w:hAnsi="宋体" w:cs="宋体"/>
                <w:color w:val="auto"/>
                <w:kern w:val="2"/>
                <w:sz w:val="21"/>
                <w:szCs w:val="24"/>
                <w:highlight w:val="none"/>
                <w:lang w:val="en-US" w:eastAsia="zh-CN" w:bidi="ar-SA"/>
              </w:rPr>
              <w:t>评审：</w:t>
            </w:r>
          </w:p>
          <w:p w14:paraId="1B98AE4B">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保洁服务方案全面、完整、人员配备充足、具有完善的服务措施，工作安排实施可实施性突出，可保障项目有效实施，得</w:t>
            </w:r>
            <w:r>
              <w:rPr>
                <w:rFonts w:hint="eastAsia" w:ascii="宋体" w:hAnsi="宋体" w:cs="宋体"/>
                <w:color w:val="auto"/>
                <w:kern w:val="2"/>
                <w:sz w:val="21"/>
                <w:szCs w:val="24"/>
                <w:highlight w:val="none"/>
                <w:lang w:val="en-US" w:eastAsia="zh-CN" w:bidi="ar-SA"/>
              </w:rPr>
              <w:t>8</w:t>
            </w:r>
            <w:r>
              <w:rPr>
                <w:rFonts w:hint="eastAsia" w:ascii="宋体" w:hAnsi="宋体" w:eastAsia="宋体" w:cs="宋体"/>
                <w:color w:val="auto"/>
                <w:kern w:val="2"/>
                <w:sz w:val="21"/>
                <w:szCs w:val="24"/>
                <w:highlight w:val="none"/>
                <w:lang w:val="en-US" w:eastAsia="zh-CN" w:bidi="ar-SA"/>
              </w:rPr>
              <w:t>分；</w:t>
            </w:r>
          </w:p>
          <w:p w14:paraId="1E8D7719">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服务方案有各项服务措施，各岗位日常人员配合、工作安排满足项目实施要求，得</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分；</w:t>
            </w:r>
          </w:p>
          <w:p w14:paraId="5A68CABD">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服务方案简单，服务措施及服务安排存在不足，得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79DBC852">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40A7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594B63AA">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p>
        </w:tc>
        <w:tc>
          <w:tcPr>
            <w:tcW w:w="1639" w:type="dxa"/>
            <w:noWrap w:val="0"/>
            <w:vAlign w:val="center"/>
          </w:tcPr>
          <w:p w14:paraId="3F0F7290">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内部管理制度</w:t>
            </w:r>
          </w:p>
        </w:tc>
        <w:tc>
          <w:tcPr>
            <w:tcW w:w="840" w:type="dxa"/>
            <w:noWrap w:val="0"/>
            <w:vAlign w:val="center"/>
          </w:tcPr>
          <w:p w14:paraId="4CF6F811">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8分</w:t>
            </w:r>
          </w:p>
        </w:tc>
        <w:tc>
          <w:tcPr>
            <w:tcW w:w="6749" w:type="dxa"/>
            <w:noWrap w:val="0"/>
            <w:vAlign w:val="top"/>
          </w:tcPr>
          <w:p w14:paraId="1C23C5EA">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根据</w:t>
            </w:r>
            <w:r>
              <w:rPr>
                <w:rFonts w:hint="eastAsia" w:ascii="宋体" w:hAnsi="宋体" w:cs="宋体"/>
                <w:color w:val="auto"/>
                <w:kern w:val="2"/>
                <w:sz w:val="21"/>
                <w:szCs w:val="24"/>
                <w:highlight w:val="none"/>
                <w:lang w:val="en-US" w:eastAsia="zh-CN" w:bidi="ar-SA"/>
              </w:rPr>
              <w:t>投标人</w:t>
            </w:r>
            <w:r>
              <w:rPr>
                <w:rFonts w:hint="eastAsia" w:ascii="宋体" w:hAnsi="宋体" w:eastAsia="宋体" w:cs="宋体"/>
                <w:color w:val="auto"/>
                <w:kern w:val="2"/>
                <w:sz w:val="21"/>
                <w:szCs w:val="24"/>
                <w:highlight w:val="none"/>
                <w:lang w:val="en-US" w:eastAsia="zh-CN" w:bidi="ar-SA"/>
              </w:rPr>
              <w:t>针对本项目制订的管理方式及方案，由评标委员会综合</w:t>
            </w:r>
            <w:r>
              <w:rPr>
                <w:rFonts w:hint="eastAsia" w:ascii="宋体" w:hAnsi="宋体" w:cs="宋体"/>
                <w:color w:val="auto"/>
                <w:kern w:val="2"/>
                <w:sz w:val="21"/>
                <w:szCs w:val="24"/>
                <w:highlight w:val="none"/>
                <w:lang w:val="en-US" w:eastAsia="zh-CN" w:bidi="ar-SA"/>
              </w:rPr>
              <w:t>评审：</w:t>
            </w:r>
          </w:p>
          <w:p w14:paraId="02BD9A07">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内部管理架构、激励机制、监督机制、自我约束机制、信息反馈及处理机制齐全且可实施性强，合理且人性化，对稳定岗位有正向发展的，有对应的制定项目的长远计划和短期安排的得</w:t>
            </w:r>
            <w:r>
              <w:rPr>
                <w:rFonts w:hint="eastAsia" w:ascii="宋体" w:hAnsi="宋体" w:cs="宋体"/>
                <w:color w:val="auto"/>
                <w:kern w:val="2"/>
                <w:sz w:val="21"/>
                <w:szCs w:val="24"/>
                <w:highlight w:val="none"/>
                <w:lang w:val="en-US" w:eastAsia="zh-CN" w:bidi="ar-SA"/>
              </w:rPr>
              <w:t>8</w:t>
            </w:r>
            <w:r>
              <w:rPr>
                <w:rFonts w:hint="eastAsia" w:ascii="宋体" w:hAnsi="宋体" w:eastAsia="宋体" w:cs="宋体"/>
                <w:color w:val="auto"/>
                <w:kern w:val="2"/>
                <w:sz w:val="21"/>
                <w:szCs w:val="24"/>
                <w:highlight w:val="none"/>
                <w:lang w:val="en-US" w:eastAsia="zh-CN" w:bidi="ar-SA"/>
              </w:rPr>
              <w:t>分；</w:t>
            </w:r>
          </w:p>
          <w:p w14:paraId="73B8FDA2">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内部管理架构、激励机制、监督机制、自我约束机制、信息反馈及处理机制较为齐全但出现与本项目不相适应的内容，考虑了稳定岗 位的措施，有对应的制定项目的基本安排计划的得</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分；</w:t>
            </w:r>
          </w:p>
          <w:p w14:paraId="59E21AA7">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内部管理架构、激励机制、监督机制、自我约束机制、信息反馈及 处理机制较为齐全但有一定的矛盾点，对稳定岗位及岗位分布分析为有具体描述，安排计划空洞，可实施性弱的得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1B3F7D5D">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1563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25ABA7A">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w:t>
            </w:r>
          </w:p>
        </w:tc>
        <w:tc>
          <w:tcPr>
            <w:tcW w:w="1639" w:type="dxa"/>
            <w:noWrap w:val="0"/>
            <w:vAlign w:val="center"/>
          </w:tcPr>
          <w:p w14:paraId="206B847C">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人员培训与管理</w:t>
            </w:r>
          </w:p>
        </w:tc>
        <w:tc>
          <w:tcPr>
            <w:tcW w:w="840" w:type="dxa"/>
            <w:noWrap w:val="0"/>
            <w:vAlign w:val="center"/>
          </w:tcPr>
          <w:p w14:paraId="2F8BE811">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8分</w:t>
            </w:r>
          </w:p>
        </w:tc>
        <w:tc>
          <w:tcPr>
            <w:tcW w:w="6749" w:type="dxa"/>
            <w:noWrap w:val="0"/>
            <w:vAlign w:val="top"/>
          </w:tcPr>
          <w:p w14:paraId="2A55F468">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人员培训与管理包括但不限于：（1）对各类人员的培训计划、方式、目标及行为规范的培训等；（2）录用与考核、淘汰机制、奖罚、协调关系、服务意识、量化管理及标准运作等</w:t>
            </w: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由评标委员会综合</w:t>
            </w:r>
            <w:r>
              <w:rPr>
                <w:rFonts w:hint="eastAsia" w:ascii="宋体" w:hAnsi="宋体" w:cs="宋体"/>
                <w:color w:val="auto"/>
                <w:kern w:val="2"/>
                <w:sz w:val="21"/>
                <w:szCs w:val="24"/>
                <w:highlight w:val="none"/>
                <w:lang w:val="en-US" w:eastAsia="zh-CN" w:bidi="ar-SA"/>
              </w:rPr>
              <w:t>评审：</w:t>
            </w:r>
          </w:p>
          <w:p w14:paraId="57060060">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培训计划全面，人事规范要求合理，对本项目的针对性强、措施全面、详细，得</w:t>
            </w:r>
            <w:r>
              <w:rPr>
                <w:rFonts w:hint="eastAsia" w:ascii="宋体" w:hAnsi="宋体" w:cs="宋体"/>
                <w:color w:val="auto"/>
                <w:kern w:val="2"/>
                <w:sz w:val="21"/>
                <w:szCs w:val="24"/>
                <w:highlight w:val="none"/>
                <w:lang w:val="en-US" w:eastAsia="zh-CN" w:bidi="ar-SA"/>
              </w:rPr>
              <w:t>8</w:t>
            </w:r>
            <w:r>
              <w:rPr>
                <w:rFonts w:hint="eastAsia" w:ascii="宋体" w:hAnsi="宋体" w:eastAsia="宋体" w:cs="宋体"/>
                <w:color w:val="auto"/>
                <w:kern w:val="2"/>
                <w:sz w:val="21"/>
                <w:szCs w:val="24"/>
                <w:highlight w:val="none"/>
                <w:lang w:val="en-US" w:eastAsia="zh-CN" w:bidi="ar-SA"/>
              </w:rPr>
              <w:t>分；</w:t>
            </w:r>
          </w:p>
          <w:p w14:paraId="29603314">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培训计划、人事规范要求较为合理但出现未针对本项目的内容，对本项目有针对性，措施较为全面的得</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分；</w:t>
            </w:r>
          </w:p>
          <w:p w14:paraId="28C689F8">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培训计划、人事规范要求基本合理且出现未针对本项目的内容，有针对本项目的分析但有一定的矛盾点，措施基本全面的得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61661328">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6474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614B2891">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w:t>
            </w:r>
          </w:p>
        </w:tc>
        <w:tc>
          <w:tcPr>
            <w:tcW w:w="1639" w:type="dxa"/>
            <w:noWrap w:val="0"/>
            <w:vAlign w:val="center"/>
          </w:tcPr>
          <w:p w14:paraId="055B3B04">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应急突发事件的处理</w:t>
            </w:r>
          </w:p>
        </w:tc>
        <w:tc>
          <w:tcPr>
            <w:tcW w:w="840" w:type="dxa"/>
            <w:noWrap w:val="0"/>
            <w:vAlign w:val="center"/>
          </w:tcPr>
          <w:p w14:paraId="76623CB7">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8分</w:t>
            </w:r>
          </w:p>
        </w:tc>
        <w:tc>
          <w:tcPr>
            <w:tcW w:w="6749" w:type="dxa"/>
            <w:noWrap w:val="0"/>
            <w:vAlign w:val="top"/>
          </w:tcPr>
          <w:p w14:paraId="7F6DFED9">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针对项目特点制定公共事件、水、电等设施设备及环境维护</w:t>
            </w:r>
            <w:r>
              <w:rPr>
                <w:rFonts w:hint="eastAsia" w:ascii="宋体" w:hAnsi="宋体" w:cs="宋体"/>
                <w:color w:val="auto"/>
                <w:kern w:val="2"/>
                <w:sz w:val="21"/>
                <w:szCs w:val="24"/>
                <w:highlight w:val="none"/>
                <w:lang w:val="en-US" w:eastAsia="zh-CN" w:bidi="ar-SA"/>
              </w:rPr>
              <w:t>、恶劣天气</w:t>
            </w:r>
            <w:r>
              <w:rPr>
                <w:rFonts w:hint="eastAsia" w:ascii="宋体" w:hAnsi="宋体" w:eastAsia="宋体" w:cs="宋体"/>
                <w:color w:val="auto"/>
                <w:kern w:val="2"/>
                <w:sz w:val="21"/>
                <w:szCs w:val="24"/>
                <w:highlight w:val="none"/>
                <w:lang w:val="en-US" w:eastAsia="zh-CN" w:bidi="ar-SA"/>
              </w:rPr>
              <w:t>等各种突发事件应急处理预案</w:t>
            </w:r>
            <w:r>
              <w:rPr>
                <w:rFonts w:hint="eastAsia" w:ascii="宋体" w:hAnsi="宋体" w:cs="宋体"/>
                <w:color w:val="auto"/>
                <w:kern w:val="2"/>
                <w:sz w:val="21"/>
                <w:szCs w:val="24"/>
                <w:highlight w:val="none"/>
                <w:lang w:val="en-US" w:eastAsia="zh-CN" w:bidi="ar-SA"/>
              </w:rPr>
              <w:t>等</w:t>
            </w:r>
            <w:r>
              <w:rPr>
                <w:rFonts w:hint="eastAsia" w:ascii="宋体" w:hAnsi="宋体" w:eastAsia="宋体" w:cs="宋体"/>
                <w:color w:val="auto"/>
                <w:kern w:val="2"/>
                <w:sz w:val="21"/>
                <w:szCs w:val="24"/>
                <w:highlight w:val="none"/>
                <w:lang w:val="en-US" w:eastAsia="zh-CN" w:bidi="ar-SA"/>
              </w:rPr>
              <w:t>。由评标委员会综合</w:t>
            </w:r>
            <w:r>
              <w:rPr>
                <w:rFonts w:hint="eastAsia" w:ascii="宋体" w:hAnsi="宋体" w:cs="宋体"/>
                <w:color w:val="auto"/>
                <w:kern w:val="2"/>
                <w:sz w:val="21"/>
                <w:szCs w:val="24"/>
                <w:highlight w:val="none"/>
                <w:lang w:val="en-US" w:eastAsia="zh-CN" w:bidi="ar-SA"/>
              </w:rPr>
              <w:t>评审：</w:t>
            </w:r>
          </w:p>
          <w:p w14:paraId="6B629F2D">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预案健全，思路可行，可操作性、合理性强的得</w:t>
            </w:r>
            <w:r>
              <w:rPr>
                <w:rFonts w:hint="eastAsia" w:ascii="宋体" w:hAnsi="宋体" w:cs="宋体"/>
                <w:color w:val="auto"/>
                <w:kern w:val="2"/>
                <w:sz w:val="21"/>
                <w:szCs w:val="24"/>
                <w:highlight w:val="none"/>
                <w:lang w:val="en-US" w:eastAsia="zh-CN" w:bidi="ar-SA"/>
              </w:rPr>
              <w:t>8</w:t>
            </w:r>
            <w:r>
              <w:rPr>
                <w:rFonts w:hint="eastAsia" w:ascii="宋体" w:hAnsi="宋体" w:eastAsia="宋体" w:cs="宋体"/>
                <w:color w:val="auto"/>
                <w:kern w:val="2"/>
                <w:sz w:val="21"/>
                <w:szCs w:val="24"/>
                <w:highlight w:val="none"/>
                <w:lang w:val="en-US" w:eastAsia="zh-CN" w:bidi="ar-SA"/>
              </w:rPr>
              <w:t>分；</w:t>
            </w:r>
          </w:p>
          <w:p w14:paraId="52653032">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预案较为健全但内容出现不针对本项目的内容，具有一定的操作性、合理性的得</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分；</w:t>
            </w:r>
          </w:p>
          <w:p w14:paraId="4C7B1832">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预案较为健全但有一定的矛盾，操作性、合理性一般，未做详细描述，相关方案比较浅显的得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2269F933">
            <w:pPr>
              <w:keepNext w:val="0"/>
              <w:keepLines w:val="0"/>
              <w:pageBreakBefore w:val="0"/>
              <w:widowControl w:val="0"/>
              <w:kinsoku/>
              <w:wordWrap w:val="0"/>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5818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70" w:type="dxa"/>
            <w:gridSpan w:val="4"/>
            <w:noWrap w:val="0"/>
            <w:vAlign w:val="center"/>
          </w:tcPr>
          <w:p w14:paraId="06CAF7FF">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w:t>
            </w:r>
            <w:r>
              <w:rPr>
                <w:rFonts w:hint="eastAsia" w:ascii="宋体" w:hAnsi="宋体" w:cs="宋体"/>
                <w:color w:val="auto"/>
                <w:kern w:val="0"/>
                <w:szCs w:val="21"/>
                <w:highlight w:val="none"/>
              </w:rPr>
              <w:t>各投标人技术标总得分为各评委评分的平均值为最终得分。取两位小数，小数点后第三位四舍五入。</w:t>
            </w:r>
          </w:p>
          <w:p w14:paraId="37428F67">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54E48658">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 技术标暗标不设空白页。技术标投标文件封面不出现投标人、法定代表人签章内容，格式以系统设置为准。正文必须按招标文件要求的顺序进行排版；</w:t>
            </w:r>
          </w:p>
          <w:p w14:paraId="602E1F6B">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r>
              <w:rPr>
                <w:rFonts w:hint="eastAsia" w:ascii="宋体" w:hAnsi="宋体" w:cs="宋体"/>
                <w:color w:val="auto"/>
                <w:kern w:val="0"/>
                <w:sz w:val="21"/>
                <w:szCs w:val="21"/>
                <w:highlight w:val="none"/>
                <w:lang w:val="en-US" w:eastAsia="zh-CN" w:bidi="ar"/>
              </w:rPr>
              <w:t>。</w:t>
            </w:r>
          </w:p>
          <w:p w14:paraId="6094CF47">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9CCB92A">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3.技术标暗标文件的格式、制作不符合上述要求的，每一分项扣0.2分。技术标实行暗标的，对技术标（暗标）部分不予澄清、说明或者补正。</w:t>
            </w:r>
          </w:p>
          <w:p w14:paraId="5CB85F06">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cs="宋体"/>
                <w:b/>
                <w:bCs/>
                <w:color w:val="auto"/>
                <w:kern w:val="0"/>
                <w:sz w:val="21"/>
                <w:szCs w:val="21"/>
                <w:highlight w:val="none"/>
                <w:lang w:val="en-US" w:eastAsia="zh-CN" w:bidi="ar"/>
              </w:rPr>
              <w:t>技术标的各评分因素，页数不多于30页。</w:t>
            </w:r>
            <w:r>
              <w:rPr>
                <w:rFonts w:hint="eastAsia" w:ascii="宋体" w:hAnsi="宋体"/>
                <w:b/>
                <w:bCs/>
                <w:color w:val="auto"/>
                <w:szCs w:val="21"/>
                <w:highlight w:val="none"/>
              </w:rPr>
              <w:t>具体篇幅(字数)要求及扣分标准（扣分值为0.2分）</w:t>
            </w:r>
            <w:r>
              <w:rPr>
                <w:rFonts w:hint="eastAsia" w:ascii="宋体" w:hAnsi="宋体"/>
                <w:b/>
                <w:bCs/>
                <w:color w:val="auto"/>
                <w:szCs w:val="21"/>
                <w:highlight w:val="none"/>
                <w:lang w:eastAsia="zh-CN"/>
              </w:rPr>
              <w:t>。</w:t>
            </w:r>
            <w:r>
              <w:rPr>
                <w:rFonts w:hint="eastAsia" w:ascii="宋体" w:hAnsi="宋体"/>
                <w:b/>
                <w:bCs/>
                <w:color w:val="auto"/>
                <w:szCs w:val="21"/>
                <w:highlight w:val="none"/>
              </w:rPr>
              <w:t>偏离规定标准的，评标委员会应酌情扣分。</w:t>
            </w:r>
          </w:p>
          <w:p w14:paraId="337ED59B">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6116C1B9">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rPr>
              <w:t>如所有投标企业技术标都出现能反映企业信息等相关内容的，该项目流标。</w:t>
            </w:r>
          </w:p>
        </w:tc>
      </w:tr>
    </w:tbl>
    <w:p w14:paraId="495E9558">
      <w:pPr>
        <w:pStyle w:val="12"/>
        <w:kinsoku/>
        <w:wordWrap w:val="0"/>
        <w:overflowPunct/>
        <w:topLinePunct w:val="0"/>
        <w:bidi w:val="0"/>
        <w:adjustRightInd w:val="0"/>
        <w:snapToGrid w:val="0"/>
        <w:spacing w:after="0" w:line="560" w:lineRule="exact"/>
        <w:ind w:left="0" w:leftChars="0" w:firstLine="0" w:firstLineChars="0"/>
        <w:jc w:val="center"/>
        <w:rPr>
          <w:rFonts w:hint="eastAsia"/>
          <w:b/>
          <w:color w:val="auto"/>
          <w:sz w:val="28"/>
          <w:szCs w:val="21"/>
          <w:highlight w:val="none"/>
        </w:rPr>
      </w:pPr>
      <w:bookmarkStart w:id="95" w:name="_Toc449028881"/>
      <w:bookmarkStart w:id="96" w:name="_Toc23311"/>
      <w:bookmarkStart w:id="97" w:name="_Toc58430321"/>
      <w:r>
        <w:rPr>
          <w:rFonts w:hint="eastAsia"/>
          <w:b/>
          <w:color w:val="auto"/>
          <w:sz w:val="28"/>
          <w:szCs w:val="21"/>
          <w:highlight w:val="none"/>
        </w:rPr>
        <w:t>（四）商务标评审</w:t>
      </w:r>
      <w:r>
        <w:rPr>
          <w:rFonts w:hint="eastAsia"/>
          <w:b/>
          <w:color w:val="auto"/>
          <w:sz w:val="28"/>
          <w:szCs w:val="21"/>
          <w:highlight w:val="none"/>
          <w:lang w:eastAsia="zh-CN"/>
        </w:rPr>
        <w:t>（</w:t>
      </w:r>
      <w:r>
        <w:rPr>
          <w:rFonts w:hint="eastAsia"/>
          <w:b/>
          <w:color w:val="auto"/>
          <w:sz w:val="28"/>
          <w:szCs w:val="21"/>
          <w:highlight w:val="none"/>
          <w:lang w:val="en-US" w:eastAsia="zh-CN"/>
        </w:rPr>
        <w:t>10分）</w:t>
      </w:r>
    </w:p>
    <w:tbl>
      <w:tblPr>
        <w:tblStyle w:val="35"/>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073"/>
        <w:gridCol w:w="1741"/>
        <w:gridCol w:w="6506"/>
      </w:tblGrid>
      <w:tr w14:paraId="61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3977139C">
            <w:pPr>
              <w:kinsoku/>
              <w:wordWrap w:val="0"/>
              <w:overflowPunct/>
              <w:topLinePunct w:val="0"/>
              <w:bidi w:val="0"/>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2814" w:type="dxa"/>
            <w:gridSpan w:val="2"/>
            <w:noWrap w:val="0"/>
            <w:vAlign w:val="center"/>
          </w:tcPr>
          <w:p w14:paraId="63F313A0">
            <w:pPr>
              <w:kinsoku/>
              <w:wordWrap w:val="0"/>
              <w:overflowPunct/>
              <w:topLinePunct w:val="0"/>
              <w:bidi w:val="0"/>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6506" w:type="dxa"/>
            <w:noWrap w:val="0"/>
            <w:vAlign w:val="center"/>
          </w:tcPr>
          <w:p w14:paraId="29D6B977">
            <w:pPr>
              <w:kinsoku/>
              <w:wordWrap w:val="0"/>
              <w:overflowPunct/>
              <w:topLinePunct w:val="0"/>
              <w:bidi w:val="0"/>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1F10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vMerge w:val="restart"/>
            <w:noWrap w:val="0"/>
            <w:vAlign w:val="center"/>
          </w:tcPr>
          <w:p w14:paraId="1ABF8A1B">
            <w:pPr>
              <w:kinsoku/>
              <w:wordWrap w:val="0"/>
              <w:overflowPunct/>
              <w:topLinePunct w:val="0"/>
              <w:bidi w:val="0"/>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073" w:type="dxa"/>
            <w:vMerge w:val="restart"/>
            <w:noWrap w:val="0"/>
            <w:vAlign w:val="center"/>
          </w:tcPr>
          <w:p w14:paraId="1952009C">
            <w:pPr>
              <w:kinsoku/>
              <w:wordWrap w:val="0"/>
              <w:overflowPunct/>
              <w:topLinePunct w:val="0"/>
              <w:bidi w:val="0"/>
              <w:spacing w:line="320" w:lineRule="atLeast"/>
              <w:jc w:val="center"/>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1741" w:type="dxa"/>
            <w:noWrap w:val="0"/>
            <w:vAlign w:val="center"/>
          </w:tcPr>
          <w:p w14:paraId="50126A10">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6506" w:type="dxa"/>
            <w:noWrap w:val="0"/>
            <w:vAlign w:val="center"/>
          </w:tcPr>
          <w:p w14:paraId="1CE14F1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541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31" w:type="dxa"/>
            <w:vMerge w:val="continue"/>
            <w:noWrap w:val="0"/>
            <w:vAlign w:val="center"/>
          </w:tcPr>
          <w:p w14:paraId="64A73E8A">
            <w:pPr>
              <w:kinsoku/>
              <w:wordWrap w:val="0"/>
              <w:overflowPunct/>
              <w:topLinePunct w:val="0"/>
              <w:bidi w:val="0"/>
              <w:spacing w:line="320" w:lineRule="atLeast"/>
              <w:rPr>
                <w:color w:val="auto"/>
                <w:highlight w:val="none"/>
              </w:rPr>
            </w:pPr>
          </w:p>
        </w:tc>
        <w:tc>
          <w:tcPr>
            <w:tcW w:w="1073" w:type="dxa"/>
            <w:vMerge w:val="continue"/>
            <w:noWrap w:val="0"/>
            <w:vAlign w:val="center"/>
          </w:tcPr>
          <w:p w14:paraId="75F3A208">
            <w:pPr>
              <w:kinsoku/>
              <w:wordWrap w:val="0"/>
              <w:overflowPunct/>
              <w:topLinePunct w:val="0"/>
              <w:bidi w:val="0"/>
              <w:spacing w:line="320" w:lineRule="atLeast"/>
              <w:rPr>
                <w:color w:val="auto"/>
                <w:highlight w:val="none"/>
              </w:rPr>
            </w:pPr>
          </w:p>
        </w:tc>
        <w:tc>
          <w:tcPr>
            <w:tcW w:w="1741" w:type="dxa"/>
            <w:noWrap w:val="0"/>
            <w:vAlign w:val="center"/>
          </w:tcPr>
          <w:p w14:paraId="1A5AC64E">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6506" w:type="dxa"/>
            <w:noWrap w:val="0"/>
            <w:vAlign w:val="center"/>
          </w:tcPr>
          <w:p w14:paraId="396356FA">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宋体"/>
                <w:color w:val="auto"/>
                <w:szCs w:val="21"/>
                <w:highlight w:val="none"/>
              </w:rPr>
            </w:pPr>
            <w:r>
              <w:rPr>
                <w:rFonts w:hint="eastAsia" w:ascii="宋体" w:hAnsi="宋体" w:cs="宋体"/>
                <w:color w:val="auto"/>
                <w:szCs w:val="21"/>
                <w:highlight w:val="none"/>
              </w:rPr>
              <w:t>符合第七章“投标文件格式”的要求。</w:t>
            </w:r>
          </w:p>
        </w:tc>
      </w:tr>
      <w:tr w14:paraId="32D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vMerge w:val="continue"/>
            <w:noWrap w:val="0"/>
            <w:vAlign w:val="center"/>
          </w:tcPr>
          <w:p w14:paraId="3F2A88DF">
            <w:pPr>
              <w:kinsoku/>
              <w:wordWrap w:val="0"/>
              <w:overflowPunct/>
              <w:topLinePunct w:val="0"/>
              <w:bidi w:val="0"/>
              <w:spacing w:line="320" w:lineRule="atLeast"/>
              <w:rPr>
                <w:color w:val="auto"/>
                <w:highlight w:val="none"/>
              </w:rPr>
            </w:pPr>
          </w:p>
        </w:tc>
        <w:tc>
          <w:tcPr>
            <w:tcW w:w="1073" w:type="dxa"/>
            <w:vMerge w:val="continue"/>
            <w:noWrap w:val="0"/>
            <w:vAlign w:val="center"/>
          </w:tcPr>
          <w:p w14:paraId="79A5AF2E">
            <w:pPr>
              <w:kinsoku/>
              <w:wordWrap w:val="0"/>
              <w:overflowPunct/>
              <w:topLinePunct w:val="0"/>
              <w:bidi w:val="0"/>
              <w:spacing w:line="320" w:lineRule="atLeast"/>
              <w:rPr>
                <w:color w:val="auto"/>
                <w:highlight w:val="none"/>
              </w:rPr>
            </w:pPr>
          </w:p>
        </w:tc>
        <w:tc>
          <w:tcPr>
            <w:tcW w:w="1741" w:type="dxa"/>
            <w:noWrap w:val="0"/>
            <w:vAlign w:val="center"/>
          </w:tcPr>
          <w:p w14:paraId="632241E3">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商务标签字盖章</w:t>
            </w:r>
          </w:p>
        </w:tc>
        <w:tc>
          <w:tcPr>
            <w:tcW w:w="6506" w:type="dxa"/>
            <w:noWrap w:val="0"/>
            <w:vAlign w:val="center"/>
          </w:tcPr>
          <w:p w14:paraId="6E60DFB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14:paraId="0254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3A970CF4">
            <w:pPr>
              <w:kinsoku/>
              <w:wordWrap w:val="0"/>
              <w:overflowPunct/>
              <w:topLinePunct w:val="0"/>
              <w:bidi w:val="0"/>
              <w:spacing w:line="320" w:lineRule="atLeast"/>
              <w:rPr>
                <w:color w:val="auto"/>
                <w:highlight w:val="none"/>
              </w:rPr>
            </w:pPr>
          </w:p>
        </w:tc>
        <w:tc>
          <w:tcPr>
            <w:tcW w:w="1073" w:type="dxa"/>
            <w:vMerge w:val="continue"/>
            <w:noWrap w:val="0"/>
            <w:vAlign w:val="center"/>
          </w:tcPr>
          <w:p w14:paraId="4BD40365">
            <w:pPr>
              <w:kinsoku/>
              <w:wordWrap w:val="0"/>
              <w:overflowPunct/>
              <w:topLinePunct w:val="0"/>
              <w:bidi w:val="0"/>
              <w:spacing w:line="320" w:lineRule="atLeast"/>
              <w:rPr>
                <w:color w:val="auto"/>
                <w:highlight w:val="none"/>
              </w:rPr>
            </w:pPr>
          </w:p>
        </w:tc>
        <w:tc>
          <w:tcPr>
            <w:tcW w:w="1741" w:type="dxa"/>
            <w:noWrap w:val="0"/>
            <w:vAlign w:val="center"/>
          </w:tcPr>
          <w:p w14:paraId="7D57DEB1">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olor w:val="auto"/>
                <w:szCs w:val="21"/>
                <w:highlight w:val="none"/>
              </w:rPr>
            </w:pPr>
            <w:r>
              <w:rPr>
                <w:rFonts w:hint="eastAsia" w:ascii="宋体" w:hAnsi="宋体" w:cs="宋体"/>
                <w:color w:val="auto"/>
                <w:szCs w:val="21"/>
                <w:highlight w:val="none"/>
              </w:rPr>
              <w:t>报价唯一</w:t>
            </w:r>
          </w:p>
        </w:tc>
        <w:tc>
          <w:tcPr>
            <w:tcW w:w="6506" w:type="dxa"/>
            <w:noWrap w:val="0"/>
            <w:vAlign w:val="center"/>
          </w:tcPr>
          <w:p w14:paraId="01FEC4F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D8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4C765CBA">
            <w:pPr>
              <w:kinsoku/>
              <w:wordWrap w:val="0"/>
              <w:overflowPunct/>
              <w:topLinePunct w:val="0"/>
              <w:bidi w:val="0"/>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073" w:type="dxa"/>
            <w:vMerge w:val="restart"/>
            <w:noWrap w:val="0"/>
            <w:vAlign w:val="center"/>
          </w:tcPr>
          <w:p w14:paraId="64C52B71">
            <w:pPr>
              <w:kinsoku/>
              <w:wordWrap w:val="0"/>
              <w:overflowPunct/>
              <w:topLinePunct w:val="0"/>
              <w:bidi w:val="0"/>
              <w:adjustRightInd w:val="0"/>
              <w:snapToGrid w:val="0"/>
              <w:spacing w:line="560" w:lineRule="exact"/>
              <w:jc w:val="center"/>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1741" w:type="dxa"/>
            <w:noWrap w:val="0"/>
            <w:vAlign w:val="center"/>
          </w:tcPr>
          <w:p w14:paraId="781F2622">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期限</w:t>
            </w:r>
          </w:p>
        </w:tc>
        <w:tc>
          <w:tcPr>
            <w:tcW w:w="6506" w:type="dxa"/>
            <w:noWrap w:val="0"/>
            <w:vAlign w:val="center"/>
          </w:tcPr>
          <w:p w14:paraId="6F1AA096">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7A45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184892BD">
            <w:pPr>
              <w:kinsoku/>
              <w:wordWrap w:val="0"/>
              <w:overflowPunct/>
              <w:topLinePunct w:val="0"/>
              <w:bidi w:val="0"/>
              <w:spacing w:line="320" w:lineRule="atLeast"/>
              <w:rPr>
                <w:color w:val="auto"/>
                <w:highlight w:val="none"/>
              </w:rPr>
            </w:pPr>
          </w:p>
        </w:tc>
        <w:tc>
          <w:tcPr>
            <w:tcW w:w="1073" w:type="dxa"/>
            <w:vMerge w:val="continue"/>
            <w:noWrap w:val="0"/>
            <w:vAlign w:val="center"/>
          </w:tcPr>
          <w:p w14:paraId="36637CCB">
            <w:pPr>
              <w:kinsoku/>
              <w:wordWrap w:val="0"/>
              <w:overflowPunct/>
              <w:topLinePunct w:val="0"/>
              <w:bidi w:val="0"/>
              <w:spacing w:line="320" w:lineRule="atLeast"/>
              <w:rPr>
                <w:color w:val="auto"/>
                <w:highlight w:val="none"/>
              </w:rPr>
            </w:pPr>
          </w:p>
        </w:tc>
        <w:tc>
          <w:tcPr>
            <w:tcW w:w="1741" w:type="dxa"/>
            <w:noWrap w:val="0"/>
            <w:vAlign w:val="center"/>
          </w:tcPr>
          <w:p w14:paraId="36B63CA6">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6506" w:type="dxa"/>
            <w:noWrap w:val="0"/>
            <w:vAlign w:val="center"/>
          </w:tcPr>
          <w:p w14:paraId="72C68692">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03CE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5EDDA9FB">
            <w:pPr>
              <w:kinsoku/>
              <w:wordWrap w:val="0"/>
              <w:overflowPunct/>
              <w:topLinePunct w:val="0"/>
              <w:bidi w:val="0"/>
              <w:spacing w:line="320" w:lineRule="atLeast"/>
              <w:rPr>
                <w:color w:val="auto"/>
                <w:highlight w:val="none"/>
              </w:rPr>
            </w:pPr>
          </w:p>
        </w:tc>
        <w:tc>
          <w:tcPr>
            <w:tcW w:w="1073" w:type="dxa"/>
            <w:vMerge w:val="continue"/>
            <w:noWrap w:val="0"/>
            <w:vAlign w:val="center"/>
          </w:tcPr>
          <w:p w14:paraId="0249D354">
            <w:pPr>
              <w:kinsoku/>
              <w:wordWrap w:val="0"/>
              <w:overflowPunct/>
              <w:topLinePunct w:val="0"/>
              <w:bidi w:val="0"/>
              <w:spacing w:line="320" w:lineRule="atLeast"/>
              <w:rPr>
                <w:color w:val="auto"/>
                <w:highlight w:val="none"/>
              </w:rPr>
            </w:pPr>
          </w:p>
        </w:tc>
        <w:tc>
          <w:tcPr>
            <w:tcW w:w="1741" w:type="dxa"/>
            <w:noWrap w:val="0"/>
            <w:vAlign w:val="center"/>
          </w:tcPr>
          <w:p w14:paraId="01C4C5BA">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投标报价评审</w:t>
            </w:r>
          </w:p>
        </w:tc>
        <w:tc>
          <w:tcPr>
            <w:tcW w:w="6506" w:type="dxa"/>
            <w:noWrap w:val="0"/>
            <w:vAlign w:val="center"/>
          </w:tcPr>
          <w:p w14:paraId="0CFC9EA4">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不得高于最高投标限价。</w:t>
            </w:r>
          </w:p>
        </w:tc>
      </w:tr>
      <w:tr w14:paraId="777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1" w:type="dxa"/>
            <w:noWrap w:val="0"/>
            <w:vAlign w:val="center"/>
          </w:tcPr>
          <w:p w14:paraId="770B1645">
            <w:pPr>
              <w:kinsoku/>
              <w:wordWrap w:val="0"/>
              <w:overflowPunct/>
              <w:topLinePunct w:val="0"/>
              <w:bidi w:val="0"/>
              <w:adjustRightInd w:val="0"/>
              <w:snapToGrid w:val="0"/>
              <w:spacing w:line="560" w:lineRule="exact"/>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3</w:t>
            </w:r>
          </w:p>
        </w:tc>
        <w:tc>
          <w:tcPr>
            <w:tcW w:w="2814" w:type="dxa"/>
            <w:gridSpan w:val="2"/>
            <w:noWrap w:val="0"/>
            <w:vAlign w:val="center"/>
          </w:tcPr>
          <w:p w14:paraId="11E1FFD1">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506" w:type="dxa"/>
            <w:noWrap w:val="0"/>
            <w:vAlign w:val="center"/>
          </w:tcPr>
          <w:p w14:paraId="03275266">
            <w:pPr>
              <w:keepNext w:val="0"/>
              <w:keepLines w:val="0"/>
              <w:pageBreakBefore w:val="0"/>
              <w:widowControl w:val="0"/>
              <w:kinsoku/>
              <w:wordWrap w:val="0"/>
              <w:overflowPunct/>
              <w:topLinePunct w:val="0"/>
              <w:autoSpaceDE/>
              <w:autoSpaceDN/>
              <w:bidi w:val="0"/>
              <w:spacing w:line="440" w:lineRule="exact"/>
              <w:textAlignment w:val="auto"/>
              <w:rPr>
                <w:rFonts w:hint="eastAsia" w:ascii="Times New Roman" w:hAnsi="Times New Roman" w:eastAsia="宋体" w:cs="Times New Roman"/>
                <w:color w:val="auto"/>
                <w:highlight w:val="none"/>
              </w:rPr>
            </w:pPr>
            <w:r>
              <w:rPr>
                <w:rFonts w:hint="eastAsia"/>
                <w:color w:val="auto"/>
                <w:highlight w:val="none"/>
                <w:lang w:val="en-US" w:eastAsia="zh-CN"/>
              </w:rPr>
              <w:t>1.</w:t>
            </w:r>
            <w:r>
              <w:rPr>
                <w:rFonts w:hint="eastAsia" w:ascii="Times New Roman" w:hAnsi="Times New Roman" w:eastAsia="宋体" w:cs="Times New Roman"/>
                <w:color w:val="auto"/>
                <w:highlight w:val="none"/>
              </w:rPr>
              <w:t>评标基准价=所有有效投标人的最低报价；其得分为满分</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rPr>
              <w:t>分；</w:t>
            </w:r>
          </w:p>
          <w:p w14:paraId="1E9873AC">
            <w:pPr>
              <w:keepNext w:val="0"/>
              <w:keepLines w:val="0"/>
              <w:pageBreakBefore w:val="0"/>
              <w:widowControl w:val="0"/>
              <w:kinsoku/>
              <w:wordWrap w:val="0"/>
              <w:overflowPunct/>
              <w:topLinePunct w:val="0"/>
              <w:autoSpaceDE/>
              <w:autoSpaceDN/>
              <w:bidi w:val="0"/>
              <w:spacing w:line="44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rPr>
              <w:t>报价得分=评标基准价/投标报价×</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rPr>
              <w:t>分，小数点后保留两位小数，第三位四舍五入</w:t>
            </w:r>
            <w:r>
              <w:rPr>
                <w:rFonts w:hint="eastAsia" w:ascii="Times New Roman" w:hAnsi="Times New Roman" w:eastAsia="宋体" w:cs="Times New Roman"/>
                <w:color w:val="auto"/>
                <w:highlight w:val="none"/>
                <w:lang w:val="en-US" w:eastAsia="zh-CN"/>
              </w:rPr>
              <w:t>；</w:t>
            </w:r>
          </w:p>
          <w:p w14:paraId="7C270361">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lang w:val="en-US" w:eastAsia="zh-CN"/>
              </w:rPr>
              <w:t>3.本项分值由评标委员会负责组织计算。</w:t>
            </w:r>
          </w:p>
        </w:tc>
      </w:tr>
    </w:tbl>
    <w:p w14:paraId="618B850F">
      <w:pPr>
        <w:pStyle w:val="12"/>
        <w:keepNext w:val="0"/>
        <w:keepLines w:val="0"/>
        <w:pageBreakBefore w:val="0"/>
        <w:widowControl w:val="0"/>
        <w:kinsoku/>
        <w:wordWrap w:val="0"/>
        <w:overflowPunct/>
        <w:topLinePunct w:val="0"/>
        <w:autoSpaceDE/>
        <w:autoSpaceDN/>
        <w:bidi w:val="0"/>
        <w:adjustRightInd w:val="0"/>
        <w:snapToGrid w:val="0"/>
        <w:spacing w:after="0" w:afterLines="0"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特别说明：</w:t>
      </w:r>
    </w:p>
    <w:p w14:paraId="01E22094">
      <w:pPr>
        <w:pStyle w:val="12"/>
        <w:keepNext w:val="0"/>
        <w:keepLines w:val="0"/>
        <w:pageBreakBefore w:val="0"/>
        <w:widowControl w:val="0"/>
        <w:kinsoku/>
        <w:wordWrap w:val="0"/>
        <w:overflowPunct/>
        <w:topLinePunct w:val="0"/>
        <w:autoSpaceDE/>
        <w:autoSpaceDN/>
        <w:bidi w:val="0"/>
        <w:adjustRightInd w:val="0"/>
        <w:snapToGrid w:val="0"/>
        <w:spacing w:after="0" w:afterLines="0"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评标专家检验电子投标文件的上述材料，如果由于投标人自身原因导致评标专家无法查看并检验电子投标文件中以上相关资料的，后果由投标人自行承担。</w:t>
      </w:r>
    </w:p>
    <w:p w14:paraId="41C64985">
      <w:pPr>
        <w:pStyle w:val="12"/>
        <w:keepNext w:val="0"/>
        <w:keepLines w:val="0"/>
        <w:pageBreakBefore w:val="0"/>
        <w:widowControl w:val="0"/>
        <w:kinsoku/>
        <w:wordWrap w:val="0"/>
        <w:overflowPunct/>
        <w:topLinePunct w:val="0"/>
        <w:autoSpaceDE/>
        <w:autoSpaceDN/>
        <w:bidi w:val="0"/>
        <w:adjustRightInd w:val="0"/>
        <w:snapToGrid w:val="0"/>
        <w:spacing w:after="0" w:afterLines="0" w:line="440" w:lineRule="exact"/>
        <w:ind w:left="0" w:leftChars="0" w:firstLine="420" w:firstLineChars="200"/>
        <w:jc w:val="left"/>
        <w:textAlignment w:val="auto"/>
        <w:outlineLvl w:val="2"/>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以上分值均保留二位小数，小数点后第三位四舍五入。</w:t>
      </w:r>
    </w:p>
    <w:p w14:paraId="17C27EA3">
      <w:pPr>
        <w:keepNext w:val="0"/>
        <w:keepLines w:val="0"/>
        <w:pageBreakBefore w:val="0"/>
        <w:widowControl w:val="0"/>
        <w:kinsoku/>
        <w:wordWrap w:val="0"/>
        <w:overflowPunct/>
        <w:topLinePunct w:val="0"/>
        <w:autoSpaceDE/>
        <w:autoSpaceDN/>
        <w:bidi w:val="0"/>
        <w:spacing w:line="440" w:lineRule="exact"/>
        <w:ind w:firstLine="420" w:firstLineChars="200"/>
        <w:textAlignment w:val="auto"/>
        <w:rPr>
          <w:rFonts w:hint="default"/>
          <w:color w:val="auto"/>
          <w:highlight w:val="none"/>
          <w:lang w:val="en-US" w:eastAsia="zh-CN"/>
        </w:rPr>
      </w:pP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投标人必须和拟派的所有岗位人员按照相关规定签订劳动合同并为其缴纳社保，否则产生的相关纠纷由投标人自行承担。投标人投标时充分考虑企业利润，如因企业漏报或主动让利，产生的相关纠纷由投标人自行承担。滁州市人社局对滁州市人员最低工资及五险进行调整时，中标人适当作相应调整</w:t>
      </w:r>
      <w:r>
        <w:rPr>
          <w:rFonts w:hint="eastAsia" w:ascii="宋体" w:hAnsi="宋体" w:cs="宋体"/>
          <w:color w:val="auto"/>
          <w:kern w:val="0"/>
          <w:sz w:val="21"/>
          <w:szCs w:val="21"/>
          <w:highlight w:val="none"/>
          <w:lang w:val="zh-CN" w:eastAsia="zh-CN" w:bidi="ar-SA"/>
        </w:rPr>
        <w:t>，</w:t>
      </w:r>
      <w:r>
        <w:rPr>
          <w:rFonts w:hint="eastAsia" w:ascii="宋体" w:hAnsi="宋体" w:cs="宋体"/>
          <w:color w:val="auto"/>
          <w:kern w:val="0"/>
          <w:sz w:val="21"/>
          <w:szCs w:val="21"/>
          <w:highlight w:val="none"/>
          <w:lang w:val="en-US" w:eastAsia="zh-CN" w:bidi="ar-SA"/>
        </w:rPr>
        <w:t>招标人不予调整服务费用</w:t>
      </w:r>
      <w:r>
        <w:rPr>
          <w:rFonts w:hint="eastAsia" w:ascii="宋体" w:hAnsi="宋体" w:eastAsia="宋体" w:cs="宋体"/>
          <w:color w:val="auto"/>
          <w:kern w:val="0"/>
          <w:sz w:val="21"/>
          <w:szCs w:val="21"/>
          <w:highlight w:val="none"/>
          <w:lang w:val="zh-CN" w:eastAsia="zh-CN" w:bidi="ar-SA"/>
        </w:rPr>
        <w:t>。</w:t>
      </w:r>
    </w:p>
    <w:bookmarkEnd w:id="93"/>
    <w:bookmarkEnd w:id="94"/>
    <w:bookmarkEnd w:id="95"/>
    <w:bookmarkEnd w:id="96"/>
    <w:bookmarkEnd w:id="97"/>
    <w:p w14:paraId="747F3BA0">
      <w:pPr>
        <w:keepNext w:val="0"/>
        <w:keepLines w:val="0"/>
        <w:pageBreakBefore w:val="0"/>
        <w:widowControl w:val="0"/>
        <w:kinsoku/>
        <w:wordWrap w:val="0"/>
        <w:overflowPunct/>
        <w:topLinePunct w:val="0"/>
        <w:autoSpaceDE/>
        <w:autoSpaceDN/>
        <w:bidi w:val="0"/>
        <w:spacing w:line="440" w:lineRule="exact"/>
        <w:textAlignment w:val="auto"/>
        <w:outlineLvl w:val="3"/>
        <w:rPr>
          <w:rFonts w:hint="eastAsia" w:ascii="宋体" w:hAnsi="宋体" w:cs="宋体"/>
          <w:b/>
          <w:bCs/>
          <w:color w:val="auto"/>
          <w:szCs w:val="21"/>
          <w:highlight w:val="none"/>
        </w:rPr>
      </w:pPr>
      <w:bookmarkStart w:id="98" w:name="_Toc30417"/>
      <w:bookmarkStart w:id="99" w:name="_Toc22340"/>
      <w:bookmarkStart w:id="100" w:name="_Toc449028945"/>
      <w:r>
        <w:rPr>
          <w:rFonts w:hint="eastAsia" w:ascii="宋体" w:hAnsi="宋体" w:cs="宋体"/>
          <w:b/>
          <w:bCs/>
          <w:color w:val="auto"/>
          <w:szCs w:val="21"/>
          <w:highlight w:val="none"/>
          <w:lang w:val="en-US" w:eastAsia="zh-CN"/>
        </w:rPr>
        <w:t>　　1</w:t>
      </w:r>
      <w:r>
        <w:rPr>
          <w:rFonts w:hint="eastAsia" w:ascii="宋体" w:hAnsi="宋体" w:cs="宋体"/>
          <w:b/>
          <w:bCs/>
          <w:color w:val="auto"/>
          <w:szCs w:val="21"/>
          <w:highlight w:val="none"/>
        </w:rPr>
        <w:t>．评标方法</w:t>
      </w:r>
    </w:p>
    <w:p w14:paraId="308C838F">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1</w:t>
      </w:r>
      <w:r>
        <w:rPr>
          <w:rFonts w:hint="eastAsia" w:ascii="宋体" w:hAnsi="宋体" w:cs="宋体"/>
          <w:color w:val="auto"/>
          <w:szCs w:val="21"/>
          <w:highlight w:val="none"/>
        </w:rPr>
        <w:t>.1本次评标采用</w:t>
      </w:r>
      <w:r>
        <w:rPr>
          <w:rFonts w:hint="eastAsia" w:ascii="宋体" w:hAnsi="宋体" w:cs="宋体"/>
          <w:b/>
          <w:bCs/>
          <w:color w:val="auto"/>
          <w:szCs w:val="21"/>
          <w:highlight w:val="none"/>
        </w:rPr>
        <w:t>综合评</w:t>
      </w:r>
      <w:r>
        <w:rPr>
          <w:rFonts w:hint="eastAsia" w:ascii="宋体" w:hAnsi="宋体" w:cs="宋体"/>
          <w:b/>
          <w:bCs/>
          <w:color w:val="auto"/>
          <w:szCs w:val="21"/>
          <w:highlight w:val="none"/>
          <w:lang w:val="en-US" w:eastAsia="zh-CN"/>
        </w:rPr>
        <w:t>分</w:t>
      </w:r>
      <w:r>
        <w:rPr>
          <w:rFonts w:hint="eastAsia" w:ascii="宋体" w:hAnsi="宋体" w:cs="宋体"/>
          <w:b/>
          <w:bCs/>
          <w:color w:val="auto"/>
          <w:szCs w:val="21"/>
          <w:highlight w:val="none"/>
        </w:rPr>
        <w:t>法</w:t>
      </w:r>
      <w:r>
        <w:rPr>
          <w:rFonts w:hint="eastAsia" w:ascii="宋体" w:hAnsi="宋体" w:cs="宋体"/>
          <w:color w:val="auto"/>
          <w:szCs w:val="21"/>
          <w:highlight w:val="none"/>
        </w:rPr>
        <w:t>。评标委员会对满足招标文件实质性要求的投标文件，按照本章规定的评分标准进行打分，并按</w:t>
      </w:r>
      <w:r>
        <w:rPr>
          <w:rFonts w:hint="eastAsia" w:ascii="宋体" w:hAnsi="宋体" w:cs="宋体"/>
          <w:b/>
          <w:bCs/>
          <w:color w:val="auto"/>
          <w:szCs w:val="21"/>
          <w:highlight w:val="none"/>
          <w:lang w:val="en-US" w:eastAsia="zh-CN"/>
        </w:rPr>
        <w:t>每标段</w:t>
      </w:r>
      <w:r>
        <w:rPr>
          <w:rFonts w:hint="eastAsia" w:ascii="宋体" w:hAnsi="宋体" w:cs="宋体"/>
          <w:b/>
          <w:bCs/>
          <w:color w:val="auto"/>
          <w:szCs w:val="21"/>
          <w:highlight w:val="none"/>
        </w:rPr>
        <w:t>总得分由高到低顺序推荐中标候选人应当不超过3名</w:t>
      </w:r>
      <w:r>
        <w:rPr>
          <w:rFonts w:hint="eastAsia" w:ascii="宋体" w:hAnsi="宋体" w:cs="宋体"/>
          <w:color w:val="auto"/>
          <w:szCs w:val="21"/>
          <w:highlight w:val="none"/>
        </w:rPr>
        <w:t>，并标明排序，但投标报价低于其成本的除外。如总得分相等，以投标报价低的优先，投标报价仍相等，由评标委员会主任委员或招标人随机抽取确定排名。</w:t>
      </w:r>
    </w:p>
    <w:p w14:paraId="340F2E5A">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w:t>
      </w:r>
      <w:r>
        <w:rPr>
          <w:rFonts w:hint="eastAsia" w:ascii="宋体" w:hAnsi="宋体" w:eastAsia="宋体" w:cs="宋体"/>
          <w:color w:val="auto"/>
          <w:szCs w:val="21"/>
          <w:highlight w:val="none"/>
          <w:lang w:val="en-US" w:eastAsia="zh-CN"/>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4E3321CD">
      <w:pPr>
        <w:keepNext w:val="0"/>
        <w:keepLines w:val="0"/>
        <w:pageBreakBefore w:val="0"/>
        <w:widowControl w:val="0"/>
        <w:kinsoku/>
        <w:wordWrap w:val="0"/>
        <w:overflowPunct/>
        <w:topLinePunct w:val="0"/>
        <w:autoSpaceDE/>
        <w:autoSpaceDN/>
        <w:bidi w:val="0"/>
        <w:spacing w:line="440" w:lineRule="exact"/>
        <w:textAlignment w:val="auto"/>
        <w:outlineLvl w:val="3"/>
        <w:rPr>
          <w:rFonts w:hint="eastAsia" w:ascii="宋体" w:hAnsi="宋体" w:eastAsia="宋体" w:cs="宋体"/>
          <w:b/>
          <w:bCs/>
          <w:color w:val="auto"/>
          <w:szCs w:val="21"/>
          <w:highlight w:val="none"/>
          <w:lang w:val="en-US" w:eastAsia="zh-CN"/>
        </w:rPr>
      </w:pPr>
      <w:bookmarkStart w:id="101" w:name="_Toc95223405"/>
      <w:r>
        <w:rPr>
          <w:rFonts w:hint="eastAsia" w:ascii="宋体" w:hAnsi="宋体" w:cs="宋体"/>
          <w:b/>
          <w:bCs/>
          <w:color w:val="auto"/>
          <w:szCs w:val="21"/>
          <w:highlight w:val="none"/>
          <w:lang w:val="en-US" w:eastAsia="zh-CN"/>
        </w:rPr>
        <w:t>　　</w:t>
      </w:r>
      <w:r>
        <w:rPr>
          <w:rFonts w:hint="eastAsia" w:ascii="宋体" w:hAnsi="宋体" w:eastAsia="宋体" w:cs="宋体"/>
          <w:b/>
          <w:bCs/>
          <w:color w:val="auto"/>
          <w:szCs w:val="21"/>
          <w:highlight w:val="none"/>
          <w:lang w:val="en-US" w:eastAsia="zh-CN"/>
        </w:rPr>
        <w:t>2.评标委员会的职责</w:t>
      </w:r>
    </w:p>
    <w:p w14:paraId="741B169F">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04242D8">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b/>
          <w:bCs/>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2170FBF">
      <w:pPr>
        <w:keepNext w:val="0"/>
        <w:keepLines w:val="0"/>
        <w:pageBreakBefore w:val="0"/>
        <w:widowControl w:val="0"/>
        <w:kinsoku/>
        <w:wordWrap w:val="0"/>
        <w:overflowPunct/>
        <w:topLinePunct w:val="0"/>
        <w:autoSpaceDE/>
        <w:autoSpaceDN/>
        <w:bidi w:val="0"/>
        <w:spacing w:line="440" w:lineRule="exact"/>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　3</w:t>
      </w:r>
      <w:r>
        <w:rPr>
          <w:rFonts w:hint="eastAsia" w:ascii="宋体"/>
          <w:b/>
          <w:color w:val="auto"/>
          <w:szCs w:val="21"/>
          <w:highlight w:val="none"/>
        </w:rPr>
        <w:t>.评标程序</w:t>
      </w:r>
    </w:p>
    <w:p w14:paraId="3638290E">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olor w:val="auto"/>
          <w:szCs w:val="21"/>
          <w:highlight w:val="none"/>
        </w:rPr>
      </w:pPr>
      <w:bookmarkStart w:id="102" w:name="_Toc95223402"/>
      <w:r>
        <w:rPr>
          <w:rFonts w:hint="eastAsia" w:ascii="宋体" w:hAnsi="宋体"/>
          <w:color w:val="auto"/>
          <w:szCs w:val="21"/>
          <w:highlight w:val="none"/>
        </w:rPr>
        <w:t>评标先做准备工作，再进行资格、技术标评审，然后进行商务标评审。</w:t>
      </w:r>
    </w:p>
    <w:p w14:paraId="1EBF9E9C">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4"/>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.1评标准备工作</w:t>
      </w:r>
      <w:bookmarkEnd w:id="102"/>
    </w:p>
    <w:p w14:paraId="2A695CB7">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评标委员会熟悉评标工作情况：</w:t>
      </w:r>
    </w:p>
    <w:p w14:paraId="08DC096A">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（1）阅读由招标人或者其委</w:t>
      </w:r>
      <w:bookmarkStart w:id="103" w:name="_Toc60061499"/>
      <w:bookmarkStart w:id="104" w:name="_Toc15058916"/>
      <w:r>
        <w:rPr>
          <w:rFonts w:hint="eastAsia" w:ascii="宋体" w:hAnsi="宋体" w:cs="宋体"/>
          <w:color w:val="auto"/>
          <w:highlight w:val="none"/>
        </w:rPr>
        <w:t>托的代理机构编</w:t>
      </w:r>
      <w:bookmarkEnd w:id="103"/>
      <w:bookmarkEnd w:id="104"/>
      <w:r>
        <w:rPr>
          <w:rFonts w:hint="eastAsia" w:ascii="宋体" w:hAnsi="宋体" w:cs="宋体"/>
          <w:color w:val="auto"/>
          <w:highlight w:val="none"/>
        </w:rPr>
        <w:t>制的招标项目情况材料。</w:t>
      </w:r>
    </w:p>
    <w:p w14:paraId="7EB1681A">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BCD4DD5">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（3）熟悉招标文件规定的评标标准和评标方法及在评标过程中需要考虑的相关因素。</w:t>
      </w:r>
    </w:p>
    <w:p w14:paraId="7AA9FA4C">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2"/>
        <w:rPr>
          <w:rFonts w:hint="eastAsia" w:ascii="宋体" w:hAnsi="宋体" w:cs="宋体"/>
          <w:color w:val="auto"/>
          <w:highlight w:val="none"/>
        </w:rPr>
      </w:pPr>
      <w:r>
        <w:rPr>
          <w:rFonts w:hint="eastAsia" w:ascii="宋体" w:hAnsi="宋体" w:cs="宋体"/>
          <w:color w:val="auto"/>
          <w:highlight w:val="none"/>
        </w:rPr>
        <w:t>（4）核对评标工作用表。</w:t>
      </w:r>
    </w:p>
    <w:p w14:paraId="416694F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3"/>
        <w:rPr>
          <w:rFonts w:hint="eastAsia" w:ascii="宋体" w:hAnsi="宋体" w:cs="宋体"/>
          <w:color w:val="auto"/>
          <w:highlight w:val="none"/>
        </w:rPr>
      </w:pPr>
      <w:bookmarkStart w:id="105" w:name="_Toc15058917"/>
      <w:bookmarkStart w:id="106" w:name="_Toc60061500"/>
      <w:r>
        <w:rPr>
          <w:rFonts w:hint="eastAsia" w:ascii="宋体" w:hAnsi="宋体" w:cs="宋体"/>
          <w:color w:val="auto"/>
          <w:highlight w:val="none"/>
          <w:lang w:val="en-US" w:eastAsia="zh-CN"/>
        </w:rPr>
        <w:t>3</w:t>
      </w:r>
      <w:r>
        <w:rPr>
          <w:rFonts w:hint="eastAsia" w:ascii="宋体" w:hAnsi="宋体" w:cs="宋体"/>
          <w:color w:val="auto"/>
          <w:highlight w:val="none"/>
        </w:rPr>
        <w:t>.2推荐中标候</w:t>
      </w:r>
      <w:bookmarkEnd w:id="105"/>
      <w:bookmarkEnd w:id="106"/>
      <w:r>
        <w:rPr>
          <w:rFonts w:hint="eastAsia" w:ascii="宋体" w:hAnsi="宋体" w:cs="宋体"/>
          <w:color w:val="auto"/>
          <w:highlight w:val="none"/>
        </w:rPr>
        <w:t>选人</w:t>
      </w:r>
    </w:p>
    <w:p w14:paraId="401999B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资信评审、技术标评审、商务标评审后，推荐中标候选人，并标明排序。</w:t>
      </w:r>
    </w:p>
    <w:bookmarkEnd w:id="101"/>
    <w:p w14:paraId="4A7EA969">
      <w:pPr>
        <w:keepNext w:val="0"/>
        <w:keepLines w:val="0"/>
        <w:pageBreakBefore w:val="0"/>
        <w:widowControl w:val="0"/>
        <w:kinsoku/>
        <w:wordWrap w:val="0"/>
        <w:overflowPunct/>
        <w:topLinePunct w:val="0"/>
        <w:autoSpaceDE/>
        <w:autoSpaceDN/>
        <w:bidi w:val="0"/>
        <w:spacing w:line="440" w:lineRule="exact"/>
        <w:ind w:firstLine="316" w:firstLineChars="150"/>
        <w:jc w:val="left"/>
        <w:textAlignment w:val="auto"/>
        <w:outlineLvl w:val="4"/>
        <w:rPr>
          <w:rFonts w:hint="eastAsia" w:ascii="宋体"/>
          <w:b/>
          <w:color w:val="auto"/>
          <w:szCs w:val="21"/>
          <w:highlight w:val="none"/>
        </w:rPr>
      </w:pPr>
      <w:bookmarkStart w:id="107" w:name="_Hlk61815781"/>
      <w:r>
        <w:rPr>
          <w:rFonts w:hint="eastAsia" w:ascii="宋体"/>
          <w:b/>
          <w:color w:val="auto"/>
          <w:szCs w:val="21"/>
          <w:highlight w:val="none"/>
          <w:lang w:val="en-US" w:eastAsia="zh-CN"/>
        </w:rPr>
        <w:t>4</w:t>
      </w:r>
      <w:r>
        <w:rPr>
          <w:rFonts w:hint="eastAsia" w:ascii="宋体"/>
          <w:b/>
          <w:color w:val="auto"/>
          <w:szCs w:val="21"/>
          <w:highlight w:val="none"/>
        </w:rPr>
        <w:t>.评审内容</w:t>
      </w:r>
    </w:p>
    <w:bookmarkEnd w:id="107"/>
    <w:p w14:paraId="1FA0BAC4">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3"/>
        <w:rPr>
          <w:rFonts w:hint="eastAsia" w:ascii="宋体" w:hAnsi="宋体" w:eastAsia="宋体" w:cs="宋体"/>
          <w:color w:val="auto"/>
          <w:highlight w:val="none"/>
        </w:rPr>
      </w:pPr>
      <w:bookmarkStart w:id="108" w:name="_Toc95223437"/>
      <w:bookmarkStart w:id="109" w:name="_Toc95223439"/>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商务标评审</w:t>
      </w:r>
      <w:bookmarkEnd w:id="108"/>
    </w:p>
    <w:p w14:paraId="172606DF">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只有通过技术标评</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rPr>
        <w:t>的投标才能够进入本阶段评审。</w:t>
      </w:r>
    </w:p>
    <w:p w14:paraId="4671A8A5">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.1形式性评审标准：见商务标评审表。</w:t>
      </w:r>
    </w:p>
    <w:p w14:paraId="303A684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.2响应性评审标准：见商务标评审表。</w:t>
      </w:r>
    </w:p>
    <w:p w14:paraId="37DF9C9D">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0EC11591">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4"/>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.3详细评审标准：见商务标评审表。</w:t>
      </w:r>
    </w:p>
    <w:p w14:paraId="03E6484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评标委员会审查投标文件，看其是否有计算或表达上的错误，投标报价有错误的，评标委员会按以下原则对投标报价进行修正。</w:t>
      </w:r>
    </w:p>
    <w:p w14:paraId="7EA4137F">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796CA23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6E232136">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5991B3B6">
      <w:pPr>
        <w:keepNext w:val="0"/>
        <w:keepLines w:val="0"/>
        <w:pageBreakBefore w:val="0"/>
        <w:widowControl w:val="0"/>
        <w:kinsoku/>
        <w:wordWrap w:val="0"/>
        <w:overflowPunct/>
        <w:topLinePunct w:val="0"/>
        <w:autoSpaceDE/>
        <w:autoSpaceDN/>
        <w:bidi w:val="0"/>
        <w:spacing w:line="440" w:lineRule="exact"/>
        <w:jc w:val="left"/>
        <w:textAlignment w:val="auto"/>
        <w:rPr>
          <w:rFonts w:hint="eastAsia" w:ascii="宋体"/>
          <w:b/>
          <w:color w:val="auto"/>
          <w:szCs w:val="21"/>
          <w:highlight w:val="none"/>
        </w:rPr>
      </w:pPr>
      <w:r>
        <w:rPr>
          <w:rFonts w:hint="eastAsia" w:ascii="宋体"/>
          <w:b/>
          <w:color w:val="auto"/>
          <w:szCs w:val="21"/>
          <w:highlight w:val="none"/>
          <w:lang w:val="en-US" w:eastAsia="zh-CN"/>
        </w:rPr>
        <w:t>　　5</w:t>
      </w:r>
      <w:r>
        <w:rPr>
          <w:rFonts w:hint="eastAsia" w:ascii="宋体"/>
          <w:b/>
          <w:color w:val="auto"/>
          <w:szCs w:val="21"/>
          <w:highlight w:val="none"/>
        </w:rPr>
        <w:t>.无效投标条款</w:t>
      </w:r>
    </w:p>
    <w:p w14:paraId="0995BB6B">
      <w:pPr>
        <w:keepNext w:val="0"/>
        <w:keepLines w:val="0"/>
        <w:pageBreakBefore w:val="0"/>
        <w:widowControl w:val="0"/>
        <w:kinsoku/>
        <w:wordWrap w:val="0"/>
        <w:overflowPunct/>
        <w:topLinePunct w:val="0"/>
        <w:autoSpaceDE/>
        <w:autoSpaceDN/>
        <w:bidi w:val="0"/>
        <w:spacing w:line="440" w:lineRule="exact"/>
        <w:jc w:val="left"/>
        <w:textAlignment w:val="auto"/>
        <w:outlineLvl w:val="3"/>
        <w:rPr>
          <w:rFonts w:hint="eastAsia" w:ascii="宋体" w:hAnsi="宋体" w:eastAsia="宋体" w:cs="宋体"/>
          <w:color w:val="auto"/>
          <w:highlight w:val="none"/>
        </w:rPr>
      </w:pPr>
      <w:r>
        <w:rPr>
          <w:rFonts w:hint="eastAsia" w:ascii="宋体" w:hAnsi="宋体" w:cs="宋体"/>
          <w:color w:val="auto"/>
          <w:highlight w:val="none"/>
          <w:lang w:val="en-US" w:eastAsia="zh-CN"/>
        </w:rPr>
        <w:t>　　</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.1投标人存在下列情形的招标人将拒收投标文件:</w:t>
      </w:r>
    </w:p>
    <w:p w14:paraId="0E4E1353">
      <w:pPr>
        <w:keepNext w:val="0"/>
        <w:keepLines w:val="0"/>
        <w:pageBreakBefore w:val="0"/>
        <w:widowControl w:val="0"/>
        <w:kinsoku/>
        <w:wordWrap w:val="0"/>
        <w:overflowPunct/>
        <w:topLinePunct w:val="0"/>
        <w:autoSpaceDE/>
        <w:autoSpaceDN/>
        <w:bidi w:val="0"/>
        <w:spacing w:line="440" w:lineRule="exact"/>
        <w:jc w:val="left"/>
        <w:textAlignment w:val="auto"/>
        <w:rPr>
          <w:rFonts w:hint="eastAsia" w:ascii="宋体" w:hAnsi="宋体" w:cs="宋体"/>
          <w:color w:val="auto"/>
          <w:highlight w:val="none"/>
        </w:rPr>
      </w:pPr>
      <w:r>
        <w:rPr>
          <w:rFonts w:hint="eastAsia" w:ascii="宋体" w:hAnsi="宋体" w:cs="宋体"/>
          <w:color w:val="auto"/>
          <w:highlight w:val="none"/>
          <w:lang w:eastAsia="zh-CN"/>
        </w:rPr>
        <w:t>　　</w:t>
      </w:r>
      <w:r>
        <w:rPr>
          <w:rFonts w:hint="eastAsia" w:ascii="宋体" w:hAnsi="宋体" w:eastAsia="宋体" w:cs="宋体"/>
          <w:color w:val="auto"/>
          <w:highlight w:val="none"/>
        </w:rPr>
        <w:t>（1）</w:t>
      </w:r>
      <w:r>
        <w:rPr>
          <w:rFonts w:hint="eastAsia" w:ascii="宋体" w:hAnsi="宋体" w:cs="宋体"/>
          <w:color w:val="auto"/>
          <w:highlight w:val="none"/>
        </w:rPr>
        <w:t>未在开标截止时间前通过网上招标投标系统递交有效电子投标文件的，开标系统不予接收，投标将被拒绝。</w:t>
      </w:r>
    </w:p>
    <w:p w14:paraId="434FC0A7">
      <w:pPr>
        <w:keepNext w:val="0"/>
        <w:keepLines w:val="0"/>
        <w:pageBreakBefore w:val="0"/>
        <w:widowControl w:val="0"/>
        <w:kinsoku/>
        <w:wordWrap w:val="0"/>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DA522F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3"/>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.2投标人有下列情形的，经评审后其投标作无效投标处理：</w:t>
      </w:r>
    </w:p>
    <w:p w14:paraId="2DD99C67">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4"/>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.2.1商务标评审</w:t>
      </w:r>
    </w:p>
    <w:p w14:paraId="6D2AF520">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rPr>
        <w:t>评标委员会依据《商务标评审表》进行形式性评审和响应性评审。有一项不符合评审标准的，做无效投标处理；</w:t>
      </w:r>
    </w:p>
    <w:p w14:paraId="4098A452">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cs="宋体"/>
          <w:color w:val="auto"/>
          <w:highlight w:val="none"/>
        </w:rPr>
        <w:t>商务标详细评审标准中有任何一项不能通过评审的，作无效投标处理。</w:t>
      </w:r>
    </w:p>
    <w:p w14:paraId="28CF8BEA">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3"/>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.3其他无效投标情况：</w:t>
      </w:r>
    </w:p>
    <w:p w14:paraId="3CDA317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BD6B030">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（2）调整或修正投标文件的投标报价，调整或修正的价格经投标人书面确认后具有约束力。投标人不接受修正价格的，其投标将被拒绝。</w:t>
      </w:r>
    </w:p>
    <w:p w14:paraId="5526B1A9">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2"/>
        <w:rPr>
          <w:rFonts w:hint="eastAsia" w:ascii="宋体" w:hAnsi="宋体" w:eastAsia="宋体" w:cs="宋体"/>
          <w:color w:val="auto"/>
          <w:highlight w:val="none"/>
        </w:rPr>
      </w:pPr>
      <w:r>
        <w:rPr>
          <w:rFonts w:hint="eastAsia" w:ascii="宋体" w:hAnsi="宋体" w:eastAsia="宋体" w:cs="宋体"/>
          <w:color w:val="auto"/>
          <w:highlight w:val="none"/>
        </w:rPr>
        <w:t>（3）第二章“投标人须知”第</w:t>
      </w:r>
      <w:r>
        <w:rPr>
          <w:rFonts w:hint="eastAsia" w:ascii="宋体" w:hAnsi="宋体" w:eastAsia="宋体" w:cs="宋体"/>
          <w:color w:val="auto"/>
          <w:highlight w:val="none"/>
          <w:lang w:val="en-US" w:eastAsia="zh-CN"/>
        </w:rPr>
        <w:t>13.4</w:t>
      </w:r>
      <w:r>
        <w:rPr>
          <w:rFonts w:hint="eastAsia" w:ascii="宋体" w:hAnsi="宋体" w:eastAsia="宋体" w:cs="宋体"/>
          <w:color w:val="auto"/>
          <w:highlight w:val="none"/>
        </w:rPr>
        <w:t>项规定</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情形。</w:t>
      </w:r>
    </w:p>
    <w:p w14:paraId="69F6B466">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）投标人有串通投标、视为串通投标、弄虚作假、行贿等违法行为。</w:t>
      </w:r>
    </w:p>
    <w:p w14:paraId="0DF9216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2"/>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）投标文件没有对招标文件的实质性要求和条件作出响应。</w:t>
      </w:r>
    </w:p>
    <w:p w14:paraId="139F1BB4">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）未按规定的格式填写导致实质性内容不全以及实质上不响应，或者关键字迹模糊、无法辨认；经公共资源交易监督部门核准的。</w:t>
      </w:r>
    </w:p>
    <w:p w14:paraId="5F3A04A2">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）同一投标人提交两个以上不同的投标文件或者投标报价，但招标文件规定提交备选投标的除外。</w:t>
      </w:r>
    </w:p>
    <w:p w14:paraId="733F277D">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2"/>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）投标文件中存在招标人不能接受的其他实质性条件。</w:t>
      </w:r>
    </w:p>
    <w:p w14:paraId="310C7305">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）投标文件中填报的拟任项目经理与资格审查通过的项目经理前后不一致的。</w:t>
      </w:r>
    </w:p>
    <w:p w14:paraId="77B3E5BA">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）投标人拒不按照要求对投标文件进行澄清、说明、补正的，或评标委员会根据招标文件的规定对招标文件的计算错误进行修正后，投标人不接受修正的投标报价的。</w:t>
      </w:r>
    </w:p>
    <w:p w14:paraId="206A4B95">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）投标人投标MAC地址一致。</w:t>
      </w:r>
    </w:p>
    <w:p w14:paraId="79FBC153">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）投标人单方面出现其他投标人材料。</w:t>
      </w:r>
    </w:p>
    <w:p w14:paraId="6B2FB6B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）评标时查询投标文件制作机器码、文件创建标识码及造价软件加密锁号。若存在投标文件制作机器码或创建标识码或造价软件加密锁号信息与其他投标人雷同的，投标无效。</w:t>
      </w:r>
    </w:p>
    <w:p w14:paraId="414385E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）投标人申请开具电子保函MAC地址一致。</w:t>
      </w:r>
    </w:p>
    <w:p w14:paraId="27DC1FA3">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szCs w:val="21"/>
          <w:highlight w:val="none"/>
        </w:rPr>
        <w:t>投标人联系人或联系电话相同的。</w:t>
      </w:r>
    </w:p>
    <w:p w14:paraId="348E32F9">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）法律、法规规定的其他情形。</w:t>
      </w:r>
    </w:p>
    <w:p w14:paraId="5AC9ACCB">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.投标文件的澄清和补正</w:t>
      </w:r>
      <w:bookmarkEnd w:id="109"/>
    </w:p>
    <w:p w14:paraId="6E397F71">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bookmarkStart w:id="110" w:name="_Toc95223410"/>
      <w:bookmarkStart w:id="111" w:name="_Toc95223441"/>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383C5AA">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1C7117C1">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F2F99F6">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0B2A6C69">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7.</w:t>
      </w:r>
      <w:r>
        <w:rPr>
          <w:rFonts w:hint="eastAsia" w:ascii="宋体" w:hAnsi="Times New Roman" w:eastAsia="宋体" w:cs="Times New Roman"/>
          <w:b/>
          <w:color w:val="auto"/>
          <w:szCs w:val="21"/>
          <w:highlight w:val="none"/>
        </w:rPr>
        <w:t>评委会修正错误的原则：</w:t>
      </w:r>
    </w:p>
    <w:p w14:paraId="09BADD58">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0864B506">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.2如果单价与数量的乘积和总价不一致，以单价为准，修正总价及开标一览表；当单价小数点有明显的错位时，评委会将以总价为准，并修正其单价。</w:t>
      </w:r>
    </w:p>
    <w:p w14:paraId="534770D4">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委会将按上述修正错误的方法调整投标文件中的投标报价，调整后的价格应对投标人具有约束力。无论投标人是接受或是拒绝调整后的价格，都应当由投标人在系统中确认。投标人拒绝对投标文件出现的错漏按上述原则进行修正、澄清、说明，评标委员会应当否决其投标。</w:t>
      </w:r>
    </w:p>
    <w:p w14:paraId="1845AA23">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8</w:t>
      </w:r>
      <w:r>
        <w:rPr>
          <w:rFonts w:hint="eastAsia" w:ascii="宋体"/>
          <w:b/>
          <w:color w:val="auto"/>
          <w:szCs w:val="21"/>
          <w:highlight w:val="none"/>
        </w:rPr>
        <w:t>.评分标准</w:t>
      </w:r>
      <w:bookmarkEnd w:id="110"/>
    </w:p>
    <w:p w14:paraId="7F262628">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.1资信标评分标准：见资信标评审表。</w:t>
      </w:r>
    </w:p>
    <w:p w14:paraId="232D7E9E">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.2技术标评分标准：见技术标评审表。</w:t>
      </w:r>
    </w:p>
    <w:p w14:paraId="6DE16EBE">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.3商务标评分标准：见商务标评审表。</w:t>
      </w:r>
    </w:p>
    <w:p w14:paraId="5C2BF8F1">
      <w:pPr>
        <w:keepNext w:val="0"/>
        <w:keepLines w:val="0"/>
        <w:pageBreakBefore w:val="0"/>
        <w:widowControl w:val="0"/>
        <w:kinsoku/>
        <w:wordWrap w:val="0"/>
        <w:overflowPunct/>
        <w:topLinePunct w:val="0"/>
        <w:autoSpaceDE/>
        <w:autoSpaceDN/>
        <w:bidi w:val="0"/>
        <w:snapToGrid w:val="0"/>
        <w:spacing w:line="440" w:lineRule="exact"/>
        <w:ind w:firstLine="420"/>
        <w:textAlignment w:val="auto"/>
        <w:outlineLvl w:val="3"/>
        <w:rPr>
          <w:rFonts w:hint="eastAsia" w:ascii="宋体" w:hAnsi="宋体" w:cs="宋体"/>
          <w:color w:val="auto"/>
          <w:szCs w:val="21"/>
          <w:highlight w:val="none"/>
        </w:rPr>
      </w:pPr>
      <w:r>
        <w:rPr>
          <w:rFonts w:hint="eastAsia" w:ascii="宋体"/>
          <w:b/>
          <w:color w:val="auto"/>
          <w:szCs w:val="21"/>
          <w:highlight w:val="none"/>
          <w:lang w:val="en-US" w:eastAsia="zh-CN"/>
        </w:rPr>
        <w:t>9</w:t>
      </w:r>
      <w:r>
        <w:rPr>
          <w:rFonts w:hint="eastAsia" w:ascii="宋体"/>
          <w:b/>
          <w:color w:val="auto"/>
          <w:szCs w:val="21"/>
          <w:highlight w:val="none"/>
        </w:rPr>
        <w:t>.评审结果</w:t>
      </w:r>
      <w:bookmarkEnd w:id="111"/>
    </w:p>
    <w:p w14:paraId="32203140">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.1除第二章“投标人须知”及其前附表授权直接确定中标人外，评标委员会按照总得分由高到低顺序推荐中标候选人。</w:t>
      </w:r>
    </w:p>
    <w:p w14:paraId="39825D56">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.2评标委员会完成评标后，应当向招标人提交书面评标报告。评标报告应当如实记载以下内容：</w:t>
      </w:r>
    </w:p>
    <w:p w14:paraId="21376524">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28D43898">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4D9502B7">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14:paraId="4BC16DE5">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5E8135AB">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05569525">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31B9AC73">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50C497C6">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6C6548E0">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2C55B775">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61ED2D3F">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3"/>
        <w:rPr>
          <w:rFonts w:hint="eastAsia" w:ascii="宋体"/>
          <w:b/>
          <w:color w:val="auto"/>
          <w:szCs w:val="21"/>
          <w:highlight w:val="none"/>
        </w:rPr>
      </w:pPr>
      <w:bookmarkStart w:id="112" w:name="_Toc95223442"/>
      <w:r>
        <w:rPr>
          <w:rFonts w:hint="eastAsia" w:ascii="宋体"/>
          <w:b/>
          <w:color w:val="auto"/>
          <w:szCs w:val="21"/>
          <w:highlight w:val="none"/>
          <w:lang w:val="en-US" w:eastAsia="zh-CN"/>
        </w:rPr>
        <w:t>10</w:t>
      </w:r>
      <w:r>
        <w:rPr>
          <w:rFonts w:hint="eastAsia" w:ascii="宋体"/>
          <w:b/>
          <w:color w:val="auto"/>
          <w:szCs w:val="21"/>
          <w:highlight w:val="none"/>
        </w:rPr>
        <w:t>.其他</w:t>
      </w:r>
      <w:bookmarkEnd w:id="112"/>
    </w:p>
    <w:p w14:paraId="65C9092D">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jc w:val="both"/>
        <w:textAlignment w:val="auto"/>
        <w:rPr>
          <w:rFonts w:hint="eastAsia" w:ascii="宋体"/>
          <w:b/>
          <w:color w:val="auto"/>
          <w:sz w:val="32"/>
          <w:szCs w:val="32"/>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.1投标人提供的与投标文件有关的各类证书、证明、文件、资料等的真实性、合法性由投标人负全责。</w:t>
      </w:r>
      <w:r>
        <w:rPr>
          <w:rFonts w:hint="eastAsia" w:ascii="宋体"/>
          <w:b/>
          <w:color w:val="auto"/>
          <w:sz w:val="32"/>
          <w:szCs w:val="32"/>
          <w:highlight w:val="none"/>
        </w:rPr>
        <w:t xml:space="preserve"> </w:t>
      </w:r>
    </w:p>
    <w:p w14:paraId="26F34019">
      <w:pPr>
        <w:keepNext w:val="0"/>
        <w:keepLines w:val="0"/>
        <w:pageBreakBefore w:val="0"/>
        <w:widowControl w:val="0"/>
        <w:kinsoku/>
        <w:wordWrap w:val="0"/>
        <w:overflowPunct/>
        <w:topLinePunct w:val="0"/>
        <w:autoSpaceDE/>
        <w:autoSpaceDN/>
        <w:bidi w:val="0"/>
        <w:spacing w:line="440" w:lineRule="exact"/>
        <w:textAlignment w:val="auto"/>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br w:type="page"/>
      </w:r>
    </w:p>
    <w:bookmarkEnd w:id="98"/>
    <w:p w14:paraId="45431646">
      <w:pPr>
        <w:keepNext w:val="0"/>
        <w:keepLines w:val="0"/>
        <w:pageBreakBefore w:val="0"/>
        <w:widowControl w:val="0"/>
        <w:numPr>
          <w:ilvl w:val="0"/>
          <w:numId w:val="0"/>
        </w:numPr>
        <w:kinsoku/>
        <w:wordWrap w:val="0"/>
        <w:overflowPunct/>
        <w:topLinePunct w:val="0"/>
        <w:autoSpaceDE/>
        <w:autoSpaceDN/>
        <w:bidi w:val="0"/>
        <w:adjustRightInd/>
        <w:snapToGrid/>
        <w:spacing w:before="95" w:beforeLines="30" w:after="95" w:afterLines="30" w:line="360" w:lineRule="exact"/>
        <w:ind w:right="0" w:rightChars="0"/>
        <w:jc w:val="center"/>
        <w:textAlignment w:val="auto"/>
        <w:outlineLvl w:val="0"/>
        <w:rPr>
          <w:rFonts w:hint="eastAsia" w:ascii="宋体" w:hAnsi="宋体" w:eastAsia="宋体" w:cs="宋体"/>
          <w:b/>
          <w:bCs/>
          <w:color w:val="auto"/>
          <w:kern w:val="0"/>
          <w:sz w:val="24"/>
          <w:szCs w:val="24"/>
          <w:highlight w:val="none"/>
          <w:lang w:val="en-US" w:eastAsia="zh-CN" w:bidi="ar-SA"/>
        </w:rPr>
      </w:pPr>
      <w:r>
        <w:rPr>
          <w:rFonts w:hint="eastAsia" w:ascii="宋体" w:hAnsi="Times New Roman" w:eastAsia="宋体" w:cs="Times New Roman"/>
          <w:b/>
          <w:color w:val="auto"/>
          <w:kern w:val="2"/>
          <w:sz w:val="32"/>
          <w:szCs w:val="32"/>
          <w:highlight w:val="none"/>
          <w:lang w:val="en-US" w:eastAsia="zh-CN" w:bidi="ar-SA"/>
        </w:rPr>
        <w:t>第五章</w:t>
      </w:r>
      <w:r>
        <w:rPr>
          <w:rFonts w:hint="eastAsia" w:ascii="宋体" w:cs="Times New Roman"/>
          <w:b/>
          <w:color w:val="auto"/>
          <w:kern w:val="2"/>
          <w:sz w:val="32"/>
          <w:szCs w:val="32"/>
          <w:highlight w:val="none"/>
          <w:lang w:val="en-US" w:eastAsia="zh-CN" w:bidi="ar-SA"/>
        </w:rPr>
        <w:t xml:space="preserve">   </w:t>
      </w:r>
      <w:r>
        <w:rPr>
          <w:rFonts w:hint="eastAsia" w:ascii="宋体"/>
          <w:b/>
          <w:color w:val="auto"/>
          <w:sz w:val="32"/>
          <w:szCs w:val="32"/>
          <w:highlight w:val="none"/>
          <w:lang w:eastAsia="zh-CN"/>
        </w:rPr>
        <w:t>采购需求</w:t>
      </w:r>
    </w:p>
    <w:p w14:paraId="38E52C02">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640" w:firstLineChars="0"/>
        <w:textAlignment w:val="auto"/>
        <w:outlineLvl w:val="9"/>
        <w:rPr>
          <w:rFonts w:hint="eastAsia" w:ascii="宋体" w:hAnsi="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一标段：</w:t>
      </w:r>
      <w:r>
        <w:rPr>
          <w:rFonts w:hint="eastAsia" w:ascii="宋体" w:hAnsi="宋体" w:eastAsia="宋体" w:cs="宋体"/>
          <w:b/>
          <w:bCs/>
          <w:color w:val="auto"/>
          <w:sz w:val="24"/>
          <w:szCs w:val="24"/>
          <w:highlight w:val="none"/>
          <w:lang w:val="en-US" w:eastAsia="zh-CN"/>
        </w:rPr>
        <w:t>涵盖1座开放式市民公园、三处沿河景观带，总占地面积达46.1万平方米，分别为</w:t>
      </w:r>
      <w:r>
        <w:rPr>
          <w:rFonts w:hint="eastAsia" w:ascii="宋体" w:hAnsi="宋体" w:cs="宋体"/>
          <w:b/>
          <w:bCs/>
          <w:color w:val="auto"/>
          <w:sz w:val="24"/>
          <w:szCs w:val="24"/>
          <w:highlight w:val="none"/>
          <w:lang w:val="en-US" w:eastAsia="zh-CN"/>
        </w:rPr>
        <w:t>体育</w:t>
      </w:r>
      <w:r>
        <w:rPr>
          <w:rFonts w:hint="eastAsia" w:ascii="宋体" w:hAnsi="宋体" w:eastAsia="宋体" w:cs="宋体"/>
          <w:b/>
          <w:bCs/>
          <w:color w:val="auto"/>
          <w:sz w:val="24"/>
          <w:szCs w:val="24"/>
          <w:highlight w:val="none"/>
          <w:lang w:val="en-US" w:eastAsia="zh-CN"/>
        </w:rPr>
        <w:t>公园、丰收渠沿岸东侧景观带、清流河沿岸北侧景观带、徽州路滨水景观带</w:t>
      </w:r>
      <w:r>
        <w:rPr>
          <w:rFonts w:hint="eastAsia" w:ascii="宋体" w:hAnsi="宋体" w:cs="宋体"/>
          <w:b/>
          <w:bCs/>
          <w:color w:val="auto"/>
          <w:sz w:val="24"/>
          <w:szCs w:val="24"/>
          <w:highlight w:val="none"/>
          <w:lang w:val="en-US" w:eastAsia="zh-CN"/>
        </w:rPr>
        <w:t>。</w:t>
      </w:r>
    </w:p>
    <w:p w14:paraId="4EE00AE6">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right="0" w:rightChars="0" w:firstLine="422" w:firstLineChars="200"/>
        <w:jc w:val="left"/>
        <w:textAlignment w:val="auto"/>
        <w:outlineLvl w:val="9"/>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一、项目概况</w:t>
      </w:r>
    </w:p>
    <w:p w14:paraId="1DC8A304">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lang w:val="en-US" w:eastAsia="zh-CN"/>
        </w:rPr>
        <w:t>体育</w:t>
      </w:r>
      <w:r>
        <w:rPr>
          <w:rFonts w:hint="eastAsia" w:ascii="宋体" w:hAnsi="宋体" w:eastAsia="宋体" w:cs="宋体"/>
          <w:b/>
          <w:bCs/>
          <w:color w:val="auto"/>
          <w:sz w:val="21"/>
          <w:szCs w:val="21"/>
          <w:highlight w:val="none"/>
          <w:lang w:eastAsia="zh-CN"/>
        </w:rPr>
        <w:t>公园</w:t>
      </w:r>
    </w:p>
    <w:p w14:paraId="3E3317C2">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体育公园位于园区滨河北路与苏州路交口西北角，公园总占地面积约3.9万平方米，其中，主运动区约7553平方米，设有标准篮球场3块、半篮球场1块、七人制足球场1块、网球场1块、极限运动场1块及多功能运动场1块，集运动健身、休闲娱乐、社交互动于一体的综合性体育空间。</w:t>
      </w:r>
    </w:p>
    <w:p w14:paraId="2B0BDFC5">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（二）丰收渠沿岸东侧景观带</w:t>
      </w:r>
    </w:p>
    <w:p w14:paraId="6D7AB85E">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丰收渠沿岸东侧景观带，北起中新大道、南至滨河北路，根据项目竣工验收时间不同，以双城路为界划分为两部分。其中：</w:t>
      </w:r>
    </w:p>
    <w:p w14:paraId="22A92D03">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一是中新大道至双城路段景观带，简称“苏州路绿廊”，总占地面积约5万平方米，含公共厕所1处、管理用房1处、公共收费停车场1处。</w:t>
      </w:r>
    </w:p>
    <w:p w14:paraId="7778941E">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二是双城路至滨河北路段景观带，简称“苏州路绿廊延伸段”总占地面积</w:t>
      </w:r>
      <w:r>
        <w:rPr>
          <w:rFonts w:hint="eastAsia" w:ascii="宋体" w:hAnsi="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lang w:val="en-US" w:eastAsia="zh-CN"/>
        </w:rPr>
        <w:t>5万平方米。</w:t>
      </w:r>
    </w:p>
    <w:p w14:paraId="527890FD">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）清流河沿岸北侧景观带</w:t>
      </w:r>
    </w:p>
    <w:p w14:paraId="44D6E392">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清流河沿岸北侧景观带，东起徽州路、西至会峰路桥，根据项目竣工验收时间不同，以苏州路为界划分两部分进行保安、保洁管理服务。其中：</w:t>
      </w:r>
    </w:p>
    <w:p w14:paraId="7F42CAFA">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一是徽州路至苏州路段景观带，总占地面积</w:t>
      </w:r>
      <w:r>
        <w:rPr>
          <w:rFonts w:hint="eastAsia" w:ascii="宋体" w:hAnsi="宋体" w:cs="宋体"/>
          <w:b w:val="0"/>
          <w:bCs w:val="0"/>
          <w:color w:val="auto"/>
          <w:sz w:val="21"/>
          <w:szCs w:val="21"/>
          <w:highlight w:val="none"/>
          <w:lang w:val="en-US" w:eastAsia="zh-CN"/>
        </w:rPr>
        <w:t>约13.7</w:t>
      </w:r>
      <w:r>
        <w:rPr>
          <w:rFonts w:hint="eastAsia" w:ascii="宋体" w:hAnsi="宋体" w:eastAsia="宋体" w:cs="宋体"/>
          <w:b w:val="0"/>
          <w:bCs w:val="0"/>
          <w:color w:val="auto"/>
          <w:sz w:val="21"/>
          <w:szCs w:val="21"/>
          <w:highlight w:val="none"/>
          <w:lang w:val="en-US" w:eastAsia="zh-CN"/>
        </w:rPr>
        <w:t>万平方米，</w:t>
      </w:r>
      <w:r>
        <w:rPr>
          <w:rFonts w:hint="eastAsia" w:ascii="宋体" w:hAnsi="宋体" w:eastAsia="宋体" w:cs="宋体"/>
          <w:b w:val="0"/>
          <w:bCs w:val="0"/>
          <w:color w:val="auto"/>
          <w:sz w:val="21"/>
          <w:szCs w:val="21"/>
          <w:highlight w:val="none"/>
          <w:lang w:eastAsia="zh-CN"/>
        </w:rPr>
        <w:t>包含六大功能区、滨河步道、景观长廊和人行天桥</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座、管理用房</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处、简易休息室</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处、公共厕所</w:t>
      </w:r>
      <w:r>
        <w:rPr>
          <w:rFonts w:hint="eastAsia" w:ascii="宋体" w:hAnsi="宋体" w:eastAsia="宋体" w:cs="宋体"/>
          <w:b w:val="0"/>
          <w:bCs w:val="0"/>
          <w:color w:val="auto"/>
          <w:sz w:val="21"/>
          <w:szCs w:val="21"/>
          <w:highlight w:val="none"/>
          <w:lang w:val="en-US" w:eastAsia="zh-CN"/>
        </w:rPr>
        <w:t>1座、公共停车场2处。</w:t>
      </w:r>
    </w:p>
    <w:p w14:paraId="7036759B">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二是苏州路至会峰路桥段景观带，总占地面积</w:t>
      </w:r>
      <w:r>
        <w:rPr>
          <w:rFonts w:hint="eastAsia" w:ascii="宋体" w:hAnsi="宋体" w:cs="宋体"/>
          <w:b w:val="0"/>
          <w:bCs w:val="0"/>
          <w:color w:val="auto"/>
          <w:sz w:val="21"/>
          <w:szCs w:val="21"/>
          <w:highlight w:val="none"/>
          <w:lang w:val="en-US" w:eastAsia="zh-CN"/>
        </w:rPr>
        <w:t>约</w:t>
      </w:r>
      <w:r>
        <w:rPr>
          <w:rFonts w:hint="eastAsia" w:ascii="宋体" w:hAnsi="宋体" w:eastAsia="宋体" w:cs="宋体"/>
          <w:b w:val="0"/>
          <w:bCs w:val="0"/>
          <w:color w:val="auto"/>
          <w:sz w:val="21"/>
          <w:szCs w:val="21"/>
          <w:highlight w:val="none"/>
          <w:lang w:val="en-US" w:eastAsia="zh-CN"/>
        </w:rPr>
        <w:t>15万平方米，设有公共厕所2座、公共停车场2处。</w:t>
      </w:r>
    </w:p>
    <w:p w14:paraId="449EDA2F">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（四）徽州路滨水景观带</w:t>
      </w:r>
    </w:p>
    <w:p w14:paraId="04452B30">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徽州路滨水景观带全长约1公里，绿化面积约3.5万平方米。以“徽风皖韵”为主题，将徽州文化里的四合院、马头墙、山水等地域特色文化融入其中，营造徽州山水四时变化，绿醉花香、滁韵皖风之景。</w:t>
      </w:r>
    </w:p>
    <w:bookmarkEnd w:id="99"/>
    <w:bookmarkEnd w:id="100"/>
    <w:p w14:paraId="1293AFCA">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人员配置</w:t>
      </w:r>
    </w:p>
    <w:p w14:paraId="237157D5">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（一）体育公园</w:t>
      </w:r>
    </w:p>
    <w:p w14:paraId="2B7A2A7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（1）保安：</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4人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负责</w:t>
      </w:r>
      <w:r>
        <w:rPr>
          <w:rFonts w:hint="eastAsia" w:ascii="宋体" w:hAnsi="宋体"/>
          <w:color w:val="auto"/>
          <w:szCs w:val="21"/>
          <w:highlight w:val="none"/>
        </w:rPr>
        <w:t>本区域内</w:t>
      </w:r>
      <w:r>
        <w:rPr>
          <w:rFonts w:hint="eastAsia" w:ascii="宋体" w:hAnsi="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SA"/>
        </w:rPr>
        <w:t>秩序维护</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设施、设备的日常巡检</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工作。</w:t>
      </w:r>
    </w:p>
    <w:p w14:paraId="22E1D21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（2）保洁：</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2人</w:t>
      </w:r>
      <w:r>
        <w:rPr>
          <w:rFonts w:hint="eastAsia" w:ascii="宋体" w:hAnsi="宋体" w:cs="宋体"/>
          <w:color w:val="auto"/>
          <w:kern w:val="0"/>
          <w:sz w:val="21"/>
          <w:szCs w:val="21"/>
          <w:highlight w:val="none"/>
          <w:lang w:val="en-US" w:eastAsia="zh-CN" w:bidi="ar-SA"/>
        </w:rPr>
        <w:t>，负责</w:t>
      </w:r>
      <w:r>
        <w:rPr>
          <w:rFonts w:hint="eastAsia" w:ascii="宋体" w:hAnsi="宋体"/>
          <w:color w:val="auto"/>
          <w:szCs w:val="21"/>
          <w:highlight w:val="none"/>
        </w:rPr>
        <w:t>本区域内的</w:t>
      </w:r>
      <w:r>
        <w:rPr>
          <w:rFonts w:hint="eastAsia" w:ascii="宋体" w:hAnsi="宋体"/>
          <w:color w:val="auto"/>
          <w:szCs w:val="21"/>
          <w:highlight w:val="none"/>
          <w:lang w:val="en-US" w:eastAsia="zh-CN"/>
        </w:rPr>
        <w:t>卫生保洁工作</w:t>
      </w:r>
      <w:r>
        <w:rPr>
          <w:rFonts w:hint="eastAsia" w:ascii="宋体" w:hAnsi="宋体"/>
          <w:color w:val="auto"/>
          <w:szCs w:val="21"/>
          <w:highlight w:val="none"/>
        </w:rPr>
        <w:t>。</w:t>
      </w:r>
    </w:p>
    <w:p w14:paraId="62B476C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（3）文员：1人，负责标段内项目资料</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女性，大专及以上学历。</w:t>
      </w:r>
    </w:p>
    <w:p w14:paraId="49DD730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）项目副经理：1人</w:t>
      </w:r>
      <w:r>
        <w:rPr>
          <w:rFonts w:hint="eastAsia" w:ascii="宋体" w:hAnsi="宋体" w:cs="宋体"/>
          <w:color w:val="auto"/>
          <w:kern w:val="0"/>
          <w:sz w:val="21"/>
          <w:szCs w:val="21"/>
          <w:highlight w:val="none"/>
          <w:lang w:val="en-US" w:eastAsia="zh-CN" w:bidi="ar-SA"/>
        </w:rPr>
        <w:t>，具备</w:t>
      </w:r>
      <w:r>
        <w:rPr>
          <w:rFonts w:hint="eastAsia" w:ascii="宋体" w:hAnsi="宋体" w:eastAsia="宋体" w:cs="宋体"/>
          <w:color w:val="auto"/>
          <w:kern w:val="0"/>
          <w:sz w:val="21"/>
          <w:szCs w:val="21"/>
          <w:highlight w:val="none"/>
          <w:lang w:val="en-US" w:eastAsia="zh-CN" w:bidi="ar-SA"/>
        </w:rPr>
        <w:t>《全国物业管理企业经理岗位证书》（或市级及以上《物业项目经理培训合格证书》）。</w:t>
      </w:r>
    </w:p>
    <w:p w14:paraId="05C14AF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）项目</w:t>
      </w:r>
      <w:r>
        <w:rPr>
          <w:rFonts w:hint="eastAsia" w:ascii="宋体" w:hAnsi="宋体" w:cs="宋体"/>
          <w:color w:val="auto"/>
          <w:kern w:val="0"/>
          <w:sz w:val="21"/>
          <w:szCs w:val="21"/>
          <w:highlight w:val="none"/>
          <w:lang w:val="en-US" w:eastAsia="zh-CN" w:bidi="ar-SA"/>
        </w:rPr>
        <w:t>负责人（经理）</w:t>
      </w:r>
      <w:r>
        <w:rPr>
          <w:rFonts w:hint="eastAsia" w:ascii="宋体" w:hAnsi="宋体" w:eastAsia="宋体" w:cs="宋体"/>
          <w:color w:val="auto"/>
          <w:kern w:val="0"/>
          <w:sz w:val="21"/>
          <w:szCs w:val="21"/>
          <w:highlight w:val="none"/>
          <w:lang w:val="en-US" w:eastAsia="zh-CN" w:bidi="ar-SA"/>
        </w:rPr>
        <w:t>：1人，大专及以上学历，独立完成项目调研保障工作，确保接待活动有序高效开展；妥善处理项目各类突发事件，保障市民安全与公园正常运营；统筹负责标段项目日常运营管理工作，协调对接甲方及各责任部门，建立规范的日常工作台账</w:t>
      </w:r>
      <w:r>
        <w:rPr>
          <w:rFonts w:hint="eastAsia" w:ascii="宋体" w:hAnsi="宋体" w:cs="宋体"/>
          <w:color w:val="auto"/>
          <w:kern w:val="0"/>
          <w:sz w:val="21"/>
          <w:szCs w:val="21"/>
          <w:highlight w:val="none"/>
          <w:lang w:val="en-US" w:eastAsia="zh-CN" w:bidi="ar-SA"/>
        </w:rPr>
        <w:t>。</w:t>
      </w:r>
    </w:p>
    <w:p w14:paraId="33B97E2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64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综上，体育公园共需配备人员</w:t>
      </w:r>
      <w:r>
        <w:rPr>
          <w:rFonts w:hint="eastAsia" w:ascii="宋体" w:hAnsi="宋体" w:cs="宋体"/>
          <w:b/>
          <w:bCs/>
          <w:color w:val="auto"/>
          <w:kern w:val="0"/>
          <w:sz w:val="21"/>
          <w:szCs w:val="21"/>
          <w:highlight w:val="none"/>
          <w:lang w:val="en-US" w:eastAsia="zh-CN" w:bidi="ar-SA"/>
        </w:rPr>
        <w:t>不少于</w:t>
      </w:r>
      <w:r>
        <w:rPr>
          <w:rFonts w:hint="eastAsia" w:ascii="宋体" w:hAnsi="宋体" w:eastAsia="宋体" w:cs="宋体"/>
          <w:b/>
          <w:bCs/>
          <w:color w:val="auto"/>
          <w:kern w:val="0"/>
          <w:sz w:val="21"/>
          <w:szCs w:val="21"/>
          <w:highlight w:val="none"/>
          <w:lang w:val="en-US" w:eastAsia="zh-CN" w:bidi="ar-SA"/>
        </w:rPr>
        <w:t>9人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保安4人、保洁2人、文员1人、项目</w:t>
      </w:r>
      <w:r>
        <w:rPr>
          <w:rFonts w:hint="eastAsia" w:ascii="宋体" w:hAnsi="宋体" w:cs="宋体"/>
          <w:b/>
          <w:bCs/>
          <w:color w:val="auto"/>
          <w:kern w:val="0"/>
          <w:sz w:val="21"/>
          <w:szCs w:val="21"/>
          <w:highlight w:val="none"/>
          <w:lang w:val="en-US" w:eastAsia="zh-CN" w:bidi="ar-SA"/>
        </w:rPr>
        <w:t>副经理</w:t>
      </w:r>
      <w:r>
        <w:rPr>
          <w:rFonts w:hint="eastAsia" w:ascii="宋体" w:hAnsi="宋体" w:eastAsia="宋体" w:cs="宋体"/>
          <w:b/>
          <w:bCs/>
          <w:color w:val="auto"/>
          <w:kern w:val="0"/>
          <w:sz w:val="21"/>
          <w:szCs w:val="21"/>
          <w:highlight w:val="none"/>
          <w:lang w:val="en-US" w:eastAsia="zh-CN" w:bidi="ar-SA"/>
        </w:rPr>
        <w:t>1人、项目负责人（经理）1人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w:t>
      </w:r>
    </w:p>
    <w:p w14:paraId="31859EE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（二）丰收渠东侧景观带</w:t>
      </w:r>
    </w:p>
    <w:p w14:paraId="192437B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人员配备情况如下：</w:t>
      </w:r>
    </w:p>
    <w:p w14:paraId="6AA8B81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（1）保安：</w:t>
      </w:r>
      <w:r>
        <w:rPr>
          <w:rFonts w:hint="eastAsia" w:ascii="宋体" w:hAnsi="宋体" w:cs="宋体"/>
          <w:b w:val="0"/>
          <w:bCs w:val="0"/>
          <w:color w:val="auto"/>
          <w:kern w:val="0"/>
          <w:sz w:val="21"/>
          <w:szCs w:val="21"/>
          <w:highlight w:val="none"/>
          <w:lang w:val="en-US" w:eastAsia="zh-CN" w:bidi="ar-SA"/>
        </w:rPr>
        <w:t>不少于</w:t>
      </w:r>
      <w:r>
        <w:rPr>
          <w:rFonts w:hint="eastAsia" w:ascii="宋体" w:hAnsi="宋体" w:eastAsia="宋体" w:cs="宋体"/>
          <w:b w:val="0"/>
          <w:bCs w:val="0"/>
          <w:color w:val="auto"/>
          <w:kern w:val="0"/>
          <w:sz w:val="21"/>
          <w:szCs w:val="21"/>
          <w:highlight w:val="none"/>
          <w:lang w:val="en-US" w:eastAsia="zh-CN" w:bidi="ar-SA"/>
        </w:rPr>
        <w:t>5人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负责</w:t>
      </w:r>
      <w:r>
        <w:rPr>
          <w:rFonts w:hint="eastAsia" w:ascii="宋体" w:hAnsi="宋体"/>
          <w:color w:val="auto"/>
          <w:szCs w:val="21"/>
          <w:highlight w:val="none"/>
        </w:rPr>
        <w:t>本区域内</w:t>
      </w:r>
      <w:r>
        <w:rPr>
          <w:rFonts w:hint="eastAsia" w:ascii="宋体" w:hAnsi="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SA"/>
        </w:rPr>
        <w:t>秩序维护</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设施、设备的日常巡检</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工作。</w:t>
      </w:r>
    </w:p>
    <w:p w14:paraId="5473533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保洁：</w:t>
      </w:r>
      <w:r>
        <w:rPr>
          <w:rFonts w:hint="eastAsia" w:ascii="宋体" w:hAnsi="宋体" w:cs="宋体"/>
          <w:b w:val="0"/>
          <w:bCs w:val="0"/>
          <w:color w:val="auto"/>
          <w:kern w:val="0"/>
          <w:sz w:val="21"/>
          <w:szCs w:val="21"/>
          <w:highlight w:val="none"/>
          <w:lang w:val="en-US" w:eastAsia="zh-CN" w:bidi="ar-SA"/>
        </w:rPr>
        <w:t>不少于</w:t>
      </w:r>
      <w:r>
        <w:rPr>
          <w:rFonts w:hint="eastAsia" w:ascii="宋体" w:hAnsi="宋体" w:eastAsia="宋体" w:cs="宋体"/>
          <w:b w:val="0"/>
          <w:bCs w:val="0"/>
          <w:color w:val="auto"/>
          <w:kern w:val="0"/>
          <w:sz w:val="21"/>
          <w:szCs w:val="21"/>
          <w:highlight w:val="none"/>
          <w:lang w:val="en-US" w:eastAsia="zh-CN" w:bidi="ar-SA"/>
        </w:rPr>
        <w:t>3</w:t>
      </w:r>
      <w:r>
        <w:rPr>
          <w:rFonts w:hint="eastAsia" w:ascii="宋体" w:hAnsi="宋体" w:cs="宋体"/>
          <w:b w:val="0"/>
          <w:bCs w:val="0"/>
          <w:color w:val="auto"/>
          <w:kern w:val="0"/>
          <w:sz w:val="21"/>
          <w:szCs w:val="21"/>
          <w:highlight w:val="none"/>
          <w:lang w:val="en-US" w:eastAsia="zh-CN" w:bidi="ar-SA"/>
        </w:rPr>
        <w:t>人</w:t>
      </w:r>
      <w:r>
        <w:rPr>
          <w:rFonts w:hint="eastAsia" w:ascii="宋体" w:hAnsi="宋体" w:cs="宋体"/>
          <w:color w:val="auto"/>
          <w:kern w:val="0"/>
          <w:sz w:val="21"/>
          <w:szCs w:val="21"/>
          <w:highlight w:val="none"/>
          <w:lang w:val="en-US" w:eastAsia="zh-CN" w:bidi="ar-SA"/>
        </w:rPr>
        <w:t>，负责</w:t>
      </w:r>
      <w:r>
        <w:rPr>
          <w:rFonts w:hint="eastAsia" w:ascii="宋体" w:hAnsi="宋体"/>
          <w:color w:val="auto"/>
          <w:szCs w:val="21"/>
          <w:highlight w:val="none"/>
        </w:rPr>
        <w:t>本区域内的</w:t>
      </w:r>
      <w:r>
        <w:rPr>
          <w:rFonts w:hint="eastAsia" w:ascii="宋体" w:hAnsi="宋体"/>
          <w:color w:val="auto"/>
          <w:szCs w:val="21"/>
          <w:highlight w:val="none"/>
          <w:lang w:val="en-US" w:eastAsia="zh-CN"/>
        </w:rPr>
        <w:t>卫生保洁工作</w:t>
      </w:r>
      <w:r>
        <w:rPr>
          <w:rFonts w:hint="eastAsia" w:ascii="宋体" w:hAnsi="宋体"/>
          <w:color w:val="auto"/>
          <w:szCs w:val="21"/>
          <w:highlight w:val="none"/>
        </w:rPr>
        <w:t>。</w:t>
      </w:r>
    </w:p>
    <w:p w14:paraId="5A818A3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（3）项目主管：1人，</w:t>
      </w:r>
      <w:r>
        <w:rPr>
          <w:rFonts w:hint="eastAsia" w:ascii="宋体" w:hAnsi="宋体" w:cs="宋体"/>
          <w:b w:val="0"/>
          <w:bCs w:val="0"/>
          <w:color w:val="auto"/>
          <w:kern w:val="0"/>
          <w:sz w:val="21"/>
          <w:szCs w:val="21"/>
          <w:highlight w:val="none"/>
          <w:lang w:val="en-US" w:eastAsia="zh-CN" w:bidi="ar-SA"/>
        </w:rPr>
        <w:t>具备保安员</w:t>
      </w:r>
      <w:r>
        <w:rPr>
          <w:rFonts w:hint="eastAsia" w:ascii="宋体" w:hAnsi="宋体" w:eastAsia="宋体" w:cs="宋体"/>
          <w:b w:val="0"/>
          <w:bCs w:val="0"/>
          <w:color w:val="auto"/>
          <w:kern w:val="0"/>
          <w:sz w:val="21"/>
          <w:szCs w:val="21"/>
          <w:highlight w:val="none"/>
          <w:lang w:val="en-US" w:eastAsia="zh-CN" w:bidi="ar-SA"/>
        </w:rPr>
        <w:t>证。</w:t>
      </w:r>
    </w:p>
    <w:p w14:paraId="45FD9AA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综上，丰收渠沿岸东侧景观带共需配备</w:t>
      </w:r>
      <w:r>
        <w:rPr>
          <w:rFonts w:hint="eastAsia" w:ascii="宋体" w:hAnsi="宋体" w:cs="宋体"/>
          <w:b/>
          <w:bCs/>
          <w:color w:val="auto"/>
          <w:kern w:val="0"/>
          <w:sz w:val="21"/>
          <w:szCs w:val="21"/>
          <w:highlight w:val="none"/>
          <w:lang w:val="en-US" w:eastAsia="zh-CN" w:bidi="ar-SA"/>
        </w:rPr>
        <w:t>人员不少于</w:t>
      </w:r>
      <w:r>
        <w:rPr>
          <w:rFonts w:hint="eastAsia" w:ascii="宋体" w:hAnsi="宋体" w:eastAsia="宋体" w:cs="宋体"/>
          <w:b/>
          <w:bCs/>
          <w:color w:val="auto"/>
          <w:kern w:val="0"/>
          <w:sz w:val="21"/>
          <w:szCs w:val="21"/>
          <w:highlight w:val="none"/>
          <w:lang w:val="en-US" w:eastAsia="zh-CN" w:bidi="ar-SA"/>
        </w:rPr>
        <w:t>9人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保安5</w:t>
      </w:r>
      <w:r>
        <w:rPr>
          <w:rFonts w:hint="eastAsia" w:ascii="宋体" w:hAnsi="宋体" w:cs="宋体"/>
          <w:b/>
          <w:bCs/>
          <w:color w:val="auto"/>
          <w:kern w:val="0"/>
          <w:sz w:val="21"/>
          <w:szCs w:val="21"/>
          <w:highlight w:val="none"/>
          <w:lang w:val="en-US" w:eastAsia="zh-CN" w:bidi="ar-SA"/>
        </w:rPr>
        <w:t>人</w:t>
      </w:r>
      <w:r>
        <w:rPr>
          <w:rFonts w:hint="eastAsia" w:ascii="宋体" w:hAnsi="宋体" w:eastAsia="宋体" w:cs="宋体"/>
          <w:b/>
          <w:bCs/>
          <w:color w:val="auto"/>
          <w:kern w:val="0"/>
          <w:sz w:val="21"/>
          <w:szCs w:val="21"/>
          <w:highlight w:val="none"/>
          <w:lang w:val="en-US" w:eastAsia="zh-CN" w:bidi="ar-SA"/>
        </w:rPr>
        <w:t>、保洁3</w:t>
      </w:r>
      <w:r>
        <w:rPr>
          <w:rFonts w:hint="eastAsia" w:ascii="宋体" w:hAnsi="宋体" w:cs="宋体"/>
          <w:b/>
          <w:bCs/>
          <w:color w:val="auto"/>
          <w:kern w:val="0"/>
          <w:sz w:val="21"/>
          <w:szCs w:val="21"/>
          <w:highlight w:val="none"/>
          <w:lang w:val="en-US" w:eastAsia="zh-CN" w:bidi="ar-SA"/>
        </w:rPr>
        <w:t>人、</w:t>
      </w:r>
      <w:r>
        <w:rPr>
          <w:rFonts w:hint="eastAsia" w:ascii="宋体" w:hAnsi="宋体" w:eastAsia="宋体" w:cs="宋体"/>
          <w:b/>
          <w:bCs/>
          <w:color w:val="auto"/>
          <w:kern w:val="0"/>
          <w:sz w:val="21"/>
          <w:szCs w:val="21"/>
          <w:highlight w:val="none"/>
          <w:lang w:val="en-US" w:eastAsia="zh-CN" w:bidi="ar-SA"/>
        </w:rPr>
        <w:t>项目主管1名</w:t>
      </w:r>
      <w:r>
        <w:rPr>
          <w:rFonts w:hint="eastAsia" w:ascii="宋体" w:hAnsi="宋体" w:cs="宋体"/>
          <w:b/>
          <w:bCs/>
          <w:color w:val="auto"/>
          <w:kern w:val="0"/>
          <w:sz w:val="21"/>
          <w:szCs w:val="21"/>
          <w:highlight w:val="none"/>
          <w:lang w:val="en-US" w:eastAsia="zh-CN" w:bidi="ar-SA"/>
        </w:rPr>
        <w:t>）。</w:t>
      </w:r>
    </w:p>
    <w:p w14:paraId="6656F39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（三）清流河沿岸北侧景观带</w:t>
      </w:r>
    </w:p>
    <w:p w14:paraId="4D6C3BA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（1）保安：</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11人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负责</w:t>
      </w:r>
      <w:r>
        <w:rPr>
          <w:rFonts w:hint="eastAsia" w:ascii="宋体" w:hAnsi="宋体"/>
          <w:color w:val="auto"/>
          <w:szCs w:val="21"/>
          <w:highlight w:val="none"/>
        </w:rPr>
        <w:t>本区域内</w:t>
      </w:r>
      <w:r>
        <w:rPr>
          <w:rFonts w:hint="eastAsia" w:ascii="宋体" w:hAnsi="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SA"/>
        </w:rPr>
        <w:t>秩序维护</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设施、设备的日常巡检</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 xml:space="preserve">工作。 </w:t>
      </w:r>
    </w:p>
    <w:p w14:paraId="60BB6D2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保洁：</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8人</w:t>
      </w:r>
      <w:r>
        <w:rPr>
          <w:rFonts w:hint="eastAsia" w:ascii="宋体" w:hAnsi="宋体" w:cs="宋体"/>
          <w:color w:val="auto"/>
          <w:kern w:val="0"/>
          <w:sz w:val="21"/>
          <w:szCs w:val="21"/>
          <w:highlight w:val="none"/>
          <w:lang w:val="en-US" w:eastAsia="zh-CN" w:bidi="ar-SA"/>
        </w:rPr>
        <w:t>，负责</w:t>
      </w:r>
      <w:r>
        <w:rPr>
          <w:rFonts w:hint="eastAsia" w:ascii="宋体" w:hAnsi="宋体"/>
          <w:color w:val="auto"/>
          <w:szCs w:val="21"/>
          <w:highlight w:val="none"/>
        </w:rPr>
        <w:t>本区域内的</w:t>
      </w:r>
      <w:r>
        <w:rPr>
          <w:rFonts w:hint="eastAsia" w:ascii="宋体" w:hAnsi="宋体"/>
          <w:color w:val="auto"/>
          <w:szCs w:val="21"/>
          <w:highlight w:val="none"/>
          <w:lang w:val="en-US" w:eastAsia="zh-CN"/>
        </w:rPr>
        <w:t>卫生保洁工作</w:t>
      </w:r>
      <w:r>
        <w:rPr>
          <w:rFonts w:hint="eastAsia" w:ascii="宋体" w:hAnsi="宋体"/>
          <w:color w:val="auto"/>
          <w:szCs w:val="21"/>
          <w:highlight w:val="none"/>
        </w:rPr>
        <w:t>。</w:t>
      </w:r>
      <w:r>
        <w:rPr>
          <w:rFonts w:hint="eastAsia" w:ascii="宋体" w:hAnsi="宋体" w:eastAsia="宋体" w:cs="宋体"/>
          <w:color w:val="auto"/>
          <w:kern w:val="0"/>
          <w:sz w:val="21"/>
          <w:szCs w:val="21"/>
          <w:highlight w:val="none"/>
          <w:lang w:val="en-US" w:eastAsia="zh-CN" w:bidi="ar-SA"/>
        </w:rPr>
        <w:t>其中2名须为男性，水性好、专门负责沿河景观带保洁和机械设备的日常操作。</w:t>
      </w:r>
    </w:p>
    <w:p w14:paraId="7504201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（3）项目主管：1人</w:t>
      </w: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具备保安员</w:t>
      </w:r>
      <w:r>
        <w:rPr>
          <w:rFonts w:hint="eastAsia" w:ascii="宋体" w:hAnsi="宋体" w:eastAsia="宋体" w:cs="宋体"/>
          <w:b w:val="0"/>
          <w:bCs w:val="0"/>
          <w:color w:val="auto"/>
          <w:kern w:val="0"/>
          <w:sz w:val="21"/>
          <w:szCs w:val="21"/>
          <w:highlight w:val="none"/>
          <w:lang w:val="en-US" w:eastAsia="zh-CN" w:bidi="ar-SA"/>
        </w:rPr>
        <w:t>证</w:t>
      </w:r>
      <w:r>
        <w:rPr>
          <w:rFonts w:hint="eastAsia" w:ascii="宋体" w:hAnsi="宋体" w:eastAsia="宋体" w:cs="宋体"/>
          <w:color w:val="auto"/>
          <w:kern w:val="0"/>
          <w:sz w:val="21"/>
          <w:szCs w:val="21"/>
          <w:highlight w:val="none"/>
          <w:lang w:val="en-US" w:eastAsia="zh-CN" w:bidi="ar-SA"/>
        </w:rPr>
        <w:t>。</w:t>
      </w:r>
    </w:p>
    <w:p w14:paraId="64C0BAB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（4）项目副经理：1人，具备《全国物业管理企业经理岗位证书》（或市级及以上《物业项目经理培训合格证书》）。</w:t>
      </w:r>
    </w:p>
    <w:p w14:paraId="7BE62AC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综上，清流河沿岸北侧景观带共需配备人员</w:t>
      </w:r>
      <w:r>
        <w:rPr>
          <w:rFonts w:hint="eastAsia" w:ascii="宋体" w:hAnsi="宋体" w:cs="宋体"/>
          <w:b/>
          <w:bCs/>
          <w:color w:val="auto"/>
          <w:kern w:val="0"/>
          <w:sz w:val="21"/>
          <w:szCs w:val="21"/>
          <w:highlight w:val="none"/>
          <w:lang w:val="en-US" w:eastAsia="zh-CN" w:bidi="ar-SA"/>
        </w:rPr>
        <w:t>不少于</w:t>
      </w:r>
      <w:r>
        <w:rPr>
          <w:rFonts w:hint="eastAsia" w:ascii="宋体" w:hAnsi="宋体" w:eastAsia="宋体" w:cs="宋体"/>
          <w:b/>
          <w:bCs/>
          <w:color w:val="auto"/>
          <w:kern w:val="0"/>
          <w:sz w:val="21"/>
          <w:szCs w:val="21"/>
          <w:highlight w:val="none"/>
          <w:lang w:val="en-US" w:eastAsia="zh-CN" w:bidi="ar-SA"/>
        </w:rPr>
        <w:t>21人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保安11人、保洁8人、项目主管1人、项目副经理1人。</w:t>
      </w:r>
      <w:r>
        <w:rPr>
          <w:rFonts w:hint="eastAsia" w:ascii="宋体" w:hAnsi="宋体" w:cs="宋体"/>
          <w:b/>
          <w:bCs/>
          <w:color w:val="auto"/>
          <w:kern w:val="0"/>
          <w:sz w:val="21"/>
          <w:szCs w:val="21"/>
          <w:highlight w:val="none"/>
          <w:lang w:val="en-US" w:eastAsia="zh-CN" w:bidi="ar-SA"/>
        </w:rPr>
        <w:t>）</w:t>
      </w:r>
    </w:p>
    <w:p w14:paraId="0D9E69A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徽州路滨水景观带</w:t>
      </w:r>
    </w:p>
    <w:p w14:paraId="0CFA28C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（1）保安：</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1人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负责</w:t>
      </w:r>
      <w:r>
        <w:rPr>
          <w:rFonts w:hint="eastAsia" w:ascii="宋体" w:hAnsi="宋体"/>
          <w:color w:val="auto"/>
          <w:szCs w:val="21"/>
          <w:highlight w:val="none"/>
        </w:rPr>
        <w:t>本区域内</w:t>
      </w:r>
      <w:r>
        <w:rPr>
          <w:rFonts w:hint="eastAsia" w:ascii="宋体" w:hAnsi="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SA"/>
        </w:rPr>
        <w:t>秩序维护</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设施、设备的日常巡检</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工作。</w:t>
      </w:r>
    </w:p>
    <w:p w14:paraId="416ADE9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bidi="ar-SA"/>
        </w:rPr>
        <w:t>（2）保洁：</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人，负责</w:t>
      </w:r>
      <w:r>
        <w:rPr>
          <w:rFonts w:hint="eastAsia" w:ascii="宋体" w:hAnsi="宋体"/>
          <w:color w:val="auto"/>
          <w:szCs w:val="21"/>
          <w:highlight w:val="none"/>
        </w:rPr>
        <w:t>本区域内的</w:t>
      </w:r>
      <w:r>
        <w:rPr>
          <w:rFonts w:hint="eastAsia" w:ascii="宋体" w:hAnsi="宋体"/>
          <w:color w:val="auto"/>
          <w:szCs w:val="21"/>
          <w:highlight w:val="none"/>
          <w:lang w:val="en-US" w:eastAsia="zh-CN"/>
        </w:rPr>
        <w:t>卫生保洁工作</w:t>
      </w:r>
      <w:r>
        <w:rPr>
          <w:rFonts w:hint="eastAsia" w:ascii="宋体" w:hAnsi="宋体"/>
          <w:color w:val="auto"/>
          <w:szCs w:val="21"/>
          <w:highlight w:val="none"/>
        </w:rPr>
        <w:t>。</w:t>
      </w:r>
    </w:p>
    <w:p w14:paraId="63050D5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综上，徽州路滨水景观带共需配备人员</w:t>
      </w:r>
      <w:r>
        <w:rPr>
          <w:rFonts w:hint="eastAsia" w:ascii="宋体" w:hAnsi="宋体" w:cs="宋体"/>
          <w:b/>
          <w:bCs/>
          <w:color w:val="auto"/>
          <w:kern w:val="0"/>
          <w:sz w:val="21"/>
          <w:szCs w:val="21"/>
          <w:highlight w:val="none"/>
          <w:lang w:val="en-US" w:eastAsia="zh-CN" w:bidi="ar-SA"/>
        </w:rPr>
        <w:t>不少于</w:t>
      </w:r>
      <w:r>
        <w:rPr>
          <w:rFonts w:hint="eastAsia" w:ascii="宋体" w:hAnsi="宋体" w:eastAsia="宋体" w:cs="宋体"/>
          <w:b/>
          <w:bCs/>
          <w:color w:val="auto"/>
          <w:kern w:val="0"/>
          <w:sz w:val="21"/>
          <w:szCs w:val="21"/>
          <w:highlight w:val="none"/>
          <w:lang w:val="en-US" w:eastAsia="zh-CN" w:bidi="ar-SA"/>
        </w:rPr>
        <w:t>2人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保安1人、保洁1人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w:t>
      </w:r>
    </w:p>
    <w:p w14:paraId="29FE80A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综上所述，一标段共需配备人员不少于41人（保安21人、保洁14人、文员1人、项目主管2人、项目副经理2人、项目负责人（经理）1人）；中标单位确定后，体育公园项目相关人员须即刻进场开展工作，确保项目正常运转；其他项目需待上一年度合同期限届满（合同期截止至2026.4.30）后招标人发出进场通知后方可进场履职。</w:t>
      </w:r>
    </w:p>
    <w:p w14:paraId="15D11CA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default"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三、设备配置</w:t>
      </w:r>
    </w:p>
    <w:p w14:paraId="7B1DA6C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（一）机械设备</w:t>
      </w:r>
    </w:p>
    <w:p w14:paraId="0D502E5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1.巡逻电瓶车：</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14辆；</w:t>
      </w:r>
    </w:p>
    <w:p w14:paraId="67D55D6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2.保洁工具车：</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6辆；</w:t>
      </w:r>
    </w:p>
    <w:p w14:paraId="6F27D5F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3.油污冲洗车：</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3辆；</w:t>
      </w:r>
    </w:p>
    <w:p w14:paraId="19148F1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4.扫地车：</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1辆；</w:t>
      </w:r>
    </w:p>
    <w:p w14:paraId="59434EF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5.鼓风机：</w:t>
      </w:r>
      <w:r>
        <w:rPr>
          <w:rFonts w:hint="eastAsia" w:ascii="宋体" w:hAnsi="宋体" w:cs="宋体"/>
          <w:color w:val="auto"/>
          <w:kern w:val="0"/>
          <w:sz w:val="21"/>
          <w:szCs w:val="21"/>
          <w:highlight w:val="none"/>
          <w:lang w:val="en-US" w:eastAsia="zh-CN" w:bidi="ar-SA"/>
        </w:rPr>
        <w:t>不少于8</w:t>
      </w:r>
      <w:r>
        <w:rPr>
          <w:rFonts w:hint="eastAsia" w:ascii="宋体" w:hAnsi="宋体" w:eastAsia="宋体" w:cs="宋体"/>
          <w:color w:val="auto"/>
          <w:kern w:val="0"/>
          <w:sz w:val="21"/>
          <w:szCs w:val="21"/>
          <w:highlight w:val="none"/>
          <w:lang w:val="en-US" w:eastAsia="zh-CN" w:bidi="ar-SA"/>
        </w:rPr>
        <w:t>台。</w:t>
      </w:r>
    </w:p>
    <w:p w14:paraId="02495D2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上述所有机械设备必须</w:t>
      </w:r>
      <w:r>
        <w:rPr>
          <w:rFonts w:hint="eastAsia" w:ascii="宋体" w:hAnsi="宋体" w:cs="宋体"/>
          <w:color w:val="auto"/>
          <w:kern w:val="0"/>
          <w:sz w:val="21"/>
          <w:szCs w:val="21"/>
          <w:highlight w:val="none"/>
          <w:lang w:val="en-US" w:eastAsia="zh-CN" w:bidi="ar-SA"/>
        </w:rPr>
        <w:t>在进场后7日内完成配置，并提供购置证明</w:t>
      </w:r>
      <w:r>
        <w:rPr>
          <w:rFonts w:hint="eastAsia" w:ascii="宋体" w:hAnsi="宋体" w:eastAsia="宋体" w:cs="宋体"/>
          <w:color w:val="auto"/>
          <w:kern w:val="0"/>
          <w:sz w:val="21"/>
          <w:szCs w:val="21"/>
          <w:highlight w:val="none"/>
          <w:lang w:val="en-US" w:eastAsia="zh-CN" w:bidi="ar-SA"/>
        </w:rPr>
        <w:t>，合同期内由中标单位负责日常维修、保养等工作，待合同期满后设备所有权无偿转让给招标人。</w:t>
      </w:r>
    </w:p>
    <w:p w14:paraId="7C63286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（二）其他</w:t>
      </w:r>
      <w:r>
        <w:rPr>
          <w:rFonts w:hint="eastAsia" w:ascii="宋体" w:hAnsi="宋体" w:cs="宋体"/>
          <w:b/>
          <w:bCs/>
          <w:color w:val="auto"/>
          <w:kern w:val="0"/>
          <w:sz w:val="21"/>
          <w:szCs w:val="21"/>
          <w:highlight w:val="none"/>
          <w:lang w:val="en-US" w:eastAsia="zh-CN" w:bidi="ar-SA"/>
        </w:rPr>
        <w:t>内容</w:t>
      </w:r>
    </w:p>
    <w:p w14:paraId="2689EC0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1.公园、景观带病媒防治；</w:t>
      </w:r>
    </w:p>
    <w:p w14:paraId="00DAB2F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bidi="ar-SA"/>
        </w:rPr>
        <w:t>防溺水</w:t>
      </w:r>
      <w:r>
        <w:rPr>
          <w:rFonts w:hint="eastAsia" w:ascii="宋体" w:hAnsi="宋体" w:eastAsia="宋体" w:cs="宋体"/>
          <w:color w:val="auto"/>
          <w:kern w:val="0"/>
          <w:sz w:val="21"/>
          <w:szCs w:val="21"/>
          <w:highlight w:val="none"/>
          <w:lang w:val="en-US" w:eastAsia="zh-CN" w:bidi="ar-SA"/>
        </w:rPr>
        <w:t>“四救”设施</w:t>
      </w:r>
      <w:r>
        <w:rPr>
          <w:rFonts w:hint="eastAsia" w:ascii="宋体" w:hAnsi="宋体" w:cs="宋体"/>
          <w:color w:val="auto"/>
          <w:kern w:val="0"/>
          <w:sz w:val="21"/>
          <w:szCs w:val="21"/>
          <w:highlight w:val="none"/>
          <w:lang w:val="en-US" w:eastAsia="zh-CN" w:bidi="ar-SA"/>
        </w:rPr>
        <w:t>维护、更换</w:t>
      </w:r>
      <w:r>
        <w:rPr>
          <w:rFonts w:hint="eastAsia" w:ascii="宋体" w:hAnsi="宋体" w:eastAsia="宋体" w:cs="宋体"/>
          <w:color w:val="auto"/>
          <w:kern w:val="0"/>
          <w:sz w:val="21"/>
          <w:szCs w:val="21"/>
          <w:highlight w:val="none"/>
          <w:lang w:val="en-US" w:eastAsia="zh-CN" w:bidi="ar-SA"/>
        </w:rPr>
        <w:t>；</w:t>
      </w:r>
    </w:p>
    <w:p w14:paraId="7A5408D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3.化粪池清理</w:t>
      </w:r>
      <w:r>
        <w:rPr>
          <w:rFonts w:hint="eastAsia" w:ascii="宋体" w:hAnsi="宋体" w:cs="宋体"/>
          <w:color w:val="auto"/>
          <w:kern w:val="0"/>
          <w:sz w:val="21"/>
          <w:szCs w:val="21"/>
          <w:highlight w:val="none"/>
          <w:lang w:val="en-US" w:eastAsia="zh-CN" w:bidi="ar-SA"/>
        </w:rPr>
        <w:t>；</w:t>
      </w:r>
    </w:p>
    <w:p w14:paraId="41BA4BC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color w:val="auto"/>
          <w:highlight w:val="none"/>
          <w:lang w:val="en-US" w:eastAsia="zh-CN"/>
        </w:rPr>
      </w:pPr>
      <w:r>
        <w:rPr>
          <w:rFonts w:hint="eastAsia" w:ascii="宋体" w:hAnsi="宋体" w:cs="宋体"/>
          <w:color w:val="auto"/>
          <w:kern w:val="0"/>
          <w:sz w:val="21"/>
          <w:szCs w:val="21"/>
          <w:highlight w:val="none"/>
          <w:lang w:val="en-US" w:eastAsia="zh-CN" w:bidi="ar-SA"/>
        </w:rPr>
        <w:t>4.群众性文体活动的人员配合（由招标人按实际人数据实结算）。</w:t>
      </w:r>
    </w:p>
    <w:p w14:paraId="7FBE53B2">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right="0" w:rightChars="0"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二标段：涵盖2座开放式市民公园及1处停车场，总占地面积达32.7万平方米，分别为鱼尾狮公园、时代公园（含3号停车场）。</w:t>
      </w:r>
    </w:p>
    <w:p w14:paraId="5D2E4B5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一、项目概况</w:t>
      </w:r>
    </w:p>
    <w:p w14:paraId="3B5B1FA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（一）鱼尾狮公园</w:t>
      </w:r>
    </w:p>
    <w:p w14:paraId="4E7D5F5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鱼尾狮公园位于中新苏滁高新区中新大道、徽州路、双城路、杭州路合围区域，由原獾子坝水库改造而成。公园总占地面积</w:t>
      </w:r>
      <w:r>
        <w:rPr>
          <w:rFonts w:hint="eastAsia" w:ascii="宋体" w:hAnsi="宋体" w:cs="宋体"/>
          <w:color w:val="auto"/>
          <w:kern w:val="0"/>
          <w:sz w:val="21"/>
          <w:szCs w:val="21"/>
          <w:highlight w:val="none"/>
          <w:lang w:val="en-US" w:eastAsia="zh-CN" w:bidi="ar-SA"/>
        </w:rPr>
        <w:t>约</w:t>
      </w:r>
      <w:r>
        <w:rPr>
          <w:rFonts w:hint="eastAsia" w:ascii="宋体" w:hAnsi="宋体" w:eastAsia="宋体" w:cs="宋体"/>
          <w:color w:val="auto"/>
          <w:kern w:val="0"/>
          <w:sz w:val="21"/>
          <w:szCs w:val="21"/>
          <w:highlight w:val="none"/>
          <w:lang w:val="en-US" w:eastAsia="zh-CN" w:bidi="ar-SA"/>
        </w:rPr>
        <w:t>31万平方米，其中水域面积约13万平方米，公共厕所2座、志愿者服务岗亭1座、建设用房2处、公共停车场3处、儿童乐园2处，园路约1.6公里。</w:t>
      </w:r>
    </w:p>
    <w:p w14:paraId="396C35D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（二）时代公园（含三号停车场）</w:t>
      </w:r>
    </w:p>
    <w:p w14:paraId="10B1688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时代公园位于中新苏滁高新区双城路与杭州路交口东南侧，公园总占地面积</w:t>
      </w:r>
      <w:r>
        <w:rPr>
          <w:rFonts w:hint="eastAsia" w:ascii="宋体" w:hAnsi="宋体" w:cs="宋体"/>
          <w:color w:val="auto"/>
          <w:kern w:val="0"/>
          <w:sz w:val="21"/>
          <w:szCs w:val="21"/>
          <w:highlight w:val="none"/>
          <w:lang w:val="en-US" w:eastAsia="zh-CN" w:bidi="ar-SA"/>
        </w:rPr>
        <w:t>约</w:t>
      </w:r>
      <w:r>
        <w:rPr>
          <w:rFonts w:hint="eastAsia" w:ascii="宋体" w:hAnsi="宋体" w:eastAsia="宋体" w:cs="宋体"/>
          <w:color w:val="auto"/>
          <w:kern w:val="0"/>
          <w:sz w:val="21"/>
          <w:szCs w:val="21"/>
          <w:highlight w:val="none"/>
          <w:lang w:val="en-US" w:eastAsia="zh-CN" w:bidi="ar-SA"/>
        </w:rPr>
        <w:t>1.7万平方米，公园设有公共停车场1处及三层办公楼1栋。</w:t>
      </w:r>
    </w:p>
    <w:p w14:paraId="14933A5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二、人员配备及要求</w:t>
      </w:r>
    </w:p>
    <w:p w14:paraId="714BB53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一</w:t>
      </w:r>
      <w:r>
        <w:rPr>
          <w:rFonts w:hint="eastAsia" w:ascii="宋体" w:hAnsi="宋体" w:eastAsia="宋体" w:cs="宋体"/>
          <w:b/>
          <w:bCs/>
          <w:color w:val="auto"/>
          <w:kern w:val="0"/>
          <w:sz w:val="21"/>
          <w:szCs w:val="21"/>
          <w:highlight w:val="none"/>
          <w:lang w:val="en-US" w:eastAsia="zh-CN" w:bidi="ar-SA"/>
        </w:rPr>
        <w:t>）鱼尾狮公园</w:t>
      </w:r>
    </w:p>
    <w:p w14:paraId="2A5FD99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（1）保安：</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13人，负责</w:t>
      </w:r>
      <w:r>
        <w:rPr>
          <w:rFonts w:hint="eastAsia" w:ascii="宋体" w:hAnsi="宋体"/>
          <w:color w:val="auto"/>
          <w:szCs w:val="21"/>
          <w:highlight w:val="none"/>
        </w:rPr>
        <w:t>本区域内</w:t>
      </w:r>
      <w:r>
        <w:rPr>
          <w:rFonts w:hint="eastAsia" w:ascii="宋体" w:hAnsi="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SA"/>
        </w:rPr>
        <w:t>秩序维护</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设施、设备的日常巡检</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工作。</w:t>
      </w:r>
    </w:p>
    <w:p w14:paraId="3A7ED55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（2）保洁：</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8人。</w:t>
      </w:r>
      <w:r>
        <w:rPr>
          <w:rFonts w:hint="eastAsia" w:ascii="宋体" w:hAnsi="宋体" w:cs="宋体"/>
          <w:color w:val="auto"/>
          <w:kern w:val="0"/>
          <w:sz w:val="21"/>
          <w:szCs w:val="21"/>
          <w:highlight w:val="none"/>
          <w:lang w:val="en-US" w:eastAsia="zh-CN" w:bidi="ar-SA"/>
        </w:rPr>
        <w:t>负责</w:t>
      </w:r>
      <w:r>
        <w:rPr>
          <w:rFonts w:hint="eastAsia" w:ascii="宋体" w:hAnsi="宋体"/>
          <w:color w:val="auto"/>
          <w:szCs w:val="21"/>
          <w:highlight w:val="none"/>
        </w:rPr>
        <w:t>本区域内的</w:t>
      </w:r>
      <w:r>
        <w:rPr>
          <w:rFonts w:hint="eastAsia" w:ascii="宋体" w:hAnsi="宋体"/>
          <w:color w:val="auto"/>
          <w:szCs w:val="21"/>
          <w:highlight w:val="none"/>
          <w:lang w:val="en-US" w:eastAsia="zh-CN"/>
        </w:rPr>
        <w:t>卫生保洁工作</w:t>
      </w:r>
      <w:r>
        <w:rPr>
          <w:rFonts w:hint="eastAsia" w:ascii="宋体" w:hAnsi="宋体" w:cs="宋体"/>
          <w:color w:val="auto"/>
          <w:kern w:val="0"/>
          <w:sz w:val="21"/>
          <w:szCs w:val="21"/>
          <w:highlight w:val="none"/>
          <w:lang w:val="en-US" w:eastAsia="zh-CN" w:bidi="ar-SA"/>
        </w:rPr>
        <w:t>（其中2名</w:t>
      </w:r>
      <w:r>
        <w:rPr>
          <w:rFonts w:hint="eastAsia" w:ascii="宋体" w:hAnsi="宋体" w:eastAsia="宋体" w:cs="宋体"/>
          <w:color w:val="auto"/>
          <w:kern w:val="0"/>
          <w:sz w:val="21"/>
          <w:szCs w:val="21"/>
          <w:highlight w:val="none"/>
          <w:lang w:val="en-US" w:eastAsia="zh-CN" w:bidi="ar-SA"/>
        </w:rPr>
        <w:t>男性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水性好、专门负责公园水面保洁和机械设备的日常操作</w:t>
      </w:r>
      <w:r>
        <w:rPr>
          <w:rFonts w:hint="eastAsia" w:ascii="宋体" w:hAnsi="宋体" w:cs="宋体"/>
          <w:color w:val="auto"/>
          <w:kern w:val="0"/>
          <w:sz w:val="21"/>
          <w:szCs w:val="21"/>
          <w:highlight w:val="none"/>
          <w:lang w:val="en-US" w:eastAsia="zh-CN" w:bidi="ar-SA"/>
        </w:rPr>
        <w:t>）</w:t>
      </w:r>
      <w:r>
        <w:rPr>
          <w:rFonts w:hint="eastAsia" w:ascii="宋体" w:hAnsi="宋体"/>
          <w:color w:val="auto"/>
          <w:szCs w:val="21"/>
          <w:highlight w:val="none"/>
        </w:rPr>
        <w:t>。</w:t>
      </w:r>
    </w:p>
    <w:p w14:paraId="038A7C2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（3）文员：1人，负责标段内项目资料</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女性，大专及以上学历</w:t>
      </w:r>
      <w:r>
        <w:rPr>
          <w:rFonts w:hint="eastAsia" w:ascii="宋体" w:hAnsi="宋体" w:cs="宋体"/>
          <w:color w:val="auto"/>
          <w:kern w:val="0"/>
          <w:sz w:val="21"/>
          <w:szCs w:val="21"/>
          <w:highlight w:val="none"/>
          <w:lang w:val="en-US" w:eastAsia="zh-CN" w:bidi="ar-SA"/>
        </w:rPr>
        <w:t>。</w:t>
      </w:r>
    </w:p>
    <w:p w14:paraId="6138008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（4）项目主管：1人，具备保安员证。</w:t>
      </w:r>
    </w:p>
    <w:p w14:paraId="50A7E9A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（5）项目副经理：1人，</w:t>
      </w:r>
      <w:r>
        <w:rPr>
          <w:rFonts w:hint="eastAsia" w:ascii="宋体" w:hAnsi="宋体" w:cs="宋体"/>
          <w:color w:val="auto"/>
          <w:kern w:val="0"/>
          <w:sz w:val="21"/>
          <w:szCs w:val="21"/>
          <w:highlight w:val="none"/>
          <w:lang w:val="en-US" w:eastAsia="zh-CN" w:bidi="ar-SA"/>
        </w:rPr>
        <w:t>具备</w:t>
      </w:r>
      <w:r>
        <w:rPr>
          <w:rFonts w:hint="eastAsia" w:ascii="宋体" w:hAnsi="宋体" w:eastAsia="宋体" w:cs="宋体"/>
          <w:color w:val="auto"/>
          <w:kern w:val="0"/>
          <w:sz w:val="21"/>
          <w:szCs w:val="21"/>
          <w:highlight w:val="none"/>
          <w:lang w:val="en-US" w:eastAsia="zh-CN" w:bidi="ar-SA"/>
        </w:rPr>
        <w:t>《全国物业管理企业经理岗位证书》（或市级及以上《物业项目经理培训合格证书》）。</w:t>
      </w:r>
    </w:p>
    <w:p w14:paraId="719F8C1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（6）项目</w:t>
      </w:r>
      <w:r>
        <w:rPr>
          <w:rFonts w:hint="eastAsia" w:ascii="宋体" w:hAnsi="宋体" w:cs="宋体"/>
          <w:color w:val="auto"/>
          <w:kern w:val="0"/>
          <w:sz w:val="21"/>
          <w:szCs w:val="21"/>
          <w:highlight w:val="none"/>
          <w:lang w:val="en-US" w:eastAsia="zh-CN" w:bidi="ar-SA"/>
        </w:rPr>
        <w:t>负责人（经理）</w:t>
      </w:r>
      <w:r>
        <w:rPr>
          <w:rFonts w:hint="eastAsia" w:ascii="宋体" w:hAnsi="宋体" w:eastAsia="宋体" w:cs="宋体"/>
          <w:color w:val="auto"/>
          <w:kern w:val="0"/>
          <w:sz w:val="21"/>
          <w:szCs w:val="21"/>
          <w:highlight w:val="none"/>
          <w:lang w:val="en-US" w:eastAsia="zh-CN" w:bidi="ar-SA"/>
        </w:rPr>
        <w:t>：1人，大专及以上学历，独立完成项目调研保障工作，确保接待活动有序高效开展；妥善处理项目各类突发事件，保障市民安全与公园正常运营；统筹负责标段项目日常运营管理工作，协调对接甲方及各责任部门，建立规范的日常工作台账</w:t>
      </w:r>
      <w:r>
        <w:rPr>
          <w:rFonts w:hint="eastAsia" w:ascii="宋体" w:hAnsi="宋体" w:cs="宋体"/>
          <w:color w:val="auto"/>
          <w:kern w:val="0"/>
          <w:sz w:val="21"/>
          <w:szCs w:val="21"/>
          <w:highlight w:val="none"/>
          <w:lang w:val="en-US" w:eastAsia="zh-CN" w:bidi="ar-SA"/>
        </w:rPr>
        <w:t>。</w:t>
      </w:r>
    </w:p>
    <w:p w14:paraId="19C3EAA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综上，鱼尾狮公园共需配备人员</w:t>
      </w:r>
      <w:r>
        <w:rPr>
          <w:rFonts w:hint="eastAsia" w:ascii="宋体" w:hAnsi="宋体" w:cs="宋体"/>
          <w:b/>
          <w:bCs/>
          <w:color w:val="auto"/>
          <w:kern w:val="0"/>
          <w:sz w:val="21"/>
          <w:szCs w:val="21"/>
          <w:highlight w:val="none"/>
          <w:lang w:val="en-US" w:eastAsia="zh-CN" w:bidi="ar-SA"/>
        </w:rPr>
        <w:t>不少于25</w:t>
      </w:r>
      <w:r>
        <w:rPr>
          <w:rFonts w:hint="eastAsia" w:ascii="宋体" w:hAnsi="宋体" w:eastAsia="宋体" w:cs="宋体"/>
          <w:b/>
          <w:bCs/>
          <w:color w:val="auto"/>
          <w:kern w:val="0"/>
          <w:sz w:val="21"/>
          <w:szCs w:val="21"/>
          <w:highlight w:val="none"/>
          <w:lang w:val="en-US" w:eastAsia="zh-CN" w:bidi="ar-SA"/>
        </w:rPr>
        <w:t>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保安13人、保洁8人、文员1人、项目主管1人、项目副经理1人、项目</w:t>
      </w:r>
      <w:r>
        <w:rPr>
          <w:rFonts w:hint="eastAsia" w:ascii="宋体" w:hAnsi="宋体" w:cs="宋体"/>
          <w:b/>
          <w:bCs/>
          <w:color w:val="auto"/>
          <w:kern w:val="0"/>
          <w:sz w:val="21"/>
          <w:szCs w:val="21"/>
          <w:highlight w:val="none"/>
          <w:lang w:val="en-US" w:eastAsia="zh-CN" w:bidi="ar-SA"/>
        </w:rPr>
        <w:t>负责人（经理）</w:t>
      </w:r>
      <w:r>
        <w:rPr>
          <w:rFonts w:hint="eastAsia" w:ascii="宋体" w:hAnsi="宋体" w:eastAsia="宋体" w:cs="宋体"/>
          <w:b/>
          <w:bCs/>
          <w:color w:val="auto"/>
          <w:kern w:val="0"/>
          <w:sz w:val="21"/>
          <w:szCs w:val="21"/>
          <w:highlight w:val="none"/>
          <w:lang w:val="en-US" w:eastAsia="zh-CN" w:bidi="ar-SA"/>
        </w:rPr>
        <w:t>1人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w:t>
      </w:r>
    </w:p>
    <w:p w14:paraId="3DC7282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）时代公园（含3号停车场）</w:t>
      </w:r>
    </w:p>
    <w:p w14:paraId="407C03E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（1）保安：</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4人，负责</w:t>
      </w:r>
      <w:r>
        <w:rPr>
          <w:rFonts w:hint="eastAsia" w:ascii="宋体" w:hAnsi="宋体"/>
          <w:color w:val="auto"/>
          <w:szCs w:val="21"/>
          <w:highlight w:val="none"/>
        </w:rPr>
        <w:t>本区域内</w:t>
      </w:r>
      <w:r>
        <w:rPr>
          <w:rFonts w:hint="eastAsia" w:ascii="宋体" w:hAnsi="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SA"/>
        </w:rPr>
        <w:t>秩序维护</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设施、设备的日常巡检</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工作。</w:t>
      </w:r>
    </w:p>
    <w:p w14:paraId="1FF0943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（2）保洁：</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2人。</w:t>
      </w:r>
      <w:r>
        <w:rPr>
          <w:rFonts w:hint="eastAsia" w:ascii="宋体" w:hAnsi="宋体" w:cs="宋体"/>
          <w:color w:val="auto"/>
          <w:kern w:val="0"/>
          <w:sz w:val="21"/>
          <w:szCs w:val="21"/>
          <w:highlight w:val="none"/>
          <w:lang w:val="en-US" w:eastAsia="zh-CN" w:bidi="ar-SA"/>
        </w:rPr>
        <w:t>负责</w:t>
      </w:r>
      <w:r>
        <w:rPr>
          <w:rFonts w:hint="eastAsia" w:ascii="宋体" w:hAnsi="宋体"/>
          <w:color w:val="auto"/>
          <w:szCs w:val="21"/>
          <w:highlight w:val="none"/>
        </w:rPr>
        <w:t>本区域内的</w:t>
      </w:r>
      <w:r>
        <w:rPr>
          <w:rFonts w:hint="eastAsia" w:ascii="宋体" w:hAnsi="宋体"/>
          <w:color w:val="auto"/>
          <w:szCs w:val="21"/>
          <w:highlight w:val="none"/>
          <w:lang w:val="en-US" w:eastAsia="zh-CN"/>
        </w:rPr>
        <w:t>卫生保洁工作</w:t>
      </w:r>
      <w:r>
        <w:rPr>
          <w:rFonts w:hint="eastAsia" w:ascii="宋体" w:hAnsi="宋体"/>
          <w:color w:val="auto"/>
          <w:szCs w:val="21"/>
          <w:highlight w:val="none"/>
        </w:rPr>
        <w:t>。</w:t>
      </w:r>
    </w:p>
    <w:p w14:paraId="2BF6316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（3）项目主管：1人，具备保安员证。</w:t>
      </w:r>
    </w:p>
    <w:p w14:paraId="66E9317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（4）项目副经理：1人，</w:t>
      </w:r>
      <w:r>
        <w:rPr>
          <w:rFonts w:hint="eastAsia" w:ascii="宋体" w:hAnsi="宋体" w:cs="宋体"/>
          <w:color w:val="auto"/>
          <w:kern w:val="0"/>
          <w:sz w:val="21"/>
          <w:szCs w:val="21"/>
          <w:highlight w:val="none"/>
          <w:lang w:val="en-US" w:eastAsia="zh-CN" w:bidi="ar-SA"/>
        </w:rPr>
        <w:t>具备</w:t>
      </w:r>
      <w:r>
        <w:rPr>
          <w:rFonts w:hint="eastAsia" w:ascii="宋体" w:hAnsi="宋体" w:eastAsia="宋体" w:cs="宋体"/>
          <w:color w:val="auto"/>
          <w:kern w:val="0"/>
          <w:sz w:val="21"/>
          <w:szCs w:val="21"/>
          <w:highlight w:val="none"/>
          <w:lang w:val="en-US" w:eastAsia="zh-CN" w:bidi="ar-SA"/>
        </w:rPr>
        <w:t>《全国物业管理企业经理岗位证书》（或市级及以上《物业项目经理培训合格证书》）。</w:t>
      </w:r>
    </w:p>
    <w:p w14:paraId="30B2F13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综上，时代公园（含3号停车场）共需配备人员</w:t>
      </w:r>
      <w:r>
        <w:rPr>
          <w:rFonts w:hint="eastAsia" w:ascii="宋体" w:hAnsi="宋体" w:cs="宋体"/>
          <w:b/>
          <w:bCs/>
          <w:color w:val="auto"/>
          <w:kern w:val="0"/>
          <w:sz w:val="21"/>
          <w:szCs w:val="21"/>
          <w:highlight w:val="none"/>
          <w:lang w:val="en-US" w:eastAsia="zh-CN" w:bidi="ar-SA"/>
        </w:rPr>
        <w:t>不少于8</w:t>
      </w:r>
      <w:r>
        <w:rPr>
          <w:rFonts w:hint="eastAsia" w:ascii="宋体" w:hAnsi="宋体" w:eastAsia="宋体" w:cs="宋体"/>
          <w:b/>
          <w:bCs/>
          <w:color w:val="auto"/>
          <w:kern w:val="0"/>
          <w:sz w:val="21"/>
          <w:szCs w:val="21"/>
          <w:highlight w:val="none"/>
          <w:lang w:val="en-US" w:eastAsia="zh-CN" w:bidi="ar-SA"/>
        </w:rPr>
        <w:t>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保安4人、保洁2人、项目主管1人、项目副经理1人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w:t>
      </w:r>
    </w:p>
    <w:p w14:paraId="732F163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综上所述，</w:t>
      </w:r>
      <w:r>
        <w:rPr>
          <w:rFonts w:hint="eastAsia" w:ascii="宋体" w:hAnsi="宋体" w:cs="宋体"/>
          <w:b/>
          <w:bCs/>
          <w:color w:val="auto"/>
          <w:kern w:val="0"/>
          <w:sz w:val="21"/>
          <w:szCs w:val="21"/>
          <w:highlight w:val="none"/>
          <w:lang w:val="en-US" w:eastAsia="zh-CN" w:bidi="ar-SA"/>
        </w:rPr>
        <w:t>二标段</w:t>
      </w:r>
      <w:r>
        <w:rPr>
          <w:rFonts w:hint="eastAsia" w:ascii="宋体" w:hAnsi="宋体" w:eastAsia="宋体" w:cs="宋体"/>
          <w:b/>
          <w:bCs/>
          <w:color w:val="auto"/>
          <w:kern w:val="0"/>
          <w:sz w:val="21"/>
          <w:szCs w:val="21"/>
          <w:highlight w:val="none"/>
          <w:lang w:val="en-US" w:eastAsia="zh-CN" w:bidi="ar-SA"/>
        </w:rPr>
        <w:t>共需配备</w:t>
      </w:r>
      <w:r>
        <w:rPr>
          <w:rFonts w:hint="eastAsia" w:ascii="宋体" w:hAnsi="宋体" w:cs="宋体"/>
          <w:b/>
          <w:bCs/>
          <w:color w:val="auto"/>
          <w:kern w:val="0"/>
          <w:sz w:val="21"/>
          <w:szCs w:val="21"/>
          <w:highlight w:val="none"/>
          <w:lang w:val="en-US" w:eastAsia="zh-CN" w:bidi="ar-SA"/>
        </w:rPr>
        <w:t>人员</w:t>
      </w:r>
      <w:r>
        <w:rPr>
          <w:rFonts w:hint="eastAsia" w:ascii="宋体" w:hAnsi="宋体" w:eastAsia="宋体" w:cs="宋体"/>
          <w:b/>
          <w:bCs/>
          <w:color w:val="auto"/>
          <w:kern w:val="0"/>
          <w:sz w:val="21"/>
          <w:szCs w:val="21"/>
          <w:highlight w:val="none"/>
          <w:lang w:val="en-US" w:eastAsia="zh-CN" w:bidi="ar-SA"/>
        </w:rPr>
        <w:t>不少于33人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保安17人、保洁10人、文员1人、项目主管2人、项目副经理2人、项目负责人（经理）1人</w:t>
      </w:r>
      <w:r>
        <w:rPr>
          <w:rFonts w:hint="eastAsia" w:ascii="宋体" w:hAnsi="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；中标单位确定后，需待上一年度合同期限届满（合同期截止至2026.4.30）</w:t>
      </w:r>
      <w:r>
        <w:rPr>
          <w:rFonts w:hint="eastAsia" w:ascii="宋体" w:hAnsi="宋体" w:cs="宋体"/>
          <w:b/>
          <w:bCs/>
          <w:color w:val="auto"/>
          <w:kern w:val="2"/>
          <w:sz w:val="21"/>
          <w:szCs w:val="21"/>
          <w:highlight w:val="none"/>
          <w:lang w:val="en-US" w:eastAsia="zh-CN" w:bidi="ar-SA"/>
        </w:rPr>
        <w:t>后招标人发出进场通知后方可进场履职</w:t>
      </w:r>
      <w:r>
        <w:rPr>
          <w:rFonts w:hint="eastAsia" w:ascii="宋体" w:hAnsi="宋体" w:eastAsia="宋体" w:cs="宋体"/>
          <w:b/>
          <w:bCs/>
          <w:color w:val="auto"/>
          <w:kern w:val="0"/>
          <w:sz w:val="21"/>
          <w:szCs w:val="21"/>
          <w:highlight w:val="none"/>
          <w:lang w:val="en-US" w:eastAsia="zh-CN" w:bidi="ar-SA"/>
        </w:rPr>
        <w:t>。</w:t>
      </w:r>
    </w:p>
    <w:p w14:paraId="6A5DF10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三、设备配置</w:t>
      </w:r>
    </w:p>
    <w:p w14:paraId="49967D9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（一）机械设备</w:t>
      </w:r>
    </w:p>
    <w:p w14:paraId="2AACD8F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1.巡逻电瓶车：</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12辆；</w:t>
      </w:r>
    </w:p>
    <w:p w14:paraId="384920B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2.保洁工具车：</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6辆；</w:t>
      </w:r>
    </w:p>
    <w:p w14:paraId="45EF761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3.油污冲洗车：</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2辆；</w:t>
      </w:r>
    </w:p>
    <w:p w14:paraId="5FB0EDF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4.扫地车：</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1辆；</w:t>
      </w:r>
    </w:p>
    <w:p w14:paraId="758C2E1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5.鼓风机：</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4台。</w:t>
      </w:r>
    </w:p>
    <w:p w14:paraId="14DB094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上述所有机械设备须在进场通知书发出后7日内完成配置，并提供购置证明</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合同期内由中标单位负责日常维修、保养等工作，待合同期满后设备所有权无偿转让给招标人。</w:t>
      </w:r>
    </w:p>
    <w:p w14:paraId="53475EC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（二）其他</w:t>
      </w:r>
      <w:r>
        <w:rPr>
          <w:rFonts w:hint="eastAsia" w:ascii="宋体" w:hAnsi="宋体" w:cs="宋体"/>
          <w:b/>
          <w:bCs/>
          <w:color w:val="auto"/>
          <w:kern w:val="0"/>
          <w:sz w:val="21"/>
          <w:szCs w:val="21"/>
          <w:highlight w:val="none"/>
          <w:lang w:val="en-US" w:eastAsia="zh-CN" w:bidi="ar-SA"/>
        </w:rPr>
        <w:t>内容</w:t>
      </w:r>
    </w:p>
    <w:p w14:paraId="431D3FE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1.公园、景观带病媒防治；</w:t>
      </w:r>
    </w:p>
    <w:p w14:paraId="3CF4230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bidi="ar-SA"/>
        </w:rPr>
        <w:t>防溺水</w:t>
      </w:r>
      <w:r>
        <w:rPr>
          <w:rFonts w:hint="eastAsia" w:ascii="宋体" w:hAnsi="宋体" w:eastAsia="宋体" w:cs="宋体"/>
          <w:color w:val="auto"/>
          <w:kern w:val="0"/>
          <w:sz w:val="21"/>
          <w:szCs w:val="21"/>
          <w:highlight w:val="none"/>
          <w:lang w:val="en-US" w:eastAsia="zh-CN" w:bidi="ar-SA"/>
        </w:rPr>
        <w:t>“四救”设施</w:t>
      </w:r>
      <w:r>
        <w:rPr>
          <w:rFonts w:hint="eastAsia" w:ascii="宋体" w:hAnsi="宋体" w:cs="宋体"/>
          <w:color w:val="auto"/>
          <w:kern w:val="0"/>
          <w:sz w:val="21"/>
          <w:szCs w:val="21"/>
          <w:highlight w:val="none"/>
          <w:lang w:val="en-US" w:eastAsia="zh-CN" w:bidi="ar-SA"/>
        </w:rPr>
        <w:t>维护、</w:t>
      </w:r>
      <w:r>
        <w:rPr>
          <w:rFonts w:hint="eastAsia" w:ascii="宋体" w:hAnsi="宋体" w:eastAsia="宋体" w:cs="宋体"/>
          <w:color w:val="auto"/>
          <w:kern w:val="0"/>
          <w:sz w:val="21"/>
          <w:szCs w:val="21"/>
          <w:highlight w:val="none"/>
          <w:lang w:val="en-US" w:eastAsia="zh-CN" w:bidi="ar-SA"/>
        </w:rPr>
        <w:t>更换；</w:t>
      </w:r>
    </w:p>
    <w:p w14:paraId="5F68421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eastAsia" w:ascii="宋体" w:hAnsi="宋体" w:cs="宋体"/>
          <w:color w:val="auto"/>
          <w:kern w:val="0"/>
          <w:sz w:val="21"/>
          <w:szCs w:val="21"/>
          <w:highlight w:val="none"/>
          <w:lang w:val="en-US" w:eastAsia="zh-CN" w:bidi="ar-SA"/>
        </w:rPr>
        <w:t>鱼尾狮公园</w:t>
      </w:r>
      <w:r>
        <w:rPr>
          <w:rFonts w:hint="eastAsia" w:ascii="宋体" w:hAnsi="宋体" w:eastAsia="宋体" w:cs="宋体"/>
          <w:color w:val="auto"/>
          <w:kern w:val="0"/>
          <w:sz w:val="21"/>
          <w:szCs w:val="21"/>
          <w:highlight w:val="none"/>
          <w:lang w:val="en-US" w:eastAsia="zh-CN" w:bidi="ar-SA"/>
        </w:rPr>
        <w:t>万国旗更换</w:t>
      </w:r>
      <w:r>
        <w:rPr>
          <w:rFonts w:hint="eastAsia" w:ascii="宋体" w:hAnsi="宋体" w:cs="宋体"/>
          <w:color w:val="auto"/>
          <w:kern w:val="0"/>
          <w:sz w:val="21"/>
          <w:szCs w:val="21"/>
          <w:highlight w:val="none"/>
          <w:lang w:val="en-US" w:eastAsia="zh-CN" w:bidi="ar-SA"/>
        </w:rPr>
        <w:t>（一年不少于6次）</w:t>
      </w:r>
      <w:r>
        <w:rPr>
          <w:rFonts w:hint="eastAsia" w:ascii="宋体" w:hAnsi="宋体" w:eastAsia="宋体" w:cs="宋体"/>
          <w:color w:val="auto"/>
          <w:kern w:val="0"/>
          <w:sz w:val="21"/>
          <w:szCs w:val="21"/>
          <w:highlight w:val="none"/>
          <w:lang w:val="en-US" w:eastAsia="zh-CN" w:bidi="ar-SA"/>
        </w:rPr>
        <w:t>；</w:t>
      </w:r>
    </w:p>
    <w:p w14:paraId="63C7C5F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r>
        <w:rPr>
          <w:rFonts w:hint="eastAsia" w:ascii="宋体" w:hAnsi="宋体" w:cs="宋体"/>
          <w:color w:val="auto"/>
          <w:kern w:val="0"/>
          <w:sz w:val="21"/>
          <w:szCs w:val="21"/>
          <w:highlight w:val="none"/>
          <w:lang w:val="en-US" w:eastAsia="zh-CN" w:bidi="ar-SA"/>
        </w:rPr>
        <w:t>化粪池清理；</w:t>
      </w:r>
    </w:p>
    <w:p w14:paraId="46F2AA9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5.办公楼电梯维保、空调清洗、玻璃幕墙清洗；</w:t>
      </w:r>
    </w:p>
    <w:p w14:paraId="4053A40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6.群众性文体活动的人员配合（由招标人按实际人数据实结算）。</w:t>
      </w:r>
    </w:p>
    <w:p w14:paraId="7886B119">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right="0" w:rightChars="0"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三</w:t>
      </w:r>
      <w:r>
        <w:rPr>
          <w:rFonts w:hint="eastAsia" w:ascii="宋体" w:hAnsi="宋体" w:eastAsia="宋体" w:cs="宋体"/>
          <w:b/>
          <w:bCs/>
          <w:color w:val="auto"/>
          <w:kern w:val="0"/>
          <w:sz w:val="24"/>
          <w:szCs w:val="24"/>
          <w:highlight w:val="none"/>
          <w:lang w:val="en-US" w:eastAsia="zh-CN" w:bidi="ar-SA"/>
        </w:rPr>
        <w:t>标段：涵盖2座开放式市民公园及1处停车场，总占地面积达41.1万平方米，分别为苏州公园（滁州市良塘湖景区）、大王公园、锦州路停车场。</w:t>
      </w:r>
    </w:p>
    <w:p w14:paraId="5640415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一、项目概况</w:t>
      </w:r>
    </w:p>
    <w:p w14:paraId="4750FA2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（一）苏州公园（滁州市良塘湖景区）</w:t>
      </w:r>
    </w:p>
    <w:p w14:paraId="1DAFCF5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苏州公园（滁州市良塘湖景区）北临中新大道、南靠双城路、东依苏滁大道、西接锦州路，由原良塘湖水库改造而成。公园总占地面积28.6万平方米，其中水域面积约15.4万平方米。公园内设有公共停车场2处、公共厕所3座、游客中心2座、管理用房2处、游船码头1处、儿童乐园1处、连廊4座，六面亭、四面亭共6座，园路约1.8公里。</w:t>
      </w:r>
    </w:p>
    <w:p w14:paraId="6E21CE8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大王公园</w:t>
      </w:r>
    </w:p>
    <w:p w14:paraId="2B3C756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大王公园位于苏滁高新区清流路与常州路交口东南侧，由原老张郢水库改造而成。公园总占地面积</w:t>
      </w:r>
      <w:r>
        <w:rPr>
          <w:rFonts w:hint="eastAsia" w:ascii="宋体" w:hAnsi="宋体" w:cs="宋体"/>
          <w:b w:val="0"/>
          <w:bCs w:val="0"/>
          <w:color w:val="auto"/>
          <w:kern w:val="2"/>
          <w:sz w:val="21"/>
          <w:szCs w:val="21"/>
          <w:highlight w:val="none"/>
          <w:lang w:val="en-US" w:eastAsia="zh-CN" w:bidi="ar-SA"/>
        </w:rPr>
        <w:t>约10.5万</w:t>
      </w:r>
      <w:r>
        <w:rPr>
          <w:rFonts w:hint="eastAsia" w:ascii="宋体" w:hAnsi="宋体" w:eastAsia="宋体" w:cs="宋体"/>
          <w:b w:val="0"/>
          <w:bCs w:val="0"/>
          <w:color w:val="auto"/>
          <w:kern w:val="2"/>
          <w:sz w:val="21"/>
          <w:szCs w:val="21"/>
          <w:highlight w:val="none"/>
          <w:lang w:val="en-US" w:eastAsia="zh-CN" w:bidi="ar-SA"/>
        </w:rPr>
        <w:t>平方米，其中水域面积约4万平方米、公共停车场1处、公共厕所1座、志愿者服务岗亭1座、儿童乐园1处、管理用房1处、园路约1公里。</w:t>
      </w:r>
    </w:p>
    <w:p w14:paraId="43EE9F0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（三）锦州路停车场</w:t>
      </w:r>
    </w:p>
    <w:p w14:paraId="68D7F8A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锦州路停车场位于锦州路与大王郢路交叉口西北侧，总建筑面积</w:t>
      </w:r>
      <w:r>
        <w:rPr>
          <w:rFonts w:hint="eastAsia" w:ascii="宋体" w:hAnsi="宋体" w:cs="宋体"/>
          <w:b w:val="0"/>
          <w:bCs w:val="0"/>
          <w:color w:val="auto"/>
          <w:kern w:val="2"/>
          <w:sz w:val="21"/>
          <w:szCs w:val="21"/>
          <w:highlight w:val="none"/>
          <w:lang w:val="en-US" w:eastAsia="zh-CN" w:bidi="ar-SA"/>
        </w:rPr>
        <w:t>约2</w:t>
      </w:r>
      <w:r>
        <w:rPr>
          <w:rFonts w:hint="eastAsia" w:ascii="宋体" w:hAnsi="宋体" w:eastAsia="宋体" w:cs="宋体"/>
          <w:b w:val="0"/>
          <w:bCs w:val="0"/>
          <w:color w:val="auto"/>
          <w:kern w:val="2"/>
          <w:sz w:val="21"/>
          <w:szCs w:val="21"/>
          <w:highlight w:val="none"/>
          <w:lang w:val="en-US" w:eastAsia="zh-CN" w:bidi="ar-SA"/>
        </w:rPr>
        <w:t>万平方米，设有703个机动车停车位、400个非机动车停车位、70个新能源汽车充电桩，岗亭2处。</w:t>
      </w:r>
    </w:p>
    <w:p w14:paraId="01E6843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二、人员配备及要求</w:t>
      </w:r>
    </w:p>
    <w:p w14:paraId="0D0D6D8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（一）苏州公园（滁州市良塘湖景区）</w:t>
      </w:r>
    </w:p>
    <w:p w14:paraId="06CCBD7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（1）保安：</w:t>
      </w:r>
      <w:r>
        <w:rPr>
          <w:rFonts w:hint="eastAsia" w:ascii="宋体" w:hAnsi="宋体" w:cs="宋体"/>
          <w:b w:val="0"/>
          <w:bCs w:val="0"/>
          <w:color w:val="auto"/>
          <w:kern w:val="2"/>
          <w:sz w:val="21"/>
          <w:szCs w:val="21"/>
          <w:highlight w:val="none"/>
          <w:lang w:val="en-US" w:eastAsia="zh-CN" w:bidi="ar-SA"/>
        </w:rPr>
        <w:t>不少于</w:t>
      </w:r>
      <w:r>
        <w:rPr>
          <w:rFonts w:hint="eastAsia" w:ascii="宋体" w:hAnsi="宋体" w:eastAsia="宋体" w:cs="宋体"/>
          <w:b w:val="0"/>
          <w:bCs w:val="0"/>
          <w:color w:val="auto"/>
          <w:kern w:val="2"/>
          <w:sz w:val="21"/>
          <w:szCs w:val="21"/>
          <w:highlight w:val="none"/>
          <w:lang w:val="en-US" w:eastAsia="zh-CN" w:bidi="ar-SA"/>
        </w:rPr>
        <w:t>15人</w:t>
      </w:r>
      <w:r>
        <w:rPr>
          <w:rFonts w:hint="eastAsia" w:ascii="宋体" w:hAnsi="宋体" w:eastAsia="宋体" w:cs="宋体"/>
          <w:color w:val="auto"/>
          <w:kern w:val="0"/>
          <w:sz w:val="21"/>
          <w:szCs w:val="21"/>
          <w:highlight w:val="none"/>
          <w:lang w:val="en-US" w:eastAsia="zh-CN" w:bidi="ar-SA"/>
        </w:rPr>
        <w:t>，负责</w:t>
      </w:r>
      <w:r>
        <w:rPr>
          <w:rFonts w:hint="eastAsia" w:ascii="宋体" w:hAnsi="宋体"/>
          <w:color w:val="auto"/>
          <w:szCs w:val="21"/>
          <w:highlight w:val="none"/>
        </w:rPr>
        <w:t>本区域内</w:t>
      </w:r>
      <w:r>
        <w:rPr>
          <w:rFonts w:hint="eastAsia" w:ascii="宋体" w:hAnsi="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SA"/>
        </w:rPr>
        <w:t>秩序维护</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设施、设备的日常巡检</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工作</w:t>
      </w:r>
      <w:r>
        <w:rPr>
          <w:rFonts w:hint="eastAsia" w:ascii="宋体" w:hAnsi="宋体" w:eastAsia="宋体" w:cs="宋体"/>
          <w:b w:val="0"/>
          <w:bCs w:val="0"/>
          <w:color w:val="auto"/>
          <w:kern w:val="2"/>
          <w:sz w:val="21"/>
          <w:szCs w:val="21"/>
          <w:highlight w:val="none"/>
          <w:lang w:val="en-US" w:eastAsia="zh-CN" w:bidi="ar-SA"/>
        </w:rPr>
        <w:t>。</w:t>
      </w:r>
    </w:p>
    <w:p w14:paraId="545122E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（2）保洁：</w:t>
      </w:r>
      <w:r>
        <w:rPr>
          <w:rFonts w:hint="eastAsia" w:ascii="宋体" w:hAnsi="宋体" w:cs="宋体"/>
          <w:b w:val="0"/>
          <w:bCs w:val="0"/>
          <w:color w:val="auto"/>
          <w:kern w:val="2"/>
          <w:sz w:val="21"/>
          <w:szCs w:val="21"/>
          <w:highlight w:val="none"/>
          <w:lang w:val="en-US" w:eastAsia="zh-CN" w:bidi="ar-SA"/>
        </w:rPr>
        <w:t>不少于</w:t>
      </w:r>
      <w:r>
        <w:rPr>
          <w:rFonts w:hint="eastAsia" w:ascii="宋体" w:hAnsi="宋体" w:eastAsia="宋体" w:cs="宋体"/>
          <w:b w:val="0"/>
          <w:bCs w:val="0"/>
          <w:color w:val="auto"/>
          <w:kern w:val="2"/>
          <w:sz w:val="21"/>
          <w:szCs w:val="21"/>
          <w:highlight w:val="none"/>
          <w:lang w:val="en-US" w:eastAsia="zh-CN" w:bidi="ar-SA"/>
        </w:rPr>
        <w:t>14人</w:t>
      </w:r>
      <w:r>
        <w:rPr>
          <w:rFonts w:hint="eastAsia" w:ascii="宋体" w:hAnsi="宋体" w:cs="宋体"/>
          <w:b w:val="0"/>
          <w:bCs w:val="0"/>
          <w:color w:val="auto"/>
          <w:kern w:val="2"/>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负责</w:t>
      </w:r>
      <w:r>
        <w:rPr>
          <w:rFonts w:hint="eastAsia" w:ascii="宋体" w:hAnsi="宋体"/>
          <w:color w:val="auto"/>
          <w:szCs w:val="21"/>
          <w:highlight w:val="none"/>
        </w:rPr>
        <w:t>本区域内的</w:t>
      </w:r>
      <w:r>
        <w:rPr>
          <w:rFonts w:hint="eastAsia" w:ascii="宋体" w:hAnsi="宋体"/>
          <w:color w:val="auto"/>
          <w:szCs w:val="21"/>
          <w:highlight w:val="none"/>
          <w:lang w:val="en-US" w:eastAsia="zh-CN"/>
        </w:rPr>
        <w:t>卫生保洁工作</w:t>
      </w:r>
      <w:r>
        <w:rPr>
          <w:rFonts w:hint="eastAsia" w:ascii="宋体" w:hAnsi="宋体" w:cs="宋体"/>
          <w:b w:val="0"/>
          <w:bCs w:val="0"/>
          <w:color w:val="auto"/>
          <w:kern w:val="2"/>
          <w:sz w:val="21"/>
          <w:szCs w:val="21"/>
          <w:highlight w:val="none"/>
          <w:lang w:val="en-US" w:eastAsia="zh-CN" w:bidi="ar-SA"/>
        </w:rPr>
        <w:t>（其中：</w:t>
      </w:r>
      <w:r>
        <w:rPr>
          <w:rFonts w:hint="eastAsia" w:ascii="宋体" w:hAnsi="宋体" w:eastAsia="宋体" w:cs="宋体"/>
          <w:b w:val="0"/>
          <w:bCs w:val="0"/>
          <w:color w:val="auto"/>
          <w:kern w:val="2"/>
          <w:sz w:val="21"/>
          <w:szCs w:val="21"/>
          <w:highlight w:val="none"/>
          <w:lang w:val="en-US" w:eastAsia="zh-CN" w:bidi="ar-SA"/>
        </w:rPr>
        <w:t>①2</w:t>
      </w:r>
      <w:r>
        <w:rPr>
          <w:rFonts w:hint="eastAsia" w:ascii="宋体" w:hAnsi="宋体" w:cs="宋体"/>
          <w:b w:val="0"/>
          <w:bCs w:val="0"/>
          <w:color w:val="auto"/>
          <w:kern w:val="2"/>
          <w:sz w:val="21"/>
          <w:szCs w:val="21"/>
          <w:highlight w:val="none"/>
          <w:lang w:val="en-US" w:eastAsia="zh-CN" w:bidi="ar-SA"/>
        </w:rPr>
        <w:t>名</w:t>
      </w:r>
      <w:r>
        <w:rPr>
          <w:rFonts w:hint="eastAsia" w:ascii="宋体" w:hAnsi="宋体" w:eastAsia="宋体" w:cs="宋体"/>
          <w:b w:val="0"/>
          <w:bCs w:val="0"/>
          <w:color w:val="auto"/>
          <w:kern w:val="2"/>
          <w:sz w:val="21"/>
          <w:szCs w:val="21"/>
          <w:highlight w:val="none"/>
          <w:lang w:val="en-US" w:eastAsia="zh-CN" w:bidi="ar-SA"/>
        </w:rPr>
        <w:t>男性</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水性好、专门负责公园水面保洁和机械设备的日常操作</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②观光车驾驶员：2人，男性</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负责公园观光车驾驶及机械设备的日常操作</w:t>
      </w:r>
      <w:r>
        <w:rPr>
          <w:rFonts w:hint="eastAsia" w:ascii="宋体" w:hAnsi="宋体" w:cs="宋体"/>
          <w:b w:val="0"/>
          <w:bCs w:val="0"/>
          <w:color w:val="auto"/>
          <w:kern w:val="2"/>
          <w:sz w:val="21"/>
          <w:szCs w:val="21"/>
          <w:highlight w:val="none"/>
          <w:lang w:val="en-US" w:eastAsia="zh-CN" w:bidi="ar-SA"/>
        </w:rPr>
        <w:t>）</w:t>
      </w:r>
      <w:r>
        <w:rPr>
          <w:rFonts w:hint="eastAsia" w:ascii="宋体" w:hAnsi="宋体"/>
          <w:color w:val="auto"/>
          <w:szCs w:val="21"/>
          <w:highlight w:val="none"/>
        </w:rPr>
        <w:t>。</w:t>
      </w:r>
    </w:p>
    <w:p w14:paraId="29B38B0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cs="宋体"/>
          <w:b w:val="0"/>
          <w:bCs w:val="0"/>
          <w:color w:val="auto"/>
          <w:kern w:val="2"/>
          <w:sz w:val="21"/>
          <w:szCs w:val="21"/>
          <w:highlight w:val="none"/>
          <w:lang w:val="en-US" w:eastAsia="zh-CN" w:bidi="ar-SA"/>
        </w:rPr>
        <w:t>导游</w:t>
      </w:r>
      <w:r>
        <w:rPr>
          <w:rFonts w:hint="eastAsia" w:ascii="宋体" w:hAnsi="宋体" w:eastAsia="宋体" w:cs="宋体"/>
          <w:b w:val="0"/>
          <w:bCs w:val="0"/>
          <w:color w:val="auto"/>
          <w:kern w:val="2"/>
          <w:sz w:val="21"/>
          <w:szCs w:val="21"/>
          <w:highlight w:val="none"/>
          <w:lang w:val="en-US" w:eastAsia="zh-CN" w:bidi="ar-SA"/>
        </w:rPr>
        <w:t>：2人，承担苏州公园（滁州市良塘湖景区）讲解</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女性、大专及以上学历、</w:t>
      </w:r>
      <w:r>
        <w:rPr>
          <w:rFonts w:hint="eastAsia" w:ascii="宋体" w:hAnsi="宋体" w:cs="宋体"/>
          <w:b w:val="0"/>
          <w:bCs w:val="0"/>
          <w:color w:val="auto"/>
          <w:kern w:val="2"/>
          <w:sz w:val="21"/>
          <w:szCs w:val="21"/>
          <w:highlight w:val="none"/>
          <w:lang w:val="en-US" w:eastAsia="zh-CN" w:bidi="ar-SA"/>
        </w:rPr>
        <w:t>同时具</w:t>
      </w:r>
      <w:r>
        <w:rPr>
          <w:rFonts w:hint="eastAsia" w:ascii="宋体" w:hAnsi="宋体" w:eastAsia="宋体" w:cs="宋体"/>
          <w:b w:val="0"/>
          <w:bCs w:val="0"/>
          <w:color w:val="auto"/>
          <w:kern w:val="2"/>
          <w:sz w:val="21"/>
          <w:szCs w:val="21"/>
          <w:highlight w:val="none"/>
          <w:lang w:val="en-US" w:eastAsia="zh-CN" w:bidi="ar-SA"/>
        </w:rPr>
        <w:t>有</w:t>
      </w:r>
      <w:r>
        <w:rPr>
          <w:rFonts w:hint="eastAsia" w:ascii="宋体" w:hAnsi="宋体" w:cs="宋体"/>
          <w:b w:val="0"/>
          <w:bCs w:val="0"/>
          <w:color w:val="auto"/>
          <w:kern w:val="2"/>
          <w:sz w:val="21"/>
          <w:szCs w:val="21"/>
          <w:highlight w:val="none"/>
          <w:lang w:val="en-US" w:eastAsia="zh-CN" w:bidi="ar-SA"/>
        </w:rPr>
        <w:t>初级及以上导游证、</w:t>
      </w:r>
      <w:r>
        <w:rPr>
          <w:rFonts w:hint="eastAsia" w:ascii="宋体" w:hAnsi="宋体" w:eastAsia="宋体" w:cs="宋体"/>
          <w:b w:val="0"/>
          <w:bCs w:val="0"/>
          <w:color w:val="auto"/>
          <w:kern w:val="2"/>
          <w:sz w:val="21"/>
          <w:szCs w:val="21"/>
          <w:highlight w:val="none"/>
          <w:lang w:val="en-US" w:eastAsia="zh-CN" w:bidi="ar-SA"/>
        </w:rPr>
        <w:t>普通话二级乙等</w:t>
      </w:r>
      <w:r>
        <w:rPr>
          <w:rFonts w:hint="eastAsia" w:ascii="宋体" w:hAnsi="宋体" w:cs="宋体"/>
          <w:b w:val="0"/>
          <w:bCs w:val="0"/>
          <w:color w:val="auto"/>
          <w:kern w:val="2"/>
          <w:sz w:val="21"/>
          <w:szCs w:val="21"/>
          <w:highlight w:val="none"/>
          <w:lang w:val="en-US" w:eastAsia="zh-CN" w:bidi="ar-SA"/>
        </w:rPr>
        <w:t>及以上</w:t>
      </w:r>
      <w:r>
        <w:rPr>
          <w:rFonts w:hint="eastAsia" w:ascii="宋体" w:hAnsi="宋体" w:eastAsia="宋体" w:cs="宋体"/>
          <w:b w:val="0"/>
          <w:bCs w:val="0"/>
          <w:color w:val="auto"/>
          <w:kern w:val="2"/>
          <w:sz w:val="21"/>
          <w:szCs w:val="21"/>
          <w:highlight w:val="none"/>
          <w:lang w:val="en-US" w:eastAsia="zh-CN" w:bidi="ar-SA"/>
        </w:rPr>
        <w:t>证书，与文员AB岗。</w:t>
      </w:r>
    </w:p>
    <w:p w14:paraId="196FFD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（4）文员：1人，负责标段内项目资料，与</w:t>
      </w:r>
      <w:r>
        <w:rPr>
          <w:rFonts w:hint="eastAsia" w:ascii="宋体" w:hAnsi="宋体" w:cs="宋体"/>
          <w:b w:val="0"/>
          <w:bCs w:val="0"/>
          <w:color w:val="auto"/>
          <w:kern w:val="2"/>
          <w:sz w:val="21"/>
          <w:szCs w:val="21"/>
          <w:highlight w:val="none"/>
          <w:lang w:val="en-US" w:eastAsia="zh-CN" w:bidi="ar-SA"/>
        </w:rPr>
        <w:t>导游</w:t>
      </w:r>
      <w:r>
        <w:rPr>
          <w:rFonts w:hint="eastAsia" w:ascii="宋体" w:hAnsi="宋体" w:eastAsia="宋体" w:cs="宋体"/>
          <w:b w:val="0"/>
          <w:bCs w:val="0"/>
          <w:color w:val="auto"/>
          <w:kern w:val="2"/>
          <w:sz w:val="21"/>
          <w:szCs w:val="21"/>
          <w:highlight w:val="none"/>
          <w:lang w:val="en-US" w:eastAsia="zh-CN" w:bidi="ar-SA"/>
        </w:rPr>
        <w:t>AB岗；女性，大专及以上学历</w:t>
      </w:r>
      <w:r>
        <w:rPr>
          <w:rFonts w:hint="eastAsia" w:ascii="宋体" w:hAnsi="宋体" w:cs="宋体"/>
          <w:b w:val="0"/>
          <w:bCs w:val="0"/>
          <w:color w:val="auto"/>
          <w:kern w:val="2"/>
          <w:sz w:val="21"/>
          <w:szCs w:val="21"/>
          <w:highlight w:val="none"/>
          <w:lang w:val="en-US" w:eastAsia="zh-CN" w:bidi="ar-SA"/>
        </w:rPr>
        <w:t>。</w:t>
      </w:r>
    </w:p>
    <w:p w14:paraId="2336E76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（5）项目主管：1人，</w:t>
      </w:r>
      <w:r>
        <w:rPr>
          <w:rFonts w:hint="eastAsia" w:ascii="宋体" w:hAnsi="宋体" w:cs="宋体"/>
          <w:b w:val="0"/>
          <w:bCs w:val="0"/>
          <w:color w:val="auto"/>
          <w:kern w:val="2"/>
          <w:sz w:val="21"/>
          <w:szCs w:val="21"/>
          <w:highlight w:val="none"/>
          <w:lang w:val="en-US" w:eastAsia="zh-CN" w:bidi="ar-SA"/>
        </w:rPr>
        <w:t>具备保安员</w:t>
      </w:r>
      <w:r>
        <w:rPr>
          <w:rFonts w:hint="eastAsia" w:ascii="宋体" w:hAnsi="宋体" w:eastAsia="宋体" w:cs="宋体"/>
          <w:b w:val="0"/>
          <w:bCs w:val="0"/>
          <w:color w:val="auto"/>
          <w:kern w:val="2"/>
          <w:sz w:val="21"/>
          <w:szCs w:val="21"/>
          <w:highlight w:val="none"/>
          <w:lang w:val="en-US" w:eastAsia="zh-CN" w:bidi="ar-SA"/>
        </w:rPr>
        <w:t>证。</w:t>
      </w:r>
    </w:p>
    <w:p w14:paraId="35EDF5F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（6）项目副经理：1人，</w:t>
      </w:r>
      <w:r>
        <w:rPr>
          <w:rFonts w:hint="eastAsia" w:ascii="宋体" w:hAnsi="宋体" w:cs="宋体"/>
          <w:b w:val="0"/>
          <w:bCs w:val="0"/>
          <w:color w:val="auto"/>
          <w:kern w:val="2"/>
          <w:sz w:val="21"/>
          <w:szCs w:val="21"/>
          <w:highlight w:val="none"/>
          <w:lang w:val="en-US" w:eastAsia="zh-CN" w:bidi="ar-SA"/>
        </w:rPr>
        <w:t>具备</w:t>
      </w:r>
      <w:r>
        <w:rPr>
          <w:rFonts w:hint="eastAsia" w:ascii="宋体" w:hAnsi="宋体" w:eastAsia="宋体" w:cs="宋体"/>
          <w:b w:val="0"/>
          <w:bCs w:val="0"/>
          <w:color w:val="auto"/>
          <w:kern w:val="2"/>
          <w:sz w:val="21"/>
          <w:szCs w:val="21"/>
          <w:highlight w:val="none"/>
          <w:lang w:val="en-US" w:eastAsia="zh-CN" w:bidi="ar-SA"/>
        </w:rPr>
        <w:t>《全国物业管理企业经理岗位证书》（或市级及以上《物业项目经理培训合格证书》）。</w:t>
      </w:r>
    </w:p>
    <w:p w14:paraId="22EB2CF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项目</w:t>
      </w:r>
      <w:r>
        <w:rPr>
          <w:rFonts w:hint="eastAsia" w:ascii="宋体" w:hAnsi="宋体" w:cs="宋体"/>
          <w:color w:val="auto"/>
          <w:kern w:val="0"/>
          <w:sz w:val="21"/>
          <w:szCs w:val="21"/>
          <w:highlight w:val="none"/>
          <w:lang w:val="en-US" w:eastAsia="zh-CN" w:bidi="ar-SA"/>
        </w:rPr>
        <w:t>负责人（经理）</w:t>
      </w:r>
      <w:r>
        <w:rPr>
          <w:rFonts w:hint="eastAsia" w:ascii="宋体" w:hAnsi="宋体" w:eastAsia="宋体" w:cs="宋体"/>
          <w:b w:val="0"/>
          <w:bCs w:val="0"/>
          <w:color w:val="auto"/>
          <w:kern w:val="2"/>
          <w:sz w:val="21"/>
          <w:szCs w:val="21"/>
          <w:highlight w:val="none"/>
          <w:lang w:val="en-US" w:eastAsia="zh-CN" w:bidi="ar-SA"/>
        </w:rPr>
        <w:t>：1人，</w:t>
      </w:r>
      <w:r>
        <w:rPr>
          <w:rFonts w:hint="eastAsia" w:ascii="宋体" w:hAnsi="宋体" w:eastAsia="宋体" w:cs="宋体"/>
          <w:color w:val="auto"/>
          <w:kern w:val="0"/>
          <w:sz w:val="21"/>
          <w:szCs w:val="21"/>
          <w:highlight w:val="none"/>
          <w:lang w:val="en-US" w:eastAsia="zh-CN" w:bidi="ar-SA"/>
        </w:rPr>
        <w:t>大专及以上学历，独立完成项目调研保障工作，确保接待活动有序高效开展；妥善处理项目各类突发事件，保障市民安全与公园正常运营；统筹负责标段项目日常运营管理工作，协调对接甲方及各责任部门，建立规范的日常工作台账。</w:t>
      </w:r>
    </w:p>
    <w:p w14:paraId="5037C06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综上，苏州公园（滁州市良塘湖景区）共需配备人员</w:t>
      </w:r>
      <w:r>
        <w:rPr>
          <w:rFonts w:hint="eastAsia" w:ascii="宋体" w:hAnsi="宋体" w:cs="宋体"/>
          <w:b/>
          <w:bCs/>
          <w:color w:val="auto"/>
          <w:kern w:val="2"/>
          <w:sz w:val="21"/>
          <w:szCs w:val="21"/>
          <w:highlight w:val="none"/>
          <w:lang w:val="en-US" w:eastAsia="zh-CN" w:bidi="ar-SA"/>
        </w:rPr>
        <w:t>不少于</w:t>
      </w:r>
      <w:r>
        <w:rPr>
          <w:rFonts w:hint="eastAsia" w:ascii="宋体" w:hAnsi="宋体" w:eastAsia="宋体" w:cs="宋体"/>
          <w:b/>
          <w:bCs/>
          <w:color w:val="auto"/>
          <w:kern w:val="2"/>
          <w:sz w:val="21"/>
          <w:szCs w:val="21"/>
          <w:highlight w:val="none"/>
          <w:lang w:val="en-US" w:eastAsia="zh-CN" w:bidi="ar-SA"/>
        </w:rPr>
        <w:t>35人</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保安15人、保洁14人、</w:t>
      </w:r>
      <w:r>
        <w:rPr>
          <w:rFonts w:hint="eastAsia" w:ascii="宋体" w:hAnsi="宋体" w:cs="宋体"/>
          <w:b/>
          <w:bCs/>
          <w:color w:val="auto"/>
          <w:kern w:val="2"/>
          <w:sz w:val="21"/>
          <w:szCs w:val="21"/>
          <w:highlight w:val="none"/>
          <w:lang w:val="en-US" w:eastAsia="zh-CN" w:bidi="ar-SA"/>
        </w:rPr>
        <w:t>导游</w:t>
      </w:r>
      <w:r>
        <w:rPr>
          <w:rFonts w:hint="eastAsia" w:ascii="宋体" w:hAnsi="宋体" w:eastAsia="宋体" w:cs="宋体"/>
          <w:b/>
          <w:bCs/>
          <w:color w:val="auto"/>
          <w:kern w:val="2"/>
          <w:sz w:val="21"/>
          <w:szCs w:val="21"/>
          <w:highlight w:val="none"/>
          <w:lang w:val="en-US" w:eastAsia="zh-CN" w:bidi="ar-SA"/>
        </w:rPr>
        <w:t>2人、文员1人、项目主管1人、项目副经理1人、</w:t>
      </w:r>
      <w:r>
        <w:rPr>
          <w:rFonts w:hint="eastAsia" w:ascii="宋体" w:hAnsi="宋体" w:eastAsia="宋体" w:cs="宋体"/>
          <w:b/>
          <w:bCs/>
          <w:color w:val="auto"/>
          <w:kern w:val="0"/>
          <w:sz w:val="21"/>
          <w:szCs w:val="21"/>
          <w:highlight w:val="none"/>
          <w:lang w:val="en-US" w:eastAsia="zh-CN" w:bidi="ar-SA"/>
        </w:rPr>
        <w:t>项目</w:t>
      </w:r>
      <w:r>
        <w:rPr>
          <w:rFonts w:hint="eastAsia" w:ascii="宋体" w:hAnsi="宋体" w:cs="宋体"/>
          <w:b/>
          <w:bCs/>
          <w:color w:val="auto"/>
          <w:kern w:val="0"/>
          <w:sz w:val="21"/>
          <w:szCs w:val="21"/>
          <w:highlight w:val="none"/>
          <w:lang w:val="en-US" w:eastAsia="zh-CN" w:bidi="ar-SA"/>
        </w:rPr>
        <w:t>负责人（经理）</w:t>
      </w:r>
      <w:r>
        <w:rPr>
          <w:rFonts w:hint="eastAsia" w:ascii="宋体" w:hAnsi="宋体" w:eastAsia="宋体" w:cs="宋体"/>
          <w:b/>
          <w:bCs/>
          <w:color w:val="auto"/>
          <w:kern w:val="2"/>
          <w:sz w:val="21"/>
          <w:szCs w:val="21"/>
          <w:highlight w:val="none"/>
          <w:lang w:val="en-US" w:eastAsia="zh-CN" w:bidi="ar-SA"/>
        </w:rPr>
        <w:t>1人</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w:t>
      </w:r>
    </w:p>
    <w:p w14:paraId="4C6BD08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（二）大王公园</w:t>
      </w:r>
    </w:p>
    <w:p w14:paraId="499A5B7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（1）保安：</w:t>
      </w:r>
      <w:r>
        <w:rPr>
          <w:rFonts w:hint="eastAsia" w:ascii="宋体" w:hAnsi="宋体" w:cs="宋体"/>
          <w:b w:val="0"/>
          <w:bCs w:val="0"/>
          <w:color w:val="auto"/>
          <w:kern w:val="2"/>
          <w:sz w:val="21"/>
          <w:szCs w:val="21"/>
          <w:highlight w:val="none"/>
          <w:lang w:val="en-US" w:eastAsia="zh-CN" w:bidi="ar-SA"/>
        </w:rPr>
        <w:t>不少于</w:t>
      </w:r>
      <w:r>
        <w:rPr>
          <w:rFonts w:hint="eastAsia" w:ascii="宋体" w:hAnsi="宋体" w:eastAsia="宋体" w:cs="宋体"/>
          <w:b w:val="0"/>
          <w:bCs w:val="0"/>
          <w:color w:val="auto"/>
          <w:kern w:val="2"/>
          <w:sz w:val="21"/>
          <w:szCs w:val="21"/>
          <w:highlight w:val="none"/>
          <w:lang w:val="en-US" w:eastAsia="zh-CN" w:bidi="ar-SA"/>
        </w:rPr>
        <w:t>6人</w:t>
      </w:r>
      <w:r>
        <w:rPr>
          <w:rFonts w:hint="eastAsia" w:ascii="宋体" w:hAnsi="宋体" w:eastAsia="宋体" w:cs="宋体"/>
          <w:color w:val="auto"/>
          <w:kern w:val="0"/>
          <w:sz w:val="21"/>
          <w:szCs w:val="21"/>
          <w:highlight w:val="none"/>
          <w:lang w:val="en-US" w:eastAsia="zh-CN" w:bidi="ar-SA"/>
        </w:rPr>
        <w:t>，负责</w:t>
      </w:r>
      <w:r>
        <w:rPr>
          <w:rFonts w:hint="eastAsia" w:ascii="宋体" w:hAnsi="宋体"/>
          <w:color w:val="auto"/>
          <w:szCs w:val="21"/>
          <w:highlight w:val="none"/>
        </w:rPr>
        <w:t>本区域内</w:t>
      </w:r>
      <w:r>
        <w:rPr>
          <w:rFonts w:hint="eastAsia" w:ascii="宋体" w:hAnsi="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SA"/>
        </w:rPr>
        <w:t>秩序维护</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设施、设备的日常巡检</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工作</w:t>
      </w:r>
      <w:r>
        <w:rPr>
          <w:rFonts w:hint="eastAsia" w:ascii="宋体" w:hAnsi="宋体" w:eastAsia="宋体" w:cs="宋体"/>
          <w:b w:val="0"/>
          <w:bCs w:val="0"/>
          <w:color w:val="auto"/>
          <w:kern w:val="2"/>
          <w:sz w:val="21"/>
          <w:szCs w:val="21"/>
          <w:highlight w:val="none"/>
          <w:lang w:val="en-US" w:eastAsia="zh-CN" w:bidi="ar-SA"/>
        </w:rPr>
        <w:t>。</w:t>
      </w:r>
    </w:p>
    <w:p w14:paraId="08B9204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（2）保洁：</w:t>
      </w:r>
      <w:r>
        <w:rPr>
          <w:rFonts w:hint="eastAsia" w:ascii="宋体" w:hAnsi="宋体" w:cs="宋体"/>
          <w:b w:val="0"/>
          <w:bCs w:val="0"/>
          <w:color w:val="auto"/>
          <w:kern w:val="2"/>
          <w:sz w:val="21"/>
          <w:szCs w:val="21"/>
          <w:highlight w:val="none"/>
          <w:lang w:val="en-US" w:eastAsia="zh-CN" w:bidi="ar-SA"/>
        </w:rPr>
        <w:t>不少于</w:t>
      </w:r>
      <w:r>
        <w:rPr>
          <w:rFonts w:hint="eastAsia" w:ascii="宋体" w:hAnsi="宋体" w:eastAsia="宋体" w:cs="宋体"/>
          <w:b w:val="0"/>
          <w:bCs w:val="0"/>
          <w:color w:val="auto"/>
          <w:kern w:val="2"/>
          <w:sz w:val="21"/>
          <w:szCs w:val="21"/>
          <w:highlight w:val="none"/>
          <w:lang w:val="en-US" w:eastAsia="zh-CN" w:bidi="ar-SA"/>
        </w:rPr>
        <w:t>4人</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负责</w:t>
      </w:r>
      <w:r>
        <w:rPr>
          <w:rFonts w:hint="eastAsia" w:ascii="宋体" w:hAnsi="宋体"/>
          <w:color w:val="auto"/>
          <w:szCs w:val="21"/>
          <w:highlight w:val="none"/>
        </w:rPr>
        <w:t>本区域内的</w:t>
      </w:r>
      <w:r>
        <w:rPr>
          <w:rFonts w:hint="eastAsia" w:ascii="宋体" w:hAnsi="宋体"/>
          <w:color w:val="auto"/>
          <w:szCs w:val="21"/>
          <w:highlight w:val="none"/>
          <w:lang w:val="en-US" w:eastAsia="zh-CN"/>
        </w:rPr>
        <w:t>卫生保洁工作</w:t>
      </w:r>
      <w:r>
        <w:rPr>
          <w:rFonts w:hint="eastAsia" w:ascii="宋体" w:hAnsi="宋体"/>
          <w:color w:val="auto"/>
          <w:szCs w:val="21"/>
          <w:highlight w:val="none"/>
        </w:rPr>
        <w:t>。</w:t>
      </w:r>
      <w:r>
        <w:rPr>
          <w:rFonts w:hint="eastAsia" w:ascii="宋体" w:hAnsi="宋体" w:eastAsia="宋体" w:cs="宋体"/>
          <w:b w:val="0"/>
          <w:bCs w:val="0"/>
          <w:color w:val="auto"/>
          <w:kern w:val="2"/>
          <w:sz w:val="21"/>
          <w:szCs w:val="21"/>
          <w:highlight w:val="none"/>
          <w:lang w:val="en-US" w:eastAsia="zh-CN" w:bidi="ar-SA"/>
        </w:rPr>
        <w:t>。</w:t>
      </w:r>
    </w:p>
    <w:p w14:paraId="42189FC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（3）项目主管：1人，</w:t>
      </w:r>
      <w:r>
        <w:rPr>
          <w:rFonts w:hint="eastAsia" w:ascii="宋体" w:hAnsi="宋体" w:cs="宋体"/>
          <w:b w:val="0"/>
          <w:bCs w:val="0"/>
          <w:color w:val="auto"/>
          <w:kern w:val="2"/>
          <w:sz w:val="21"/>
          <w:szCs w:val="21"/>
          <w:highlight w:val="none"/>
          <w:lang w:val="en-US" w:eastAsia="zh-CN" w:bidi="ar-SA"/>
        </w:rPr>
        <w:t>具备保安员证</w:t>
      </w:r>
      <w:r>
        <w:rPr>
          <w:rFonts w:hint="eastAsia" w:ascii="宋体" w:hAnsi="宋体" w:eastAsia="宋体" w:cs="宋体"/>
          <w:b w:val="0"/>
          <w:bCs w:val="0"/>
          <w:color w:val="auto"/>
          <w:kern w:val="2"/>
          <w:sz w:val="21"/>
          <w:szCs w:val="21"/>
          <w:highlight w:val="none"/>
          <w:lang w:val="en-US" w:eastAsia="zh-CN" w:bidi="ar-SA"/>
        </w:rPr>
        <w:t>。</w:t>
      </w:r>
    </w:p>
    <w:p w14:paraId="4834AB6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（4）项目副经理：1人，</w:t>
      </w:r>
      <w:r>
        <w:rPr>
          <w:rFonts w:hint="eastAsia" w:ascii="宋体" w:hAnsi="宋体" w:cs="宋体"/>
          <w:b w:val="0"/>
          <w:bCs w:val="0"/>
          <w:color w:val="auto"/>
          <w:kern w:val="2"/>
          <w:sz w:val="21"/>
          <w:szCs w:val="21"/>
          <w:highlight w:val="none"/>
          <w:lang w:val="en-US" w:eastAsia="zh-CN" w:bidi="ar-SA"/>
        </w:rPr>
        <w:t>具备</w:t>
      </w:r>
      <w:r>
        <w:rPr>
          <w:rFonts w:hint="eastAsia" w:ascii="宋体" w:hAnsi="宋体" w:eastAsia="宋体" w:cs="宋体"/>
          <w:b w:val="0"/>
          <w:bCs w:val="0"/>
          <w:color w:val="auto"/>
          <w:kern w:val="2"/>
          <w:sz w:val="21"/>
          <w:szCs w:val="21"/>
          <w:highlight w:val="none"/>
          <w:lang w:val="en-US" w:eastAsia="zh-CN" w:bidi="ar-SA"/>
        </w:rPr>
        <w:t>《全国物业管理企业经理岗位证书》（或市级及以上《物业项目经理培训合格证书》）。</w:t>
      </w:r>
    </w:p>
    <w:p w14:paraId="478B8FD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综上，大王公园共需配备人员</w:t>
      </w:r>
      <w:r>
        <w:rPr>
          <w:rFonts w:hint="eastAsia" w:ascii="宋体" w:hAnsi="宋体" w:cs="宋体"/>
          <w:b/>
          <w:bCs/>
          <w:color w:val="auto"/>
          <w:kern w:val="2"/>
          <w:sz w:val="21"/>
          <w:szCs w:val="21"/>
          <w:highlight w:val="none"/>
          <w:lang w:val="en-US" w:eastAsia="zh-CN" w:bidi="ar-SA"/>
        </w:rPr>
        <w:t>不少于</w:t>
      </w:r>
      <w:r>
        <w:rPr>
          <w:rFonts w:hint="eastAsia" w:ascii="宋体" w:hAnsi="宋体" w:eastAsia="宋体" w:cs="宋体"/>
          <w:b/>
          <w:bCs/>
          <w:color w:val="auto"/>
          <w:kern w:val="2"/>
          <w:sz w:val="21"/>
          <w:szCs w:val="21"/>
          <w:highlight w:val="none"/>
          <w:lang w:val="en-US" w:eastAsia="zh-CN" w:bidi="ar-SA"/>
        </w:rPr>
        <w:t>12人</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保安6人、保洁4人、项目主管1人、项目副经理1人</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w:t>
      </w:r>
    </w:p>
    <w:p w14:paraId="783B3C5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（三）锦州路停车场</w:t>
      </w:r>
    </w:p>
    <w:p w14:paraId="3EF285F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（1）保安：</w:t>
      </w:r>
      <w:r>
        <w:rPr>
          <w:rFonts w:hint="eastAsia" w:ascii="宋体" w:hAnsi="宋体" w:cs="宋体"/>
          <w:color w:val="auto"/>
          <w:kern w:val="0"/>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2人，负责</w:t>
      </w:r>
      <w:r>
        <w:rPr>
          <w:rFonts w:hint="eastAsia" w:ascii="宋体" w:hAnsi="宋体"/>
          <w:color w:val="auto"/>
          <w:szCs w:val="21"/>
          <w:highlight w:val="none"/>
        </w:rPr>
        <w:t>本区域内</w:t>
      </w:r>
      <w:r>
        <w:rPr>
          <w:rFonts w:hint="eastAsia" w:ascii="宋体" w:hAnsi="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SA"/>
        </w:rPr>
        <w:t>秩序维护</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设施、设备的日常巡检</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工作。</w:t>
      </w:r>
    </w:p>
    <w:p w14:paraId="2EB84EF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综上，锦州路停车场共需配备人员</w:t>
      </w:r>
      <w:r>
        <w:rPr>
          <w:rFonts w:hint="eastAsia" w:ascii="宋体" w:hAnsi="宋体" w:cs="宋体"/>
          <w:b/>
          <w:bCs/>
          <w:color w:val="auto"/>
          <w:kern w:val="2"/>
          <w:sz w:val="21"/>
          <w:szCs w:val="21"/>
          <w:highlight w:val="none"/>
          <w:lang w:val="en-US" w:eastAsia="zh-CN" w:bidi="ar-SA"/>
        </w:rPr>
        <w:t>不少于</w:t>
      </w:r>
      <w:r>
        <w:rPr>
          <w:rFonts w:hint="eastAsia" w:ascii="宋体" w:hAnsi="宋体" w:eastAsia="宋体" w:cs="宋体"/>
          <w:b/>
          <w:bCs/>
          <w:color w:val="auto"/>
          <w:kern w:val="2"/>
          <w:sz w:val="21"/>
          <w:szCs w:val="21"/>
          <w:highlight w:val="none"/>
          <w:lang w:val="en-US" w:eastAsia="zh-CN" w:bidi="ar-SA"/>
        </w:rPr>
        <w:t>2人</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保安2人</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w:t>
      </w:r>
    </w:p>
    <w:p w14:paraId="07EC2D7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综上所述，三标段共需配备</w:t>
      </w:r>
      <w:r>
        <w:rPr>
          <w:rFonts w:hint="eastAsia" w:ascii="宋体" w:hAnsi="宋体" w:cs="宋体"/>
          <w:b/>
          <w:bCs/>
          <w:color w:val="auto"/>
          <w:kern w:val="2"/>
          <w:sz w:val="21"/>
          <w:szCs w:val="21"/>
          <w:highlight w:val="none"/>
          <w:lang w:val="en-US" w:eastAsia="zh-CN" w:bidi="ar-SA"/>
        </w:rPr>
        <w:t>人员不少于</w:t>
      </w:r>
      <w:r>
        <w:rPr>
          <w:rFonts w:hint="eastAsia" w:ascii="宋体" w:hAnsi="宋体" w:eastAsia="宋体" w:cs="宋体"/>
          <w:b/>
          <w:bCs/>
          <w:color w:val="auto"/>
          <w:kern w:val="2"/>
          <w:sz w:val="21"/>
          <w:szCs w:val="21"/>
          <w:highlight w:val="none"/>
          <w:lang w:val="en-US" w:eastAsia="zh-CN" w:bidi="ar-SA"/>
        </w:rPr>
        <w:t>49人</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保安23人、保洁18人、文员1人、</w:t>
      </w:r>
      <w:r>
        <w:rPr>
          <w:rFonts w:hint="eastAsia" w:ascii="宋体" w:hAnsi="宋体" w:cs="宋体"/>
          <w:b/>
          <w:bCs/>
          <w:color w:val="auto"/>
          <w:kern w:val="2"/>
          <w:sz w:val="21"/>
          <w:szCs w:val="21"/>
          <w:highlight w:val="none"/>
          <w:lang w:val="en-US" w:eastAsia="zh-CN" w:bidi="ar-SA"/>
        </w:rPr>
        <w:t>导游</w:t>
      </w:r>
      <w:r>
        <w:rPr>
          <w:rFonts w:hint="eastAsia" w:ascii="宋体" w:hAnsi="宋体" w:eastAsia="宋体" w:cs="宋体"/>
          <w:b/>
          <w:bCs/>
          <w:color w:val="auto"/>
          <w:kern w:val="2"/>
          <w:sz w:val="21"/>
          <w:szCs w:val="21"/>
          <w:highlight w:val="none"/>
          <w:lang w:val="en-US" w:eastAsia="zh-CN" w:bidi="ar-SA"/>
        </w:rPr>
        <w:t>2人、项目主管2人、项目副经理2人、项目负责人（经理）1人</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；中标单位确定后，苏州公园（滁州市良塘湖景区）项目相关人员须即刻进场开展工作，确保项目正常运转；大王公园及锦州路停车场项目需待上一年度合同期限届满（合同期截止至2026.4.30）</w:t>
      </w:r>
      <w:r>
        <w:rPr>
          <w:rFonts w:hint="eastAsia" w:ascii="宋体" w:hAnsi="宋体" w:cs="宋体"/>
          <w:b/>
          <w:bCs/>
          <w:color w:val="auto"/>
          <w:kern w:val="2"/>
          <w:sz w:val="21"/>
          <w:szCs w:val="21"/>
          <w:highlight w:val="none"/>
          <w:lang w:val="en-US" w:eastAsia="zh-CN" w:bidi="ar-SA"/>
        </w:rPr>
        <w:t>后招标人发出进场通知后方可进场履职</w:t>
      </w:r>
      <w:r>
        <w:rPr>
          <w:rFonts w:hint="eastAsia" w:ascii="宋体" w:hAnsi="宋体" w:eastAsia="宋体" w:cs="宋体"/>
          <w:b/>
          <w:bCs/>
          <w:color w:val="auto"/>
          <w:kern w:val="2"/>
          <w:sz w:val="21"/>
          <w:szCs w:val="21"/>
          <w:highlight w:val="none"/>
          <w:lang w:val="en-US" w:eastAsia="zh-CN" w:bidi="ar-SA"/>
        </w:rPr>
        <w:t>。</w:t>
      </w:r>
    </w:p>
    <w:p w14:paraId="19C7C8C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2" w:firstLineChars="200"/>
        <w:jc w:val="left"/>
        <w:textAlignment w:val="auto"/>
        <w:outlineLvl w:val="9"/>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三、设备配置</w:t>
      </w:r>
    </w:p>
    <w:p w14:paraId="3AC8A2F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（一）机械设备</w:t>
      </w:r>
    </w:p>
    <w:p w14:paraId="7E36760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1.巡逻电瓶车：</w:t>
      </w:r>
      <w:r>
        <w:rPr>
          <w:rFonts w:hint="eastAsia" w:ascii="宋体" w:hAnsi="宋体" w:cs="宋体"/>
          <w:b w:val="0"/>
          <w:bCs w:val="0"/>
          <w:color w:val="auto"/>
          <w:kern w:val="2"/>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15辆；</w:t>
      </w:r>
    </w:p>
    <w:p w14:paraId="573236C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2.保洁工具车：</w:t>
      </w:r>
      <w:r>
        <w:rPr>
          <w:rFonts w:hint="eastAsia" w:ascii="宋体" w:hAnsi="宋体" w:cs="宋体"/>
          <w:b w:val="0"/>
          <w:bCs w:val="0"/>
          <w:color w:val="auto"/>
          <w:kern w:val="2"/>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8辆；</w:t>
      </w:r>
    </w:p>
    <w:p w14:paraId="0EB7374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3.油污冲洗车：</w:t>
      </w:r>
      <w:r>
        <w:rPr>
          <w:rFonts w:hint="eastAsia" w:ascii="宋体" w:hAnsi="宋体" w:cs="宋体"/>
          <w:b w:val="0"/>
          <w:bCs w:val="0"/>
          <w:color w:val="auto"/>
          <w:kern w:val="2"/>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2辆；</w:t>
      </w:r>
    </w:p>
    <w:p w14:paraId="44739F0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4.扫地车：</w:t>
      </w:r>
      <w:r>
        <w:rPr>
          <w:rFonts w:hint="eastAsia" w:ascii="宋体" w:hAnsi="宋体" w:cs="宋体"/>
          <w:b w:val="0"/>
          <w:bCs w:val="0"/>
          <w:color w:val="auto"/>
          <w:kern w:val="2"/>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2辆；</w:t>
      </w:r>
    </w:p>
    <w:p w14:paraId="5AFEEB4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5.鼓风机：</w:t>
      </w:r>
      <w:r>
        <w:rPr>
          <w:rFonts w:hint="eastAsia" w:ascii="宋体" w:hAnsi="宋体" w:cs="宋体"/>
          <w:b w:val="0"/>
          <w:bCs w:val="0"/>
          <w:color w:val="auto"/>
          <w:kern w:val="2"/>
          <w:sz w:val="21"/>
          <w:szCs w:val="21"/>
          <w:highlight w:val="none"/>
          <w:lang w:val="en-US" w:eastAsia="zh-CN" w:bidi="ar-SA"/>
        </w:rPr>
        <w:t>不少于</w:t>
      </w:r>
      <w:r>
        <w:rPr>
          <w:rFonts w:hint="eastAsia" w:ascii="宋体" w:hAnsi="宋体" w:eastAsia="宋体" w:cs="宋体"/>
          <w:color w:val="auto"/>
          <w:kern w:val="0"/>
          <w:sz w:val="21"/>
          <w:szCs w:val="21"/>
          <w:highlight w:val="none"/>
          <w:lang w:val="en-US" w:eastAsia="zh-CN" w:bidi="ar-SA"/>
        </w:rPr>
        <w:t>5台。</w:t>
      </w:r>
    </w:p>
    <w:p w14:paraId="17DAD1A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上述所有机械设备必须</w:t>
      </w:r>
      <w:r>
        <w:rPr>
          <w:rFonts w:hint="eastAsia" w:ascii="宋体" w:hAnsi="宋体" w:cs="宋体"/>
          <w:color w:val="auto"/>
          <w:kern w:val="0"/>
          <w:sz w:val="21"/>
          <w:szCs w:val="21"/>
          <w:highlight w:val="none"/>
          <w:lang w:val="en-US" w:eastAsia="zh-CN" w:bidi="ar-SA"/>
        </w:rPr>
        <w:t>在进场后7日内完成配置，并提供购置证明。</w:t>
      </w:r>
      <w:r>
        <w:rPr>
          <w:rFonts w:hint="eastAsia" w:ascii="宋体" w:hAnsi="宋体" w:eastAsia="宋体" w:cs="宋体"/>
          <w:color w:val="auto"/>
          <w:kern w:val="0"/>
          <w:sz w:val="21"/>
          <w:szCs w:val="21"/>
          <w:highlight w:val="none"/>
          <w:lang w:val="en-US" w:eastAsia="zh-CN" w:bidi="ar-SA"/>
        </w:rPr>
        <w:t>合同期内由中标单位负责日常维修、保养等工作，待合同期满后设备所有权无偿转让给招标人。</w:t>
      </w:r>
    </w:p>
    <w:p w14:paraId="1FA6CD4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（二）其他</w:t>
      </w:r>
      <w:r>
        <w:rPr>
          <w:rFonts w:hint="eastAsia" w:ascii="宋体" w:hAnsi="宋体" w:cs="宋体"/>
          <w:color w:val="auto"/>
          <w:kern w:val="0"/>
          <w:sz w:val="21"/>
          <w:szCs w:val="21"/>
          <w:highlight w:val="none"/>
          <w:lang w:val="en-US" w:eastAsia="zh-CN" w:bidi="ar-SA"/>
        </w:rPr>
        <w:t>内容</w:t>
      </w:r>
    </w:p>
    <w:p w14:paraId="7D6079C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1.公园、景观带病媒防治；</w:t>
      </w:r>
    </w:p>
    <w:p w14:paraId="3C8A60F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bidi="ar-SA"/>
        </w:rPr>
        <w:t>防溺水</w:t>
      </w:r>
      <w:r>
        <w:rPr>
          <w:rFonts w:hint="eastAsia" w:ascii="宋体" w:hAnsi="宋体" w:eastAsia="宋体" w:cs="宋体"/>
          <w:color w:val="auto"/>
          <w:kern w:val="0"/>
          <w:sz w:val="21"/>
          <w:szCs w:val="21"/>
          <w:highlight w:val="none"/>
          <w:lang w:val="en-US" w:eastAsia="zh-CN" w:bidi="ar-SA"/>
        </w:rPr>
        <w:t>“四救”设施</w:t>
      </w:r>
      <w:r>
        <w:rPr>
          <w:rFonts w:hint="eastAsia" w:ascii="宋体" w:hAnsi="宋体" w:cs="宋体"/>
          <w:color w:val="auto"/>
          <w:kern w:val="0"/>
          <w:sz w:val="21"/>
          <w:szCs w:val="21"/>
          <w:highlight w:val="none"/>
          <w:lang w:val="en-US" w:eastAsia="zh-CN" w:bidi="ar-SA"/>
        </w:rPr>
        <w:t>维护、</w:t>
      </w:r>
      <w:r>
        <w:rPr>
          <w:rFonts w:hint="eastAsia" w:ascii="宋体" w:hAnsi="宋体" w:eastAsia="宋体" w:cs="宋体"/>
          <w:color w:val="auto"/>
          <w:kern w:val="0"/>
          <w:sz w:val="21"/>
          <w:szCs w:val="21"/>
          <w:highlight w:val="none"/>
          <w:lang w:val="en-US" w:eastAsia="zh-CN" w:bidi="ar-SA"/>
        </w:rPr>
        <w:t>更换；</w:t>
      </w:r>
    </w:p>
    <w:p w14:paraId="37967AF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3.化粪池清理；</w:t>
      </w:r>
    </w:p>
    <w:p w14:paraId="155C86A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调研保障物资采购；</w:t>
      </w:r>
    </w:p>
    <w:p w14:paraId="7805A43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5.群众性</w:t>
      </w:r>
      <w:r>
        <w:rPr>
          <w:rFonts w:hint="eastAsia" w:ascii="宋体" w:hAnsi="宋体" w:eastAsia="宋体" w:cs="宋体"/>
          <w:color w:val="auto"/>
          <w:kern w:val="0"/>
          <w:sz w:val="21"/>
          <w:szCs w:val="21"/>
          <w:highlight w:val="none"/>
          <w:lang w:val="en-US" w:eastAsia="zh-CN" w:bidi="ar-SA"/>
        </w:rPr>
        <w:t>文体活动的人员配合（由招标人按实际人数据实结算）。</w:t>
      </w:r>
    </w:p>
    <w:p w14:paraId="6FC3E2E2">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上述人员配备及设备配备，投标时提供承诺函（加盖投标人公章）即可，格式见附件。</w:t>
      </w:r>
    </w:p>
    <w:p w14:paraId="0956CE6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为进一步防范风险，供应商需为本项目购买社会公众险。投标时提供承诺函（加盖投标人公章），格式见附件</w:t>
      </w:r>
    </w:p>
    <w:p w14:paraId="5D4C2B8B">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outlineLvl w:val="1"/>
        <w:rPr>
          <w:rFonts w:hint="default" w:ascii="宋体" w:hAnsi="宋体" w:eastAsia="宋体" w:cs="宋体"/>
          <w:b/>
          <w:bCs/>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中标供应商须为本项目所有配备人员购买人身意外伤害保险</w:t>
      </w:r>
      <w:r>
        <w:rPr>
          <w:rFonts w:hint="eastAsia" w:ascii="宋体" w:hAnsi="宋体" w:eastAsia="宋体" w:cs="宋体"/>
          <w:b/>
          <w:bCs/>
          <w:color w:val="auto"/>
          <w:kern w:val="0"/>
          <w:sz w:val="24"/>
          <w:szCs w:val="24"/>
          <w:highlight w:val="none"/>
          <w:lang w:val="en-US" w:eastAsia="zh-CN" w:bidi="ar-SA"/>
        </w:rPr>
        <w:t>。投标时提供承诺函（加盖投标人公章），格式见附件</w:t>
      </w:r>
      <w:r>
        <w:rPr>
          <w:rFonts w:hint="eastAsia" w:ascii="宋体" w:hAnsi="宋体" w:cs="宋体"/>
          <w:b/>
          <w:bCs/>
          <w:color w:val="auto"/>
          <w:kern w:val="0"/>
          <w:sz w:val="24"/>
          <w:szCs w:val="24"/>
          <w:highlight w:val="none"/>
          <w:lang w:val="en-US" w:eastAsia="zh-CN" w:bidi="ar-SA"/>
        </w:rPr>
        <w:t>。</w:t>
      </w:r>
    </w:p>
    <w:p w14:paraId="2ED8175E">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四</w:t>
      </w:r>
      <w:r>
        <w:rPr>
          <w:rFonts w:hint="eastAsia" w:ascii="宋体" w:hAnsi="宋体" w:eastAsia="宋体" w:cs="宋体"/>
          <w:b/>
          <w:bCs/>
          <w:color w:val="auto"/>
          <w:kern w:val="0"/>
          <w:sz w:val="24"/>
          <w:szCs w:val="24"/>
          <w:highlight w:val="none"/>
          <w:lang w:val="en-US" w:eastAsia="zh-CN" w:bidi="ar-SA"/>
        </w:rPr>
        <w:t>、其他相关要求</w:t>
      </w:r>
      <w:r>
        <w:rPr>
          <w:rFonts w:hint="eastAsia" w:ascii="宋体" w:hAnsi="宋体" w:cs="宋体"/>
          <w:b/>
          <w:bCs/>
          <w:color w:val="auto"/>
          <w:kern w:val="0"/>
          <w:sz w:val="24"/>
          <w:szCs w:val="24"/>
          <w:highlight w:val="none"/>
          <w:lang w:val="en-US" w:eastAsia="zh-CN" w:bidi="ar-SA"/>
        </w:rPr>
        <w:t>（上述三个标段均适用）</w:t>
      </w:r>
    </w:p>
    <w:p w14:paraId="0CD615A4">
      <w:pPr>
        <w:pStyle w:val="148"/>
        <w:kinsoku/>
        <w:wordWrap w:val="0"/>
        <w:overflowPunct/>
        <w:topLinePunct w:val="0"/>
        <w:bidi w:val="0"/>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1、以上服务内容，由于</w:t>
      </w:r>
      <w:r>
        <w:rPr>
          <w:rFonts w:hint="eastAsia"/>
          <w:color w:val="auto"/>
          <w:sz w:val="21"/>
          <w:szCs w:val="21"/>
          <w:highlight w:val="none"/>
          <w:lang w:eastAsia="zh-CN"/>
        </w:rPr>
        <w:t>中标</w:t>
      </w:r>
      <w:r>
        <w:rPr>
          <w:rFonts w:hint="eastAsia"/>
          <w:color w:val="auto"/>
          <w:sz w:val="21"/>
          <w:szCs w:val="21"/>
          <w:highlight w:val="none"/>
          <w:lang w:val="en-US" w:eastAsia="zh-CN"/>
        </w:rPr>
        <w:t>单位</w:t>
      </w:r>
      <w:r>
        <w:rPr>
          <w:rFonts w:hint="eastAsia"/>
          <w:color w:val="auto"/>
          <w:sz w:val="21"/>
          <w:szCs w:val="21"/>
          <w:highlight w:val="none"/>
        </w:rPr>
        <w:t>工作不力、监管不到位等自身原因引起的各种事故及造成的各类损失，由</w:t>
      </w:r>
      <w:r>
        <w:rPr>
          <w:rFonts w:hint="eastAsia"/>
          <w:color w:val="auto"/>
          <w:sz w:val="21"/>
          <w:szCs w:val="21"/>
          <w:highlight w:val="none"/>
          <w:lang w:eastAsia="zh-CN"/>
        </w:rPr>
        <w:t>中标</w:t>
      </w:r>
      <w:r>
        <w:rPr>
          <w:rFonts w:hint="eastAsia"/>
          <w:color w:val="auto"/>
          <w:sz w:val="21"/>
          <w:szCs w:val="21"/>
          <w:highlight w:val="none"/>
          <w:lang w:val="en-US" w:eastAsia="zh-CN"/>
        </w:rPr>
        <w:t>单位</w:t>
      </w:r>
      <w:r>
        <w:rPr>
          <w:rFonts w:hint="eastAsia"/>
          <w:color w:val="auto"/>
          <w:sz w:val="21"/>
          <w:szCs w:val="21"/>
          <w:highlight w:val="none"/>
        </w:rPr>
        <w:t>承担全部经济和法律责任。</w:t>
      </w:r>
    </w:p>
    <w:p w14:paraId="2C858C60">
      <w:pPr>
        <w:pStyle w:val="148"/>
        <w:kinsoku/>
        <w:wordWrap w:val="0"/>
        <w:overflowPunct/>
        <w:topLinePunct w:val="0"/>
        <w:bidi w:val="0"/>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中标</w:t>
      </w:r>
      <w:r>
        <w:rPr>
          <w:rFonts w:hint="eastAsia"/>
          <w:color w:val="auto"/>
          <w:sz w:val="21"/>
          <w:szCs w:val="21"/>
          <w:highlight w:val="none"/>
          <w:lang w:val="en-US" w:eastAsia="zh-CN"/>
        </w:rPr>
        <w:t>单位</w:t>
      </w:r>
      <w:r>
        <w:rPr>
          <w:rFonts w:hint="eastAsia"/>
          <w:color w:val="auto"/>
          <w:sz w:val="21"/>
          <w:szCs w:val="21"/>
          <w:highlight w:val="none"/>
        </w:rPr>
        <w:t>应严格按照协议，按规定人数上岗，执行物业岗位职责、服务质量标准。</w:t>
      </w:r>
    </w:p>
    <w:p w14:paraId="379A9BB7">
      <w:pPr>
        <w:pStyle w:val="148"/>
        <w:kinsoku/>
        <w:wordWrap w:val="0"/>
        <w:overflowPunct/>
        <w:topLinePunct w:val="0"/>
        <w:bidi w:val="0"/>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中标单位拟派</w:t>
      </w:r>
      <w:r>
        <w:rPr>
          <w:rFonts w:hint="eastAsia"/>
          <w:color w:val="auto"/>
          <w:sz w:val="21"/>
          <w:szCs w:val="21"/>
          <w:highlight w:val="none"/>
        </w:rPr>
        <w:t>员工必须经培训合格后上岗，胜任本职、本岗工作。凡达不到工作要求的员工，</w:t>
      </w:r>
      <w:r>
        <w:rPr>
          <w:rFonts w:hint="eastAsia"/>
          <w:color w:val="auto"/>
          <w:sz w:val="21"/>
          <w:szCs w:val="21"/>
          <w:highlight w:val="none"/>
          <w:lang w:eastAsia="zh-CN"/>
        </w:rPr>
        <w:t>中标</w:t>
      </w:r>
      <w:r>
        <w:rPr>
          <w:rFonts w:hint="eastAsia"/>
          <w:color w:val="auto"/>
          <w:sz w:val="21"/>
          <w:szCs w:val="21"/>
          <w:highlight w:val="none"/>
          <w:lang w:val="en-US" w:eastAsia="zh-CN"/>
        </w:rPr>
        <w:t>单位</w:t>
      </w:r>
      <w:r>
        <w:rPr>
          <w:rFonts w:hint="eastAsia"/>
          <w:color w:val="auto"/>
          <w:sz w:val="21"/>
          <w:szCs w:val="21"/>
          <w:highlight w:val="none"/>
        </w:rPr>
        <w:t>应及时调换。</w:t>
      </w:r>
    </w:p>
    <w:p w14:paraId="4BD569E1">
      <w:pPr>
        <w:pStyle w:val="148"/>
        <w:kinsoku/>
        <w:wordWrap w:val="0"/>
        <w:overflowPunct/>
        <w:topLinePunct w:val="0"/>
        <w:bidi w:val="0"/>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w:t>
      </w:r>
      <w:r>
        <w:rPr>
          <w:rFonts w:hint="eastAsia"/>
          <w:color w:val="auto"/>
          <w:sz w:val="21"/>
          <w:szCs w:val="21"/>
          <w:highlight w:val="none"/>
          <w:lang w:val="en-US" w:eastAsia="zh-CN"/>
        </w:rPr>
        <w:t>中标单位拟派</w:t>
      </w:r>
      <w:r>
        <w:rPr>
          <w:rFonts w:hint="eastAsia"/>
          <w:color w:val="auto"/>
          <w:sz w:val="21"/>
          <w:szCs w:val="21"/>
          <w:highlight w:val="none"/>
        </w:rPr>
        <w:t>员工文明上岗，统一着装，标志明显，自觉遵守相关规章制度。</w:t>
      </w:r>
    </w:p>
    <w:p w14:paraId="2B6E6F25">
      <w:pPr>
        <w:pStyle w:val="148"/>
        <w:kinsoku/>
        <w:wordWrap w:val="0"/>
        <w:overflowPunct/>
        <w:topLinePunct w:val="0"/>
        <w:bidi w:val="0"/>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lang w:val="en-US" w:eastAsia="zh-CN"/>
        </w:rPr>
        <w:t>5</w:t>
      </w:r>
      <w:r>
        <w:rPr>
          <w:rFonts w:hint="eastAsia"/>
          <w:color w:val="auto"/>
          <w:sz w:val="21"/>
          <w:szCs w:val="21"/>
          <w:highlight w:val="none"/>
        </w:rPr>
        <w:t>、滁州市人社局对滁州市人员最低工资及五险进行调整时，人员工资</w:t>
      </w:r>
      <w:r>
        <w:rPr>
          <w:color w:val="auto"/>
          <w:sz w:val="21"/>
          <w:szCs w:val="21"/>
          <w:highlight w:val="none"/>
        </w:rPr>
        <w:t>和五险</w:t>
      </w:r>
      <w:r>
        <w:rPr>
          <w:rFonts w:hint="eastAsia"/>
          <w:color w:val="auto"/>
          <w:sz w:val="21"/>
          <w:szCs w:val="21"/>
          <w:highlight w:val="none"/>
        </w:rPr>
        <w:t>按最底标准作相应调整。</w:t>
      </w:r>
    </w:p>
    <w:p w14:paraId="26E815F1">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五</w:t>
      </w:r>
      <w:r>
        <w:rPr>
          <w:rFonts w:hint="eastAsia" w:ascii="宋体" w:hAnsi="宋体" w:eastAsia="宋体" w:cs="宋体"/>
          <w:b/>
          <w:bCs/>
          <w:color w:val="auto"/>
          <w:kern w:val="0"/>
          <w:sz w:val="24"/>
          <w:szCs w:val="24"/>
          <w:highlight w:val="none"/>
          <w:lang w:val="en-US" w:eastAsia="zh-CN" w:bidi="ar-SA"/>
        </w:rPr>
        <w:t>、投标报价</w:t>
      </w:r>
      <w:r>
        <w:rPr>
          <w:rFonts w:hint="eastAsia" w:ascii="宋体" w:hAnsi="宋体" w:cs="宋体"/>
          <w:b/>
          <w:bCs/>
          <w:color w:val="auto"/>
          <w:kern w:val="0"/>
          <w:sz w:val="24"/>
          <w:szCs w:val="24"/>
          <w:highlight w:val="none"/>
          <w:lang w:val="en-US" w:eastAsia="zh-CN" w:bidi="ar-SA"/>
        </w:rPr>
        <w:t>（上述三个标段均适用）</w:t>
      </w:r>
    </w:p>
    <w:p w14:paraId="74CA8586">
      <w:pPr>
        <w:pStyle w:val="148"/>
        <w:kinsoku/>
        <w:wordWrap w:val="0"/>
        <w:overflowPunct/>
        <w:topLinePunct w:val="0"/>
        <w:bidi w:val="0"/>
        <w:spacing w:line="440" w:lineRule="exact"/>
        <w:ind w:right="3" w:firstLine="420" w:firstLineChars="200"/>
        <w:jc w:val="both"/>
        <w:rPr>
          <w:rFonts w:hint="default"/>
          <w:color w:val="auto"/>
          <w:sz w:val="21"/>
          <w:szCs w:val="21"/>
          <w:highlight w:val="none"/>
          <w:lang w:val="en-US" w:eastAsia="zh-CN"/>
        </w:rPr>
      </w:pPr>
      <w:r>
        <w:rPr>
          <w:rFonts w:hint="eastAsia"/>
          <w:color w:val="auto"/>
          <w:sz w:val="21"/>
          <w:szCs w:val="21"/>
          <w:highlight w:val="none"/>
          <w:lang w:val="en-US" w:eastAsia="zh-CN"/>
        </w:rPr>
        <w:t>投标报价中应包含完成招标项目范围内的全部服务内容所需的全部费用，具体包括但不限于：</w:t>
      </w:r>
    </w:p>
    <w:p w14:paraId="3F47884B">
      <w:pPr>
        <w:pStyle w:val="148"/>
        <w:kinsoku/>
        <w:wordWrap w:val="0"/>
        <w:overflowPunct/>
        <w:topLinePunct w:val="0"/>
        <w:bidi w:val="0"/>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（1）人工费用(含所有服务于本项目的各类人员的工资、福利、社保（企业部分的社保费用和个人部分的社保费用）、服装、交通费用、人身安全等)；</w:t>
      </w:r>
    </w:p>
    <w:p w14:paraId="2A598B23">
      <w:pPr>
        <w:pStyle w:val="148"/>
        <w:kinsoku/>
        <w:wordWrap w:val="0"/>
        <w:overflowPunct/>
        <w:topLinePunct w:val="0"/>
        <w:bidi w:val="0"/>
        <w:spacing w:line="440" w:lineRule="exact"/>
        <w:ind w:right="3" w:firstLine="420" w:firstLineChars="200"/>
        <w:jc w:val="both"/>
        <w:rPr>
          <w:rFonts w:hint="default"/>
          <w:color w:val="auto"/>
          <w:sz w:val="21"/>
          <w:szCs w:val="21"/>
          <w:highlight w:val="none"/>
          <w:lang w:val="en-US" w:eastAsia="zh-CN"/>
        </w:rPr>
      </w:pPr>
      <w:r>
        <w:rPr>
          <w:rFonts w:hint="eastAsia"/>
          <w:color w:val="auto"/>
          <w:sz w:val="21"/>
          <w:szCs w:val="21"/>
          <w:highlight w:val="none"/>
          <w:lang w:val="en-US" w:eastAsia="zh-CN"/>
        </w:rPr>
        <w:t>（2）采购需求中要求的设备费用；</w:t>
      </w:r>
    </w:p>
    <w:p w14:paraId="019ED558">
      <w:pPr>
        <w:pStyle w:val="148"/>
        <w:kinsoku/>
        <w:wordWrap w:val="0"/>
        <w:overflowPunct/>
        <w:topLinePunct w:val="0"/>
        <w:bidi w:val="0"/>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（3）耗材费用（包括服务于本项目的各类耗品，如拖把、抹布、垃圾袋、垃圾桶、消毒液等，卫生间需配抽纸、擦手纸、卫生球、洗手液等）；</w:t>
      </w:r>
    </w:p>
    <w:p w14:paraId="00B7C708">
      <w:pPr>
        <w:pStyle w:val="148"/>
        <w:kinsoku/>
        <w:wordWrap w:val="0"/>
        <w:overflowPunct/>
        <w:topLinePunct w:val="0"/>
        <w:bidi w:val="0"/>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（4）行政费用（含办公区域水电费、房租、网络等所有费用）；</w:t>
      </w:r>
    </w:p>
    <w:p w14:paraId="4F02E14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（5）其他（含垃圾清运、下水疏通、防虫灭鼠、垃圾桶、前期介入费，低值易耗品、</w:t>
      </w:r>
      <w:r>
        <w:rPr>
          <w:rFonts w:hint="eastAsia" w:ascii="宋体" w:hAnsi="宋体" w:eastAsia="宋体" w:cs="宋体"/>
          <w:color w:val="auto"/>
          <w:kern w:val="0"/>
          <w:sz w:val="21"/>
          <w:szCs w:val="21"/>
          <w:highlight w:val="none"/>
          <w:lang w:val="en-US" w:eastAsia="zh-CN" w:bidi="ar-SA"/>
        </w:rPr>
        <w:t>病媒防治</w:t>
      </w:r>
      <w:r>
        <w:rPr>
          <w:rFonts w:hint="eastAsia" w:ascii="宋体" w:hAnsi="宋体" w:cs="宋体"/>
          <w:color w:val="auto"/>
          <w:kern w:val="0"/>
          <w:sz w:val="21"/>
          <w:szCs w:val="21"/>
          <w:highlight w:val="none"/>
          <w:lang w:val="en-US" w:eastAsia="zh-CN" w:bidi="ar-SA"/>
        </w:rPr>
        <w:t>、防溺水</w:t>
      </w:r>
      <w:r>
        <w:rPr>
          <w:rFonts w:hint="eastAsia" w:ascii="宋体" w:hAnsi="宋体" w:eastAsia="宋体" w:cs="宋体"/>
          <w:color w:val="auto"/>
          <w:kern w:val="0"/>
          <w:sz w:val="21"/>
          <w:szCs w:val="21"/>
          <w:highlight w:val="none"/>
          <w:lang w:val="en-US" w:eastAsia="zh-CN" w:bidi="ar-SA"/>
        </w:rPr>
        <w:t>“四救”设施</w:t>
      </w:r>
      <w:r>
        <w:rPr>
          <w:rFonts w:hint="eastAsia" w:ascii="宋体" w:hAnsi="宋体" w:cs="宋体"/>
          <w:color w:val="auto"/>
          <w:kern w:val="0"/>
          <w:sz w:val="21"/>
          <w:szCs w:val="21"/>
          <w:highlight w:val="none"/>
          <w:lang w:val="en-US" w:eastAsia="zh-CN" w:bidi="ar-SA"/>
        </w:rPr>
        <w:t>维护、</w:t>
      </w:r>
      <w:r>
        <w:rPr>
          <w:rFonts w:hint="eastAsia" w:ascii="宋体" w:hAnsi="宋体" w:eastAsia="宋体" w:cs="宋体"/>
          <w:color w:val="auto"/>
          <w:kern w:val="0"/>
          <w:sz w:val="21"/>
          <w:szCs w:val="21"/>
          <w:highlight w:val="none"/>
          <w:lang w:val="en-US" w:eastAsia="zh-CN" w:bidi="ar-SA"/>
        </w:rPr>
        <w:t>更换</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调研保障物资</w:t>
      </w:r>
      <w:r>
        <w:rPr>
          <w:rFonts w:hint="eastAsia" w:ascii="宋体" w:hAnsi="宋体" w:cs="宋体"/>
          <w:color w:val="auto"/>
          <w:kern w:val="0"/>
          <w:sz w:val="21"/>
          <w:szCs w:val="21"/>
          <w:highlight w:val="none"/>
          <w:lang w:val="en-US" w:eastAsia="zh-CN" w:bidi="ar-SA"/>
        </w:rPr>
        <w:t>采购（仅三标段包含）、</w:t>
      </w:r>
      <w:r>
        <w:rPr>
          <w:rFonts w:hint="eastAsia" w:ascii="宋体" w:hAnsi="宋体" w:eastAsia="宋体" w:cs="宋体"/>
          <w:color w:val="auto"/>
          <w:kern w:val="0"/>
          <w:sz w:val="21"/>
          <w:szCs w:val="21"/>
          <w:highlight w:val="none"/>
          <w:lang w:val="en-US" w:eastAsia="zh-CN" w:bidi="ar-SA"/>
        </w:rPr>
        <w:t>化粪池清理</w:t>
      </w:r>
      <w:r>
        <w:rPr>
          <w:rFonts w:hint="eastAsia" w:ascii="宋体" w:hAnsi="宋体" w:cs="宋体"/>
          <w:color w:val="auto"/>
          <w:kern w:val="0"/>
          <w:sz w:val="21"/>
          <w:szCs w:val="21"/>
          <w:highlight w:val="none"/>
          <w:lang w:val="en-US" w:eastAsia="zh-CN" w:bidi="ar-SA"/>
        </w:rPr>
        <w:t>、万国旗采购及更换、空调清洗、幕墙清洗、电梯维保</w:t>
      </w:r>
      <w:r>
        <w:rPr>
          <w:rFonts w:hint="eastAsia"/>
          <w:color w:val="auto"/>
          <w:sz w:val="21"/>
          <w:szCs w:val="21"/>
          <w:highlight w:val="none"/>
          <w:lang w:val="en-US" w:eastAsia="zh-CN"/>
        </w:rPr>
        <w:t>等相关所有费用）；</w:t>
      </w:r>
    </w:p>
    <w:p w14:paraId="6C21CBCF">
      <w:pPr>
        <w:pStyle w:val="148"/>
        <w:kinsoku/>
        <w:wordWrap w:val="0"/>
        <w:overflowPunct/>
        <w:topLinePunct w:val="0"/>
        <w:bidi w:val="0"/>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（6）招标代理服务费；</w:t>
      </w:r>
    </w:p>
    <w:p w14:paraId="10BCDF07">
      <w:pPr>
        <w:pStyle w:val="148"/>
        <w:kinsoku/>
        <w:wordWrap w:val="0"/>
        <w:overflowPunct/>
        <w:topLinePunct w:val="0"/>
        <w:bidi w:val="0"/>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（7）企业管理费、税金、利润等。</w:t>
      </w:r>
    </w:p>
    <w:p w14:paraId="4A553663">
      <w:pPr>
        <w:pStyle w:val="148"/>
        <w:kinsoku/>
        <w:wordWrap w:val="0"/>
        <w:overflowPunct/>
        <w:topLinePunct w:val="0"/>
        <w:bidi w:val="0"/>
        <w:spacing w:line="440" w:lineRule="exact"/>
        <w:ind w:right="3"/>
        <w:jc w:val="both"/>
        <w:rPr>
          <w:rFonts w:hint="eastAsia" w:ascii="宋体" w:eastAsia="宋体" w:cs="宋体"/>
          <w:b/>
          <w:bCs/>
          <w:color w:val="auto"/>
          <w:sz w:val="21"/>
          <w:szCs w:val="21"/>
          <w:highlight w:val="none"/>
          <w:lang w:val="en-US" w:eastAsia="zh-CN"/>
        </w:rPr>
      </w:pPr>
      <w:r>
        <w:rPr>
          <w:rFonts w:hint="eastAsia" w:ascii="宋体" w:eastAsia="宋体" w:cs="宋体"/>
          <w:b/>
          <w:bCs/>
          <w:color w:val="auto"/>
          <w:sz w:val="21"/>
          <w:szCs w:val="21"/>
          <w:highlight w:val="none"/>
          <w:lang w:val="en-US" w:eastAsia="zh-CN"/>
        </w:rPr>
        <w:t>相关说明：</w:t>
      </w:r>
    </w:p>
    <w:p w14:paraId="4C919511">
      <w:pPr>
        <w:pStyle w:val="148"/>
        <w:kinsoku/>
        <w:wordWrap w:val="0"/>
        <w:overflowPunct/>
        <w:topLinePunct w:val="0"/>
        <w:bidi w:val="0"/>
        <w:spacing w:line="440" w:lineRule="exact"/>
        <w:ind w:right="3" w:firstLine="420" w:firstLineChars="200"/>
        <w:jc w:val="both"/>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（1）投标报价不含服务区域水、电、气费用；</w:t>
      </w:r>
    </w:p>
    <w:p w14:paraId="56079652">
      <w:pPr>
        <w:pStyle w:val="148"/>
        <w:kinsoku/>
        <w:wordWrap w:val="0"/>
        <w:overflowPunct/>
        <w:topLinePunct w:val="0"/>
        <w:bidi w:val="0"/>
        <w:spacing w:line="440" w:lineRule="exact"/>
        <w:ind w:right="3" w:firstLine="420" w:firstLineChars="200"/>
        <w:jc w:val="both"/>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（2）滁州市人社局对滁州市人员最低工资及五险进行调整时，人员工资按最低标准作相应调整。</w:t>
      </w:r>
    </w:p>
    <w:p w14:paraId="458357A9">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zh-CN" w:eastAsia="zh-CN" w:bidi="ar-SA"/>
        </w:rPr>
      </w:pPr>
      <w:r>
        <w:rPr>
          <w:rFonts w:hint="eastAsia" w:ascii="宋体" w:hAnsi="宋体" w:cs="宋体"/>
          <w:b/>
          <w:bCs/>
          <w:color w:val="auto"/>
          <w:kern w:val="0"/>
          <w:sz w:val="24"/>
          <w:szCs w:val="24"/>
          <w:highlight w:val="none"/>
          <w:lang w:val="en-US" w:eastAsia="zh-CN" w:bidi="ar-SA"/>
        </w:rPr>
        <w:t>六</w:t>
      </w:r>
      <w:r>
        <w:rPr>
          <w:rFonts w:hint="eastAsia" w:ascii="宋体" w:hAnsi="宋体" w:eastAsia="宋体" w:cs="宋体"/>
          <w:b/>
          <w:bCs/>
          <w:color w:val="auto"/>
          <w:kern w:val="0"/>
          <w:sz w:val="24"/>
          <w:szCs w:val="24"/>
          <w:highlight w:val="none"/>
          <w:lang w:val="zh-CN" w:eastAsia="zh-CN" w:bidi="ar-SA"/>
        </w:rPr>
        <w:t>、考核评分标准：</w:t>
      </w:r>
      <w:r>
        <w:rPr>
          <w:rFonts w:hint="eastAsia" w:ascii="宋体" w:hAnsi="宋体" w:eastAsia="宋体" w:cs="宋体"/>
          <w:b/>
          <w:bCs/>
          <w:color w:val="auto"/>
          <w:kern w:val="0"/>
          <w:sz w:val="24"/>
          <w:szCs w:val="24"/>
          <w:highlight w:val="none"/>
          <w:lang w:val="en-US" w:eastAsia="zh-CN" w:bidi="ar-SA"/>
        </w:rPr>
        <w:t>详见合同附件。</w:t>
      </w:r>
    </w:p>
    <w:p w14:paraId="1722A3A5">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br w:type="page"/>
      </w:r>
    </w:p>
    <w:p w14:paraId="630DE699">
      <w:pPr>
        <w:kinsoku/>
        <w:wordWrap w:val="0"/>
        <w:overflowPunct/>
        <w:topLinePunct w:val="0"/>
        <w:bidi w:val="0"/>
        <w:rPr>
          <w:rFonts w:hint="eastAsia" w:ascii="宋体" w:hAnsi="宋体" w:eastAsia="宋体" w:cs="宋体"/>
          <w:b/>
          <w:color w:val="auto"/>
          <w:sz w:val="21"/>
          <w:szCs w:val="21"/>
          <w:highlight w:val="none"/>
        </w:rPr>
      </w:pPr>
    </w:p>
    <w:p w14:paraId="58D521C3">
      <w:pPr>
        <w:keepNext w:val="0"/>
        <w:keepLines w:val="0"/>
        <w:pageBreakBefore w:val="0"/>
        <w:widowControl w:val="0"/>
        <w:numPr>
          <w:ilvl w:val="0"/>
          <w:numId w:val="0"/>
        </w:numPr>
        <w:kinsoku/>
        <w:wordWrap w:val="0"/>
        <w:overflowPunct/>
        <w:topLinePunct w:val="0"/>
        <w:autoSpaceDE/>
        <w:autoSpaceDN/>
        <w:bidi w:val="0"/>
        <w:adjustRightInd/>
        <w:snapToGrid/>
        <w:spacing w:before="95" w:beforeLines="30" w:after="95" w:afterLines="30" w:line="360" w:lineRule="exact"/>
        <w:ind w:right="0" w:rightChars="0"/>
        <w:jc w:val="center"/>
        <w:textAlignment w:val="auto"/>
        <w:outlineLvl w:val="0"/>
        <w:rPr>
          <w:rFonts w:hint="eastAsia" w:ascii="宋体" w:hAnsi="Times New Roman" w:eastAsia="宋体" w:cs="Times New Roman"/>
          <w:b/>
          <w:color w:val="auto"/>
          <w:sz w:val="32"/>
          <w:szCs w:val="32"/>
          <w:highlight w:val="none"/>
          <w:lang w:eastAsia="zh-CN"/>
        </w:rPr>
      </w:pPr>
      <w:r>
        <w:rPr>
          <w:rFonts w:hint="eastAsia" w:ascii="宋体" w:hAnsi="Times New Roman" w:eastAsia="宋体" w:cs="Times New Roman"/>
          <w:b/>
          <w:color w:val="auto"/>
          <w:sz w:val="32"/>
          <w:szCs w:val="32"/>
          <w:highlight w:val="none"/>
          <w:lang w:eastAsia="zh-CN"/>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lang w:eastAsia="zh-CN"/>
        </w:rPr>
        <w:t>章</w:t>
      </w:r>
      <w:r>
        <w:rPr>
          <w:rFonts w:hint="eastAsia" w:ascii="宋体" w:hAnsi="Times New Roman" w:eastAsia="宋体" w:cs="Times New Roman"/>
          <w:b/>
          <w:color w:val="auto"/>
          <w:sz w:val="32"/>
          <w:szCs w:val="32"/>
          <w:highlight w:val="none"/>
          <w:lang w:val="en-US" w:eastAsia="zh-CN"/>
        </w:rPr>
        <w:t xml:space="preserve">  </w:t>
      </w:r>
      <w:r>
        <w:rPr>
          <w:rFonts w:hint="eastAsia" w:ascii="宋体" w:hAnsi="Times New Roman" w:eastAsia="宋体" w:cs="Times New Roman"/>
          <w:b/>
          <w:color w:val="auto"/>
          <w:sz w:val="32"/>
          <w:szCs w:val="32"/>
          <w:highlight w:val="none"/>
          <w:lang w:eastAsia="zh-CN"/>
        </w:rPr>
        <w:t>合同条款及格式</w:t>
      </w:r>
    </w:p>
    <w:p w14:paraId="44CB3AEF">
      <w:pPr>
        <w:kinsoku/>
        <w:wordWrap w:val="0"/>
        <w:overflowPunct/>
        <w:topLinePunct w:val="0"/>
        <w:bidi w:val="0"/>
        <w:spacing w:line="228" w:lineRule="auto"/>
        <w:rPr>
          <w:color w:val="auto"/>
          <w:sz w:val="20"/>
          <w:szCs w:val="20"/>
          <w:highlight w:val="none"/>
        </w:rPr>
      </w:pPr>
    </w:p>
    <w:p w14:paraId="39910C91">
      <w:pPr>
        <w:widowControl/>
        <w:kinsoku/>
        <w:wordWrap w:val="0"/>
        <w:overflowPunct/>
        <w:topLinePunct w:val="0"/>
        <w:bidi w:val="0"/>
        <w:spacing w:line="400" w:lineRule="exact"/>
        <w:ind w:left="360"/>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一</w:t>
      </w:r>
      <w:bookmarkStart w:id="113" w:name="_Toc449028946"/>
      <w:r>
        <w:rPr>
          <w:rFonts w:hint="eastAsia" w:ascii="宋体"/>
          <w:b/>
          <w:color w:val="auto"/>
          <w:sz w:val="30"/>
          <w:szCs w:val="30"/>
          <w:highlight w:val="none"/>
        </w:rPr>
        <w:t>、合同协议书（格式）</w:t>
      </w:r>
      <w:bookmarkEnd w:id="113"/>
    </w:p>
    <w:p w14:paraId="7C8620DF">
      <w:pPr>
        <w:kinsoku/>
        <w:wordWrap w:val="0"/>
        <w:overflowPunct/>
        <w:topLinePunct w:val="0"/>
        <w:bidi w:val="0"/>
        <w:spacing w:before="120" w:line="480" w:lineRule="auto"/>
        <w:ind w:left="960"/>
        <w:rPr>
          <w:rFonts w:hint="eastAsia" w:ascii="宋体" w:hAnsi="宋体" w:eastAsia="宋体" w:cs="Times New Roman"/>
          <w:color w:val="auto"/>
          <w:sz w:val="24"/>
          <w:szCs w:val="24"/>
          <w:highlight w:val="none"/>
        </w:rPr>
      </w:pPr>
    </w:p>
    <w:p w14:paraId="6268CC3D">
      <w:pPr>
        <w:kinsoku/>
        <w:wordWrap w:val="0"/>
        <w:overflowPunct/>
        <w:topLinePunct w:val="0"/>
        <w:bidi w:val="0"/>
        <w:spacing w:line="360" w:lineRule="auto"/>
        <w:jc w:val="center"/>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bidi="ar"/>
        </w:rPr>
        <w:t>中新苏滁高新区2026-2028年度公园、景观带保安保洁服务项目服务</w:t>
      </w:r>
      <w:r>
        <w:rPr>
          <w:rFonts w:hint="eastAsia" w:ascii="黑体" w:hAnsi="黑体" w:eastAsia="黑体" w:cs="黑体"/>
          <w:b/>
          <w:color w:val="auto"/>
          <w:sz w:val="32"/>
          <w:szCs w:val="32"/>
          <w:highlight w:val="none"/>
          <w:lang w:bidi="ar"/>
        </w:rPr>
        <w:t>合同</w:t>
      </w:r>
    </w:p>
    <w:p w14:paraId="117CEB27">
      <w:pPr>
        <w:kinsoku/>
        <w:wordWrap w:val="0"/>
        <w:overflowPunct/>
        <w:topLinePunct w:val="0"/>
        <w:bidi w:val="0"/>
        <w:spacing w:line="500" w:lineRule="exact"/>
        <w:jc w:val="center"/>
        <w:rPr>
          <w:rFonts w:ascii="黑体" w:hAnsi="黑体" w:eastAsia="黑体" w:cs="黑体"/>
          <w:b/>
          <w:color w:val="auto"/>
          <w:sz w:val="44"/>
          <w:szCs w:val="44"/>
          <w:highlight w:val="none"/>
        </w:rPr>
      </w:pPr>
    </w:p>
    <w:p w14:paraId="6D083E93">
      <w:pPr>
        <w:kinsoku/>
        <w:wordWrap w:val="0"/>
        <w:overflowPunct/>
        <w:topLinePunct w:val="0"/>
        <w:bidi w:val="0"/>
        <w:spacing w:line="520" w:lineRule="exact"/>
        <w:jc w:val="center"/>
        <w:rPr>
          <w:rFonts w:ascii="黑体" w:hAnsi="黑体" w:eastAsia="黑体" w:cs="黑体"/>
          <w:b/>
          <w:color w:val="auto"/>
          <w:sz w:val="44"/>
          <w:szCs w:val="44"/>
          <w:highlight w:val="none"/>
        </w:rPr>
      </w:pPr>
    </w:p>
    <w:p w14:paraId="277724D9">
      <w:pPr>
        <w:kinsoku/>
        <w:wordWrap w:val="0"/>
        <w:overflowPunct/>
        <w:topLinePunct w:val="0"/>
        <w:bidi w:val="0"/>
        <w:spacing w:line="520" w:lineRule="exact"/>
        <w:jc w:val="center"/>
        <w:rPr>
          <w:rFonts w:ascii="黑体" w:hAnsi="黑体" w:eastAsia="黑体" w:cs="黑体"/>
          <w:b/>
          <w:color w:val="auto"/>
          <w:sz w:val="44"/>
          <w:szCs w:val="44"/>
          <w:highlight w:val="none"/>
          <w:u w:val="single"/>
        </w:rPr>
      </w:pPr>
      <w:r>
        <w:rPr>
          <w:rFonts w:hint="eastAsia" w:ascii="黑体" w:hAnsi="黑体" w:eastAsia="黑体" w:cs="黑体"/>
          <w:b/>
          <w:color w:val="auto"/>
          <w:sz w:val="44"/>
          <w:szCs w:val="44"/>
          <w:highlight w:val="none"/>
        </w:rPr>
        <w:t xml:space="preserve">                     </w:t>
      </w:r>
    </w:p>
    <w:p w14:paraId="7E27F1DD">
      <w:pPr>
        <w:kinsoku/>
        <w:wordWrap w:val="0"/>
        <w:overflowPunct/>
        <w:topLinePunct w:val="0"/>
        <w:bidi w:val="0"/>
        <w:spacing w:line="520" w:lineRule="exact"/>
        <w:jc w:val="center"/>
        <w:rPr>
          <w:rFonts w:ascii="黑体" w:hAnsi="黑体" w:eastAsia="黑体" w:cs="黑体"/>
          <w:b/>
          <w:color w:val="auto"/>
          <w:sz w:val="44"/>
          <w:szCs w:val="44"/>
          <w:highlight w:val="none"/>
          <w:u w:val="single"/>
        </w:rPr>
      </w:pPr>
    </w:p>
    <w:p w14:paraId="3F77A2EE">
      <w:pPr>
        <w:kinsoku/>
        <w:wordWrap w:val="0"/>
        <w:overflowPunct/>
        <w:topLinePunct w:val="0"/>
        <w:bidi w:val="0"/>
        <w:spacing w:line="520" w:lineRule="exact"/>
        <w:jc w:val="center"/>
        <w:rPr>
          <w:rFonts w:ascii="黑体" w:hAnsi="黑体" w:eastAsia="黑体" w:cs="黑体"/>
          <w:b/>
          <w:color w:val="auto"/>
          <w:sz w:val="44"/>
          <w:szCs w:val="44"/>
          <w:highlight w:val="none"/>
          <w:u w:val="single"/>
        </w:rPr>
      </w:pPr>
    </w:p>
    <w:p w14:paraId="5C0366C9">
      <w:pPr>
        <w:kinsoku/>
        <w:wordWrap w:val="0"/>
        <w:overflowPunct/>
        <w:topLinePunct w:val="0"/>
        <w:bidi w:val="0"/>
        <w:spacing w:line="520" w:lineRule="exact"/>
        <w:jc w:val="center"/>
        <w:rPr>
          <w:rFonts w:ascii="黑体" w:hAnsi="黑体" w:eastAsia="黑体" w:cs="黑体"/>
          <w:b/>
          <w:color w:val="auto"/>
          <w:sz w:val="44"/>
          <w:szCs w:val="44"/>
          <w:highlight w:val="none"/>
          <w:u w:val="single"/>
        </w:rPr>
      </w:pPr>
    </w:p>
    <w:p w14:paraId="3DD63E73">
      <w:pPr>
        <w:kinsoku/>
        <w:wordWrap w:val="0"/>
        <w:overflowPunct/>
        <w:topLinePunct w:val="0"/>
        <w:bidi w:val="0"/>
        <w:spacing w:line="500" w:lineRule="exact"/>
        <w:ind w:firstLine="643" w:firstLineChars="200"/>
        <w:rPr>
          <w:rFonts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lang w:bidi="ar"/>
        </w:rPr>
        <w:t>发包人（甲方）：【滁州市苏滁市政公用发展有限公司】</w:t>
      </w:r>
    </w:p>
    <w:p w14:paraId="1EFF1293">
      <w:pPr>
        <w:kinsoku/>
        <w:wordWrap w:val="0"/>
        <w:overflowPunct/>
        <w:topLinePunct w:val="0"/>
        <w:bidi w:val="0"/>
        <w:spacing w:line="500" w:lineRule="exact"/>
        <w:ind w:firstLine="643" w:firstLineChars="200"/>
        <w:rPr>
          <w:rFonts w:ascii="黑体" w:hAnsi="黑体" w:eastAsia="黑体" w:cs="黑体"/>
          <w:b/>
          <w:color w:val="auto"/>
          <w:sz w:val="32"/>
          <w:szCs w:val="32"/>
          <w:highlight w:val="none"/>
        </w:rPr>
      </w:pPr>
    </w:p>
    <w:p w14:paraId="7B6F94D2">
      <w:pPr>
        <w:kinsoku/>
        <w:wordWrap w:val="0"/>
        <w:overflowPunct/>
        <w:topLinePunct w:val="0"/>
        <w:bidi w:val="0"/>
        <w:spacing w:line="500" w:lineRule="exact"/>
        <w:ind w:firstLine="643" w:firstLineChars="200"/>
        <w:rPr>
          <w:rFonts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lang w:bidi="ar"/>
        </w:rPr>
        <w:t>承包人（乙方）：【</w:t>
      </w:r>
      <w:r>
        <w:rPr>
          <w:rFonts w:hint="eastAsia" w:ascii="黑体" w:hAnsi="黑体" w:eastAsia="黑体" w:cs="黑体"/>
          <w:b/>
          <w:color w:val="auto"/>
          <w:sz w:val="32"/>
          <w:szCs w:val="32"/>
          <w:highlight w:val="none"/>
          <w:lang w:val="en-US" w:eastAsia="zh-CN" w:bidi="ar"/>
        </w:rPr>
        <w:t xml:space="preserve">                              </w:t>
      </w:r>
      <w:r>
        <w:rPr>
          <w:rFonts w:hint="eastAsia" w:ascii="黑体" w:hAnsi="黑体" w:eastAsia="黑体" w:cs="黑体"/>
          <w:b/>
          <w:color w:val="auto"/>
          <w:sz w:val="32"/>
          <w:szCs w:val="32"/>
          <w:highlight w:val="none"/>
          <w:lang w:bidi="ar"/>
        </w:rPr>
        <w:t>】</w:t>
      </w:r>
    </w:p>
    <w:p w14:paraId="7993D5A3">
      <w:pPr>
        <w:kinsoku/>
        <w:wordWrap w:val="0"/>
        <w:overflowPunct/>
        <w:topLinePunct w:val="0"/>
        <w:bidi w:val="0"/>
        <w:spacing w:line="500" w:lineRule="exact"/>
        <w:rPr>
          <w:rFonts w:hint="eastAsia" w:ascii="黑体" w:hAnsi="黑体" w:eastAsia="黑体" w:cs="黑体"/>
          <w:b/>
          <w:color w:val="auto"/>
          <w:sz w:val="32"/>
          <w:szCs w:val="32"/>
          <w:highlight w:val="none"/>
          <w:lang w:bidi="ar"/>
        </w:rPr>
      </w:pPr>
    </w:p>
    <w:p w14:paraId="280BA994">
      <w:pPr>
        <w:kinsoku/>
        <w:wordWrap w:val="0"/>
        <w:overflowPunct/>
        <w:topLinePunct w:val="0"/>
        <w:bidi w:val="0"/>
        <w:spacing w:line="500" w:lineRule="exact"/>
        <w:ind w:firstLine="643" w:firstLineChars="200"/>
        <w:rPr>
          <w:rFonts w:ascii="黑体" w:hAnsi="黑体" w:eastAsia="黑体" w:cs="黑体"/>
          <w:b/>
          <w:color w:val="auto"/>
          <w:sz w:val="44"/>
          <w:szCs w:val="44"/>
          <w:highlight w:val="none"/>
        </w:rPr>
      </w:pPr>
      <w:r>
        <w:rPr>
          <w:rFonts w:hint="eastAsia" w:ascii="黑体" w:hAnsi="黑体" w:eastAsia="黑体" w:cs="黑体"/>
          <w:b/>
          <w:color w:val="auto"/>
          <w:sz w:val="32"/>
          <w:szCs w:val="32"/>
          <w:highlight w:val="none"/>
          <w:lang w:bidi="ar"/>
        </w:rPr>
        <w:t>签订地点：【</w:t>
      </w:r>
      <w:r>
        <w:rPr>
          <w:rFonts w:hint="eastAsia" w:ascii="黑体" w:hAnsi="黑体" w:eastAsia="黑体" w:cs="黑体"/>
          <w:b/>
          <w:color w:val="auto"/>
          <w:sz w:val="32"/>
          <w:szCs w:val="32"/>
          <w:highlight w:val="none"/>
          <w:u w:val="single"/>
          <w:lang w:bidi="ar"/>
        </w:rPr>
        <w:t>滁州市</w:t>
      </w:r>
      <w:r>
        <w:rPr>
          <w:rFonts w:hint="eastAsia" w:ascii="黑体" w:hAnsi="黑体" w:eastAsia="黑体" w:cs="黑体"/>
          <w:b/>
          <w:color w:val="auto"/>
          <w:sz w:val="32"/>
          <w:szCs w:val="32"/>
          <w:highlight w:val="none"/>
          <w:lang w:bidi="ar"/>
        </w:rPr>
        <w:t>】</w:t>
      </w:r>
    </w:p>
    <w:p w14:paraId="4567B6B2">
      <w:pPr>
        <w:widowControl/>
        <w:kinsoku/>
        <w:wordWrap w:val="0"/>
        <w:overflowPunct/>
        <w:topLinePunct w:val="0"/>
        <w:bidi w:val="0"/>
        <w:jc w:val="left"/>
        <w:rPr>
          <w:rFonts w:hint="eastAsia" w:ascii="宋体" w:hAnsi="宋体" w:eastAsia="宋体" w:cs="宋体"/>
          <w:color w:val="auto"/>
          <w:sz w:val="21"/>
          <w:szCs w:val="21"/>
          <w:highlight w:val="none"/>
        </w:rPr>
      </w:pPr>
      <w:r>
        <w:rPr>
          <w:rFonts w:ascii="宋体" w:hAnsi="宋体" w:eastAsia="宋体" w:cs="Times New Roman"/>
          <w:color w:val="auto"/>
          <w:sz w:val="21"/>
          <w:szCs w:val="21"/>
          <w:highlight w:val="none"/>
        </w:rPr>
        <w:br w:type="page"/>
      </w:r>
    </w:p>
    <w:p w14:paraId="0C2ED43F">
      <w:pPr>
        <w:kinsoku/>
        <w:wordWrap w:val="0"/>
        <w:overflowPunct/>
        <w:topLinePunct w:val="0"/>
        <w:autoSpaceDE w:val="0"/>
        <w:autoSpaceDN w:val="0"/>
        <w:bidi w:val="0"/>
        <w:adjustRightInd w:val="0"/>
        <w:snapToGrid w:val="0"/>
        <w:spacing w:line="400" w:lineRule="exact"/>
        <w:ind w:right="-10"/>
        <w:jc w:val="center"/>
        <w:rPr>
          <w:rFonts w:hint="eastAsia" w:ascii="宋体" w:hAnsi="宋体" w:eastAsia="宋体" w:cs="宋体"/>
          <w:b/>
          <w:color w:val="auto"/>
          <w:kern w:val="44"/>
          <w:sz w:val="36"/>
          <w:szCs w:val="36"/>
          <w:highlight w:val="none"/>
          <w:lang w:bidi="ar"/>
        </w:rPr>
      </w:pPr>
      <w:r>
        <w:rPr>
          <w:rFonts w:hint="eastAsia" w:ascii="宋体" w:hAnsi="宋体" w:eastAsia="宋体" w:cs="宋体"/>
          <w:b/>
          <w:color w:val="auto"/>
          <w:kern w:val="44"/>
          <w:sz w:val="36"/>
          <w:szCs w:val="36"/>
          <w:highlight w:val="none"/>
          <w:lang w:eastAsia="zh-CN" w:bidi="ar"/>
        </w:rPr>
        <w:t>中新苏滁高新区202</w:t>
      </w:r>
      <w:r>
        <w:rPr>
          <w:rFonts w:hint="eastAsia" w:ascii="宋体" w:hAnsi="宋体" w:eastAsia="宋体" w:cs="宋体"/>
          <w:b/>
          <w:color w:val="auto"/>
          <w:kern w:val="44"/>
          <w:sz w:val="36"/>
          <w:szCs w:val="36"/>
          <w:highlight w:val="none"/>
          <w:lang w:val="en-US" w:eastAsia="zh-CN" w:bidi="ar"/>
        </w:rPr>
        <w:t>6</w:t>
      </w:r>
      <w:r>
        <w:rPr>
          <w:rFonts w:hint="eastAsia" w:ascii="宋体" w:hAnsi="宋体" w:eastAsia="宋体" w:cs="宋体"/>
          <w:b/>
          <w:color w:val="auto"/>
          <w:kern w:val="44"/>
          <w:sz w:val="36"/>
          <w:szCs w:val="36"/>
          <w:highlight w:val="none"/>
          <w:lang w:eastAsia="zh-CN" w:bidi="ar"/>
        </w:rPr>
        <w:t>-202</w:t>
      </w:r>
      <w:r>
        <w:rPr>
          <w:rFonts w:hint="eastAsia" w:ascii="宋体" w:hAnsi="宋体" w:eastAsia="宋体" w:cs="宋体"/>
          <w:b/>
          <w:color w:val="auto"/>
          <w:kern w:val="44"/>
          <w:sz w:val="36"/>
          <w:szCs w:val="36"/>
          <w:highlight w:val="none"/>
          <w:lang w:val="en-US" w:eastAsia="zh-CN" w:bidi="ar"/>
        </w:rPr>
        <w:t>8</w:t>
      </w:r>
      <w:r>
        <w:rPr>
          <w:rFonts w:hint="eastAsia" w:ascii="宋体" w:hAnsi="宋体" w:eastAsia="宋体" w:cs="宋体"/>
          <w:b/>
          <w:color w:val="auto"/>
          <w:kern w:val="44"/>
          <w:sz w:val="36"/>
          <w:szCs w:val="36"/>
          <w:highlight w:val="none"/>
          <w:lang w:eastAsia="zh-CN" w:bidi="ar"/>
        </w:rPr>
        <w:t>年度公园、景观带保安保洁服务项目</w:t>
      </w:r>
      <w:r>
        <w:rPr>
          <w:rFonts w:hint="eastAsia" w:ascii="宋体" w:hAnsi="宋体" w:eastAsia="宋体" w:cs="宋体"/>
          <w:b/>
          <w:color w:val="auto"/>
          <w:kern w:val="44"/>
          <w:sz w:val="36"/>
          <w:szCs w:val="36"/>
          <w:highlight w:val="none"/>
          <w:lang w:bidi="ar"/>
        </w:rPr>
        <w:t>合同</w:t>
      </w:r>
    </w:p>
    <w:p w14:paraId="42D8BABD">
      <w:pPr>
        <w:kinsoku/>
        <w:wordWrap w:val="0"/>
        <w:overflowPunct/>
        <w:topLinePunct w:val="0"/>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甲方：滁州市苏滁市政公用发展有限公司</w:t>
      </w:r>
    </w:p>
    <w:p w14:paraId="7DA30659">
      <w:pPr>
        <w:kinsoku/>
        <w:wordWrap w:val="0"/>
        <w:overflowPunct/>
        <w:topLinePunct w:val="0"/>
        <w:bidi w:val="0"/>
        <w:spacing w:line="360" w:lineRule="auto"/>
        <w:ind w:firstLine="48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  </w:t>
      </w:r>
    </w:p>
    <w:p w14:paraId="775EC2D0">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依照《中华人民共和国民法典》及相关法律、行政法规和项目所在地有关政策文件规定，为做好</w:t>
      </w:r>
      <w:r>
        <w:rPr>
          <w:rFonts w:hint="eastAsia" w:ascii="宋体" w:hAnsi="宋体" w:eastAsia="宋体" w:cs="宋体"/>
          <w:color w:val="auto"/>
          <w:sz w:val="24"/>
          <w:szCs w:val="24"/>
          <w:highlight w:val="none"/>
          <w:u w:val="single"/>
          <w:lang w:eastAsia="zh-CN"/>
        </w:rPr>
        <w:t>中新苏滁高新区202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年度公园、景观带保安保洁服务项目</w:t>
      </w:r>
      <w:r>
        <w:rPr>
          <w:rFonts w:hint="eastAsia" w:ascii="宋体" w:hAnsi="宋体" w:eastAsia="宋体" w:cs="宋体"/>
          <w:color w:val="auto"/>
          <w:sz w:val="24"/>
          <w:szCs w:val="24"/>
          <w:highlight w:val="none"/>
        </w:rPr>
        <w:t>工作，</w:t>
      </w:r>
      <w:r>
        <w:rPr>
          <w:rFonts w:hint="eastAsia" w:ascii="宋体" w:hAnsi="宋体" w:eastAsia="宋体" w:cs="宋体"/>
          <w:b/>
          <w:bCs/>
          <w:color w:val="auto"/>
          <w:sz w:val="24"/>
          <w:szCs w:val="24"/>
          <w:highlight w:val="none"/>
          <w:u w:val="single"/>
        </w:rPr>
        <w:t>滁州市苏滁市政公用发展有限公司</w:t>
      </w:r>
      <w:r>
        <w:rPr>
          <w:rFonts w:hint="eastAsia" w:ascii="宋体" w:hAnsi="宋体" w:eastAsia="宋体" w:cs="宋体"/>
          <w:color w:val="auto"/>
          <w:sz w:val="24"/>
          <w:szCs w:val="24"/>
          <w:highlight w:val="none"/>
        </w:rPr>
        <w:t>（以下简称甲方）通过公开招标的方式确定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（以下简称乙方）为乙方，乙方应按照《</w:t>
      </w:r>
      <w:r>
        <w:rPr>
          <w:rFonts w:hint="eastAsia" w:ascii="宋体" w:hAnsi="宋体" w:eastAsia="宋体" w:cs="宋体"/>
          <w:color w:val="auto"/>
          <w:sz w:val="24"/>
          <w:szCs w:val="24"/>
          <w:highlight w:val="none"/>
          <w:lang w:eastAsia="zh-CN"/>
        </w:rPr>
        <w:t>中新苏滁高新区202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年度公园、景观带保安保洁服务项目</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文件的要求，开展服务工作。经双方友好协商同意订本合同，具体要求如下：</w:t>
      </w:r>
    </w:p>
    <w:p w14:paraId="55044113">
      <w:pPr>
        <w:keepNext w:val="0"/>
        <w:keepLines w:val="0"/>
        <w:pageBreakBefore w:val="0"/>
        <w:widowControl w:val="0"/>
        <w:tabs>
          <w:tab w:val="left" w:pos="735"/>
        </w:tabs>
        <w:kinsoku/>
        <w:wordWrap w:val="0"/>
        <w:overflowPunct/>
        <w:topLinePunct w:val="0"/>
        <w:bidi w:val="0"/>
        <w:spacing w:line="460" w:lineRule="exact"/>
        <w:ind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一、构成合同的文件</w:t>
      </w:r>
    </w:p>
    <w:p w14:paraId="080F49FC">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构成合同的文件应能相互解释，互为说明。除合同条款另有约定外，组成本合同的文件如下：</w:t>
      </w:r>
    </w:p>
    <w:p w14:paraId="6238ACC3">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（1）合同履行中，甲乙方有关本项目的洽商、变更等书面协议或文件；</w:t>
      </w:r>
    </w:p>
    <w:p w14:paraId="71392C09">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（2）本项目服务合同；</w:t>
      </w:r>
    </w:p>
    <w:p w14:paraId="7FA8C560">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（3）招、</w:t>
      </w:r>
      <w:r>
        <w:rPr>
          <w:rFonts w:hint="eastAsia" w:ascii="宋体" w:hAnsi="宋体" w:eastAsia="宋体" w:cs="宋体"/>
          <w:color w:val="auto"/>
          <w:sz w:val="24"/>
          <w:szCs w:val="24"/>
          <w:highlight w:val="none"/>
          <w:lang w:val="en-GB" w:eastAsia="zh-CN"/>
        </w:rPr>
        <w:t>投</w:t>
      </w:r>
      <w:r>
        <w:rPr>
          <w:rFonts w:hint="eastAsia" w:ascii="宋体" w:hAnsi="宋体" w:eastAsia="宋体" w:cs="宋体"/>
          <w:color w:val="auto"/>
          <w:sz w:val="24"/>
          <w:szCs w:val="24"/>
          <w:highlight w:val="none"/>
          <w:lang w:eastAsia="zh-CN"/>
        </w:rPr>
        <w:t>标文件及其附件、承诺书或合同条件约谈记录；</w:t>
      </w:r>
    </w:p>
    <w:p w14:paraId="7A93B0CD">
      <w:pPr>
        <w:keepNext w:val="0"/>
        <w:keepLines w:val="0"/>
        <w:pageBreakBefore w:val="0"/>
        <w:widowControl w:val="0"/>
        <w:tabs>
          <w:tab w:val="left" w:pos="735"/>
        </w:tabs>
        <w:kinsoku/>
        <w:wordWrap w:val="0"/>
        <w:overflowPunct/>
        <w:topLinePunct w:val="0"/>
        <w:bidi w:val="0"/>
        <w:spacing w:line="460" w:lineRule="exact"/>
        <w:ind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二、公园、景观带保安保洁服务范围及内容</w:t>
      </w:r>
    </w:p>
    <w:p w14:paraId="2673407C">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1、项目名称：中新苏滁高新区202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年度公园、景观带保安保洁服务项目</w:t>
      </w:r>
    </w:p>
    <w:p w14:paraId="2F0E76FD">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2、项目地点：滁州市中新苏滁高新技术产业开发区。</w:t>
      </w:r>
    </w:p>
    <w:p w14:paraId="4040BE64">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3、管理服务内容：</w:t>
      </w:r>
    </w:p>
    <w:p w14:paraId="4A5A3D0D">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保安服务：包括但不限于为维护公园秩序、保障公共安全、处理突发情况、提供基础便民服务。</w:t>
      </w:r>
    </w:p>
    <w:p w14:paraId="503BE7E0">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保洁服务：</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lang w:eastAsia="zh-CN"/>
        </w:rPr>
        <w:t>公共区域卫生清洁、环境消杀、绿化区域清洁及公共区保洁等工作。</w:t>
      </w:r>
    </w:p>
    <w:p w14:paraId="204B6C42">
      <w:pPr>
        <w:keepNext w:val="0"/>
        <w:keepLines w:val="0"/>
        <w:pageBreakBefore w:val="0"/>
        <w:widowControl w:val="0"/>
        <w:tabs>
          <w:tab w:val="left" w:pos="735"/>
        </w:tabs>
        <w:kinsoku/>
        <w:wordWrap w:val="0"/>
        <w:overflowPunct/>
        <w:topLinePunct w:val="0"/>
        <w:bidi w:val="0"/>
        <w:spacing w:line="460" w:lineRule="exact"/>
        <w:ind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三、合同</w:t>
      </w:r>
      <w:r>
        <w:rPr>
          <w:rFonts w:hint="eastAsia" w:ascii="宋体" w:hAnsi="宋体" w:eastAsia="宋体" w:cs="宋体"/>
          <w:b/>
          <w:bCs/>
          <w:color w:val="auto"/>
          <w:sz w:val="24"/>
          <w:szCs w:val="24"/>
          <w:highlight w:val="none"/>
          <w:lang w:eastAsia="zh-CN"/>
        </w:rPr>
        <w:t>服务期限</w:t>
      </w:r>
    </w:p>
    <w:p w14:paraId="4990006E">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总服务期限为：</w:t>
      </w:r>
      <w:r>
        <w:rPr>
          <w:rFonts w:hint="eastAsia" w:ascii="宋体" w:hAnsi="宋体" w:eastAsia="宋体" w:cs="宋体"/>
          <w:color w:val="auto"/>
          <w:sz w:val="24"/>
          <w:szCs w:val="24"/>
          <w:highlight w:val="none"/>
          <w:lang w:eastAsia="zh-CN"/>
        </w:rPr>
        <w:t>具体进场日期按</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书面通知，</w:t>
      </w:r>
      <w:r>
        <w:rPr>
          <w:rFonts w:hint="eastAsia" w:ascii="宋体" w:hAnsi="宋体" w:eastAsia="宋体" w:cs="宋体"/>
          <w:color w:val="auto"/>
          <w:sz w:val="24"/>
          <w:szCs w:val="24"/>
          <w:highlight w:val="none"/>
          <w:lang w:val="en-US" w:eastAsia="zh-CN"/>
        </w:rPr>
        <w:t>所有标段</w:t>
      </w: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lang w:eastAsia="zh-CN"/>
        </w:rPr>
        <w:t>至2028年2月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日止</w:t>
      </w:r>
      <w:r>
        <w:rPr>
          <w:rFonts w:hint="eastAsia" w:ascii="宋体" w:hAnsi="宋体" w:eastAsia="宋体" w:cs="宋体"/>
          <w:color w:val="auto"/>
          <w:sz w:val="24"/>
          <w:szCs w:val="24"/>
          <w:highlight w:val="none"/>
          <w:lang w:val="en-US" w:eastAsia="zh-CN"/>
        </w:rPr>
        <w:t>。</w:t>
      </w:r>
    </w:p>
    <w:p w14:paraId="7AD3997F">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本年度</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服务开始日期：【202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】日，实际服务开始日期以甲方书面通知为准。</w:t>
      </w:r>
    </w:p>
    <w:p w14:paraId="426E5176">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本年度服务结束日期：【202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】日，实际服务结束日期以下列2条任一条实际发生为准。</w:t>
      </w:r>
    </w:p>
    <w:p w14:paraId="17494299">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1、具体进场日期按甲方书面通知</w:t>
      </w:r>
      <w:r>
        <w:rPr>
          <w:rFonts w:hint="eastAsia" w:ascii="宋体" w:hAnsi="宋体" w:cs="宋体"/>
          <w:color w:val="auto"/>
          <w:kern w:val="2"/>
          <w:sz w:val="24"/>
          <w:szCs w:val="24"/>
          <w:highlight w:val="none"/>
          <w:lang w:val="en-US" w:eastAsia="zh-CN" w:bidi="ar-SA"/>
        </w:rPr>
        <w:t>，所有标段服务期均至2028年2月29日止</w:t>
      </w:r>
      <w:r>
        <w:rPr>
          <w:rFonts w:hint="eastAsia" w:ascii="宋体" w:hAnsi="宋体" w:eastAsia="宋体" w:cs="宋体"/>
          <w:color w:val="auto"/>
          <w:kern w:val="2"/>
          <w:sz w:val="24"/>
          <w:szCs w:val="24"/>
          <w:highlight w:val="none"/>
          <w:lang w:val="en-US" w:eastAsia="zh-CN" w:bidi="ar-SA"/>
        </w:rPr>
        <w:t>；月度量化考核,连续三次考核不合格（依据招标文件考核评分标准进行考核打分，85分以下即为不合格）则终止合同，乙方在合同终止后半月内撤场（当月服务费用减半，剩余费用作为罚款不再支付），甲方另行招标</w:t>
      </w:r>
      <w:r>
        <w:rPr>
          <w:rFonts w:hint="eastAsia" w:ascii="宋体" w:hAnsi="宋体" w:eastAsia="宋体" w:cs="宋体"/>
          <w:color w:val="auto"/>
          <w:sz w:val="24"/>
          <w:szCs w:val="24"/>
          <w:highlight w:val="none"/>
        </w:rPr>
        <w:t>。</w:t>
      </w:r>
    </w:p>
    <w:p w14:paraId="3F133E2E">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在合同期中，</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发出三次及以上整改通知</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仍未整改到位的，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有权单方终止合同，同时有权没收其履约保证金并重新组织招标。</w:t>
      </w:r>
    </w:p>
    <w:p w14:paraId="55BF276A">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、乙方严重违反合同约定时，甲方有权解除合同。</w:t>
      </w:r>
    </w:p>
    <w:p w14:paraId="0AC6B95A">
      <w:pPr>
        <w:keepNext w:val="0"/>
        <w:keepLines w:val="0"/>
        <w:pageBreakBefore w:val="0"/>
        <w:widowControl w:val="0"/>
        <w:kinsoku/>
        <w:wordWrap w:val="0"/>
        <w:overflowPunct/>
        <w:topLinePunct w:val="0"/>
        <w:bidi w:val="0"/>
        <w:spacing w:line="460" w:lineRule="exact"/>
        <w:ind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四、合同价款</w:t>
      </w:r>
    </w:p>
    <w:p w14:paraId="24E97E8D">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预付款：【无】 。</w:t>
      </w:r>
    </w:p>
    <w:p w14:paraId="71765CF1">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 </w:t>
      </w:r>
      <w:r>
        <w:rPr>
          <w:rFonts w:hint="eastAsia" w:ascii="宋体" w:hAnsi="宋体" w:eastAsia="宋体" w:cs="宋体"/>
          <w:color w:val="auto"/>
          <w:sz w:val="24"/>
          <w:szCs w:val="24"/>
          <w:highlight w:val="none"/>
          <w:lang w:val="en-US" w:eastAsia="zh-CN"/>
        </w:rPr>
        <w:t>两年服务期</w:t>
      </w:r>
      <w:r>
        <w:rPr>
          <w:rFonts w:hint="eastAsia" w:ascii="宋体" w:hAnsi="宋体" w:eastAsia="宋体" w:cs="宋体"/>
          <w:color w:val="auto"/>
          <w:sz w:val="24"/>
          <w:szCs w:val="24"/>
          <w:highlight w:val="none"/>
        </w:rPr>
        <w:t>合同暂定总价：￥【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】，其中不含税价款为【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元，</w:t>
      </w:r>
      <w:r>
        <w:rPr>
          <w:rFonts w:hint="eastAsia" w:ascii="宋体" w:hAnsi="宋体" w:eastAsia="宋体" w:cs="宋体"/>
          <w:color w:val="auto"/>
          <w:sz w:val="24"/>
          <w:szCs w:val="24"/>
          <w:highlight w:val="none"/>
          <w:lang w:eastAsia="zh-CN"/>
        </w:rPr>
        <w:t>税费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】元，税率：【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4B14C4F3">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 分项报价清单另附。</w:t>
      </w:r>
    </w:p>
    <w:p w14:paraId="698F5E95">
      <w:pPr>
        <w:keepNext w:val="0"/>
        <w:keepLines w:val="0"/>
        <w:pageBreakBefore w:val="0"/>
        <w:widowControl w:val="0"/>
        <w:numPr>
          <w:ilvl w:val="0"/>
          <w:numId w:val="0"/>
        </w:numPr>
        <w:kinsoku/>
        <w:wordWrap w:val="0"/>
        <w:overflowPunct/>
        <w:topLinePunct w:val="0"/>
        <w:bidi w:val="0"/>
        <w:spacing w:line="460" w:lineRule="exact"/>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4.3  支付方式：</w:t>
      </w:r>
    </w:p>
    <w:p w14:paraId="4A8BB5C8">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4.3.1按月支付，中标人开具增值税专用发票办理服务费用结算。若当月服务不足月，则按天数扣除相应比例。</w:t>
      </w:r>
    </w:p>
    <w:p w14:paraId="431666FA">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综合管理日常考核汇总表》作为中标人每月进度款支付的依据，中标人根据每月检查考核结果提起支付申请，经招标人确认后支付当月的服务费用的90%，余款作为预留款，待合同期结束六个月后根据《项目综合管理考核评分表》的考评结果一次性支付。</w:t>
      </w:r>
    </w:p>
    <w:p w14:paraId="43BD146C">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（1）每月实际支付进度款=月服务费*90%-月度考核扣款-其他扣款；</w:t>
      </w:r>
    </w:p>
    <w:p w14:paraId="17A8A974">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甲方对乙方服务情况进行月度考核和评分，月度考评与月度服务费的支付和奖罚挂钩。月考评分在95分以上则月度服务费按合同约定标准全额正常发放；月考评分在</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分以上95分以下则按每分500元从月度服务费中扣除；月考评分在</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分以下则按每分500元从月度服务费中扣除，并加扣月度服务费用5%；连续两月未满</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分则扣月度服务费用30%并限期整改，如第三月月考评分仍在</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分以下则终止合同。</w:t>
      </w:r>
    </w:p>
    <w:p w14:paraId="2A2D735D">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（2）预留款支付</w:t>
      </w:r>
    </w:p>
    <w:p w14:paraId="43ED7F7E">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合同期内综合考评得分的算术平均值≥90分，全额支付预留款；</w:t>
      </w:r>
    </w:p>
    <w:p w14:paraId="278FDF3A">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80分≤合同期内综合考评得分的算术平均值＜90分，支付预留款的85%；</w:t>
      </w:r>
    </w:p>
    <w:p w14:paraId="6845A525">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70分≤合同期内综合考评得分的算术平均值＜80分，支付预留款的75%；</w:t>
      </w:r>
    </w:p>
    <w:p w14:paraId="673F5E7E">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60分≤合同期内综合考评得分的算术平均值＜70分，支付预留款的65%；</w:t>
      </w:r>
    </w:p>
    <w:p w14:paraId="75EC4949">
      <w:pPr>
        <w:keepNext w:val="0"/>
        <w:keepLines w:val="0"/>
        <w:pageBreakBefore w:val="0"/>
        <w:widowControl w:val="0"/>
        <w:numPr>
          <w:ilvl w:val="0"/>
          <w:numId w:val="0"/>
        </w:numPr>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合同期内综合考评得分的算术平均值＜60分，扣除全部预留款，支付金额为零。</w:t>
      </w:r>
    </w:p>
    <w:p w14:paraId="71E935FE">
      <w:pPr>
        <w:keepNext w:val="0"/>
        <w:keepLines w:val="0"/>
        <w:pageBreakBefore w:val="0"/>
        <w:widowControl w:val="0"/>
        <w:kinsoku/>
        <w:wordWrap w:val="0"/>
        <w:overflowPunct/>
        <w:topLinePunct w:val="0"/>
        <w:autoSpaceDE w:val="0"/>
        <w:autoSpaceDN w:val="0"/>
        <w:bidi w:val="0"/>
        <w:adjustRightInd w:val="0"/>
        <w:snapToGrid w:val="0"/>
        <w:spacing w:line="460" w:lineRule="exact"/>
        <w:ind w:right="0" w:firstLine="542" w:firstLineChars="225"/>
        <w:jc w:val="left"/>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color w:val="auto"/>
          <w:kern w:val="0"/>
          <w:sz w:val="24"/>
          <w:szCs w:val="24"/>
          <w:highlight w:val="none"/>
          <w:lang w:bidi="ar"/>
        </w:rPr>
        <w:t>五、</w:t>
      </w:r>
      <w:r>
        <w:rPr>
          <w:rFonts w:hint="eastAsia" w:ascii="宋体" w:hAnsi="宋体" w:eastAsia="宋体" w:cs="宋体"/>
          <w:b/>
          <w:color w:val="auto"/>
          <w:kern w:val="44"/>
          <w:sz w:val="24"/>
          <w:szCs w:val="24"/>
          <w:highlight w:val="none"/>
        </w:rPr>
        <w:t>双方的权利与义务</w:t>
      </w:r>
    </w:p>
    <w:p w14:paraId="49BE9CD7">
      <w:pPr>
        <w:keepNext w:val="0"/>
        <w:keepLines w:val="0"/>
        <w:pageBreakBefore w:val="0"/>
        <w:widowControl w:val="0"/>
        <w:kinsoku/>
        <w:wordWrap w:val="0"/>
        <w:overflowPunct/>
        <w:topLinePunct w:val="0"/>
        <w:autoSpaceDE w:val="0"/>
        <w:autoSpaceDN w:val="0"/>
        <w:bidi w:val="0"/>
        <w:adjustRightInd w:val="0"/>
        <w:snapToGrid w:val="0"/>
        <w:spacing w:line="460" w:lineRule="exact"/>
        <w:ind w:right="0"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5.1</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 w:val="24"/>
          <w:szCs w:val="24"/>
          <w:highlight w:val="none"/>
        </w:rPr>
        <w:t>甲方的权利与义务</w:t>
      </w:r>
    </w:p>
    <w:p w14:paraId="4BCE8053">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bCs/>
          <w:color w:val="auto"/>
          <w:sz w:val="24"/>
          <w:szCs w:val="24"/>
          <w:highlight w:val="none"/>
        </w:rPr>
      </w:pPr>
      <w:bookmarkStart w:id="114" w:name="_Toc306782723"/>
      <w:bookmarkStart w:id="115" w:name="_Toc248131474"/>
      <w:r>
        <w:rPr>
          <w:rFonts w:hint="eastAsia" w:ascii="宋体" w:hAnsi="宋体" w:eastAsia="宋体" w:cs="宋体"/>
          <w:bCs/>
          <w:color w:val="auto"/>
          <w:sz w:val="24"/>
          <w:szCs w:val="24"/>
          <w:highlight w:val="none"/>
        </w:rPr>
        <w:t xml:space="preserve">5.1.1 </w:t>
      </w:r>
      <w:r>
        <w:rPr>
          <w:rFonts w:hint="eastAsia" w:ascii="宋体" w:hAnsi="宋体" w:eastAsia="宋体" w:cs="宋体"/>
          <w:color w:val="auto"/>
          <w:sz w:val="24"/>
          <w:szCs w:val="24"/>
          <w:highlight w:val="none"/>
        </w:rPr>
        <w:t>甲方对本项目的实施进行统一管理，并负责与相关部门的联络及总体协调工作。</w:t>
      </w:r>
      <w:bookmarkEnd w:id="114"/>
      <w:bookmarkEnd w:id="115"/>
    </w:p>
    <w:p w14:paraId="14F4B3A2">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 监督检查服务质量，负责进度款的支付等。</w:t>
      </w:r>
    </w:p>
    <w:p w14:paraId="709261AA">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 根据实际需要，对现场布置进行调整。</w:t>
      </w:r>
    </w:p>
    <w:p w14:paraId="3806056E">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 如乙方不按合同要求进行服务，甲方可勒令乙方暂停服务，待整改完毕后报甲方并经同意后方可复工，由此造成的损失由乙方承担。</w:t>
      </w:r>
    </w:p>
    <w:p w14:paraId="42A8248F">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乙方的权利与义务</w:t>
      </w:r>
    </w:p>
    <w:p w14:paraId="4BA2413F">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本项目</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项目负责人（经理）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项目负责人（经理）</w:t>
      </w:r>
      <w:r>
        <w:rPr>
          <w:rFonts w:hint="eastAsia" w:ascii="宋体" w:hAnsi="宋体" w:eastAsia="宋体" w:cs="宋体"/>
          <w:color w:val="auto"/>
          <w:sz w:val="24"/>
          <w:szCs w:val="24"/>
          <w:highlight w:val="none"/>
        </w:rPr>
        <w:t>即为乙方本项目总代表，代表乙方行使合同约定的权利，履行合同约定的义务。乙方的要求、通知，均以书面形式由乙方</w:t>
      </w:r>
      <w:r>
        <w:rPr>
          <w:rFonts w:hint="eastAsia" w:ascii="宋体" w:hAnsi="宋体" w:eastAsia="宋体" w:cs="宋体"/>
          <w:color w:val="auto"/>
          <w:sz w:val="24"/>
          <w:szCs w:val="24"/>
          <w:highlight w:val="none"/>
          <w:lang w:val="en-US" w:eastAsia="zh-CN"/>
        </w:rPr>
        <w:t>项目负责人（经理）</w:t>
      </w:r>
      <w:r>
        <w:rPr>
          <w:rFonts w:hint="eastAsia" w:ascii="宋体" w:hAnsi="宋体" w:eastAsia="宋体" w:cs="宋体"/>
          <w:color w:val="auto"/>
          <w:sz w:val="24"/>
          <w:szCs w:val="24"/>
          <w:highlight w:val="none"/>
        </w:rPr>
        <w:t>签字加盖乙方公章后递交甲方。未经甲方批准不得更换。</w:t>
      </w:r>
    </w:p>
    <w:p w14:paraId="36FAE2A0">
      <w:pPr>
        <w:keepNext w:val="0"/>
        <w:keepLines w:val="0"/>
        <w:pageBreakBefore w:val="0"/>
        <w:widowControl w:val="0"/>
        <w:kinsoku/>
        <w:wordWrap w:val="0"/>
        <w:overflowPunct/>
        <w:topLinePunct w:val="0"/>
        <w:autoSpaceDE w:val="0"/>
        <w:autoSpaceDN w:val="0"/>
        <w:bidi w:val="0"/>
        <w:adjustRightInd w:val="0"/>
        <w:spacing w:line="460" w:lineRule="exact"/>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乙方应按本合同约定的内容和时间，完成下列工作：</w:t>
      </w:r>
    </w:p>
    <w:p w14:paraId="109A2E63">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）乙方应按照本合同约定，全面、准确、按时履行合同，</w:t>
      </w:r>
      <w:r>
        <w:rPr>
          <w:rFonts w:hint="eastAsia" w:ascii="宋体" w:hAnsi="宋体" w:eastAsia="宋体" w:cs="宋体"/>
          <w:color w:val="auto"/>
          <w:sz w:val="24"/>
          <w:szCs w:val="24"/>
          <w:highlight w:val="none"/>
        </w:rPr>
        <w:t>对全部现场服务的适用性、可靠性和安全性承担全部责任。</w:t>
      </w:r>
    </w:p>
    <w:p w14:paraId="7B0A7383">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（2）乙方服从甲方的总体部署，接受甲方指导和督促。</w:t>
      </w:r>
    </w:p>
    <w:p w14:paraId="3D614E27">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（3）乙方应按甲方要求及时提交各类报表台账、维修记录、巡查日志等资料，并保证资料的完整性和真实性。</w:t>
      </w:r>
    </w:p>
    <w:p w14:paraId="14D40943">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（4）乙方应遵守政府有关安全的法律、条例和安全操作规则，建立安全保证体系，按要求提供照明、警卫、围栏、警告标志等安全防护措施，并承担由于其安全措施不得利而造成的安全事故的责任和费用。</w:t>
      </w:r>
    </w:p>
    <w:p w14:paraId="69D149E5">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对其现场人员的安全负一切责任，若发生安全事故，乙方应第一时间内无条件对其受伤人员安全负一切费用，事后根据事故原因追究责任。若事故为乙方引起，乙方应承担对甲方造成的一切损失；若出现意外伤亡，全部由乙方自行承担。若工伤事故处理不及时或不妥当，由此给甲方造成的一切经济损失均从进度款中予以扣除，乙方对此无条件接受。</w:t>
      </w:r>
    </w:p>
    <w:p w14:paraId="10C3BA76">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支付的进度款，乙方须优先用于支付工人劳动报酬。乙方作为用人单位，需与劳动者签订劳动合同，缴纳社会保险等社会福利及支付工人工资；若因工资发放与工人发生纠纷的，与甲方无关。若发生劳动纠纷，乙方须妥善解决并不得影响甲方正常的生产经营，因此造成一切损失由乙方承担。</w:t>
      </w:r>
    </w:p>
    <w:p w14:paraId="6FFB23EC">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组织、策划、指挥指使默许工人（含所雇人员）向有关部门投诉、控告、检举或聚集、闹事等，并应积极预防、组织上述情况发生。若每发生一次，甲方可从乙方进度款中扣除1万元作为违约金。甲方有权视情况严重程度每次额外追究乙方2万元违约金。</w:t>
      </w:r>
    </w:p>
    <w:p w14:paraId="2445FF8F">
      <w:pPr>
        <w:keepNext w:val="0"/>
        <w:keepLines w:val="0"/>
        <w:pageBreakBefore w:val="0"/>
        <w:widowControl w:val="0"/>
        <w:kinsoku/>
        <w:wordWrap w:val="0"/>
        <w:overflowPunct/>
        <w:topLinePunct w:val="0"/>
        <w:autoSpaceDE w:val="0"/>
        <w:autoSpaceDN w:val="0"/>
        <w:bidi w:val="0"/>
        <w:adjustRightInd w:val="0"/>
        <w:snapToGrid w:val="0"/>
        <w:spacing w:line="460" w:lineRule="exact"/>
        <w:ind w:right="0" w:firstLine="540" w:firstLineChars="2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负责将自己的范围内垃圾运到管理单位指定的垃圾堆放点，负责清运指定堆放点的垃圾，如发现乙方的垃圾乱放，作业面清理不到位，则甲方有权另行委托其它作业队将作业面清理后，所发生的人工费、机械费将在乙方进度款中扣除。</w:t>
      </w:r>
    </w:p>
    <w:p w14:paraId="1C418807">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不得将转包或者再次分包，否则，经查实甲方有权单方面解除合同。乙方须在24小时内退场（现场清理干净，人员及机械撤离现场，并做好现场的交接工作，否则不予结算进度款），并按本年度合同价的10%向甲方支付违约金，如果甲方因此遭受损失，一切损失赔偿责任均由乙方承担。</w:t>
      </w:r>
    </w:p>
    <w:p w14:paraId="0A2B25F3">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（10）乙方需在甲方通知进场后完成本项目服务的人员和设备进场准备（具体进驻时间以招标人通知为准）。</w:t>
      </w:r>
    </w:p>
    <w:p w14:paraId="5C98DD33">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(11)乙方须遵守各项法律法规、项目管理制度与规约，承担本项目的委托服务事项，达到委托服务要求工作质量标准。</w:t>
      </w:r>
    </w:p>
    <w:p w14:paraId="4C802623">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（12）乙方每班到岗数量、质量不低于委托合同及招标文件约定，执行岗位职责、工作计划，服务质量标准不得低于招标文件约定。</w:t>
      </w:r>
    </w:p>
    <w:p w14:paraId="3059A2E1">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（13）乙方应自行租赁办公场所，并配备办公类设备（办公桌椅、固定电话、电脑，打印机等办公设施），配备设备和工具。</w:t>
      </w:r>
    </w:p>
    <w:p w14:paraId="72EBF767">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（14）因乙方管理不善，造成工作范围内的设施、设备、景观等损坏的，由乙方负责赔偿损失，情节严重的可终止合同甚至诉诸法律。</w:t>
      </w:r>
    </w:p>
    <w:p w14:paraId="6B014431">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在签订合同后有一个月的试用期，若在试用期间该单位所提供的服务能达到招标文件规定的标准及其承诺或缺编缺勤现象发生不超过3次，则该合同继续进行；若在此期间内乙方所提供的服务未能达到招标文件规定的标准或其投标承诺，则甲方可以无条件终止合同。试用期自合同签订后实际进场之日起开始计算。</w:t>
      </w:r>
    </w:p>
    <w:p w14:paraId="176E0631">
      <w:pPr>
        <w:keepNext w:val="0"/>
        <w:keepLines w:val="0"/>
        <w:pageBreakBefore w:val="0"/>
        <w:widowControl w:val="0"/>
        <w:kinsoku/>
        <w:wordWrap w:val="0"/>
        <w:overflowPunct/>
        <w:topLinePunct w:val="0"/>
        <w:bidi w:val="0"/>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（16）节假日，遇突击任务及重大活动时，乙方应无条件按甲方要求完成服务。</w:t>
      </w:r>
    </w:p>
    <w:p w14:paraId="19A08CDC">
      <w:pPr>
        <w:keepNext w:val="0"/>
        <w:keepLines w:val="0"/>
        <w:pageBreakBefore w:val="0"/>
        <w:widowControl w:val="0"/>
        <w:kinsoku/>
        <w:wordWrap w:val="0"/>
        <w:overflowPunct/>
        <w:topLinePunct w:val="0"/>
        <w:autoSpaceDE/>
        <w:autoSpaceDN/>
        <w:bidi w:val="0"/>
        <w:adjustRightInd/>
        <w:snapToGrid/>
        <w:spacing w:line="460" w:lineRule="exact"/>
        <w:ind w:right="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六、相关管理要求</w:t>
      </w:r>
    </w:p>
    <w:p w14:paraId="7E577AB5">
      <w:pPr>
        <w:keepNext w:val="0"/>
        <w:keepLines w:val="0"/>
        <w:pageBreakBefore w:val="0"/>
        <w:widowControl w:val="0"/>
        <w:kinsoku/>
        <w:wordWrap w:val="0"/>
        <w:overflowPunct/>
        <w:topLinePunct w:val="0"/>
        <w:autoSpaceDE/>
        <w:autoSpaceDN/>
        <w:bidi w:val="0"/>
        <w:adjustRightInd/>
        <w:snapToGrid/>
        <w:spacing w:line="460" w:lineRule="exact"/>
        <w:ind w:right="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bidi="ar"/>
        </w:rPr>
        <w:t>6.1</w:t>
      </w:r>
      <w:r>
        <w:rPr>
          <w:rFonts w:hint="eastAsia" w:ascii="宋体" w:hAnsi="宋体" w:eastAsia="宋体" w:cs="宋体"/>
          <w:b/>
          <w:bCs w:val="0"/>
          <w:color w:val="auto"/>
          <w:sz w:val="24"/>
          <w:szCs w:val="24"/>
          <w:highlight w:val="none"/>
        </w:rPr>
        <w:t>人员配置基本要求</w:t>
      </w:r>
    </w:p>
    <w:p w14:paraId="0CE56D20">
      <w:pPr>
        <w:keepNext w:val="0"/>
        <w:keepLines w:val="0"/>
        <w:pageBreakBefore w:val="0"/>
        <w:widowControl w:val="0"/>
        <w:kinsoku/>
        <w:wordWrap w:val="0"/>
        <w:overflowPunct/>
        <w:topLinePunct w:val="0"/>
        <w:autoSpaceDE/>
        <w:autoSpaceDN/>
        <w:bidi w:val="0"/>
        <w:adjustRightInd/>
        <w:snapToGrid/>
        <w:spacing w:line="460" w:lineRule="exact"/>
        <w:ind w:right="0" w:firstLine="482" w:firstLineChars="200"/>
        <w:textAlignment w:val="auto"/>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按招标文件第五章《采购需求》执行</w:t>
      </w:r>
    </w:p>
    <w:p w14:paraId="36A7C63B">
      <w:pPr>
        <w:keepNext w:val="0"/>
        <w:keepLines w:val="0"/>
        <w:pageBreakBefore w:val="0"/>
        <w:widowControl w:val="0"/>
        <w:kinsoku/>
        <w:wordWrap w:val="0"/>
        <w:overflowPunct/>
        <w:topLinePunct w:val="0"/>
        <w:autoSpaceDE/>
        <w:autoSpaceDN/>
        <w:bidi w:val="0"/>
        <w:adjustRightInd/>
        <w:snapToGrid/>
        <w:spacing w:line="460" w:lineRule="exact"/>
        <w:ind w:right="0" w:firstLine="482" w:firstLineChars="200"/>
        <w:textAlignment w:val="auto"/>
        <w:rPr>
          <w:rFonts w:hint="eastAsia" w:ascii="宋体" w:hAnsi="宋体" w:eastAsia="宋体" w:cs="宋体"/>
          <w:b/>
          <w:bCs w:val="0"/>
          <w:color w:val="auto"/>
          <w:sz w:val="24"/>
          <w:szCs w:val="24"/>
          <w:highlight w:val="none"/>
          <w:lang w:bidi="ar"/>
        </w:rPr>
      </w:pPr>
      <w:r>
        <w:rPr>
          <w:rFonts w:hint="eastAsia" w:ascii="宋体" w:hAnsi="宋体" w:eastAsia="宋体" w:cs="宋体"/>
          <w:b/>
          <w:bCs w:val="0"/>
          <w:color w:val="auto"/>
          <w:sz w:val="24"/>
          <w:szCs w:val="24"/>
          <w:highlight w:val="none"/>
          <w:lang w:bidi="ar"/>
        </w:rPr>
        <w:t>6.2</w:t>
      </w:r>
      <w:r>
        <w:rPr>
          <w:rFonts w:hint="eastAsia" w:ascii="宋体" w:hAnsi="宋体" w:eastAsia="宋体" w:cs="宋体"/>
          <w:b/>
          <w:bCs w:val="0"/>
          <w:color w:val="auto"/>
          <w:sz w:val="24"/>
          <w:szCs w:val="24"/>
          <w:highlight w:val="none"/>
          <w:lang w:val="en-US" w:eastAsia="zh-CN" w:bidi="ar"/>
        </w:rPr>
        <w:t>设备配置</w:t>
      </w:r>
      <w:r>
        <w:rPr>
          <w:rFonts w:hint="eastAsia" w:ascii="宋体" w:hAnsi="宋体" w:eastAsia="宋体" w:cs="宋体"/>
          <w:b/>
          <w:bCs w:val="0"/>
          <w:color w:val="auto"/>
          <w:sz w:val="24"/>
          <w:szCs w:val="24"/>
          <w:highlight w:val="none"/>
          <w:lang w:bidi="ar"/>
        </w:rPr>
        <w:t xml:space="preserve"> </w:t>
      </w:r>
    </w:p>
    <w:p w14:paraId="6DDAE9BA">
      <w:pPr>
        <w:keepNext w:val="0"/>
        <w:keepLines w:val="0"/>
        <w:pageBreakBefore w:val="0"/>
        <w:widowControl w:val="0"/>
        <w:kinsoku/>
        <w:wordWrap w:val="0"/>
        <w:overflowPunct/>
        <w:topLinePunct w:val="0"/>
        <w:autoSpaceDE/>
        <w:autoSpaceDN/>
        <w:bidi w:val="0"/>
        <w:adjustRightInd/>
        <w:snapToGrid/>
        <w:spacing w:line="460" w:lineRule="exact"/>
        <w:ind w:right="0" w:firstLine="482" w:firstLineChars="200"/>
        <w:textAlignment w:val="auto"/>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按招标文件第五章《采购需求》执行</w:t>
      </w:r>
    </w:p>
    <w:p w14:paraId="29D06978">
      <w:pPr>
        <w:keepNext w:val="0"/>
        <w:keepLines w:val="0"/>
        <w:pageBreakBefore w:val="0"/>
        <w:widowControl w:val="0"/>
        <w:kinsoku/>
        <w:wordWrap w:val="0"/>
        <w:overflowPunct/>
        <w:topLinePunct w:val="0"/>
        <w:autoSpaceDE/>
        <w:autoSpaceDN/>
        <w:bidi w:val="0"/>
        <w:adjustRightInd/>
        <w:snapToGrid/>
        <w:spacing w:line="460" w:lineRule="exact"/>
        <w:ind w:right="0" w:firstLine="482" w:firstLineChars="200"/>
        <w:textAlignment w:val="auto"/>
        <w:rPr>
          <w:rFonts w:hint="eastAsia" w:ascii="宋体" w:hAnsi="宋体" w:eastAsia="宋体" w:cs="宋体"/>
          <w:b/>
          <w:bCs w:val="0"/>
          <w:color w:val="auto"/>
          <w:sz w:val="24"/>
          <w:szCs w:val="24"/>
          <w:highlight w:val="none"/>
          <w:lang w:bidi="ar"/>
        </w:rPr>
      </w:pPr>
      <w:r>
        <w:rPr>
          <w:rFonts w:hint="eastAsia" w:ascii="宋体" w:hAnsi="宋体" w:eastAsia="宋体" w:cs="宋体"/>
          <w:b/>
          <w:bCs w:val="0"/>
          <w:color w:val="auto"/>
          <w:sz w:val="24"/>
          <w:szCs w:val="24"/>
          <w:highlight w:val="none"/>
          <w:lang w:bidi="ar"/>
        </w:rPr>
        <w:t>6.3违约责任</w:t>
      </w:r>
    </w:p>
    <w:p w14:paraId="43FFAC7C">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bidi="ar"/>
        </w:rPr>
        <w:t>若乙方在服务期间，违反下列规定将解除合同，并扣除履约保证金。</w:t>
      </w:r>
    </w:p>
    <w:p w14:paraId="2E9ED60C">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bidi="ar"/>
        </w:rPr>
        <w:t>1）服务转包或变相转包的。</w:t>
      </w:r>
    </w:p>
    <w:p w14:paraId="65423A39">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bidi="ar"/>
        </w:rPr>
        <w:t>2）违反合同约定，降低服务质量或导致甲方其他方面的损害，经甲方书面警告仍无效的。</w:t>
      </w:r>
    </w:p>
    <w:p w14:paraId="4B18F938">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bidi="ar"/>
        </w:rPr>
        <w:t>3）月考核分低于</w:t>
      </w:r>
      <w:r>
        <w:rPr>
          <w:rFonts w:hint="eastAsia" w:ascii="宋体" w:hAnsi="宋体" w:cs="宋体"/>
          <w:b w:val="0"/>
          <w:bCs/>
          <w:color w:val="auto"/>
          <w:sz w:val="24"/>
          <w:szCs w:val="24"/>
          <w:highlight w:val="none"/>
          <w:lang w:val="en-US" w:eastAsia="zh-CN" w:bidi="ar"/>
        </w:rPr>
        <w:t>80</w:t>
      </w:r>
      <w:r>
        <w:rPr>
          <w:rFonts w:hint="eastAsia" w:ascii="宋体" w:hAnsi="宋体" w:eastAsia="宋体" w:cs="宋体"/>
          <w:b w:val="0"/>
          <w:bCs/>
          <w:color w:val="auto"/>
          <w:sz w:val="24"/>
          <w:szCs w:val="24"/>
          <w:highlight w:val="none"/>
          <w:lang w:bidi="ar"/>
        </w:rPr>
        <w:t>分，经甲方书面警告后乙方整改仍无法达标的。</w:t>
      </w:r>
    </w:p>
    <w:p w14:paraId="20A870D8">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bidi="ar"/>
        </w:rPr>
        <w:t>4）甲方发出同一整改通知项连续二次仍未整改到位的。</w:t>
      </w:r>
    </w:p>
    <w:p w14:paraId="7CB141A3">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bidi="ar"/>
        </w:rPr>
        <w:t>5）在国家、省、市、区等各级检查和创优等物业管理与服务质量评比过程中，本服务类别未能达标的。</w:t>
      </w:r>
    </w:p>
    <w:p w14:paraId="5D0312B0">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b w:val="0"/>
          <w:bCs/>
          <w:color w:val="auto"/>
          <w:sz w:val="24"/>
          <w:szCs w:val="24"/>
          <w:highlight w:val="none"/>
          <w:lang w:bidi="ar"/>
        </w:rPr>
      </w:pPr>
      <w:r>
        <w:rPr>
          <w:rFonts w:hint="eastAsia" w:ascii="宋体" w:hAnsi="宋体" w:eastAsia="宋体" w:cs="宋体"/>
          <w:b w:val="0"/>
          <w:bCs/>
          <w:color w:val="auto"/>
          <w:sz w:val="24"/>
          <w:szCs w:val="24"/>
          <w:highlight w:val="none"/>
          <w:lang w:bidi="ar"/>
        </w:rPr>
        <w:t>6）客户有效投诉三次及以上者。</w:t>
      </w:r>
    </w:p>
    <w:p w14:paraId="484D44DA">
      <w:pPr>
        <w:keepNext w:val="0"/>
        <w:keepLines w:val="0"/>
        <w:pageBreakBefore w:val="0"/>
        <w:widowControl w:val="0"/>
        <w:kinsoku/>
        <w:wordWrap w:val="0"/>
        <w:overflowPunct/>
        <w:topLinePunct w:val="0"/>
        <w:autoSpaceDE/>
        <w:autoSpaceDN/>
        <w:bidi w:val="0"/>
        <w:adjustRightInd/>
        <w:snapToGrid/>
        <w:spacing w:line="460" w:lineRule="exact"/>
        <w:ind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七、保险</w:t>
      </w:r>
    </w:p>
    <w:p w14:paraId="7A762B9E">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负责办理乙方服务期间现场人员的生命财产、现场使用设施、设备的保险，并支付相应的费用，该费用已含在合同价款中。因乙方原因造成的任何事故（包括第三者人员在内）所发生的依法应支付的损失、赔偿费、补偿费用等，由乙方承担。</w:t>
      </w:r>
    </w:p>
    <w:p w14:paraId="33B63366">
      <w:pPr>
        <w:keepNext w:val="0"/>
        <w:keepLines w:val="0"/>
        <w:pageBreakBefore w:val="0"/>
        <w:widowControl w:val="0"/>
        <w:kinsoku/>
        <w:wordWrap w:val="0"/>
        <w:overflowPunct/>
        <w:topLinePunct w:val="0"/>
        <w:autoSpaceDE/>
        <w:autoSpaceDN/>
        <w:bidi w:val="0"/>
        <w:adjustRightInd/>
        <w:snapToGrid/>
        <w:spacing w:line="460" w:lineRule="exact"/>
        <w:ind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八、履约保证金</w:t>
      </w:r>
    </w:p>
    <w:p w14:paraId="0120BB69">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为保证本项目服务正常进行和合同的顺利履行，乙方同意向甲方交纳履约保证金【</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p w14:paraId="0ED1CC38">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履约保证金的退还</w:t>
      </w:r>
    </w:p>
    <w:p w14:paraId="5FA9C555">
      <w:pPr>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本服务合同到期后【30】个工作日内，乙方提出书面请求，经甲方公司主要领导审签后，甲方按照合同条款处理完毕并扣除相应保证金（如有扣除项）后，将剩余保证金无息返还乙方。</w:t>
      </w:r>
    </w:p>
    <w:p w14:paraId="6581BCBD">
      <w:pPr>
        <w:keepNext w:val="0"/>
        <w:keepLines w:val="0"/>
        <w:pageBreakBefore w:val="0"/>
        <w:widowControl w:val="0"/>
        <w:kinsoku/>
        <w:wordWrap w:val="0"/>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color w:val="auto"/>
          <w:sz w:val="28"/>
          <w:szCs w:val="28"/>
          <w:highlight w:val="none"/>
          <w:lang w:val="en-US" w:eastAsia="zh-CN"/>
        </w:rPr>
        <w:sectPr>
          <w:footerReference r:id="rId5" w:type="default"/>
          <w:pgSz w:w="11906" w:h="16839"/>
          <w:pgMar w:top="1417" w:right="1417" w:bottom="1417" w:left="1417" w:header="850" w:footer="958" w:gutter="0"/>
          <w:pgNumType w:fmt="decimal" w:start="1"/>
          <w:cols w:space="0" w:num="1"/>
          <w:rtlGutter w:val="0"/>
          <w:docGrid w:linePitch="0" w:charSpace="0"/>
        </w:sect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服务考核</w:t>
      </w:r>
    </w:p>
    <w:tbl>
      <w:tblPr>
        <w:tblStyle w:val="35"/>
        <w:tblW w:w="143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4"/>
        <w:gridCol w:w="654"/>
        <w:gridCol w:w="2085"/>
        <w:gridCol w:w="872"/>
        <w:gridCol w:w="6267"/>
        <w:gridCol w:w="1511"/>
        <w:gridCol w:w="1494"/>
      </w:tblGrid>
      <w:tr w14:paraId="73D4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327" w:type="dxa"/>
            <w:gridSpan w:val="7"/>
            <w:tcBorders>
              <w:top w:val="nil"/>
              <w:left w:val="nil"/>
              <w:bottom w:val="nil"/>
              <w:right w:val="nil"/>
            </w:tcBorders>
            <w:shd w:val="clear" w:color="auto" w:fill="auto"/>
            <w:noWrap/>
            <w:vAlign w:val="center"/>
          </w:tcPr>
          <w:p w14:paraId="5E9131C2">
            <w:pPr>
              <w:keepNext w:val="0"/>
              <w:keepLines w:val="0"/>
              <w:widowControl/>
              <w:suppressLineNumbers w:val="0"/>
              <w:kinsoku/>
              <w:wordWrap w:val="0"/>
              <w:overflowPunct/>
              <w:topLinePunct w:val="0"/>
              <w:bidi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考评标准</w:t>
            </w:r>
          </w:p>
        </w:tc>
      </w:tr>
      <w:tr w14:paraId="3B4F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098" w:type="dxa"/>
            <w:gridSpan w:val="2"/>
            <w:tcBorders>
              <w:top w:val="single" w:color="000000" w:sz="8" w:space="0"/>
              <w:left w:val="single" w:color="000000" w:sz="8" w:space="0"/>
              <w:bottom w:val="single" w:color="000000" w:sz="4" w:space="0"/>
              <w:right w:val="single" w:color="000000" w:sz="4" w:space="0"/>
            </w:tcBorders>
            <w:shd w:val="clear" w:color="auto" w:fill="auto"/>
            <w:noWrap/>
            <w:vAlign w:val="center"/>
          </w:tcPr>
          <w:p w14:paraId="0EAFAA61">
            <w:pPr>
              <w:keepNext w:val="0"/>
              <w:keepLines w:val="0"/>
              <w:widowControl/>
              <w:suppressLineNumbers w:val="0"/>
              <w:kinsoku/>
              <w:wordWrap w:val="0"/>
              <w:overflowPunct/>
              <w:topLinePunct w:val="0"/>
              <w:bidi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大项</w:t>
            </w:r>
          </w:p>
        </w:tc>
        <w:tc>
          <w:tcPr>
            <w:tcW w:w="2957"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DF18B9">
            <w:pPr>
              <w:keepNext w:val="0"/>
              <w:keepLines w:val="0"/>
              <w:widowControl/>
              <w:suppressLineNumbers w:val="0"/>
              <w:kinsoku/>
              <w:wordWrap w:val="0"/>
              <w:overflowPunct/>
              <w:topLinePunct w:val="0"/>
              <w:bidi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中项</w:t>
            </w:r>
          </w:p>
        </w:tc>
        <w:tc>
          <w:tcPr>
            <w:tcW w:w="626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DFD6AC">
            <w:pPr>
              <w:keepNext w:val="0"/>
              <w:keepLines w:val="0"/>
              <w:widowControl/>
              <w:suppressLineNumbers w:val="0"/>
              <w:kinsoku/>
              <w:wordWrap w:val="0"/>
              <w:overflowPunct/>
              <w:topLinePunct w:val="0"/>
              <w:bidi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检查子项</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E5E093">
            <w:pPr>
              <w:keepNext w:val="0"/>
              <w:keepLines w:val="0"/>
              <w:widowControl/>
              <w:suppressLineNumbers w:val="0"/>
              <w:kinsoku/>
              <w:wordWrap w:val="0"/>
              <w:overflowPunct/>
              <w:topLinePunct w:val="0"/>
              <w:bidi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扣分标准</w:t>
            </w:r>
          </w:p>
        </w:tc>
        <w:tc>
          <w:tcPr>
            <w:tcW w:w="149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4F75D58">
            <w:pPr>
              <w:keepNext w:val="0"/>
              <w:keepLines w:val="0"/>
              <w:widowControl/>
              <w:suppressLineNumbers w:val="0"/>
              <w:kinsoku/>
              <w:wordWrap w:val="0"/>
              <w:overflowPunct/>
              <w:topLinePunct w:val="0"/>
              <w:bidi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扣分情况</w:t>
            </w:r>
          </w:p>
        </w:tc>
      </w:tr>
      <w:tr w14:paraId="0E7C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5288F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保安管理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727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C63C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停车场管理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FA5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D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停车秩序管理、交通管制，每起扣2分</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5402">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7FE99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75E9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92ADA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6CE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C48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DCC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4AB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巡查车辆车容车貌好、停放规范</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806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CB29C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4F55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CE8BD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C9A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B949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设施管理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0F66">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E759">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园建设施管理</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B39C">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D72E3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3BC0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24074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513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2135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E3FC">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38F2">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监控、大屏管理</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72B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7FF28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1872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92314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145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680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46BE">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DF8E">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游乐设施管理</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14A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0BD1F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39B6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B75D7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A01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B1C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B14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1F7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照明亮化管理</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723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2807B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2A46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208C7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719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4E76D">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巡查管理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1FB9">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FB8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公共秩序管理、交通管制，每起扣2分</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DB3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6BB775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564F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AE6CE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7E7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ADD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3BF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E86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巡更是否存在漏巡次数、位置情况</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F7A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0EBFAE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6F27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00B21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E8C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13C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183E">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D30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水域巡查管理</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494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25BDC2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0E8E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844AF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E32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5C1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78B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1B4D">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公园内出现流动摊贩摆卖、乞讨等行为</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A6F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B96665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33E2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7B473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33E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DAC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B712">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6C1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是否认真做好交接班、值班巡逻记录</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735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5624D4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4E6E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4706D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C0F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277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A1BC">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7C3C">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是否做好相关保洁配合工作</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59B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27E5A2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1567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D565C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187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83C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0E5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9EF2">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公益广告、小品破损是否及时上报；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对违反绿地管理和损坏设施现象是否及时汇报</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E22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024AE4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283D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B3FC2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A00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CC3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1409">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9826">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安全、消防、用电用水检查</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58C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367F76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610E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2CA7F8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保洁管理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（40分）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20C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C26F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地面精细保洁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3BF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344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道路园路保洁</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3433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CFB98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3C4F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CA10D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2E3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F30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148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14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桥梁保洁</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CF4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A7A9D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534B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01914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EE4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290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DC2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D316">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广场保洁</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8B0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DACD0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4FC9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AFBF8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30C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11A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3026">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4F21">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停车场保洁</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C05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CE97E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3CAD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327E6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00C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976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F3D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1BA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有无卫生死角、盲区</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A86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D7B23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4B7E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90AA2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1733">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8FBD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绿化绿地保洁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B0F1">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0D3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绿地、色块保洁</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3EEB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40ACB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7B23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D072F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D1A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046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F3D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A52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绿地内有明显烟蒂、白色垃圾、落叶、动物粪便等各种杂物</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DE1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415C2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6551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909AC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6AA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3C2D6">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城市家具保洁（10分）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2BC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1B9C">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公共厕所及周边保洁</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DD48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E8A9A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758B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F67F3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AD6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B895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DD43">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8BF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公共厕所设施完好及损坏后是否及时上报</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6FF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0F5B5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67AF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07D27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C94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AE18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CE6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A18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走廊、木栈道、凉亭、栏杆、立柱、木制品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保洁</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13A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6B389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6B16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C2674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886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6D9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0DE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33F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果壳箱清理保洁、果壳箱未放垃圾袋，箱门未关闭或垃圾满溢</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A00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E5679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562C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3235B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E0D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CFC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A21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B4E">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凳、椅、花坛保洁</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448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86186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15F3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14214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DBB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C47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3C86">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CAA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灯具、灯箱、雕塑、指示牌、音箱、公益广告小品保洁</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27B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EB386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5019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AEFDC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783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973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5DDC">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A123">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排水设施管理，雨水箅内有堆积淤泥、落叶</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BCFD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20CA2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1767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4EF02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747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252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3B16">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3C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过水沟有淤泥、落叶及烟蒂等情况</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8E24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7985D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29FB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21D39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474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1D39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2DB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574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垃圾日产日清、收集外运</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AB1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BE155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219A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E167E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B5E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33D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358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931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广告及乱涂乱写乱画</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601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E20FD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0DAC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64F53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023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F1A0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立体屋面保洁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2C9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42B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清除灯杆、树枝、线缆上的空中垃圾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1486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734A0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51CC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213DE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0C5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C8A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4B3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D1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建筑物外立面、窗户玻璃保洁</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3DA3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2E0EF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00E8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5F8CB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D0D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9B7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7621">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555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水域内建筑物支柱、基础、零星景观设施清洁</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2A6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D8EA2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7FC3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6E1DB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30A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508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664E">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EAD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水面保洁</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CC0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D92A3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0EE1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F2B91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8E6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CCE5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DCB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6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C16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水草清理并清运</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7B38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943E8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30C6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7C3FB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14:paraId="739AE16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85" w:type="dxa"/>
            <w:vMerge w:val="restart"/>
            <w:tcBorders>
              <w:top w:val="single" w:color="000000" w:sz="4" w:space="0"/>
              <w:left w:val="single" w:color="000000" w:sz="4" w:space="0"/>
              <w:bottom w:val="nil"/>
              <w:right w:val="single" w:color="000000" w:sz="4" w:space="0"/>
            </w:tcBorders>
            <w:shd w:val="clear" w:color="auto" w:fill="auto"/>
            <w:vAlign w:val="center"/>
          </w:tcPr>
          <w:p w14:paraId="34C7DEB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病媒防治作业（5分）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FC8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B4BE">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捕蝇笼、毒饵站更换补充工作</w:t>
            </w:r>
          </w:p>
        </w:tc>
        <w:tc>
          <w:tcPr>
            <w:tcW w:w="1511" w:type="dxa"/>
            <w:vMerge w:val="restart"/>
            <w:tcBorders>
              <w:top w:val="single" w:color="000000" w:sz="4" w:space="0"/>
              <w:left w:val="single" w:color="000000" w:sz="4" w:space="0"/>
              <w:bottom w:val="nil"/>
              <w:right w:val="single" w:color="000000" w:sz="4" w:space="0"/>
            </w:tcBorders>
            <w:shd w:val="clear" w:color="auto" w:fill="auto"/>
            <w:vAlign w:val="center"/>
          </w:tcPr>
          <w:p w14:paraId="68B15623">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16842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54E8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D00F6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2DCB12D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67E9E9C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ECA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6E3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捕蝇笼、毒饵站药品投放工作</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9BEC2E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ED525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7F2D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A43B7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29730E3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310FCEDA">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71DD">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41CD">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按合同约定完成微生物抑制剂投放及河道驳岸消杀</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7B1925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C43CC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4E58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797A3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32CFE07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28A351F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F36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505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作业时按规定摆放警示牌，病媒物品悬挂温馨提示</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78DBFF4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A315B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48F3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37699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3E889A8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4B6B253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10F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3E1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年度已投放设施保存率</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701009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8B16F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065B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07D3F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43FA3E3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5ECA626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B4A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6267" w:type="dxa"/>
            <w:tcBorders>
              <w:top w:val="single" w:color="000000" w:sz="4" w:space="0"/>
              <w:left w:val="single" w:color="000000" w:sz="4" w:space="0"/>
              <w:bottom w:val="nil"/>
              <w:right w:val="single" w:color="000000" w:sz="4" w:space="0"/>
            </w:tcBorders>
            <w:shd w:val="clear" w:color="auto" w:fill="auto"/>
            <w:vAlign w:val="center"/>
          </w:tcPr>
          <w:p w14:paraId="6CC9066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按要求完成病媒生物防治资料收集汇编</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1643E5F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A7148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2F14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0B7D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4DB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AD91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作业纪律（5分）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A49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827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文明规范着装，仪表仪容，遵守规章制度</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ED3C2">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323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17FB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12C88">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40B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0D1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7C82">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DAC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有无离岗、歇岗、串岗、做与工作无关的事</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B48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CD5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2237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E499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（5分）</w:t>
            </w: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57E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6D52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作业纪律（5分）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6AED">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3E5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是否存在迟到、早退、擅自换岗的情况</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307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19E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656F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88E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9033">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200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870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BF29">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当班期间睡岗、酒后上岗</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E5F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14F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6A57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restart"/>
            <w:tcBorders>
              <w:top w:val="single" w:color="000000" w:sz="4" w:space="0"/>
              <w:left w:val="single" w:color="000000" w:sz="8" w:space="0"/>
              <w:bottom w:val="nil"/>
              <w:right w:val="single" w:color="000000" w:sz="4" w:space="0"/>
            </w:tcBorders>
            <w:shd w:val="clear" w:color="auto" w:fill="auto"/>
            <w:vAlign w:val="center"/>
          </w:tcPr>
          <w:p w14:paraId="2F64933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管理职责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（30分）</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81C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ECCB4">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投诉处置管理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FF7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426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公司或上级部门检查发现通报问题</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08343">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4B16CC">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0562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nil"/>
              <w:right w:val="single" w:color="000000" w:sz="4" w:space="0"/>
            </w:tcBorders>
            <w:shd w:val="clear" w:color="auto" w:fill="auto"/>
            <w:vAlign w:val="center"/>
          </w:tcPr>
          <w:p w14:paraId="1977D61B">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3EC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A82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C0B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DCC">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人员作业与他人发生争执、肢体冲突、辱骂他人、态度恶劣等情况</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7AA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2D30B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74A3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444" w:type="dxa"/>
            <w:vMerge w:val="continue"/>
            <w:tcBorders>
              <w:top w:val="single" w:color="000000" w:sz="4" w:space="0"/>
              <w:left w:val="single" w:color="000000" w:sz="8" w:space="0"/>
              <w:bottom w:val="nil"/>
              <w:right w:val="single" w:color="000000" w:sz="4" w:space="0"/>
            </w:tcBorders>
            <w:shd w:val="clear" w:color="auto" w:fill="auto"/>
            <w:vAlign w:val="center"/>
          </w:tcPr>
          <w:p w14:paraId="2023EB3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1FC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86A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BD0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21E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因中标人工作失误引发的市长热线投诉、索赔等情况，中标人需与投诉、索赔人协商、妥善处理，未妥善处理</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5AC1">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98DAA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46CF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nil"/>
              <w:right w:val="single" w:color="000000" w:sz="4" w:space="0"/>
            </w:tcBorders>
            <w:shd w:val="clear" w:color="auto" w:fill="auto"/>
            <w:vAlign w:val="center"/>
          </w:tcPr>
          <w:p w14:paraId="204BF696">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restart"/>
            <w:tcBorders>
              <w:top w:val="single" w:color="000000" w:sz="4" w:space="0"/>
              <w:left w:val="single" w:color="000000" w:sz="4" w:space="0"/>
              <w:bottom w:val="nil"/>
              <w:right w:val="single" w:color="000000" w:sz="4" w:space="0"/>
            </w:tcBorders>
            <w:shd w:val="clear" w:color="auto" w:fill="auto"/>
            <w:noWrap/>
            <w:vAlign w:val="center"/>
          </w:tcPr>
          <w:p w14:paraId="57885AEC">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85" w:type="dxa"/>
            <w:vMerge w:val="restart"/>
            <w:tcBorders>
              <w:top w:val="single" w:color="000000" w:sz="4" w:space="0"/>
              <w:left w:val="single" w:color="000000" w:sz="4" w:space="0"/>
              <w:bottom w:val="nil"/>
              <w:right w:val="single" w:color="000000" w:sz="4" w:space="0"/>
            </w:tcBorders>
            <w:shd w:val="clear" w:color="auto" w:fill="auto"/>
            <w:vAlign w:val="center"/>
          </w:tcPr>
          <w:p w14:paraId="3305143E">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人员保障体系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8E5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9772">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未按时发放工人工资，若因未按时发放工人工资，引起工人投诉</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471D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w:t>
            </w:r>
          </w:p>
        </w:tc>
        <w:tc>
          <w:tcPr>
            <w:tcW w:w="149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0E295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6888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nil"/>
              <w:right w:val="single" w:color="000000" w:sz="4" w:space="0"/>
            </w:tcBorders>
            <w:shd w:val="clear" w:color="auto" w:fill="auto"/>
            <w:vAlign w:val="center"/>
          </w:tcPr>
          <w:p w14:paraId="3175534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E5A307">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0762D3FD">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909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2042">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是否提供人员组织安排，关键性岗位变动时有无经甲方同意</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F535">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6E181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r w14:paraId="4557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44" w:type="dxa"/>
            <w:vMerge w:val="continue"/>
            <w:tcBorders>
              <w:top w:val="single" w:color="000000" w:sz="4" w:space="0"/>
              <w:left w:val="single" w:color="000000" w:sz="8" w:space="0"/>
              <w:bottom w:val="nil"/>
              <w:right w:val="single" w:color="000000" w:sz="4" w:space="0"/>
            </w:tcBorders>
            <w:shd w:val="clear" w:color="auto" w:fill="auto"/>
            <w:vAlign w:val="center"/>
          </w:tcPr>
          <w:p w14:paraId="40E0DB6E">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37DE">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259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培训管理体系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96B3">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0A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安全培训、月度培训、岗前培训、入职体检落实情况</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187E">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3F3832">
            <w:pPr>
              <w:kinsoku/>
              <w:wordWrap w:val="0"/>
              <w:overflowPunct/>
              <w:topLinePunct w:val="0"/>
              <w:bidi w:val="0"/>
              <w:rPr>
                <w:rFonts w:hint="eastAsia" w:ascii="宋体" w:hAnsi="宋体" w:eastAsia="宋体" w:cs="宋体"/>
                <w:i w:val="0"/>
                <w:iCs w:val="0"/>
                <w:color w:val="auto"/>
                <w:sz w:val="21"/>
                <w:szCs w:val="21"/>
                <w:highlight w:val="none"/>
                <w:u w:val="none"/>
              </w:rPr>
            </w:pPr>
          </w:p>
        </w:tc>
      </w:tr>
      <w:tr w14:paraId="5DD3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444" w:type="dxa"/>
            <w:vMerge w:val="continue"/>
            <w:tcBorders>
              <w:top w:val="single" w:color="000000" w:sz="4" w:space="0"/>
              <w:left w:val="single" w:color="000000" w:sz="8" w:space="0"/>
              <w:bottom w:val="nil"/>
              <w:right w:val="single" w:color="000000" w:sz="4" w:space="0"/>
            </w:tcBorders>
            <w:shd w:val="clear" w:color="auto" w:fill="auto"/>
            <w:vAlign w:val="center"/>
          </w:tcPr>
          <w:p w14:paraId="27DE95C2">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AF75">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85C">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应急保障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807A">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1B9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节假日、重大活动、调研保障、突击任务、雨雪冰冻等特殊天气时需服从招标人安排，除雪除冰、防汛排涝、增加作业人数和频次</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17F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60F1E">
            <w:pPr>
              <w:kinsoku/>
              <w:wordWrap w:val="0"/>
              <w:overflowPunct/>
              <w:topLinePunct w:val="0"/>
              <w:bidi w:val="0"/>
              <w:rPr>
                <w:rFonts w:hint="eastAsia" w:ascii="宋体" w:hAnsi="宋体" w:eastAsia="宋体" w:cs="宋体"/>
                <w:i w:val="0"/>
                <w:iCs w:val="0"/>
                <w:color w:val="auto"/>
                <w:sz w:val="21"/>
                <w:szCs w:val="21"/>
                <w:highlight w:val="none"/>
                <w:u w:val="none"/>
              </w:rPr>
            </w:pPr>
          </w:p>
        </w:tc>
      </w:tr>
      <w:tr w14:paraId="3DED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444" w:type="dxa"/>
            <w:vMerge w:val="continue"/>
            <w:tcBorders>
              <w:top w:val="single" w:color="000000" w:sz="4" w:space="0"/>
              <w:left w:val="single" w:color="000000" w:sz="8" w:space="0"/>
              <w:bottom w:val="nil"/>
              <w:right w:val="single" w:color="000000" w:sz="4" w:space="0"/>
            </w:tcBorders>
            <w:shd w:val="clear" w:color="auto" w:fill="auto"/>
            <w:vAlign w:val="center"/>
          </w:tcPr>
          <w:p w14:paraId="195BC159">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nil"/>
              <w:right w:val="single" w:color="000000" w:sz="4" w:space="0"/>
            </w:tcBorders>
            <w:shd w:val="clear" w:color="auto" w:fill="auto"/>
            <w:noWrap/>
            <w:vAlign w:val="center"/>
          </w:tcPr>
          <w:p w14:paraId="7E6FF217">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85" w:type="dxa"/>
            <w:tcBorders>
              <w:top w:val="single" w:color="000000" w:sz="4" w:space="0"/>
              <w:left w:val="single" w:color="000000" w:sz="4" w:space="0"/>
              <w:bottom w:val="nil"/>
              <w:right w:val="single" w:color="000000" w:sz="4" w:space="0"/>
            </w:tcBorders>
            <w:shd w:val="clear" w:color="auto" w:fill="auto"/>
            <w:vAlign w:val="center"/>
          </w:tcPr>
          <w:p w14:paraId="12D7F80F">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资料台账整理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（2分）</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F000">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86A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未按要求完成月度资料收集汇编</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E2F8">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93D5CD">
            <w:pPr>
              <w:kinsoku/>
              <w:wordWrap w:val="0"/>
              <w:overflowPunct/>
              <w:topLinePunct w:val="0"/>
              <w:bidi w:val="0"/>
              <w:rPr>
                <w:rFonts w:hint="eastAsia" w:ascii="宋体" w:hAnsi="宋体" w:eastAsia="宋体" w:cs="宋体"/>
                <w:i w:val="0"/>
                <w:iCs w:val="0"/>
                <w:color w:val="auto"/>
                <w:sz w:val="21"/>
                <w:szCs w:val="21"/>
                <w:highlight w:val="none"/>
                <w:u w:val="none"/>
              </w:rPr>
            </w:pPr>
          </w:p>
        </w:tc>
      </w:tr>
      <w:tr w14:paraId="5BB6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5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0BAB548B">
            <w:pPr>
              <w:keepNext w:val="0"/>
              <w:keepLines w:val="0"/>
              <w:widowControl/>
              <w:suppressLineNumbers w:val="0"/>
              <w:kinsoku/>
              <w:wordWrap w:val="0"/>
              <w:overflowPunct/>
              <w:topLinePunct w:val="0"/>
              <w:bidi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总得分：</w:t>
            </w:r>
          </w:p>
        </w:tc>
        <w:tc>
          <w:tcPr>
            <w:tcW w:w="626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FED047F">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2F7E040">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c>
          <w:tcPr>
            <w:tcW w:w="1494"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09E0A34">
            <w:pPr>
              <w:kinsoku/>
              <w:wordWrap w:val="0"/>
              <w:overflowPunct/>
              <w:topLinePunct w:val="0"/>
              <w:bidi w:val="0"/>
              <w:jc w:val="center"/>
              <w:rPr>
                <w:rFonts w:hint="eastAsia" w:ascii="宋体" w:hAnsi="宋体" w:eastAsia="宋体" w:cs="宋体"/>
                <w:i w:val="0"/>
                <w:iCs w:val="0"/>
                <w:color w:val="auto"/>
                <w:sz w:val="21"/>
                <w:szCs w:val="21"/>
                <w:highlight w:val="none"/>
                <w:u w:val="none"/>
              </w:rPr>
            </w:pPr>
          </w:p>
        </w:tc>
      </w:tr>
    </w:tbl>
    <w:p w14:paraId="79961DCE">
      <w:pPr>
        <w:kinsoku/>
        <w:wordWrap w:val="0"/>
        <w:overflowPunct/>
        <w:topLinePunct w:val="0"/>
        <w:bidi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甲方对乙方服务情况进行月度考核和评分，月度考评与月度服务费的支付和奖罚挂钩。月考评分在95分以上则</w:t>
      </w:r>
      <w:r>
        <w:rPr>
          <w:rFonts w:hint="eastAsia" w:ascii="宋体" w:hAnsi="宋体" w:cs="宋体"/>
          <w:color w:val="auto"/>
          <w:sz w:val="21"/>
          <w:szCs w:val="21"/>
          <w:highlight w:val="none"/>
          <w:lang w:val="en-US" w:eastAsia="zh-CN"/>
        </w:rPr>
        <w:t>月度</w:t>
      </w:r>
      <w:r>
        <w:rPr>
          <w:rFonts w:hint="eastAsia" w:ascii="宋体" w:hAnsi="宋体" w:eastAsia="宋体" w:cs="宋体"/>
          <w:color w:val="auto"/>
          <w:sz w:val="21"/>
          <w:szCs w:val="21"/>
          <w:highlight w:val="none"/>
          <w:lang w:val="en-US" w:eastAsia="zh-CN"/>
        </w:rPr>
        <w:t>服务费按合同约定标准全额正常发放</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月考评分在</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分以上95分以下则按每分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00元</w:t>
      </w:r>
      <w:r>
        <w:rPr>
          <w:rFonts w:hint="eastAsia" w:ascii="宋体" w:hAnsi="宋体" w:cs="宋体"/>
          <w:color w:val="auto"/>
          <w:sz w:val="21"/>
          <w:szCs w:val="21"/>
          <w:highlight w:val="none"/>
          <w:lang w:val="en-US" w:eastAsia="zh-CN"/>
        </w:rPr>
        <w:t>从月度服务费中扣除；</w:t>
      </w:r>
      <w:r>
        <w:rPr>
          <w:rFonts w:hint="eastAsia" w:ascii="宋体" w:hAnsi="宋体" w:eastAsia="宋体" w:cs="宋体"/>
          <w:color w:val="auto"/>
          <w:sz w:val="21"/>
          <w:szCs w:val="21"/>
          <w:highlight w:val="none"/>
          <w:lang w:val="en-US" w:eastAsia="zh-CN"/>
        </w:rPr>
        <w:t>月考评分在</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分以下则按每分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00元</w:t>
      </w:r>
      <w:r>
        <w:rPr>
          <w:rFonts w:hint="eastAsia" w:ascii="宋体" w:hAnsi="宋体" w:cs="宋体"/>
          <w:color w:val="auto"/>
          <w:sz w:val="21"/>
          <w:szCs w:val="21"/>
          <w:highlight w:val="none"/>
          <w:lang w:val="en-US" w:eastAsia="zh-CN"/>
        </w:rPr>
        <w:t>从月度服务费中扣除，</w:t>
      </w:r>
      <w:r>
        <w:rPr>
          <w:rFonts w:hint="eastAsia" w:ascii="宋体" w:hAnsi="宋体" w:eastAsia="宋体" w:cs="宋体"/>
          <w:color w:val="auto"/>
          <w:sz w:val="21"/>
          <w:szCs w:val="21"/>
          <w:highlight w:val="none"/>
          <w:lang w:val="en-US" w:eastAsia="zh-CN"/>
        </w:rPr>
        <w:t>并加扣月度服务费用5%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连续两月未满</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分则扣月度服务费用30%并限期整改，如第三月月考评分仍在</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分以下则终止合同</w:t>
      </w:r>
      <w:r>
        <w:rPr>
          <w:rFonts w:hint="eastAsia" w:ascii="宋体" w:hAnsi="宋体" w:cs="宋体"/>
          <w:color w:val="auto"/>
          <w:sz w:val="21"/>
          <w:szCs w:val="21"/>
          <w:highlight w:val="none"/>
          <w:lang w:val="en-US" w:eastAsia="zh-CN"/>
        </w:rPr>
        <w:t>。</w:t>
      </w:r>
    </w:p>
    <w:p w14:paraId="0AFAEE02">
      <w:pPr>
        <w:kinsoku/>
        <w:wordWrap w:val="0"/>
        <w:overflowPunct/>
        <w:topLinePunct w:val="0"/>
        <w:bidi w:val="0"/>
        <w:ind w:firstLine="420" w:firstLineChars="200"/>
        <w:rPr>
          <w:rFonts w:hint="default"/>
          <w:color w:val="auto"/>
          <w:highlight w:val="none"/>
          <w:lang w:val="en-US" w:eastAsia="zh-CN"/>
        </w:rPr>
      </w:pPr>
      <w:r>
        <w:rPr>
          <w:rFonts w:hint="eastAsia"/>
          <w:color w:val="auto"/>
          <w:highlight w:val="none"/>
          <w:lang w:val="en-US" w:eastAsia="zh-CN"/>
        </w:rPr>
        <w:t>以上考核表供参考，具体以滁州市苏滁市政公用发展有限公司现行要求为准。</w:t>
      </w:r>
    </w:p>
    <w:p w14:paraId="24072E84">
      <w:pPr>
        <w:pStyle w:val="12"/>
        <w:kinsoku/>
        <w:wordWrap w:val="0"/>
        <w:overflowPunct/>
        <w:topLinePunct w:val="0"/>
        <w:bidi w:val="0"/>
        <w:rPr>
          <w:rFonts w:hint="eastAsia"/>
          <w:color w:val="auto"/>
          <w:highlight w:val="none"/>
          <w:lang w:val="en-US" w:eastAsia="zh-CN"/>
        </w:rPr>
      </w:pPr>
    </w:p>
    <w:p w14:paraId="0EE052F1">
      <w:pPr>
        <w:kinsoku/>
        <w:wordWrap w:val="0"/>
        <w:overflowPunct/>
        <w:topLinePunct w:val="0"/>
        <w:bidi w:val="0"/>
        <w:rPr>
          <w:rFonts w:hint="eastAsia"/>
          <w:color w:val="auto"/>
          <w:highlight w:val="none"/>
          <w:lang w:val="en-US" w:eastAsia="zh-CN"/>
        </w:rPr>
        <w:sectPr>
          <w:pgSz w:w="16839" w:h="11906" w:orient="landscape"/>
          <w:pgMar w:top="1206" w:right="1416" w:bottom="1134" w:left="1170" w:header="850" w:footer="956" w:gutter="0"/>
          <w:pgNumType w:fmt="decimal"/>
          <w:cols w:space="720" w:num="1"/>
        </w:sectPr>
      </w:pPr>
    </w:p>
    <w:p w14:paraId="40C8700B">
      <w:pPr>
        <w:kinsoku/>
        <w:wordWrap w:val="0"/>
        <w:overflowPunct/>
        <w:topLinePunct w:val="0"/>
        <w:bidi w:val="0"/>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十、本合同经双方签字并盖章后生效。本合同一式【陆】份，甲方持【肆】份，乙方持【贰】份，各份具有同等法律效力。本合同未尽事宜，由合同双方另行协商签订补充协议，补充协议与本合同具有同等法律效力</w:t>
      </w:r>
    </w:p>
    <w:p w14:paraId="5C721A1A">
      <w:pPr>
        <w:kinsoku/>
        <w:wordWrap w:val="0"/>
        <w:overflowPunct/>
        <w:topLinePunct w:val="0"/>
        <w:bidi w:val="0"/>
        <w:spacing w:line="360" w:lineRule="auto"/>
        <w:ind w:firstLine="480" w:firstLineChars="200"/>
        <w:rPr>
          <w:rFonts w:ascii="仿宋_GB2312" w:hAnsi="仿宋_GB2312" w:eastAsia="仿宋_GB2312" w:cs="仿宋_GB2312"/>
          <w:color w:val="auto"/>
          <w:sz w:val="24"/>
          <w:szCs w:val="24"/>
          <w:highlight w:val="none"/>
        </w:rPr>
      </w:pPr>
    </w:p>
    <w:p w14:paraId="3F410B79">
      <w:pPr>
        <w:kinsoku/>
        <w:wordWrap w:val="0"/>
        <w:overflowPunct/>
        <w:topLinePunct w:val="0"/>
        <w:bidi w:val="0"/>
        <w:spacing w:line="360"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甲  方：                           乙  方：            </w:t>
      </w:r>
    </w:p>
    <w:p w14:paraId="1C179219">
      <w:pPr>
        <w:kinsoku/>
        <w:wordWrap w:val="0"/>
        <w:overflowPunct/>
        <w:topLinePunct w:val="0"/>
        <w:bidi w:val="0"/>
        <w:spacing w:line="360"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单位盖章：                         单位盖章：</w:t>
      </w:r>
    </w:p>
    <w:p w14:paraId="5A60E7CA">
      <w:pPr>
        <w:kinsoku/>
        <w:wordWrap w:val="0"/>
        <w:overflowPunct/>
        <w:topLinePunct w:val="0"/>
        <w:bidi w:val="0"/>
        <w:spacing w:line="360"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法定代表人或委托代理人：           法定代表人或委托代理人：</w:t>
      </w:r>
    </w:p>
    <w:p w14:paraId="391A6FA0">
      <w:pPr>
        <w:kinsoku/>
        <w:wordWrap w:val="0"/>
        <w:overflowPunct/>
        <w:topLinePunct w:val="0"/>
        <w:bidi w:val="0"/>
        <w:spacing w:line="360" w:lineRule="auto"/>
        <w:ind w:firstLine="480" w:firstLineChars="200"/>
        <w:rPr>
          <w:rFonts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 xml:space="preserve">日  期：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zh-CN"/>
        </w:rPr>
        <w:t>日  期：</w:t>
      </w:r>
    </w:p>
    <w:p w14:paraId="3CF9DAA1">
      <w:pPr>
        <w:kinsoku/>
        <w:wordWrap w:val="0"/>
        <w:overflowPunct/>
        <w:topLinePunct w:val="0"/>
        <w:bidi w:val="0"/>
        <w:rPr>
          <w:color w:val="auto"/>
          <w:highlight w:val="none"/>
        </w:rPr>
      </w:pPr>
    </w:p>
    <w:p w14:paraId="74A74E1E">
      <w:pPr>
        <w:kinsoku/>
        <w:wordWrap w:val="0"/>
        <w:overflowPunct/>
        <w:topLinePunct w:val="0"/>
        <w:bidi w:val="0"/>
        <w:spacing w:line="360" w:lineRule="auto"/>
        <w:ind w:firstLine="723" w:firstLineChars="200"/>
        <w:jc w:val="center"/>
        <w:rPr>
          <w:b/>
          <w:bCs/>
          <w:color w:val="auto"/>
          <w:sz w:val="36"/>
          <w:szCs w:val="36"/>
          <w:highlight w:val="none"/>
        </w:rPr>
      </w:pPr>
    </w:p>
    <w:p w14:paraId="22FAF908">
      <w:pPr>
        <w:kinsoku/>
        <w:wordWrap w:val="0"/>
        <w:overflowPunct/>
        <w:topLinePunct w:val="0"/>
        <w:bidi w:val="0"/>
        <w:spacing w:line="360" w:lineRule="auto"/>
        <w:ind w:firstLine="723" w:firstLineChars="200"/>
        <w:jc w:val="center"/>
        <w:rPr>
          <w:b/>
          <w:bCs/>
          <w:color w:val="auto"/>
          <w:sz w:val="36"/>
          <w:szCs w:val="36"/>
          <w:highlight w:val="none"/>
        </w:rPr>
      </w:pPr>
    </w:p>
    <w:p w14:paraId="25AC33B8">
      <w:pPr>
        <w:kinsoku/>
        <w:wordWrap w:val="0"/>
        <w:overflowPunct/>
        <w:topLinePunct w:val="0"/>
        <w:bidi w:val="0"/>
        <w:spacing w:line="360" w:lineRule="auto"/>
        <w:ind w:firstLine="723" w:firstLineChars="200"/>
        <w:jc w:val="center"/>
        <w:rPr>
          <w:b/>
          <w:bCs/>
          <w:color w:val="auto"/>
          <w:sz w:val="36"/>
          <w:szCs w:val="36"/>
          <w:highlight w:val="none"/>
        </w:rPr>
      </w:pPr>
    </w:p>
    <w:p w14:paraId="233D4264">
      <w:pPr>
        <w:kinsoku/>
        <w:wordWrap w:val="0"/>
        <w:overflowPunct/>
        <w:topLinePunct w:val="0"/>
        <w:bidi w:val="0"/>
        <w:spacing w:line="360" w:lineRule="auto"/>
        <w:ind w:firstLine="723" w:firstLineChars="200"/>
        <w:jc w:val="center"/>
        <w:rPr>
          <w:b/>
          <w:bCs/>
          <w:color w:val="auto"/>
          <w:sz w:val="36"/>
          <w:szCs w:val="36"/>
          <w:highlight w:val="none"/>
        </w:rPr>
      </w:pPr>
    </w:p>
    <w:p w14:paraId="59461944">
      <w:pPr>
        <w:kinsoku/>
        <w:wordWrap w:val="0"/>
        <w:overflowPunct/>
        <w:topLinePunct w:val="0"/>
        <w:bidi w:val="0"/>
        <w:spacing w:line="360" w:lineRule="auto"/>
        <w:ind w:firstLine="723" w:firstLineChars="200"/>
        <w:jc w:val="center"/>
        <w:rPr>
          <w:b/>
          <w:bCs/>
          <w:color w:val="auto"/>
          <w:sz w:val="36"/>
          <w:szCs w:val="36"/>
          <w:highlight w:val="none"/>
        </w:rPr>
      </w:pPr>
    </w:p>
    <w:p w14:paraId="1AA69521">
      <w:pPr>
        <w:kinsoku/>
        <w:wordWrap w:val="0"/>
        <w:overflowPunct/>
        <w:topLinePunct w:val="0"/>
        <w:bidi w:val="0"/>
        <w:spacing w:line="360" w:lineRule="auto"/>
        <w:ind w:firstLine="723" w:firstLineChars="200"/>
        <w:jc w:val="center"/>
        <w:rPr>
          <w:b/>
          <w:bCs/>
          <w:color w:val="auto"/>
          <w:sz w:val="36"/>
          <w:szCs w:val="36"/>
          <w:highlight w:val="none"/>
        </w:rPr>
      </w:pPr>
    </w:p>
    <w:p w14:paraId="4C41AA52">
      <w:pPr>
        <w:kinsoku/>
        <w:wordWrap w:val="0"/>
        <w:overflowPunct/>
        <w:topLinePunct w:val="0"/>
        <w:bidi w:val="0"/>
        <w:spacing w:line="360" w:lineRule="auto"/>
        <w:ind w:firstLine="723" w:firstLineChars="200"/>
        <w:jc w:val="center"/>
        <w:rPr>
          <w:b/>
          <w:bCs/>
          <w:color w:val="auto"/>
          <w:sz w:val="36"/>
          <w:szCs w:val="36"/>
          <w:highlight w:val="none"/>
        </w:rPr>
      </w:pPr>
    </w:p>
    <w:p w14:paraId="7449080E">
      <w:pPr>
        <w:kinsoku/>
        <w:wordWrap w:val="0"/>
        <w:overflowPunct/>
        <w:topLinePunct w:val="0"/>
        <w:bidi w:val="0"/>
        <w:spacing w:line="360" w:lineRule="auto"/>
        <w:ind w:firstLine="723" w:firstLineChars="200"/>
        <w:jc w:val="center"/>
        <w:rPr>
          <w:b/>
          <w:bCs/>
          <w:color w:val="auto"/>
          <w:sz w:val="36"/>
          <w:szCs w:val="36"/>
          <w:highlight w:val="none"/>
        </w:rPr>
      </w:pPr>
    </w:p>
    <w:p w14:paraId="1D734A11">
      <w:pPr>
        <w:kinsoku/>
        <w:wordWrap w:val="0"/>
        <w:overflowPunct/>
        <w:topLinePunct w:val="0"/>
        <w:bidi w:val="0"/>
        <w:spacing w:line="360" w:lineRule="auto"/>
        <w:ind w:firstLine="723" w:firstLineChars="200"/>
        <w:jc w:val="center"/>
        <w:rPr>
          <w:b/>
          <w:bCs/>
          <w:color w:val="auto"/>
          <w:sz w:val="36"/>
          <w:szCs w:val="36"/>
          <w:highlight w:val="none"/>
        </w:rPr>
      </w:pPr>
    </w:p>
    <w:p w14:paraId="7293E7B0">
      <w:pPr>
        <w:kinsoku/>
        <w:wordWrap w:val="0"/>
        <w:overflowPunct/>
        <w:topLinePunct w:val="0"/>
        <w:bidi w:val="0"/>
        <w:spacing w:line="360" w:lineRule="auto"/>
        <w:ind w:firstLine="723" w:firstLineChars="200"/>
        <w:jc w:val="center"/>
        <w:rPr>
          <w:b/>
          <w:bCs/>
          <w:color w:val="auto"/>
          <w:sz w:val="36"/>
          <w:szCs w:val="36"/>
          <w:highlight w:val="none"/>
        </w:rPr>
      </w:pPr>
    </w:p>
    <w:p w14:paraId="774C72DC">
      <w:pPr>
        <w:kinsoku/>
        <w:wordWrap w:val="0"/>
        <w:overflowPunct/>
        <w:topLinePunct w:val="0"/>
        <w:bidi w:val="0"/>
        <w:spacing w:line="360" w:lineRule="auto"/>
        <w:ind w:firstLine="723" w:firstLineChars="200"/>
        <w:jc w:val="center"/>
        <w:rPr>
          <w:b/>
          <w:bCs/>
          <w:color w:val="auto"/>
          <w:sz w:val="36"/>
          <w:szCs w:val="36"/>
          <w:highlight w:val="none"/>
        </w:rPr>
      </w:pPr>
    </w:p>
    <w:p w14:paraId="4A0D1095">
      <w:pPr>
        <w:kinsoku/>
        <w:wordWrap w:val="0"/>
        <w:overflowPunct/>
        <w:topLinePunct w:val="0"/>
        <w:bidi w:val="0"/>
        <w:spacing w:line="360" w:lineRule="auto"/>
        <w:ind w:firstLine="723" w:firstLineChars="200"/>
        <w:jc w:val="center"/>
        <w:rPr>
          <w:b/>
          <w:bCs/>
          <w:color w:val="auto"/>
          <w:sz w:val="36"/>
          <w:szCs w:val="36"/>
          <w:highlight w:val="none"/>
        </w:rPr>
      </w:pPr>
    </w:p>
    <w:p w14:paraId="378CE575">
      <w:pPr>
        <w:kinsoku/>
        <w:wordWrap w:val="0"/>
        <w:overflowPunct/>
        <w:topLinePunct w:val="0"/>
        <w:bidi w:val="0"/>
        <w:spacing w:line="360" w:lineRule="auto"/>
        <w:ind w:firstLine="723" w:firstLineChars="200"/>
        <w:jc w:val="center"/>
        <w:rPr>
          <w:b/>
          <w:bCs/>
          <w:color w:val="auto"/>
          <w:sz w:val="36"/>
          <w:szCs w:val="36"/>
          <w:highlight w:val="none"/>
        </w:rPr>
      </w:pPr>
    </w:p>
    <w:p w14:paraId="54609121">
      <w:pPr>
        <w:kinsoku/>
        <w:wordWrap w:val="0"/>
        <w:overflowPunct/>
        <w:topLinePunct w:val="0"/>
        <w:bidi w:val="0"/>
        <w:spacing w:line="360" w:lineRule="auto"/>
        <w:ind w:firstLine="723" w:firstLineChars="200"/>
        <w:jc w:val="center"/>
        <w:rPr>
          <w:b/>
          <w:bCs/>
          <w:color w:val="auto"/>
          <w:sz w:val="36"/>
          <w:szCs w:val="36"/>
          <w:highlight w:val="none"/>
        </w:rPr>
      </w:pPr>
    </w:p>
    <w:p w14:paraId="40D906FB">
      <w:pPr>
        <w:kinsoku/>
        <w:wordWrap w:val="0"/>
        <w:overflowPunct/>
        <w:topLinePunct w:val="0"/>
        <w:bidi w:val="0"/>
        <w:spacing w:line="360" w:lineRule="auto"/>
        <w:ind w:firstLine="723" w:firstLineChars="200"/>
        <w:jc w:val="center"/>
        <w:rPr>
          <w:b/>
          <w:bCs/>
          <w:color w:val="auto"/>
          <w:sz w:val="36"/>
          <w:szCs w:val="36"/>
          <w:highlight w:val="none"/>
        </w:rPr>
      </w:pPr>
    </w:p>
    <w:p w14:paraId="1B6D9926">
      <w:pPr>
        <w:kinsoku/>
        <w:wordWrap w:val="0"/>
        <w:overflowPunct/>
        <w:topLinePunct w:val="0"/>
        <w:bidi w:val="0"/>
        <w:spacing w:line="360" w:lineRule="auto"/>
        <w:ind w:firstLine="723" w:firstLineChars="200"/>
        <w:jc w:val="center"/>
        <w:rPr>
          <w:b/>
          <w:bCs/>
          <w:color w:val="auto"/>
          <w:sz w:val="36"/>
          <w:szCs w:val="36"/>
          <w:highlight w:val="none"/>
        </w:rPr>
      </w:pPr>
    </w:p>
    <w:p w14:paraId="10AA9D9E">
      <w:pPr>
        <w:kinsoku/>
        <w:wordWrap w:val="0"/>
        <w:overflowPunct/>
        <w:topLinePunct w:val="0"/>
        <w:bidi w:val="0"/>
        <w:spacing w:line="360" w:lineRule="auto"/>
        <w:ind w:firstLine="723" w:firstLineChars="200"/>
        <w:jc w:val="center"/>
        <w:rPr>
          <w:b/>
          <w:bCs/>
          <w:color w:val="auto"/>
          <w:sz w:val="36"/>
          <w:szCs w:val="36"/>
          <w:highlight w:val="none"/>
        </w:rPr>
      </w:pPr>
      <w:r>
        <w:rPr>
          <w:b/>
          <w:bCs/>
          <w:color w:val="auto"/>
          <w:sz w:val="36"/>
          <w:szCs w:val="36"/>
          <w:highlight w:val="none"/>
        </w:rPr>
        <w:t>廉政合同书</w:t>
      </w:r>
    </w:p>
    <w:p w14:paraId="32AA7B0C">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为了贯彻落实党中央、国务院《关于实行党风廉政建设责任制的规定》和国家及滁州市有关工程建设、廉政建设的法律法规，加强工程建设中的党风廉政建设，保持廉洁自律的工作作风，防止各种不正当行为的发生，保证工程建设优质高效、健康有序地进行，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rPr>
        <w:t xml:space="preserve">（以下简称甲方），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rPr>
        <w:t>（以下简称乙方），订立如下协议：</w:t>
      </w:r>
    </w:p>
    <w:p w14:paraId="3316635B">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一、甲乙双方约定 </w:t>
      </w:r>
    </w:p>
    <w:p w14:paraId="3883E9EA">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1、甲乙双方应共同遵守国家和省、市以及行发包人管部门关于加强基础设施建设管理以及党风廉政建设的各项规定。</w:t>
      </w:r>
    </w:p>
    <w:p w14:paraId="13739788">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2、甲乙双方应认真执行约定的合同文件，自觉按合同办事。</w:t>
      </w:r>
    </w:p>
    <w:p w14:paraId="737C055B">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3、除非法律认定的商业秘密和合同文件另有规定之外，甲乙双方的业务活动应坚持公开、公正、透明的原则，严禁搞损害国家和集体利益、违反工程建设管理规章制度的不正当交易。</w:t>
      </w:r>
    </w:p>
    <w:p w14:paraId="5587453C">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4、甲乙双方应加强对本方人员的廉政监督，建立和健全廉政制度，认真查处本方的违法违纪行为。 </w:t>
      </w:r>
    </w:p>
    <w:p w14:paraId="63590F22">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5、甲乙双方有对本方人员开展廉政告知、廉政教育和职业道德教育的义务。 </w:t>
      </w:r>
    </w:p>
    <w:p w14:paraId="65EA125C">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6、甲乙双方如发现对方在业务活动中有不廉洁行为，有及时提醒对方并督促其纠正的权利和义务。 </w:t>
      </w:r>
    </w:p>
    <w:p w14:paraId="7C3D7BD1">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二、甲方在廉政建设方面的责任 </w:t>
      </w:r>
    </w:p>
    <w:p w14:paraId="71325EF2">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1、甲方及其工作人员不得以任何形式向乙方索要和收受回扣。 </w:t>
      </w:r>
    </w:p>
    <w:p w14:paraId="4E659155">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2、甲方及其工作人员不得接受乙方的礼金、有价证券和贵重物品，不得在乙方报销任何应由个人支付的费用。</w:t>
      </w:r>
    </w:p>
    <w:p w14:paraId="0BEBFE04">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3、甲方工作人员不得参加可能对公正执行公务有影响的宴请和娱乐、旅游活动。 </w:t>
      </w:r>
    </w:p>
    <w:p w14:paraId="741B40B7">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4、甲方及其工作人员不得要求或者接受乙方为其住房装修、婚丧嫁娶、家属子女的工 作安排以及出国等提供方便。</w:t>
      </w:r>
    </w:p>
    <w:p w14:paraId="10CBC754">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5、甲方工作人员不得在家里或宿舍接待乙方有关工程事项的询访。</w:t>
      </w:r>
    </w:p>
    <w:p w14:paraId="2CD0A776">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三、乙方在廉政建设方面的责任 </w:t>
      </w:r>
    </w:p>
    <w:p w14:paraId="6CFDFF35">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1、乙方不得以任何理由向甲方工作人员行贿或馈赠礼品。</w:t>
      </w:r>
    </w:p>
    <w:p w14:paraId="68085377">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2、乙方不得以任何名义为甲方及其工作人员报支需由其个人支付的任何费用。 </w:t>
      </w:r>
    </w:p>
    <w:p w14:paraId="4EE00615">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3、乙方不得以任何理由邀请甲方工作人员参加由公款支付的娱乐性活动。</w:t>
      </w:r>
    </w:p>
    <w:p w14:paraId="5A717016">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4、乙方不得为甲方单位和个人购置或提供通讯工具、交通工具、家电和高档办公用品。 </w:t>
      </w:r>
    </w:p>
    <w:p w14:paraId="53F7EF3A">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5、乙方人员不得到甲方人员家里或宿舍里询访有关工程建设事项。</w:t>
      </w:r>
    </w:p>
    <w:p w14:paraId="342E65C4">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四、违约责任 </w:t>
      </w:r>
    </w:p>
    <w:p w14:paraId="74B45C44">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1、甲方有违反本合同第一条第1至5款和第二条的，除按甲方单位的廉政建设规定和有关行业规定处罚外，另外罚款1000元和5000元；给乙方单位造成损失的，应予以赔偿。 </w:t>
      </w:r>
    </w:p>
    <w:p w14:paraId="3EF32155">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2、乙方有违反合同第一条第1至5款和第三条的，除按乙方单位的廉政建设规定和有关行业规定处罚外，视情节轻重和造成损失大小分别给予合同价款1%至5%（最高不超过合同价款的 5%）的违约罚款或1-3年内不得进入中新苏滁高新技术产业开发区招标市场的处罚。 </w:t>
      </w:r>
    </w:p>
    <w:p w14:paraId="519AC294">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ascii="仿宋" w:hAnsi="仿宋" w:eastAsia="仿宋"/>
          <w:color w:val="auto"/>
          <w:sz w:val="28"/>
          <w:szCs w:val="28"/>
          <w:highlight w:val="none"/>
        </w:rPr>
        <w:t xml:space="preserve">五、检查方式本协议的履约情况由见证单位主持检查，甲乙双方共同派人参加，检查方式为座谈、问卷调查、查看资料或由各方约定的其他方式等。检查时间、次数、检查结论和处罚意见等由各方协商确定，如无法达成一致的，由见证单位依据事实裁定。 </w:t>
      </w:r>
    </w:p>
    <w:p w14:paraId="6C4C6228">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六</w:t>
      </w:r>
      <w:r>
        <w:rPr>
          <w:rFonts w:ascii="仿宋" w:hAnsi="仿宋" w:eastAsia="仿宋"/>
          <w:color w:val="auto"/>
          <w:sz w:val="28"/>
          <w:szCs w:val="28"/>
          <w:highlight w:val="none"/>
        </w:rPr>
        <w:t>、本协议作为合同的附件，与合同具有同等的法律效力，经协议</w:t>
      </w:r>
      <w:r>
        <w:rPr>
          <w:rFonts w:hint="eastAsia" w:ascii="仿宋" w:hAnsi="仿宋" w:eastAsia="仿宋"/>
          <w:color w:val="auto"/>
          <w:sz w:val="28"/>
          <w:szCs w:val="28"/>
          <w:highlight w:val="none"/>
        </w:rPr>
        <w:t>双</w:t>
      </w:r>
      <w:r>
        <w:rPr>
          <w:rFonts w:ascii="仿宋" w:hAnsi="仿宋" w:eastAsia="仿宋"/>
          <w:color w:val="auto"/>
          <w:sz w:val="28"/>
          <w:szCs w:val="28"/>
          <w:highlight w:val="none"/>
        </w:rPr>
        <w:t xml:space="preserve">方签署后立即生效。 </w:t>
      </w:r>
    </w:p>
    <w:p w14:paraId="78F16A4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p>
    <w:p w14:paraId="484DC54A">
      <w:pPr>
        <w:kinsoku/>
        <w:wordWrap w:val="0"/>
        <w:overflowPunct/>
        <w:topLinePunct w:val="0"/>
        <w:bidi w:val="0"/>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甲方单位：                        乙方单位：</w:t>
      </w:r>
    </w:p>
    <w:p w14:paraId="03EA1BC4">
      <w:pPr>
        <w:kinsoku/>
        <w:wordWrap w:val="0"/>
        <w:overflowPunct/>
        <w:topLinePunct w:val="0"/>
        <w:bidi w:val="0"/>
        <w:spacing w:line="360" w:lineRule="auto"/>
        <w:ind w:firstLine="560" w:firstLineChars="200"/>
        <w:rPr>
          <w:rFonts w:ascii="仿宋" w:hAnsi="仿宋" w:eastAsia="仿宋"/>
          <w:color w:val="auto"/>
          <w:sz w:val="28"/>
          <w:szCs w:val="28"/>
          <w:highlight w:val="none"/>
        </w:rPr>
      </w:pPr>
    </w:p>
    <w:p w14:paraId="006802A6">
      <w:pPr>
        <w:kinsoku/>
        <w:wordWrap w:val="0"/>
        <w:overflowPunct/>
        <w:topLinePunct w:val="0"/>
        <w:bidi w:val="0"/>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法定代表人 （授权人）：</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法定代表人 （授权人）： </w:t>
      </w:r>
    </w:p>
    <w:p w14:paraId="3A40C359">
      <w:pPr>
        <w:kinsoku/>
        <w:wordWrap w:val="0"/>
        <w:overflowPunct/>
        <w:topLinePunct w:val="0"/>
        <w:bidi w:val="0"/>
        <w:spacing w:line="360" w:lineRule="auto"/>
        <w:ind w:firstLine="883" w:firstLineChars="200"/>
        <w:jc w:val="center"/>
        <w:rPr>
          <w:rFonts w:ascii="仿宋" w:hAnsi="仿宋" w:eastAsia="仿宋"/>
          <w:color w:val="auto"/>
          <w:sz w:val="28"/>
          <w:szCs w:val="28"/>
          <w:highlight w:val="none"/>
        </w:rPr>
      </w:pPr>
      <w:r>
        <w:rPr>
          <w:rFonts w:ascii="仿宋" w:hAnsi="仿宋" w:eastAsia="仿宋"/>
          <w:b/>
          <w:bCs/>
          <w:color w:val="auto"/>
          <w:sz w:val="44"/>
          <w:szCs w:val="44"/>
          <w:highlight w:val="none"/>
        </w:rPr>
        <w:t>安全目标责任书</w:t>
      </w:r>
    </w:p>
    <w:p w14:paraId="00DB753B">
      <w:pPr>
        <w:kinsoku/>
        <w:wordWrap w:val="0"/>
        <w:overflowPunct/>
        <w:topLinePunct w:val="0"/>
        <w:bidi w:val="0"/>
        <w:spacing w:line="360" w:lineRule="auto"/>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 xml:space="preserve"> </w:t>
      </w:r>
    </w:p>
    <w:p w14:paraId="40D3342F">
      <w:pPr>
        <w:kinsoku/>
        <w:wordWrap w:val="0"/>
        <w:overflowPunct/>
        <w:topLinePunct w:val="0"/>
        <w:bidi w:val="0"/>
        <w:spacing w:line="360" w:lineRule="auto"/>
        <w:jc w:val="left"/>
        <w:rPr>
          <w:rFonts w:ascii="仿宋" w:hAnsi="仿宋" w:eastAsia="仿宋"/>
          <w:color w:val="auto"/>
          <w:sz w:val="28"/>
          <w:szCs w:val="28"/>
          <w:highlight w:val="none"/>
        </w:rPr>
      </w:pPr>
      <w:r>
        <w:rPr>
          <w:rFonts w:ascii="仿宋" w:hAnsi="仿宋" w:eastAsia="仿宋"/>
          <w:color w:val="auto"/>
          <w:sz w:val="28"/>
          <w:szCs w:val="28"/>
          <w:highlight w:val="none"/>
        </w:rPr>
        <w:t>合同编号：</w:t>
      </w:r>
    </w:p>
    <w:p w14:paraId="789694CA">
      <w:pPr>
        <w:kinsoku/>
        <w:wordWrap w:val="0"/>
        <w:overflowPunct/>
        <w:topLinePunct w:val="0"/>
        <w:bidi w:val="0"/>
        <w:spacing w:line="360" w:lineRule="auto"/>
        <w:jc w:val="left"/>
        <w:rPr>
          <w:rFonts w:ascii="仿宋" w:hAnsi="仿宋" w:eastAsia="仿宋"/>
          <w:color w:val="auto"/>
          <w:sz w:val="28"/>
          <w:szCs w:val="28"/>
          <w:highlight w:val="none"/>
        </w:rPr>
      </w:pPr>
      <w:r>
        <w:rPr>
          <w:rFonts w:ascii="仿宋" w:hAnsi="仿宋" w:eastAsia="仿宋"/>
          <w:color w:val="auto"/>
          <w:sz w:val="28"/>
          <w:szCs w:val="28"/>
          <w:highlight w:val="none"/>
        </w:rPr>
        <w:t>甲方</w:t>
      </w:r>
      <w:r>
        <w:rPr>
          <w:rFonts w:hint="eastAsia" w:ascii="仿宋" w:hAnsi="仿宋" w:eastAsia="仿宋"/>
          <w:color w:val="auto"/>
          <w:sz w:val="28"/>
          <w:szCs w:val="28"/>
          <w:highlight w:val="none"/>
        </w:rPr>
        <w:t>：滁州市苏滁市政公用发展有限公司</w:t>
      </w:r>
    </w:p>
    <w:p w14:paraId="435E2099">
      <w:pPr>
        <w:kinsoku/>
        <w:wordWrap w:val="0"/>
        <w:overflowPunct/>
        <w:topLinePunct w:val="0"/>
        <w:bidi w:val="0"/>
        <w:spacing w:line="360" w:lineRule="auto"/>
        <w:jc w:val="left"/>
        <w:rPr>
          <w:rFonts w:hint="eastAsia" w:ascii="仿宋" w:hAnsi="仿宋" w:eastAsia="仿宋"/>
          <w:color w:val="auto"/>
          <w:sz w:val="28"/>
          <w:szCs w:val="28"/>
          <w:highlight w:val="none"/>
          <w:lang w:val="en-US" w:eastAsia="zh-CN"/>
        </w:rPr>
      </w:pPr>
      <w:r>
        <w:rPr>
          <w:rFonts w:ascii="仿宋" w:hAnsi="仿宋" w:eastAsia="仿宋"/>
          <w:color w:val="auto"/>
          <w:sz w:val="28"/>
          <w:szCs w:val="28"/>
          <w:highlight w:val="none"/>
        </w:rPr>
        <w:t>乙方：</w:t>
      </w:r>
      <w:r>
        <w:rPr>
          <w:rFonts w:hint="eastAsia" w:ascii="仿宋" w:hAnsi="仿宋" w:eastAsia="仿宋"/>
          <w:color w:val="auto"/>
          <w:sz w:val="28"/>
          <w:szCs w:val="28"/>
          <w:highlight w:val="none"/>
          <w:lang w:val="en-US" w:eastAsia="zh-CN"/>
        </w:rPr>
        <w:t xml:space="preserve"> </w:t>
      </w:r>
    </w:p>
    <w:p w14:paraId="4A50684F">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为贯彻“安全第一、预防为主”的安全生产方针，坚持项目管理“以人为本”原则，确保项目无重大安全责任事故，保障现场作业人员、行人的人身安全及国家财产安全，根据《安全生产法》等相关法律法规，经甲乙双方协商，特制定本项目安全目标责任书。 </w:t>
      </w:r>
    </w:p>
    <w:p w14:paraId="1C383AF8">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一、本项目确定下列人员负责现场安全管理工作： </w:t>
      </w:r>
    </w:p>
    <w:p w14:paraId="75DB2649">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单位</w:t>
      </w:r>
      <w:r>
        <w:rPr>
          <w:rFonts w:hint="eastAsia" w:ascii="仿宋" w:hAnsi="仿宋" w:eastAsia="仿宋"/>
          <w:color w:val="auto"/>
          <w:sz w:val="28"/>
          <w:szCs w:val="28"/>
          <w:highlight w:val="none"/>
          <w:lang w:eastAsia="zh-CN"/>
        </w:rPr>
        <w:t>项目负责人</w:t>
      </w:r>
      <w:r>
        <w:rPr>
          <w:rFonts w:ascii="仿宋" w:hAnsi="仿宋" w:eastAsia="仿宋"/>
          <w:color w:val="auto"/>
          <w:sz w:val="28"/>
          <w:szCs w:val="28"/>
          <w:highlight w:val="none"/>
        </w:rPr>
        <w:t xml:space="preserve">： </w:t>
      </w:r>
    </w:p>
    <w:p w14:paraId="06D41C54">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二、本项目</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安全目标责任如下：</w:t>
      </w:r>
    </w:p>
    <w:p w14:paraId="14F2CCC2">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服务单位</w:t>
      </w:r>
      <w:r>
        <w:rPr>
          <w:rFonts w:hint="eastAsia" w:ascii="仿宋" w:hAnsi="仿宋" w:eastAsia="仿宋"/>
          <w:color w:val="auto"/>
          <w:sz w:val="28"/>
          <w:szCs w:val="28"/>
          <w:highlight w:val="none"/>
          <w:lang w:eastAsia="zh-CN"/>
        </w:rPr>
        <w:t>项目负责人</w:t>
      </w:r>
      <w:r>
        <w:rPr>
          <w:rFonts w:ascii="仿宋" w:hAnsi="仿宋" w:eastAsia="仿宋"/>
          <w:color w:val="auto"/>
          <w:sz w:val="28"/>
          <w:szCs w:val="28"/>
          <w:highlight w:val="none"/>
        </w:rPr>
        <w:t>是本项目安全生产及相关业务活动的第一责任人。</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期间未经</w:t>
      </w:r>
      <w:r>
        <w:rPr>
          <w:rFonts w:hint="eastAsia" w:ascii="仿宋" w:hAnsi="仿宋" w:eastAsia="仿宋"/>
          <w:color w:val="auto"/>
          <w:sz w:val="28"/>
          <w:szCs w:val="28"/>
          <w:highlight w:val="none"/>
        </w:rPr>
        <w:t>甲方</w:t>
      </w:r>
      <w:r>
        <w:rPr>
          <w:rFonts w:ascii="仿宋" w:hAnsi="仿宋" w:eastAsia="仿宋"/>
          <w:color w:val="auto"/>
          <w:sz w:val="28"/>
          <w:szCs w:val="28"/>
          <w:highlight w:val="none"/>
        </w:rPr>
        <w:t xml:space="preserve">批准不得擅离职守。 </w:t>
      </w:r>
    </w:p>
    <w:p w14:paraId="7DCAB967">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应全面负责</w:t>
      </w:r>
      <w:r>
        <w:rPr>
          <w:rFonts w:hint="eastAsia" w:ascii="仿宋" w:hAnsi="仿宋" w:eastAsia="仿宋"/>
          <w:color w:val="auto"/>
          <w:sz w:val="28"/>
          <w:szCs w:val="28"/>
          <w:highlight w:val="none"/>
        </w:rPr>
        <w:t>服务项目</w:t>
      </w:r>
      <w:r>
        <w:rPr>
          <w:rFonts w:ascii="仿宋" w:hAnsi="仿宋" w:eastAsia="仿宋"/>
          <w:color w:val="auto"/>
          <w:sz w:val="28"/>
          <w:szCs w:val="28"/>
          <w:highlight w:val="none"/>
        </w:rPr>
        <w:t>的安全管理工作，保持</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作业现场的基本安全条件和状况符合有关的安全技术标准。</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必须落实安全生产管理措施。建立健全安全生产、安全管理组织和安全管理网络，成立安全领导小组，由</w:t>
      </w:r>
      <w:r>
        <w:rPr>
          <w:rFonts w:hint="eastAsia" w:ascii="仿宋" w:hAnsi="仿宋" w:eastAsia="仿宋"/>
          <w:color w:val="auto"/>
          <w:sz w:val="28"/>
          <w:szCs w:val="28"/>
          <w:highlight w:val="none"/>
          <w:lang w:eastAsia="zh-CN"/>
        </w:rPr>
        <w:t>项目负责人</w:t>
      </w:r>
      <w:r>
        <w:rPr>
          <w:rFonts w:ascii="仿宋" w:hAnsi="仿宋" w:eastAsia="仿宋"/>
          <w:color w:val="auto"/>
          <w:sz w:val="28"/>
          <w:szCs w:val="28"/>
          <w:highlight w:val="none"/>
        </w:rPr>
        <w:t xml:space="preserve">任组长。 </w:t>
      </w:r>
    </w:p>
    <w:p w14:paraId="616724FE">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3、建立和完善以岗位安全生产责任制为核心的安全生产制，明确安全生产目标，每个分解目标必须明确负责人和责任人，并制定具体的保证措施，确保目标实现。安全管理网络及安全工作的目标分解及保证措施必须报</w:t>
      </w:r>
      <w:r>
        <w:rPr>
          <w:rFonts w:hint="eastAsia" w:ascii="仿宋" w:hAnsi="仿宋" w:eastAsia="仿宋"/>
          <w:color w:val="auto"/>
          <w:sz w:val="28"/>
          <w:szCs w:val="28"/>
          <w:highlight w:val="none"/>
        </w:rPr>
        <w:t>甲方</w:t>
      </w:r>
      <w:r>
        <w:rPr>
          <w:rFonts w:ascii="仿宋" w:hAnsi="仿宋" w:eastAsia="仿宋"/>
          <w:color w:val="auto"/>
          <w:sz w:val="28"/>
          <w:szCs w:val="28"/>
          <w:highlight w:val="none"/>
        </w:rPr>
        <w:t>审核确认后备案。</w:t>
      </w:r>
    </w:p>
    <w:p w14:paraId="59017955">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4、</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在进行进场准备的同时，必须具备全体</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管理人员、</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 xml:space="preserve">作业人员用工合同、社保证明、特种作业证书及以上人员意外伤害保险投保合同。 </w:t>
      </w:r>
    </w:p>
    <w:p w14:paraId="7D49C554">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5、</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应认真执行“安全生产技术交底制度”：</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作业前由项目现场负责人向</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作业人员进行安全技术交底，对</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作业中</w:t>
      </w:r>
      <w:r>
        <w:rPr>
          <w:rFonts w:hint="eastAsia" w:ascii="仿宋" w:hAnsi="仿宋" w:eastAsia="仿宋"/>
          <w:color w:val="auto"/>
          <w:sz w:val="28"/>
          <w:szCs w:val="28"/>
          <w:highlight w:val="none"/>
        </w:rPr>
        <w:t>机械设备操作、用电</w:t>
      </w:r>
      <w:r>
        <w:rPr>
          <w:rFonts w:ascii="仿宋" w:hAnsi="仿宋" w:eastAsia="仿宋"/>
          <w:color w:val="auto"/>
          <w:sz w:val="28"/>
          <w:szCs w:val="28"/>
          <w:highlight w:val="none"/>
        </w:rPr>
        <w:t>等环节要重点交底，交底后由</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 xml:space="preserve">作业人员在交底表上签字确认。该交底表应与安全教育培训记录统一保存，备案待查。 </w:t>
      </w:r>
    </w:p>
    <w:p w14:paraId="4E23978A">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6、</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应当建立、健全对</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作业人员的日常安全教育、技术培训和考核制度，严格组织</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作业，不得安排未接受过安全教育和技术培训的</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 xml:space="preserve">作业人员上岗作业，尤其是危险性大的机械使用及高空作业。 </w:t>
      </w:r>
    </w:p>
    <w:p w14:paraId="3470F3B6">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7、切实做好“安全三上岗”制度，上岗前由项目现场负责人进行安全技术交底，上岗时班组安全员进行上岗巡回检查并做好上岗记录，每周进行一次总结讲评工作。培训记录必须有被培训对象签字，记录备案等查。 </w:t>
      </w:r>
    </w:p>
    <w:p w14:paraId="4A567740">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8、</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项目部每月应至少组织一次安全检查，同时根据季节环境和</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情况随时组织有针对性的检查，消除项目及</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中存在的安全隐患，所查问题必须明确整改措施、整改时间及负责人，并以书面的形式报</w:t>
      </w:r>
      <w:r>
        <w:rPr>
          <w:rFonts w:hint="eastAsia" w:ascii="仿宋" w:hAnsi="仿宋" w:eastAsia="仿宋"/>
          <w:color w:val="auto"/>
          <w:sz w:val="28"/>
          <w:szCs w:val="28"/>
          <w:highlight w:val="none"/>
        </w:rPr>
        <w:t>甲方</w:t>
      </w:r>
      <w:r>
        <w:rPr>
          <w:rFonts w:ascii="仿宋" w:hAnsi="仿宋" w:eastAsia="仿宋"/>
          <w:color w:val="auto"/>
          <w:sz w:val="28"/>
          <w:szCs w:val="28"/>
          <w:highlight w:val="none"/>
        </w:rPr>
        <w:t xml:space="preserve">审查。 </w:t>
      </w:r>
    </w:p>
    <w:p w14:paraId="5BE85E9C">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9、坚持持证上岗制度，特殊工种作业人员必须提供国家、行业主管部门颁发的有效资格证明，具备上岗操作的技能和安全知识，方可上岗操作。对在施工中出现问题的操作人员应立即停止上岗操作。 </w:t>
      </w:r>
    </w:p>
    <w:p w14:paraId="1611A6D4">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10、进场机械</w:t>
      </w:r>
      <w:r>
        <w:rPr>
          <w:rFonts w:hint="eastAsia" w:ascii="仿宋" w:hAnsi="仿宋" w:eastAsia="仿宋"/>
          <w:color w:val="auto"/>
          <w:sz w:val="28"/>
          <w:szCs w:val="28"/>
          <w:highlight w:val="none"/>
        </w:rPr>
        <w:t>设备</w:t>
      </w:r>
      <w:r>
        <w:rPr>
          <w:rFonts w:ascii="仿宋" w:hAnsi="仿宋" w:eastAsia="仿宋"/>
          <w:color w:val="auto"/>
          <w:sz w:val="28"/>
          <w:szCs w:val="28"/>
          <w:highlight w:val="none"/>
        </w:rPr>
        <w:t>的使用必须有符合要求的操作规程，操作人员应持证操作，禁止违规操作使用。发包单位应进行现场的检查监督，对屡教屡犯人员勒令撤离现场，对</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 xml:space="preserve"> 告或处罚直至勒令停工、清场，严格保障</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作业安全。</w:t>
      </w:r>
    </w:p>
    <w:p w14:paraId="6BF14031">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11、临时设施（包括临时工棚、临时办公、食堂等设施）的搭建必须书面报告发包单位审批同意，按园区相关部门的规定办理有关用地手续，并符合中新苏滁高新区规划建设局文件规定要求建造，所用材料必须满足防火、防台风、防汛的相关要求。临时设施必须按规范配备消防器材，并保持完好。临时设施内用电、接线应规范整齐，工棚内严禁私接电水壶、 电饭锅、热得快等大功率电器设备，严禁私接乱拉电线，严禁存放汽油等易燃易爆用品，防止火灾发生。 </w:t>
      </w:r>
    </w:p>
    <w:p w14:paraId="3905D4B8">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 xml:space="preserve">作业区应设有安全防护措施，并要有围护或隔离措施及警示标志，夜间作业设有明显的安全标志牌和夜间红灯示警。夜间作业须按相关规定到环保部门申报备案，并按要求控制噪音等扰民因素。 </w:t>
      </w:r>
    </w:p>
    <w:p w14:paraId="125D831E">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13、</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应成立专业巡视队伍，配置相应的巡视车辆和巡视人员对设施状态及作业行为安全进行检查，主要检查要点有（但不仅限于下述内容）：作业行为安全检查要点：巡视、现场作业人员着装；交通分流、疏导标示标牌设置；现场作业指示、警示标志设置；现场作业范围围挡设置；夜间施工警示标志（警示灯）设置；防暑降温措施等其他检查要点。</w:t>
      </w:r>
    </w:p>
    <w:p w14:paraId="364ED89E">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14、</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对巡视发现的安全隐患应及时修复，如无法及时修复应采取围挡、封闭等安全措施并设置明显的警示、指示标志。任何因未及时发现或未及时围挡、修复而造成的任何损失由</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承担。</w:t>
      </w:r>
    </w:p>
    <w:p w14:paraId="2D0A02D9">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三、本项目发包单位安全目标责任如下： </w:t>
      </w:r>
    </w:p>
    <w:p w14:paraId="2D5C77FA">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1、建立、健全本单位安全生产责任制 </w:t>
      </w:r>
    </w:p>
    <w:p w14:paraId="436303C8">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2、组织制定本单位安全生产规章制度和操作规程</w:t>
      </w:r>
    </w:p>
    <w:p w14:paraId="2198E4CB">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3、保证本单位安全生产投入的有效实施</w:t>
      </w:r>
    </w:p>
    <w:p w14:paraId="11B053D7">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4、督促、检查本单位的安全生产工作，及时消除生产安全事故隐患</w:t>
      </w:r>
    </w:p>
    <w:p w14:paraId="584CE847">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5、组织制定并实施本单位的生产安全事故应急救援预案</w:t>
      </w:r>
    </w:p>
    <w:p w14:paraId="0082C9E5">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6、及时、如实报告生产安全事故 </w:t>
      </w:r>
    </w:p>
    <w:p w14:paraId="5C79821F">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7、组织制定并实施本单位安全生产教育和培训计划 </w:t>
      </w:r>
    </w:p>
    <w:p w14:paraId="75CDA580">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8、根据有关规定定期对项目进行抽查，并书面记录。</w:t>
      </w:r>
    </w:p>
    <w:p w14:paraId="36C00C90">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9、发包单位项目管理工程师是履行项目管理职能的现场代表，负责检查、督促作业单 位对本项目的安全管理活动。 </w:t>
      </w:r>
    </w:p>
    <w:p w14:paraId="5DE5DF5E">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10、项目进场前，发包单位项目工程师应检查项目</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安全教育记录，未经安全 教育的</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作业人员不得进驻</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范围现场。</w:t>
      </w:r>
    </w:p>
    <w:p w14:paraId="6C91445A">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11、项目进场前，发包单位项目工程师应组织相关专业部门对项目</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现场负责人、安全管理人员进行</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作业安全交底，内容包括：相关法律法规、</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 xml:space="preserve">作业安全注意事 项、环境注意事项、项目安全目标责任书相关条款。安全交底要有书面记录，各方保存备查。 </w:t>
      </w:r>
    </w:p>
    <w:p w14:paraId="408B7B84">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12、发包单位项目工程师应及时了解</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动态，如发现</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作业及项目现场中存在安全隐患应及时督促</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 xml:space="preserve">进行整改。 </w:t>
      </w:r>
    </w:p>
    <w:p w14:paraId="6D0C1F30">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13、发包单位管理工程师应按照公司《巡视管理工作制度》、《安全生产管理工作制度》等相关制度要求对辖区内绿地范围进行巡视检查，及时发现和督促</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 xml:space="preserve">整改。 </w:t>
      </w:r>
    </w:p>
    <w:p w14:paraId="619FC8EF">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四、本项目安全隐患的处罚办法： </w:t>
      </w:r>
    </w:p>
    <w:p w14:paraId="31533684">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 xml:space="preserve">擅自更换项目现场负责人属严重违规，按合同相应条款考核扣款，开具《整改单》并责令限期整改。 </w:t>
      </w:r>
    </w:p>
    <w:p w14:paraId="427138DA">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2、个人劳动防护用品佩戴不正确或未佩戴，属一般隐患，发现一次罚款100-200 元。 </w:t>
      </w:r>
    </w:p>
    <w:p w14:paraId="61131864">
      <w:pPr>
        <w:kinsoku/>
        <w:wordWrap w:val="0"/>
        <w:overflowPunct/>
        <w:topLinePunct w:val="0"/>
        <w:bidi w:val="0"/>
        <w:spacing w:line="360" w:lineRule="auto"/>
        <w:ind w:left="559" w:leftChars="266"/>
        <w:jc w:val="left"/>
        <w:rPr>
          <w:rFonts w:ascii="仿宋" w:hAnsi="仿宋" w:eastAsia="仿宋"/>
          <w:color w:val="auto"/>
          <w:sz w:val="28"/>
          <w:szCs w:val="28"/>
          <w:highlight w:val="none"/>
        </w:rPr>
      </w:pPr>
      <w:r>
        <w:rPr>
          <w:rFonts w:ascii="仿宋" w:hAnsi="仿宋" w:eastAsia="仿宋"/>
          <w:color w:val="auto"/>
          <w:sz w:val="28"/>
          <w:szCs w:val="28"/>
          <w:highlight w:val="none"/>
        </w:rPr>
        <w:t>3、</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 xml:space="preserve">作业人员酒后作业、上树抽烟闲聊，发现一次罚款500元。 </w:t>
      </w:r>
    </w:p>
    <w:p w14:paraId="5733B914">
      <w:pPr>
        <w:kinsoku/>
        <w:wordWrap w:val="0"/>
        <w:overflowPunct/>
        <w:topLinePunct w:val="0"/>
        <w:bidi w:val="0"/>
        <w:spacing w:line="360" w:lineRule="auto"/>
        <w:ind w:left="559" w:leftChars="266"/>
        <w:jc w:val="left"/>
        <w:rPr>
          <w:rFonts w:ascii="仿宋" w:hAnsi="仿宋" w:eastAsia="仿宋"/>
          <w:color w:val="auto"/>
          <w:sz w:val="28"/>
          <w:szCs w:val="28"/>
          <w:highlight w:val="none"/>
        </w:rPr>
      </w:pPr>
      <w:r>
        <w:rPr>
          <w:rFonts w:ascii="仿宋" w:hAnsi="仿宋" w:eastAsia="仿宋"/>
          <w:color w:val="auto"/>
          <w:sz w:val="28"/>
          <w:szCs w:val="28"/>
          <w:highlight w:val="none"/>
        </w:rPr>
        <w:t>4、使用不合格设备，设备使用影响交通存在较大隐患的，发现一次</w:t>
      </w:r>
    </w:p>
    <w:p w14:paraId="18DBFBC3">
      <w:pPr>
        <w:kinsoku/>
        <w:wordWrap w:val="0"/>
        <w:overflowPunct/>
        <w:topLinePunct w:val="0"/>
        <w:bidi w:val="0"/>
        <w:spacing w:line="360" w:lineRule="auto"/>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罚款1000元。 </w:t>
      </w:r>
    </w:p>
    <w:p w14:paraId="60A6E893">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5、道路作业未设警示标志、未设交通分流标志，发现一次罚款1000元。 </w:t>
      </w:r>
    </w:p>
    <w:p w14:paraId="5DF5E5A5">
      <w:pPr>
        <w:kinsoku/>
        <w:wordWrap w:val="0"/>
        <w:overflowPunct/>
        <w:topLinePunct w:val="0"/>
        <w:bidi w:val="0"/>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6、违反文明作业要求，作业环境差，发现一次罚款200-500元</w:t>
      </w:r>
      <w:r>
        <w:rPr>
          <w:rFonts w:hint="eastAsia" w:ascii="仿宋" w:hAnsi="仿宋" w:eastAsia="仿宋"/>
          <w:color w:val="auto"/>
          <w:sz w:val="28"/>
          <w:szCs w:val="28"/>
          <w:highlight w:val="none"/>
          <w:lang w:eastAsia="zh-CN"/>
        </w:rPr>
        <w:t>。</w:t>
      </w:r>
    </w:p>
    <w:p w14:paraId="134BD1F0">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7、上述对</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的罚金于</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 xml:space="preserve">费用中扣除。 </w:t>
      </w:r>
    </w:p>
    <w:p w14:paraId="15EDB555">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五、本项目安全事故的处罚规定：</w:t>
      </w:r>
    </w:p>
    <w:p w14:paraId="05F30E75">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1、对发生安全事故的</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按照滁州市和中新苏滁高新区政府的管理办法进行处罚，并将其清退出场。</w:t>
      </w:r>
    </w:p>
    <w:p w14:paraId="09B51782">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、如项目</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作业中出现人员伤亡，发包单位有权代</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处理事故，并动用适当比例（视事故大小）</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费用作为事故预处理费用，该费用由</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承担。</w:t>
      </w:r>
    </w:p>
    <w:p w14:paraId="00CB2AC4">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因安全事故造成人员死亡的，对项目现场负责人及相关人员立即更换，除按有关规定处理以外，同时取消该</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 xml:space="preserve">在发包单位自事故处理完结起两年内的投标资格。 </w:t>
      </w:r>
    </w:p>
    <w:p w14:paraId="569C8A84">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六、其他事项 </w:t>
      </w:r>
    </w:p>
    <w:p w14:paraId="6878B0C1">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1、本项目安全生产责任书为发包单位、</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 xml:space="preserve">的双方协议，由双方授权代表签字并加盖公章后生效； </w:t>
      </w:r>
    </w:p>
    <w:p w14:paraId="07C5153C">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2、本项目安全生产责任书为发包单位与</w:t>
      </w: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签订的</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合同的附件，与</w:t>
      </w:r>
      <w:r>
        <w:rPr>
          <w:rFonts w:hint="eastAsia" w:ascii="仿宋" w:hAnsi="仿宋" w:eastAsia="仿宋"/>
          <w:color w:val="auto"/>
          <w:sz w:val="28"/>
          <w:szCs w:val="28"/>
          <w:highlight w:val="none"/>
        </w:rPr>
        <w:t>服务</w:t>
      </w:r>
      <w:r>
        <w:rPr>
          <w:rFonts w:ascii="仿宋" w:hAnsi="仿宋" w:eastAsia="仿宋"/>
          <w:color w:val="auto"/>
          <w:sz w:val="28"/>
          <w:szCs w:val="28"/>
          <w:highlight w:val="none"/>
        </w:rPr>
        <w:t xml:space="preserve">合同具有同等法律效力。 </w:t>
      </w:r>
    </w:p>
    <w:p w14:paraId="69531EE8">
      <w:pPr>
        <w:kinsoku/>
        <w:wordWrap w:val="0"/>
        <w:overflowPunct/>
        <w:topLinePunct w:val="0"/>
        <w:bidi w:val="0"/>
        <w:spacing w:line="360" w:lineRule="auto"/>
        <w:ind w:firstLine="560" w:firstLineChars="200"/>
        <w:jc w:val="left"/>
        <w:rPr>
          <w:rFonts w:hint="eastAsia" w:ascii="仿宋" w:hAnsi="仿宋" w:eastAsia="仿宋"/>
          <w:color w:val="auto"/>
          <w:sz w:val="28"/>
          <w:szCs w:val="28"/>
          <w:highlight w:val="none"/>
        </w:rPr>
      </w:pPr>
    </w:p>
    <w:p w14:paraId="5735B25D">
      <w:pPr>
        <w:kinsoku/>
        <w:wordWrap w:val="0"/>
        <w:overflowPunct/>
        <w:topLinePunct w:val="0"/>
        <w:bidi w:val="0"/>
        <w:spacing w:line="360" w:lineRule="auto"/>
        <w:ind w:firstLine="560" w:firstLineChars="200"/>
        <w:jc w:val="left"/>
        <w:rPr>
          <w:rFonts w:hint="eastAsia" w:ascii="仿宋" w:hAnsi="仿宋" w:eastAsia="仿宋"/>
          <w:color w:val="auto"/>
          <w:sz w:val="28"/>
          <w:szCs w:val="28"/>
          <w:highlight w:val="none"/>
        </w:rPr>
      </w:pPr>
    </w:p>
    <w:p w14:paraId="1B667CA7">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服务单位</w:t>
      </w:r>
      <w:r>
        <w:rPr>
          <w:rFonts w:ascii="仿宋" w:hAnsi="仿宋" w:eastAsia="仿宋"/>
          <w:color w:val="auto"/>
          <w:sz w:val="28"/>
          <w:szCs w:val="28"/>
          <w:highlight w:val="none"/>
        </w:rPr>
        <w:t>（盖章）</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发包单位（盖章）</w:t>
      </w:r>
    </w:p>
    <w:p w14:paraId="40DF8952">
      <w:pPr>
        <w:kinsoku/>
        <w:wordWrap w:val="0"/>
        <w:overflowPunct/>
        <w:topLinePunct w:val="0"/>
        <w:bidi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项目现场负责人签字：        项目现场负责人签字：</w:t>
      </w:r>
    </w:p>
    <w:p w14:paraId="5CAA15C6">
      <w:pPr>
        <w:kinsoku/>
        <w:wordWrap w:val="0"/>
        <w:overflowPunct/>
        <w:topLinePunct w:val="0"/>
        <w:bidi w:val="0"/>
        <w:spacing w:line="360" w:lineRule="auto"/>
        <w:ind w:firstLine="560" w:firstLineChars="200"/>
        <w:jc w:val="left"/>
        <w:rPr>
          <w:rFonts w:ascii="仿宋" w:hAnsi="仿宋" w:eastAsia="仿宋" w:cs="仿宋"/>
          <w:color w:val="auto"/>
          <w:sz w:val="28"/>
          <w:szCs w:val="28"/>
          <w:highlight w:val="none"/>
        </w:rPr>
      </w:pPr>
      <w:r>
        <w:rPr>
          <w:rFonts w:ascii="仿宋" w:hAnsi="仿宋" w:eastAsia="仿宋"/>
          <w:color w:val="auto"/>
          <w:sz w:val="28"/>
          <w:szCs w:val="28"/>
          <w:highlight w:val="none"/>
        </w:rPr>
        <w:t xml:space="preserve">年 月 日                    年 月 日 </w:t>
      </w:r>
    </w:p>
    <w:p w14:paraId="279A4225">
      <w:pPr>
        <w:pStyle w:val="12"/>
        <w:kinsoku/>
        <w:wordWrap w:val="0"/>
        <w:overflowPunct/>
        <w:topLinePunct w:val="0"/>
        <w:bidi w:val="0"/>
        <w:rPr>
          <w:color w:val="auto"/>
          <w:highlight w:val="none"/>
        </w:rPr>
        <w:sectPr>
          <w:pgSz w:w="11906" w:h="16839"/>
          <w:pgMar w:top="1416" w:right="1752" w:bottom="1170" w:left="1206" w:header="850" w:footer="956" w:gutter="0"/>
          <w:pgNumType w:fmt="decimal"/>
          <w:cols w:space="720" w:num="1"/>
        </w:sectPr>
      </w:pPr>
    </w:p>
    <w:p w14:paraId="00BB8CFC">
      <w:pPr>
        <w:pStyle w:val="2"/>
        <w:tabs>
          <w:tab w:val="left" w:pos="0"/>
          <w:tab w:val="left" w:pos="3165"/>
          <w:tab w:val="center" w:pos="4153"/>
        </w:tabs>
        <w:kinsoku/>
        <w:wordWrap w:val="0"/>
        <w:overflowPunct/>
        <w:topLinePunct w:val="0"/>
        <w:autoSpaceDE w:val="0"/>
        <w:autoSpaceDN w:val="0"/>
        <w:bidi w:val="0"/>
        <w:adjustRightInd w:val="0"/>
        <w:spacing w:before="0" w:after="0" w:line="240" w:lineRule="auto"/>
        <w:rPr>
          <w:rFonts w:hint="eastAsia" w:ascii="华文中宋" w:hAnsi="华文中宋" w:eastAsia="华文中宋"/>
          <w:color w:val="auto"/>
          <w:highlight w:val="none"/>
        </w:rPr>
      </w:pPr>
      <w:bookmarkStart w:id="116" w:name="_Toc449028948"/>
      <w:bookmarkStart w:id="117" w:name="_Toc8628"/>
      <w:r>
        <w:rPr>
          <w:rFonts w:hint="eastAsia" w:ascii="华文中宋" w:hAnsi="华文中宋" w:eastAsia="华文中宋"/>
          <w:color w:val="auto"/>
          <w:highlight w:val="none"/>
        </w:rPr>
        <w:t>第</w:t>
      </w:r>
      <w:r>
        <w:rPr>
          <w:rFonts w:hint="eastAsia" w:ascii="华文中宋" w:hAnsi="华文中宋" w:eastAsia="华文中宋"/>
          <w:color w:val="auto"/>
          <w:highlight w:val="none"/>
          <w:lang w:val="en-US" w:eastAsia="zh-CN"/>
        </w:rPr>
        <w:t>七</w:t>
      </w:r>
      <w:r>
        <w:rPr>
          <w:rFonts w:hint="eastAsia" w:ascii="华文中宋" w:hAnsi="华文中宋" w:eastAsia="华文中宋"/>
          <w:color w:val="auto"/>
          <w:highlight w:val="none"/>
        </w:rPr>
        <w:t>章  投标文件格式</w:t>
      </w:r>
      <w:bookmarkEnd w:id="116"/>
      <w:bookmarkEnd w:id="117"/>
    </w:p>
    <w:p w14:paraId="134563AE">
      <w:pPr>
        <w:kinsoku/>
        <w:wordWrap w:val="0"/>
        <w:overflowPunct/>
        <w:topLinePunct w:val="0"/>
        <w:bidi w:val="0"/>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566ECF43">
      <w:pPr>
        <w:kinsoku/>
        <w:wordWrap w:val="0"/>
        <w:overflowPunct/>
        <w:topLinePunct w:val="0"/>
        <w:bidi w:val="0"/>
        <w:jc w:val="center"/>
        <w:rPr>
          <w:rFonts w:hint="eastAsia" w:eastAsia="黑体"/>
          <w:color w:val="auto"/>
          <w:sz w:val="20"/>
          <w:highlight w:val="none"/>
        </w:rPr>
      </w:pPr>
    </w:p>
    <w:p w14:paraId="01411376">
      <w:pPr>
        <w:kinsoku/>
        <w:wordWrap w:val="0"/>
        <w:overflowPunct/>
        <w:topLinePunct w:val="0"/>
        <w:bidi w:val="0"/>
        <w:rPr>
          <w:rFonts w:hint="eastAsia" w:eastAsia="黑体"/>
          <w:color w:val="auto"/>
          <w:sz w:val="20"/>
          <w:highlight w:val="none"/>
        </w:rPr>
      </w:pPr>
    </w:p>
    <w:p w14:paraId="718886C6">
      <w:pPr>
        <w:kinsoku/>
        <w:wordWrap w:val="0"/>
        <w:overflowPunct/>
        <w:topLinePunct w:val="0"/>
        <w:bidi w:val="0"/>
        <w:jc w:val="center"/>
        <w:outlineLvl w:val="2"/>
        <w:rPr>
          <w:rFonts w:hint="eastAsia" w:ascii="宋体"/>
          <w:b/>
          <w:color w:val="auto"/>
          <w:sz w:val="44"/>
          <w:szCs w:val="44"/>
          <w:highlight w:val="none"/>
        </w:rPr>
      </w:pPr>
      <w:bookmarkStart w:id="118" w:name="_Toc449028949"/>
      <w:bookmarkStart w:id="119" w:name="_Toc350698753"/>
      <w:r>
        <w:rPr>
          <w:rFonts w:hint="eastAsia" w:ascii="宋体"/>
          <w:b/>
          <w:color w:val="auto"/>
          <w:sz w:val="44"/>
          <w:szCs w:val="44"/>
          <w:highlight w:val="none"/>
        </w:rPr>
        <w:t>资信证明文件</w:t>
      </w:r>
      <w:bookmarkEnd w:id="118"/>
      <w:bookmarkEnd w:id="119"/>
    </w:p>
    <w:p w14:paraId="23FB7F32">
      <w:pPr>
        <w:kinsoku/>
        <w:wordWrap w:val="0"/>
        <w:overflowPunct/>
        <w:topLinePunct w:val="0"/>
        <w:bidi w:val="0"/>
        <w:jc w:val="center"/>
        <w:rPr>
          <w:rFonts w:hint="eastAsia" w:ascii="宋体"/>
          <w:color w:val="auto"/>
          <w:sz w:val="32"/>
          <w:szCs w:val="32"/>
          <w:highlight w:val="none"/>
        </w:rPr>
      </w:pPr>
      <w:r>
        <w:rPr>
          <w:rFonts w:hint="eastAsia" w:ascii="宋体"/>
          <w:color w:val="auto"/>
          <w:sz w:val="32"/>
          <w:szCs w:val="32"/>
          <w:highlight w:val="none"/>
        </w:rPr>
        <w:t>（投标文件一）</w:t>
      </w:r>
    </w:p>
    <w:p w14:paraId="5C59F460">
      <w:pPr>
        <w:kinsoku/>
        <w:wordWrap w:val="0"/>
        <w:overflowPunct/>
        <w:topLinePunct w:val="0"/>
        <w:bidi w:val="0"/>
        <w:jc w:val="center"/>
        <w:rPr>
          <w:rFonts w:hint="eastAsia" w:eastAsia="黑体"/>
          <w:color w:val="auto"/>
          <w:sz w:val="44"/>
          <w:szCs w:val="44"/>
          <w:highlight w:val="none"/>
        </w:rPr>
      </w:pPr>
    </w:p>
    <w:p w14:paraId="225DBE31">
      <w:pPr>
        <w:kinsoku/>
        <w:wordWrap w:val="0"/>
        <w:overflowPunct/>
        <w:topLinePunct w:val="0"/>
        <w:bidi w:val="0"/>
        <w:jc w:val="center"/>
        <w:rPr>
          <w:rFonts w:hint="default" w:ascii="宋体" w:eastAsia="宋体"/>
          <w:color w:val="auto"/>
          <w:sz w:val="32"/>
          <w:szCs w:val="32"/>
          <w:highlight w:val="none"/>
          <w:u w:val="single"/>
          <w:lang w:val="en-US" w:eastAsia="zh-CN"/>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r>
        <w:rPr>
          <w:rFonts w:hint="eastAsia" w:ascii="宋体"/>
          <w:color w:val="auto"/>
          <w:sz w:val="32"/>
          <w:szCs w:val="32"/>
          <w:highlight w:val="none"/>
          <w:u w:val="single"/>
          <w:lang w:val="en-US" w:eastAsia="zh-CN"/>
        </w:rPr>
        <w:t xml:space="preserve">   </w:t>
      </w:r>
      <w:r>
        <w:rPr>
          <w:rFonts w:hint="eastAsia" w:ascii="宋体"/>
          <w:color w:val="auto"/>
          <w:sz w:val="32"/>
          <w:szCs w:val="32"/>
          <w:highlight w:val="none"/>
          <w:u w:val="none"/>
          <w:lang w:val="en-US" w:eastAsia="zh-CN"/>
        </w:rPr>
        <w:t>标段</w:t>
      </w:r>
    </w:p>
    <w:p w14:paraId="25080814">
      <w:pPr>
        <w:kinsoku/>
        <w:wordWrap w:val="0"/>
        <w:overflowPunct/>
        <w:topLinePunct w:val="0"/>
        <w:bidi w:val="0"/>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2394209">
      <w:pPr>
        <w:kinsoku/>
        <w:wordWrap w:val="0"/>
        <w:overflowPunct/>
        <w:topLinePunct w:val="0"/>
        <w:bidi w:val="0"/>
        <w:rPr>
          <w:rFonts w:hint="eastAsia" w:ascii="宋体"/>
          <w:color w:val="auto"/>
          <w:sz w:val="28"/>
          <w:szCs w:val="28"/>
          <w:highlight w:val="none"/>
        </w:rPr>
      </w:pPr>
    </w:p>
    <w:p w14:paraId="0799BC03">
      <w:pPr>
        <w:kinsoku/>
        <w:wordWrap w:val="0"/>
        <w:overflowPunct/>
        <w:topLinePunct w:val="0"/>
        <w:bidi w:val="0"/>
        <w:rPr>
          <w:rFonts w:hint="eastAsia" w:ascii="宋体"/>
          <w:color w:val="auto"/>
          <w:sz w:val="28"/>
          <w:szCs w:val="28"/>
          <w:highlight w:val="none"/>
        </w:rPr>
      </w:pPr>
    </w:p>
    <w:p w14:paraId="3CE74951">
      <w:pPr>
        <w:kinsoku/>
        <w:wordWrap w:val="0"/>
        <w:overflowPunct/>
        <w:topLinePunct w:val="0"/>
        <w:bidi w:val="0"/>
        <w:rPr>
          <w:rFonts w:hint="eastAsia" w:ascii="宋体"/>
          <w:color w:val="auto"/>
          <w:sz w:val="28"/>
          <w:szCs w:val="28"/>
          <w:highlight w:val="none"/>
        </w:rPr>
      </w:pPr>
    </w:p>
    <w:p w14:paraId="3DB0F348">
      <w:pPr>
        <w:kinsoku/>
        <w:wordWrap w:val="0"/>
        <w:overflowPunct/>
        <w:topLinePunct w:val="0"/>
        <w:bidi w:val="0"/>
        <w:rPr>
          <w:rFonts w:hint="eastAsia" w:ascii="宋体"/>
          <w:color w:val="auto"/>
          <w:sz w:val="28"/>
          <w:szCs w:val="28"/>
          <w:highlight w:val="none"/>
        </w:rPr>
      </w:pPr>
    </w:p>
    <w:p w14:paraId="1B698C4B">
      <w:pPr>
        <w:kinsoku/>
        <w:wordWrap w:val="0"/>
        <w:overflowPunct/>
        <w:topLinePunct w:val="0"/>
        <w:bidi w:val="0"/>
        <w:rPr>
          <w:rFonts w:hint="eastAsia" w:ascii="宋体"/>
          <w:color w:val="auto"/>
          <w:sz w:val="28"/>
          <w:szCs w:val="28"/>
          <w:highlight w:val="none"/>
        </w:rPr>
      </w:pPr>
    </w:p>
    <w:p w14:paraId="51B9E144">
      <w:pPr>
        <w:pStyle w:val="12"/>
        <w:kinsoku/>
        <w:wordWrap w:val="0"/>
        <w:overflowPunct/>
        <w:topLinePunct w:val="0"/>
        <w:bidi w:val="0"/>
        <w:rPr>
          <w:rFonts w:hint="eastAsia" w:ascii="宋体"/>
          <w:color w:val="auto"/>
          <w:sz w:val="28"/>
          <w:szCs w:val="28"/>
          <w:highlight w:val="none"/>
        </w:rPr>
      </w:pPr>
    </w:p>
    <w:p w14:paraId="477B3CD2">
      <w:pPr>
        <w:kinsoku/>
        <w:wordWrap w:val="0"/>
        <w:overflowPunct/>
        <w:topLinePunct w:val="0"/>
        <w:bidi w:val="0"/>
        <w:rPr>
          <w:rFonts w:hint="eastAsia" w:ascii="宋体"/>
          <w:color w:val="auto"/>
          <w:sz w:val="28"/>
          <w:szCs w:val="28"/>
          <w:highlight w:val="none"/>
        </w:rPr>
      </w:pPr>
    </w:p>
    <w:p w14:paraId="6C01BBF8">
      <w:pPr>
        <w:pStyle w:val="12"/>
        <w:kinsoku/>
        <w:wordWrap w:val="0"/>
        <w:overflowPunct/>
        <w:topLinePunct w:val="0"/>
        <w:bidi w:val="0"/>
        <w:rPr>
          <w:rFonts w:hint="eastAsia"/>
          <w:color w:val="auto"/>
          <w:highlight w:val="none"/>
        </w:rPr>
      </w:pPr>
    </w:p>
    <w:p w14:paraId="3D13A983">
      <w:pPr>
        <w:kinsoku/>
        <w:wordWrap w:val="0"/>
        <w:overflowPunct/>
        <w:topLinePunct w:val="0"/>
        <w:bidi w:val="0"/>
        <w:rPr>
          <w:rFonts w:hint="eastAsia" w:ascii="宋体"/>
          <w:color w:val="auto"/>
          <w:sz w:val="28"/>
          <w:szCs w:val="28"/>
          <w:highlight w:val="none"/>
        </w:rPr>
      </w:pPr>
    </w:p>
    <w:p w14:paraId="345BA538">
      <w:pPr>
        <w:kinsoku/>
        <w:wordWrap w:val="0"/>
        <w:overflowPunct/>
        <w:topLinePunct w:val="0"/>
        <w:bidi w:val="0"/>
        <w:rPr>
          <w:rFonts w:hint="eastAsia" w:ascii="宋体"/>
          <w:color w:val="auto"/>
          <w:sz w:val="28"/>
          <w:szCs w:val="28"/>
          <w:highlight w:val="none"/>
        </w:rPr>
      </w:pPr>
    </w:p>
    <w:p w14:paraId="159F5C7F">
      <w:pPr>
        <w:kinsoku/>
        <w:wordWrap w:val="0"/>
        <w:overflowPunct/>
        <w:topLinePunct w:val="0"/>
        <w:bidi w:val="0"/>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签章</w:t>
      </w:r>
      <w:r>
        <w:rPr>
          <w:rFonts w:hint="eastAsia" w:ascii="宋体"/>
          <w:color w:val="auto"/>
          <w:sz w:val="28"/>
          <w:szCs w:val="28"/>
          <w:highlight w:val="none"/>
        </w:rPr>
        <w:t>）</w:t>
      </w:r>
    </w:p>
    <w:p w14:paraId="6CD864BA">
      <w:pPr>
        <w:kinsoku/>
        <w:wordWrap w:val="0"/>
        <w:overflowPunct/>
        <w:topLinePunct w:val="0"/>
        <w:bidi w:val="0"/>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7A1C299">
      <w:pPr>
        <w:kinsoku/>
        <w:wordWrap w:val="0"/>
        <w:overflowPunct/>
        <w:topLinePunct w:val="0"/>
        <w:bidi w:val="0"/>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C67FEE">
      <w:pPr>
        <w:kinsoku/>
        <w:wordWrap w:val="0"/>
        <w:overflowPunct/>
        <w:topLinePunct w:val="0"/>
        <w:bidi w:val="0"/>
        <w:spacing w:line="720" w:lineRule="auto"/>
        <w:jc w:val="center"/>
        <w:rPr>
          <w:rFonts w:hint="eastAsia" w:ascii="宋体"/>
          <w:b/>
          <w:color w:val="auto"/>
          <w:sz w:val="36"/>
          <w:szCs w:val="36"/>
          <w:highlight w:val="none"/>
        </w:rPr>
      </w:pPr>
    </w:p>
    <w:p w14:paraId="0782A5E2">
      <w:pPr>
        <w:kinsoku/>
        <w:wordWrap w:val="0"/>
        <w:overflowPunct/>
        <w:topLinePunct w:val="0"/>
        <w:bidi w:val="0"/>
        <w:spacing w:line="400" w:lineRule="exact"/>
        <w:ind w:firstLine="4130" w:firstLineChars="935"/>
        <w:rPr>
          <w:rFonts w:hint="eastAsia"/>
          <w:b/>
          <w:color w:val="auto"/>
          <w:sz w:val="44"/>
          <w:szCs w:val="44"/>
          <w:highlight w:val="none"/>
        </w:rPr>
      </w:pPr>
    </w:p>
    <w:p w14:paraId="130B625F">
      <w:pPr>
        <w:kinsoku/>
        <w:wordWrap w:val="0"/>
        <w:overflowPunct/>
        <w:topLinePunct w:val="0"/>
        <w:bidi w:val="0"/>
        <w:jc w:val="center"/>
        <w:rPr>
          <w:rFonts w:hint="eastAsia"/>
          <w:b/>
          <w:color w:val="auto"/>
          <w:sz w:val="44"/>
          <w:szCs w:val="44"/>
          <w:highlight w:val="none"/>
        </w:rPr>
      </w:pPr>
      <w:r>
        <w:rPr>
          <w:rFonts w:hint="eastAsia"/>
          <w:b/>
          <w:color w:val="auto"/>
          <w:sz w:val="36"/>
          <w:szCs w:val="36"/>
          <w:highlight w:val="none"/>
        </w:rPr>
        <w:t>目   录</w:t>
      </w:r>
    </w:p>
    <w:p w14:paraId="6B6DCB5F">
      <w:pPr>
        <w:kinsoku/>
        <w:wordWrap w:val="0"/>
        <w:overflowPunct/>
        <w:topLinePunct w:val="0"/>
        <w:bidi w:val="0"/>
        <w:spacing w:line="400" w:lineRule="exact"/>
        <w:ind w:firstLine="562" w:firstLineChars="200"/>
        <w:rPr>
          <w:rFonts w:hint="eastAsia"/>
          <w:b/>
          <w:color w:val="auto"/>
          <w:sz w:val="28"/>
          <w:szCs w:val="28"/>
          <w:highlight w:val="none"/>
        </w:rPr>
      </w:pPr>
    </w:p>
    <w:p w14:paraId="2082F3F6">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（1）法定代表人身份证明及其有效身份证（或法定代表人授权委托书及其有效身份证）（格式见附件）；</w:t>
      </w:r>
    </w:p>
    <w:p w14:paraId="725F5120">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（2）投标人有效的营业执照、税务登记证、组织机构代码证（或三合一证书）</w:t>
      </w:r>
      <w:r>
        <w:rPr>
          <w:rFonts w:hint="eastAsia" w:ascii="宋体"/>
          <w:color w:val="auto"/>
          <w:szCs w:val="21"/>
          <w:highlight w:val="none"/>
          <w:lang w:val="en-US" w:eastAsia="zh-CN"/>
        </w:rPr>
        <w:t>或事业单位法人证书</w:t>
      </w:r>
      <w:r>
        <w:rPr>
          <w:rFonts w:hint="eastAsia" w:ascii="宋体" w:hAnsi="宋体" w:eastAsia="宋体" w:cs="宋体"/>
          <w:color w:val="auto"/>
          <w:szCs w:val="21"/>
          <w:highlight w:val="none"/>
        </w:rPr>
        <w:t>；</w:t>
      </w:r>
    </w:p>
    <w:p w14:paraId="03435220">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（3）诚信投标承诺书（或《公共信用信息报告（无违法违规证明版或核查版）》）；</w:t>
      </w:r>
    </w:p>
    <w:p w14:paraId="6C341028">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）服务承诺：是否响应招标文件要求的书面说明和服务承诺书（格式见附件）；</w:t>
      </w:r>
    </w:p>
    <w:p w14:paraId="4EC6E814">
      <w:pPr>
        <w:kinsoku/>
        <w:wordWrap w:val="0"/>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招标文件中要求的资信标评审及其他支持资料。</w:t>
      </w:r>
    </w:p>
    <w:p w14:paraId="2D8756FF">
      <w:pPr>
        <w:kinsoku/>
        <w:wordWrap w:val="0"/>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）其他资料（如有）。</w:t>
      </w:r>
    </w:p>
    <w:p w14:paraId="41494D8B">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p>
    <w:p w14:paraId="68D51202">
      <w:pPr>
        <w:kinsoku/>
        <w:wordWrap w:val="0"/>
        <w:overflowPunct/>
        <w:topLinePunct w:val="0"/>
        <w:bidi w:val="0"/>
        <w:spacing w:line="400" w:lineRule="exact"/>
        <w:ind w:firstLine="562" w:firstLineChars="200"/>
        <w:rPr>
          <w:rFonts w:hint="eastAsia"/>
          <w:b/>
          <w:color w:val="auto"/>
          <w:sz w:val="28"/>
          <w:szCs w:val="28"/>
          <w:highlight w:val="none"/>
        </w:rPr>
      </w:pPr>
    </w:p>
    <w:p w14:paraId="68259B39">
      <w:pPr>
        <w:kinsoku/>
        <w:wordWrap w:val="0"/>
        <w:overflowPunct/>
        <w:topLinePunct w:val="0"/>
        <w:bidi w:val="0"/>
        <w:spacing w:line="400" w:lineRule="exact"/>
        <w:ind w:firstLine="562" w:firstLineChars="200"/>
        <w:rPr>
          <w:rFonts w:hint="eastAsia"/>
          <w:b/>
          <w:color w:val="auto"/>
          <w:sz w:val="28"/>
          <w:szCs w:val="28"/>
          <w:highlight w:val="none"/>
        </w:rPr>
      </w:pPr>
    </w:p>
    <w:p w14:paraId="493BF9A4">
      <w:pPr>
        <w:kinsoku/>
        <w:wordWrap w:val="0"/>
        <w:overflowPunct/>
        <w:topLinePunct w:val="0"/>
        <w:bidi w:val="0"/>
        <w:spacing w:line="400" w:lineRule="exact"/>
        <w:ind w:firstLine="562" w:firstLineChars="200"/>
        <w:rPr>
          <w:rFonts w:hint="eastAsia"/>
          <w:b/>
          <w:color w:val="auto"/>
          <w:sz w:val="28"/>
          <w:szCs w:val="28"/>
          <w:highlight w:val="none"/>
        </w:rPr>
      </w:pPr>
    </w:p>
    <w:p w14:paraId="7B8B952D">
      <w:pPr>
        <w:kinsoku/>
        <w:wordWrap w:val="0"/>
        <w:overflowPunct/>
        <w:topLinePunct w:val="0"/>
        <w:bidi w:val="0"/>
        <w:spacing w:line="400" w:lineRule="exact"/>
        <w:rPr>
          <w:b/>
          <w:color w:val="auto"/>
          <w:sz w:val="28"/>
          <w:szCs w:val="28"/>
          <w:highlight w:val="none"/>
        </w:rPr>
        <w:sectPr>
          <w:footerReference r:id="rId6" w:type="default"/>
          <w:pgSz w:w="11906" w:h="16838"/>
          <w:pgMar w:top="1417" w:right="1361" w:bottom="1417"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99332CF">
      <w:pPr>
        <w:kinsoku/>
        <w:wordWrap w:val="0"/>
        <w:overflowPunct/>
        <w:topLinePunct w:val="0"/>
        <w:bidi w:val="0"/>
        <w:spacing w:line="360" w:lineRule="auto"/>
        <w:rPr>
          <w:rFonts w:hint="eastAsia"/>
          <w:b/>
          <w:color w:val="auto"/>
          <w:sz w:val="28"/>
          <w:szCs w:val="28"/>
          <w:highlight w:val="none"/>
        </w:rPr>
      </w:pPr>
      <w:r>
        <w:rPr>
          <w:rFonts w:hint="eastAsia"/>
          <w:b/>
          <w:color w:val="auto"/>
          <w:sz w:val="28"/>
          <w:szCs w:val="28"/>
          <w:highlight w:val="none"/>
        </w:rPr>
        <w:t>附件1</w:t>
      </w:r>
    </w:p>
    <w:p w14:paraId="57DF1FA0">
      <w:pPr>
        <w:kinsoku/>
        <w:wordWrap w:val="0"/>
        <w:overflowPunct/>
        <w:topLinePunct w:val="0"/>
        <w:bidi w:val="0"/>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181C7EC7">
      <w:pPr>
        <w:pStyle w:val="105"/>
        <w:kinsoku/>
        <w:wordWrap w:val="0"/>
        <w:overflowPunct/>
        <w:topLinePunct w:val="0"/>
        <w:bidi w:val="0"/>
        <w:spacing w:before="312" w:beforeLines="100" w:after="312" w:afterLines="100" w:line="480" w:lineRule="exact"/>
        <w:ind w:firstLine="180" w:firstLineChars="75"/>
        <w:outlineLvl w:val="2"/>
        <w:rPr>
          <w:rFonts w:hint="eastAsia" w:ascii="宋体"/>
          <w:b/>
          <w:color w:val="auto"/>
          <w:sz w:val="24"/>
          <w:szCs w:val="24"/>
          <w:highlight w:val="none"/>
        </w:rPr>
      </w:pPr>
      <w:r>
        <w:rPr>
          <w:rFonts w:hint="eastAsia" w:ascii="宋体"/>
          <w:color w:val="auto"/>
          <w:sz w:val="24"/>
          <w:szCs w:val="24"/>
          <w:highlight w:val="none"/>
        </w:rPr>
        <w:t>1.法定代表人身份证明</w:t>
      </w:r>
    </w:p>
    <w:p w14:paraId="2FE83659">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517DEC74">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2B0714D">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93B48FE">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1C55C55">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9978DB9">
      <w:pPr>
        <w:kinsoku/>
        <w:wordWrap w:val="0"/>
        <w:overflowPunct/>
        <w:topLinePunct w:val="0"/>
        <w:bidi w:val="0"/>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EF6CE87">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E659ECC">
      <w:pPr>
        <w:kinsoku/>
        <w:wordWrap w:val="0"/>
        <w:overflowPunct/>
        <w:topLinePunct w:val="0"/>
        <w:bidi w:val="0"/>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0FB5D0E7">
      <w:pPr>
        <w:kinsoku/>
        <w:wordWrap w:val="0"/>
        <w:overflowPunct/>
        <w:topLinePunct w:val="0"/>
        <w:bidi w:val="0"/>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48C126C">
      <w:pPr>
        <w:kinsoku/>
        <w:wordWrap w:val="0"/>
        <w:overflowPunct/>
        <w:topLinePunct w:val="0"/>
        <w:bidi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0EF5A935">
      <w:pPr>
        <w:kinsoku/>
        <w:wordWrap w:val="0"/>
        <w:overflowPunct/>
        <w:topLinePunct w:val="0"/>
        <w:bidi w:val="0"/>
        <w:spacing w:before="312" w:beforeLines="100" w:after="312" w:afterLines="100" w:line="480" w:lineRule="exact"/>
        <w:ind w:firstLine="3654" w:firstLineChars="1305"/>
        <w:outlineLvl w:val="2"/>
        <w:rPr>
          <w:rFonts w:hint="eastAsia" w:ascii="宋体"/>
          <w:color w:val="auto"/>
          <w:sz w:val="28"/>
          <w:szCs w:val="28"/>
          <w:highlight w:val="none"/>
        </w:rPr>
      </w:pPr>
      <w:r>
        <w:rPr>
          <w:rFonts w:hint="eastAsia" w:ascii="宋体"/>
          <w:color w:val="auto"/>
          <w:sz w:val="28"/>
          <w:szCs w:val="28"/>
          <w:highlight w:val="none"/>
        </w:rPr>
        <w:t>2.授权委托书</w:t>
      </w:r>
    </w:p>
    <w:p w14:paraId="6AC9B623">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25E9DD19">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D18AD96">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83B5405">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778EF0D">
      <w:pPr>
        <w:kinsoku/>
        <w:wordWrap w:val="0"/>
        <w:overflowPunct/>
        <w:topLinePunct w:val="0"/>
        <w:bidi w:val="0"/>
        <w:spacing w:line="480" w:lineRule="exact"/>
        <w:rPr>
          <w:rFonts w:hint="eastAsia" w:ascii="宋体"/>
          <w:color w:val="auto"/>
          <w:sz w:val="24"/>
          <w:highlight w:val="none"/>
        </w:rPr>
      </w:pPr>
      <w:r>
        <w:rPr>
          <w:rFonts w:hint="eastAsia" w:ascii="宋体"/>
          <w:color w:val="auto"/>
          <w:sz w:val="24"/>
          <w:highlight w:val="none"/>
        </w:rPr>
        <w:t xml:space="preserve">                                     投标人：             （盖单位章）</w:t>
      </w:r>
    </w:p>
    <w:p w14:paraId="77C758F4">
      <w:pPr>
        <w:kinsoku/>
        <w:wordWrap w:val="0"/>
        <w:overflowPunct/>
        <w:topLinePunct w:val="0"/>
        <w:bidi w:val="0"/>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0091C2C8">
      <w:pPr>
        <w:kinsoku/>
        <w:wordWrap w:val="0"/>
        <w:overflowPunct/>
        <w:topLinePunct w:val="0"/>
        <w:bidi w:val="0"/>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54D84AC8">
      <w:pPr>
        <w:kinsoku/>
        <w:wordWrap w:val="0"/>
        <w:overflowPunct/>
        <w:topLinePunct w:val="0"/>
        <w:bidi w:val="0"/>
        <w:spacing w:line="360" w:lineRule="exact"/>
        <w:ind w:firstLine="413" w:firstLineChars="147"/>
        <w:rPr>
          <w:rFonts w:hint="eastAsia"/>
          <w:b/>
          <w:color w:val="auto"/>
          <w:sz w:val="28"/>
          <w:szCs w:val="28"/>
          <w:highlight w:val="none"/>
          <w:u w:val="single"/>
        </w:rPr>
      </w:pPr>
    </w:p>
    <w:p w14:paraId="6A664EB0">
      <w:pPr>
        <w:kinsoku/>
        <w:wordWrap w:val="0"/>
        <w:overflowPunct/>
        <w:topLinePunct w:val="0"/>
        <w:bidi w:val="0"/>
        <w:spacing w:line="360" w:lineRule="exact"/>
        <w:ind w:firstLine="413" w:firstLineChars="147"/>
        <w:rPr>
          <w:rFonts w:hint="eastAsia"/>
          <w:b/>
          <w:color w:val="auto"/>
          <w:sz w:val="28"/>
          <w:szCs w:val="28"/>
          <w:highlight w:val="none"/>
          <w:u w:val="single"/>
        </w:rPr>
      </w:pPr>
    </w:p>
    <w:p w14:paraId="4C6C395C">
      <w:pPr>
        <w:kinsoku/>
        <w:wordWrap w:val="0"/>
        <w:overflowPunct/>
        <w:topLinePunct w:val="0"/>
        <w:bidi w:val="0"/>
        <w:spacing w:line="360" w:lineRule="exact"/>
        <w:outlineLvl w:val="3"/>
        <w:rPr>
          <w:rFonts w:hint="eastAsia" w:ascii="宋体"/>
          <w:b/>
          <w:color w:val="auto"/>
          <w:sz w:val="30"/>
          <w:szCs w:val="30"/>
          <w:highlight w:val="none"/>
        </w:rPr>
      </w:pPr>
      <w:r>
        <w:rPr>
          <w:rFonts w:hint="eastAsia" w:ascii="宋体"/>
          <w:b/>
          <w:color w:val="auto"/>
          <w:sz w:val="30"/>
          <w:szCs w:val="30"/>
          <w:highlight w:val="none"/>
        </w:rPr>
        <w:t>附件2</w:t>
      </w:r>
    </w:p>
    <w:p w14:paraId="25914BC4">
      <w:pPr>
        <w:kinsoku/>
        <w:wordWrap w:val="0"/>
        <w:overflowPunct/>
        <w:topLinePunct w:val="0"/>
        <w:bidi w:val="0"/>
        <w:spacing w:line="360" w:lineRule="exact"/>
        <w:ind w:firstLine="413" w:firstLineChars="147"/>
        <w:jc w:val="center"/>
        <w:outlineLvl w:val="3"/>
        <w:rPr>
          <w:rFonts w:hint="eastAsia"/>
          <w:b/>
          <w:color w:val="auto"/>
          <w:sz w:val="28"/>
          <w:szCs w:val="28"/>
          <w:highlight w:val="none"/>
        </w:rPr>
      </w:pPr>
      <w:r>
        <w:rPr>
          <w:rFonts w:hint="eastAsia"/>
          <w:b/>
          <w:color w:val="auto"/>
          <w:sz w:val="28"/>
          <w:szCs w:val="28"/>
          <w:highlight w:val="none"/>
        </w:rPr>
        <w:t>（2）诚信投标承诺书</w:t>
      </w:r>
    </w:p>
    <w:p w14:paraId="39F95862">
      <w:pPr>
        <w:kinsoku/>
        <w:wordWrap w:val="0"/>
        <w:overflowPunct/>
        <w:topLinePunct w:val="0"/>
        <w:bidi w:val="0"/>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21D1043A">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20" w:name="_Toc506107356"/>
      <w:bookmarkStart w:id="121" w:name="_Toc503196197"/>
      <w:bookmarkStart w:id="122" w:name="_Toc26598"/>
      <w:r>
        <w:rPr>
          <w:rFonts w:hint="eastAsia" w:ascii="宋体" w:hAnsi="宋体"/>
          <w:color w:val="auto"/>
          <w:szCs w:val="21"/>
          <w:highlight w:val="none"/>
        </w:rPr>
        <w:t>开、公正和诚实信用</w:t>
      </w:r>
      <w:bookmarkEnd w:id="120"/>
      <w:bookmarkEnd w:id="121"/>
      <w:r>
        <w:rPr>
          <w:rFonts w:hint="eastAsia" w:ascii="宋体" w:hAnsi="宋体"/>
          <w:color w:val="auto"/>
          <w:szCs w:val="21"/>
          <w:highlight w:val="none"/>
        </w:rPr>
        <w:t>的</w:t>
      </w:r>
      <w:bookmarkEnd w:id="122"/>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B068DB">
      <w:pPr>
        <w:kinsoku/>
        <w:wordWrap w:val="0"/>
        <w:overflowPunct/>
        <w:topLinePunct w:val="0"/>
        <w:bidi w:val="0"/>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EB96A1A">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B010153">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FF53C4">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58FD4AB">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color w:val="auto"/>
          <w:szCs w:val="21"/>
          <w:highlight w:val="none"/>
          <w:lang w:eastAsia="zh-CN"/>
        </w:rPr>
        <w:t>被列入省级、市级农民工工资支付异常名录的施工企业，限制其参加全市范围内项目投标；列入县级异常名录的施工企业，限制其参加本行政区域内项目投标。</w:t>
      </w:r>
      <w:r>
        <w:rPr>
          <w:rFonts w:hint="eastAsia"/>
          <w:color w:val="auto"/>
          <w:szCs w:val="21"/>
          <w:highlight w:val="none"/>
        </w:rPr>
        <w:t>（若招标文件对投标人所属分公司、办事处等分支机构有上述1-8项信誉要求，在此一并承诺我公司所属分公司、办事处等分支机构没有上述1-8项情形）</w:t>
      </w:r>
    </w:p>
    <w:p w14:paraId="1C8C04B7">
      <w:pPr>
        <w:kinsoku/>
        <w:wordWrap w:val="0"/>
        <w:overflowPunct/>
        <w:topLinePunct w:val="0"/>
        <w:bidi w:val="0"/>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4D354C94">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EA37103">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386578A">
      <w:pPr>
        <w:kinsoku/>
        <w:wordWrap w:val="0"/>
        <w:overflowPunct/>
        <w:topLinePunct w:val="0"/>
        <w:bidi w:val="0"/>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9B84C69">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9D2CA6">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6C2E963D">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p>
    <w:p w14:paraId="3199A60C">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6928EC3F">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05760E4F">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投标单位（签章或盖章）：          法定代表人（签字或签章）：</w:t>
      </w:r>
    </w:p>
    <w:p w14:paraId="41EA814F">
      <w:pPr>
        <w:kinsoku/>
        <w:wordWrap w:val="0"/>
        <w:overflowPunct/>
        <w:topLinePunct w:val="0"/>
        <w:bidi w:val="0"/>
        <w:spacing w:line="360" w:lineRule="exact"/>
        <w:ind w:firstLine="420" w:firstLineChars="200"/>
        <w:rPr>
          <w:rFonts w:hint="eastAsia" w:ascii="宋体" w:hAnsi="宋体"/>
          <w:color w:val="auto"/>
          <w:szCs w:val="21"/>
          <w:highlight w:val="none"/>
        </w:rPr>
      </w:pPr>
    </w:p>
    <w:p w14:paraId="7F58E927">
      <w:pPr>
        <w:kinsoku/>
        <w:wordWrap w:val="0"/>
        <w:overflowPunct/>
        <w:topLinePunct w:val="0"/>
        <w:bidi w:val="0"/>
        <w:spacing w:line="3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EC375F3">
      <w:pPr>
        <w:kinsoku/>
        <w:wordWrap w:val="0"/>
        <w:overflowPunct/>
        <w:topLinePunct w:val="0"/>
        <w:bidi w:val="0"/>
        <w:spacing w:line="360" w:lineRule="exact"/>
        <w:ind w:firstLine="420" w:firstLineChars="200"/>
        <w:rPr>
          <w:rFonts w:hint="eastAsia" w:ascii="宋体" w:hAnsi="宋体"/>
          <w:color w:val="auto"/>
          <w:szCs w:val="21"/>
          <w:highlight w:val="none"/>
        </w:rPr>
      </w:pPr>
    </w:p>
    <w:p w14:paraId="11EECB83">
      <w:pPr>
        <w:kinsoku/>
        <w:wordWrap w:val="0"/>
        <w:overflowPunct/>
        <w:topLinePunct w:val="0"/>
        <w:bidi w:val="0"/>
        <w:adjustRightInd w:val="0"/>
        <w:snapToGrid w:val="0"/>
        <w:spacing w:line="560" w:lineRule="exact"/>
        <w:jc w:val="center"/>
        <w:rPr>
          <w:rFonts w:hint="eastAsia"/>
          <w:b/>
          <w:color w:val="auto"/>
          <w:sz w:val="28"/>
          <w:szCs w:val="28"/>
          <w:highlight w:val="none"/>
          <w:lang w:eastAsia="zh-CN"/>
        </w:rPr>
      </w:pPr>
    </w:p>
    <w:p w14:paraId="7C7AFE20">
      <w:pPr>
        <w:kinsoku/>
        <w:wordWrap w:val="0"/>
        <w:overflowPunct/>
        <w:topLinePunct w:val="0"/>
        <w:bidi w:val="0"/>
        <w:adjustRightInd w:val="0"/>
        <w:snapToGrid w:val="0"/>
        <w:spacing w:line="560" w:lineRule="exact"/>
        <w:jc w:val="center"/>
        <w:outlineLvl w:val="2"/>
        <w:rPr>
          <w:rFonts w:hint="eastAsia"/>
          <w:b/>
          <w:color w:val="auto"/>
          <w:sz w:val="28"/>
          <w:szCs w:val="28"/>
          <w:highlight w:val="none"/>
        </w:rPr>
      </w:pPr>
      <w:r>
        <w:rPr>
          <w:rFonts w:hint="eastAsia"/>
          <w:b/>
          <w:color w:val="auto"/>
          <w:sz w:val="28"/>
          <w:szCs w:val="28"/>
          <w:highlight w:val="none"/>
          <w:lang w:eastAsia="zh-CN"/>
        </w:rPr>
        <w:t>（</w:t>
      </w:r>
      <w:r>
        <w:rPr>
          <w:rFonts w:hint="eastAsia"/>
          <w:b/>
          <w:color w:val="auto"/>
          <w:sz w:val="28"/>
          <w:szCs w:val="28"/>
          <w:highlight w:val="none"/>
          <w:lang w:val="en-US" w:eastAsia="zh-CN"/>
        </w:rPr>
        <w:t>2）</w:t>
      </w:r>
      <w:r>
        <w:rPr>
          <w:rFonts w:hint="eastAsia"/>
          <w:b/>
          <w:color w:val="auto"/>
          <w:sz w:val="28"/>
          <w:szCs w:val="28"/>
          <w:highlight w:val="none"/>
        </w:rPr>
        <w:t>公共信用信息报告（无违法违规证明版或核查版））</w:t>
      </w:r>
    </w:p>
    <w:p w14:paraId="032315FE">
      <w:pPr>
        <w:keepNext w:val="0"/>
        <w:keepLines w:val="0"/>
        <w:pageBreakBefore w:val="0"/>
        <w:widowControl w:val="0"/>
        <w:kinsoku/>
        <w:wordWrap w:val="0"/>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符合条件的投标人可在信用中国（安徽）网站（网址</w:t>
      </w: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"https://credit.ah.gov.cn/xinyongfuwu/index.html" </w:instrText>
      </w:r>
      <w:r>
        <w:rPr>
          <w:rFonts w:hint="eastAsia"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t>https://credit.ah.gov.cn/xinyongfuwu/index.html</w:t>
      </w:r>
      <w:r>
        <w:rPr>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），获取信用报告（无违法违规证明版或核查版）并上传至投标文件中。</w:t>
      </w:r>
    </w:p>
    <w:p w14:paraId="2A951E1F">
      <w:pPr>
        <w:kinsoku/>
        <w:wordWrap w:val="0"/>
        <w:overflowPunct/>
        <w:topLinePunct w:val="0"/>
        <w:bidi w:val="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p>
    <w:p w14:paraId="48C551DA">
      <w:pPr>
        <w:kinsoku/>
        <w:wordWrap w:val="0"/>
        <w:overflowPunct/>
        <w:topLinePunct w:val="0"/>
        <w:bidi w:val="0"/>
        <w:spacing w:line="360" w:lineRule="exact"/>
        <w:outlineLvl w:val="3"/>
        <w:rPr>
          <w:rFonts w:hint="default" w:ascii="宋体" w:hAnsi="Times New Roman" w:eastAsia="宋体" w:cs="Times New Roman"/>
          <w:b/>
          <w:color w:val="auto"/>
          <w:sz w:val="30"/>
          <w:szCs w:val="30"/>
          <w:highlight w:val="none"/>
          <w:lang w:val="en-US" w:eastAsia="zh-CN"/>
        </w:rPr>
      </w:pPr>
      <w:r>
        <w:rPr>
          <w:rFonts w:hint="eastAsia" w:ascii="宋体" w:hAnsi="Times New Roman" w:eastAsia="宋体" w:cs="Times New Roman"/>
          <w:b/>
          <w:color w:val="auto"/>
          <w:sz w:val="30"/>
          <w:szCs w:val="30"/>
          <w:highlight w:val="none"/>
          <w:lang w:val="en-US" w:eastAsia="zh-CN"/>
        </w:rPr>
        <w:t>附件3：</w:t>
      </w:r>
    </w:p>
    <w:p w14:paraId="5ACF74D6">
      <w:pPr>
        <w:kinsoku/>
        <w:wordWrap w:val="0"/>
        <w:overflowPunct/>
        <w:topLinePunct w:val="0"/>
        <w:bidi w:val="0"/>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rPr>
        <w:t>服务承诺书</w:t>
      </w:r>
    </w:p>
    <w:p w14:paraId="25DDD308">
      <w:pPr>
        <w:kinsoku/>
        <w:wordWrap w:val="0"/>
        <w:overflowPunct/>
        <w:topLinePunct w:val="0"/>
        <w:bidi w:val="0"/>
        <w:ind w:firstLine="480" w:firstLineChars="200"/>
        <w:rPr>
          <w:rFonts w:hint="eastAsia" w:ascii="宋体"/>
          <w:color w:val="auto"/>
          <w:sz w:val="24"/>
          <w:highlight w:val="none"/>
        </w:rPr>
      </w:pPr>
    </w:p>
    <w:p w14:paraId="769E26A0">
      <w:pPr>
        <w:kinsoku/>
        <w:wordWrap w:val="0"/>
        <w:overflowPunct/>
        <w:topLinePunct w:val="0"/>
        <w:bidi w:val="0"/>
        <w:spacing w:line="500" w:lineRule="exact"/>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招标人</w:t>
      </w:r>
      <w:r>
        <w:rPr>
          <w:rFonts w:hint="eastAsia" w:ascii="宋体"/>
          <w:color w:val="auto"/>
          <w:sz w:val="24"/>
          <w:highlight w:val="none"/>
          <w:u w:val="single"/>
        </w:rPr>
        <w:t>）</w:t>
      </w:r>
      <w:r>
        <w:rPr>
          <w:rFonts w:hint="eastAsia" w:ascii="宋体"/>
          <w:color w:val="auto"/>
          <w:sz w:val="24"/>
          <w:highlight w:val="none"/>
        </w:rPr>
        <w:t>：</w:t>
      </w:r>
    </w:p>
    <w:p w14:paraId="562D84EC">
      <w:pPr>
        <w:kinsoku/>
        <w:wordWrap w:val="0"/>
        <w:overflowPunct/>
        <w:topLinePunct w:val="0"/>
        <w:bidi w:val="0"/>
        <w:spacing w:line="800" w:lineRule="exact"/>
        <w:ind w:firstLine="480" w:firstLineChars="20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6A3D460B">
      <w:pPr>
        <w:kinsoku/>
        <w:wordWrap w:val="0"/>
        <w:overflowPunct/>
        <w:topLinePunct w:val="0"/>
        <w:bidi w:val="0"/>
        <w:spacing w:line="600" w:lineRule="auto"/>
        <w:ind w:firstLine="480" w:firstLineChars="200"/>
        <w:rPr>
          <w:rFonts w:hint="default" w:ascii="宋体"/>
          <w:color w:val="auto"/>
          <w:sz w:val="24"/>
          <w:highlight w:val="none"/>
          <w:lang w:val="en-US" w:eastAsia="zh-CN"/>
        </w:rPr>
      </w:pPr>
      <w:r>
        <w:rPr>
          <w:rFonts w:hint="eastAsia" w:ascii="宋体"/>
          <w:color w:val="auto"/>
          <w:sz w:val="24"/>
          <w:highlight w:val="none"/>
          <w:lang w:val="en-US" w:eastAsia="zh-CN"/>
        </w:rPr>
        <w:t>并郑重承诺如下：</w:t>
      </w:r>
    </w:p>
    <w:p w14:paraId="295CF3D7">
      <w:pPr>
        <w:numPr>
          <w:ilvl w:val="0"/>
          <w:numId w:val="0"/>
        </w:numPr>
        <w:kinsoku/>
        <w:wordWrap w:val="0"/>
        <w:overflowPunct/>
        <w:topLinePunct w:val="0"/>
        <w:bidi w:val="0"/>
        <w:spacing w:line="600" w:lineRule="auto"/>
        <w:ind w:firstLine="482" w:firstLineChars="200"/>
        <w:rPr>
          <w:rFonts w:hint="eastAsia" w:ascii="宋体"/>
          <w:b/>
          <w:bCs/>
          <w:color w:val="auto"/>
          <w:sz w:val="24"/>
          <w:highlight w:val="none"/>
          <w:lang w:val="en-US" w:eastAsia="zh-CN"/>
        </w:rPr>
      </w:pPr>
      <w:r>
        <w:rPr>
          <w:rFonts w:hint="eastAsia" w:ascii="宋体"/>
          <w:b/>
          <w:bCs/>
          <w:color w:val="auto"/>
          <w:sz w:val="24"/>
          <w:highlight w:val="none"/>
          <w:lang w:val="en-US" w:eastAsia="zh-CN"/>
        </w:rPr>
        <w:t>1、招标文件第五章《采购需求》中人员配备、设备配备要求完全满足。</w:t>
      </w:r>
    </w:p>
    <w:p w14:paraId="475D29F3">
      <w:pPr>
        <w:numPr>
          <w:ilvl w:val="0"/>
          <w:numId w:val="0"/>
        </w:numPr>
        <w:kinsoku/>
        <w:wordWrap w:val="0"/>
        <w:overflowPunct/>
        <w:topLinePunct w:val="0"/>
        <w:bidi w:val="0"/>
        <w:spacing w:line="600" w:lineRule="auto"/>
        <w:ind w:firstLine="482" w:firstLineChars="200"/>
        <w:rPr>
          <w:rFonts w:hint="eastAsia" w:ascii="宋体"/>
          <w:b/>
          <w:bCs/>
          <w:color w:val="auto"/>
          <w:sz w:val="24"/>
          <w:highlight w:val="none"/>
          <w:lang w:val="en-US" w:eastAsia="zh-CN"/>
        </w:rPr>
      </w:pPr>
      <w:r>
        <w:rPr>
          <w:rFonts w:hint="eastAsia" w:ascii="宋体"/>
          <w:b/>
          <w:bCs/>
          <w:color w:val="auto"/>
          <w:sz w:val="24"/>
          <w:highlight w:val="none"/>
          <w:lang w:val="en-US" w:eastAsia="zh-CN"/>
        </w:rPr>
        <w:t>2、为进一步防范风险，我单位承诺为本项目购买社会公众险。</w:t>
      </w:r>
    </w:p>
    <w:p w14:paraId="6A2787E0">
      <w:pPr>
        <w:numPr>
          <w:ilvl w:val="0"/>
          <w:numId w:val="0"/>
        </w:numPr>
        <w:kinsoku/>
        <w:wordWrap w:val="0"/>
        <w:overflowPunct/>
        <w:topLinePunct w:val="0"/>
        <w:bidi w:val="0"/>
        <w:spacing w:line="600" w:lineRule="auto"/>
        <w:ind w:firstLine="482" w:firstLineChars="200"/>
        <w:rPr>
          <w:rFonts w:hint="default" w:ascii="宋体"/>
          <w:b/>
          <w:bCs/>
          <w:color w:val="auto"/>
          <w:sz w:val="24"/>
          <w:highlight w:val="none"/>
          <w:lang w:val="en-US" w:eastAsia="zh-CN"/>
        </w:rPr>
      </w:pPr>
      <w:r>
        <w:rPr>
          <w:rFonts w:hint="eastAsia" w:ascii="宋体"/>
          <w:b/>
          <w:bCs/>
          <w:color w:val="auto"/>
          <w:sz w:val="24"/>
          <w:highlight w:val="none"/>
          <w:lang w:val="en-US" w:eastAsia="zh-CN"/>
        </w:rPr>
        <w:t>3、我单位承诺</w:t>
      </w:r>
      <w:r>
        <w:rPr>
          <w:rFonts w:hint="default" w:ascii="宋体"/>
          <w:b/>
          <w:bCs/>
          <w:color w:val="auto"/>
          <w:sz w:val="24"/>
          <w:highlight w:val="none"/>
          <w:lang w:val="en-US" w:eastAsia="zh-CN"/>
        </w:rPr>
        <w:t>为本项目所有配备人员购买人身意外伤害保险</w:t>
      </w:r>
      <w:r>
        <w:rPr>
          <w:rFonts w:hint="eastAsia" w:ascii="宋体"/>
          <w:b/>
          <w:bCs/>
          <w:color w:val="auto"/>
          <w:sz w:val="24"/>
          <w:highlight w:val="none"/>
          <w:lang w:val="en-US" w:eastAsia="zh-CN"/>
        </w:rPr>
        <w:t>。</w:t>
      </w:r>
    </w:p>
    <w:p w14:paraId="70A6EA59">
      <w:pPr>
        <w:pStyle w:val="12"/>
        <w:kinsoku/>
        <w:wordWrap w:val="0"/>
        <w:overflowPunct/>
        <w:topLinePunct w:val="0"/>
        <w:bidi w:val="0"/>
        <w:rPr>
          <w:rFonts w:hint="default"/>
          <w:color w:val="auto"/>
          <w:highlight w:val="none"/>
          <w:lang w:val="en-US" w:eastAsia="zh-CN"/>
        </w:rPr>
      </w:pPr>
    </w:p>
    <w:p w14:paraId="3EF21FB2">
      <w:pPr>
        <w:kinsoku/>
        <w:wordWrap w:val="0"/>
        <w:overflowPunct/>
        <w:topLinePunct w:val="0"/>
        <w:bidi w:val="0"/>
        <w:spacing w:line="600" w:lineRule="auto"/>
        <w:ind w:firstLine="480" w:firstLineChars="200"/>
        <w:rPr>
          <w:rFonts w:hint="eastAsia" w:ascii="宋体"/>
          <w:color w:val="auto"/>
          <w:sz w:val="24"/>
          <w:highlight w:val="none"/>
        </w:rPr>
      </w:pPr>
      <w:r>
        <w:rPr>
          <w:rFonts w:hint="eastAsia" w:ascii="宋体"/>
          <w:color w:val="auto"/>
          <w:sz w:val="24"/>
          <w:highlight w:val="none"/>
        </w:rPr>
        <w:t>特此声明。</w:t>
      </w:r>
    </w:p>
    <w:p w14:paraId="0AF07A8A">
      <w:pPr>
        <w:kinsoku/>
        <w:wordWrap w:val="0"/>
        <w:overflowPunct/>
        <w:topLinePunct w:val="0"/>
        <w:bidi w:val="0"/>
        <w:spacing w:line="600" w:lineRule="auto"/>
        <w:ind w:firstLine="480" w:firstLineChars="200"/>
        <w:rPr>
          <w:rFonts w:hint="eastAsia" w:ascii="宋体"/>
          <w:color w:val="auto"/>
          <w:sz w:val="24"/>
          <w:highlight w:val="none"/>
        </w:rPr>
      </w:pPr>
    </w:p>
    <w:p w14:paraId="799C03BE">
      <w:pPr>
        <w:kinsoku/>
        <w:wordWrap w:val="0"/>
        <w:overflowPunct/>
        <w:topLinePunct w:val="0"/>
        <w:bidi w:val="0"/>
        <w:spacing w:line="480" w:lineRule="auto"/>
        <w:ind w:firstLine="480" w:firstLineChars="200"/>
        <w:jc w:val="right"/>
        <w:rPr>
          <w:rFonts w:hint="eastAsia" w:ascii="宋体" w:hAnsi="宋体"/>
          <w:color w:val="auto"/>
          <w:sz w:val="24"/>
          <w:highlight w:val="none"/>
        </w:rPr>
      </w:pPr>
    </w:p>
    <w:p w14:paraId="5A815FC5">
      <w:pPr>
        <w:kinsoku/>
        <w:wordWrap w:val="0"/>
        <w:overflowPunct/>
        <w:topLinePunct w:val="0"/>
        <w:bidi w:val="0"/>
        <w:spacing w:line="480" w:lineRule="auto"/>
        <w:jc w:val="center"/>
        <w:rPr>
          <w:rFonts w:hint="eastAsia" w:ascii="宋体" w:hAnsi="宋体"/>
          <w:color w:val="auto"/>
          <w:sz w:val="24"/>
          <w:highlight w:val="none"/>
        </w:rPr>
      </w:pPr>
      <w:r>
        <w:rPr>
          <w:rFonts w:hint="eastAsia" w:ascii="宋体" w:hAnsi="宋体"/>
          <w:color w:val="auto"/>
          <w:sz w:val="24"/>
          <w:highlight w:val="none"/>
        </w:rPr>
        <w:t xml:space="preserve">      投标人：</w:t>
      </w:r>
    </w:p>
    <w:p w14:paraId="7472F17F">
      <w:pPr>
        <w:kinsoku/>
        <w:wordWrap w:val="0"/>
        <w:overflowPunct/>
        <w:topLinePunct w:val="0"/>
        <w:bidi w:val="0"/>
        <w:spacing w:line="480" w:lineRule="auto"/>
        <w:jc w:val="right"/>
        <w:rPr>
          <w:b/>
          <w:color w:val="auto"/>
          <w:sz w:val="36"/>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6DA1E0B">
      <w:pPr>
        <w:kinsoku/>
        <w:wordWrap w:val="0"/>
        <w:overflowPunct/>
        <w:topLinePunct w:val="0"/>
        <w:bidi w:val="0"/>
        <w:adjustRightInd w:val="0"/>
        <w:snapToGrid w:val="0"/>
        <w:spacing w:line="560" w:lineRule="exact"/>
        <w:ind w:firstLine="420" w:firstLineChars="200"/>
        <w:rPr>
          <w:rFonts w:hint="eastAsia" w:ascii="宋体" w:hAnsi="宋体" w:eastAsia="宋体" w:cs="Times New Roman"/>
          <w:color w:val="auto"/>
          <w:szCs w:val="21"/>
          <w:highlight w:val="none"/>
          <w:lang w:val="en-US" w:eastAsia="zh-CN"/>
        </w:rPr>
      </w:pPr>
    </w:p>
    <w:p w14:paraId="268A6254">
      <w:pPr>
        <w:kinsoku/>
        <w:wordWrap w:val="0"/>
        <w:overflowPunct/>
        <w:topLinePunct w:val="0"/>
        <w:bidi w:val="0"/>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D6091B2">
      <w:pPr>
        <w:kinsoku/>
        <w:wordWrap w:val="0"/>
        <w:overflowPunct/>
        <w:topLinePunct w:val="0"/>
        <w:bidi w:val="0"/>
        <w:spacing w:before="100" w:beforeAutospacing="1" w:after="100" w:afterAutospacing="1"/>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二、技术标格式文件</w:t>
      </w:r>
    </w:p>
    <w:p w14:paraId="5222B23A">
      <w:pPr>
        <w:kinsoku/>
        <w:wordWrap w:val="0"/>
        <w:overflowPunct/>
        <w:topLinePunct w:val="0"/>
        <w:bidi w:val="0"/>
        <w:jc w:val="center"/>
        <w:rPr>
          <w:rFonts w:hint="eastAsia" w:ascii="宋体"/>
          <w:b/>
          <w:color w:val="auto"/>
          <w:sz w:val="44"/>
          <w:szCs w:val="44"/>
          <w:highlight w:val="none"/>
        </w:rPr>
      </w:pPr>
      <w:bookmarkStart w:id="123" w:name="_Toc387149626"/>
      <w:bookmarkStart w:id="124" w:name="_Toc449028953"/>
    </w:p>
    <w:p w14:paraId="44A2C3F5">
      <w:pPr>
        <w:kinsoku/>
        <w:wordWrap w:val="0"/>
        <w:overflowPunct/>
        <w:topLinePunct w:val="0"/>
        <w:bidi w:val="0"/>
        <w:jc w:val="center"/>
        <w:rPr>
          <w:rFonts w:hint="eastAsia" w:ascii="宋体"/>
          <w:b/>
          <w:color w:val="auto"/>
          <w:sz w:val="44"/>
          <w:szCs w:val="44"/>
          <w:highlight w:val="none"/>
        </w:rPr>
      </w:pPr>
      <w:r>
        <w:rPr>
          <w:rFonts w:hint="eastAsia" w:ascii="宋体"/>
          <w:b/>
          <w:color w:val="auto"/>
          <w:sz w:val="44"/>
          <w:szCs w:val="44"/>
          <w:highlight w:val="none"/>
        </w:rPr>
        <w:t>技术标</w:t>
      </w:r>
      <w:bookmarkEnd w:id="123"/>
      <w:bookmarkEnd w:id="124"/>
    </w:p>
    <w:p w14:paraId="4F352A56">
      <w:pPr>
        <w:kinsoku/>
        <w:wordWrap w:val="0"/>
        <w:overflowPunct/>
        <w:topLinePunct w:val="0"/>
        <w:bidi w:val="0"/>
        <w:jc w:val="center"/>
        <w:rPr>
          <w:rFonts w:hint="eastAsia" w:ascii="宋体"/>
          <w:color w:val="auto"/>
          <w:sz w:val="32"/>
          <w:szCs w:val="32"/>
          <w:highlight w:val="none"/>
        </w:rPr>
      </w:pPr>
      <w:r>
        <w:rPr>
          <w:rFonts w:hint="eastAsia" w:ascii="宋体"/>
          <w:color w:val="auto"/>
          <w:sz w:val="32"/>
          <w:szCs w:val="32"/>
          <w:highlight w:val="none"/>
        </w:rPr>
        <w:t>（投标文件二）</w:t>
      </w:r>
    </w:p>
    <w:p w14:paraId="55D09B65">
      <w:pPr>
        <w:kinsoku/>
        <w:wordWrap w:val="0"/>
        <w:overflowPunct/>
        <w:topLinePunct w:val="0"/>
        <w:bidi w:val="0"/>
        <w:jc w:val="center"/>
        <w:rPr>
          <w:rFonts w:hint="eastAsia" w:eastAsia="黑体"/>
          <w:color w:val="auto"/>
          <w:sz w:val="44"/>
          <w:szCs w:val="44"/>
          <w:highlight w:val="none"/>
        </w:rPr>
      </w:pPr>
    </w:p>
    <w:p w14:paraId="3D8AFA70">
      <w:pPr>
        <w:kinsoku/>
        <w:wordWrap w:val="0"/>
        <w:overflowPunct/>
        <w:topLinePunct w:val="0"/>
        <w:bidi w:val="0"/>
        <w:jc w:val="center"/>
        <w:rPr>
          <w:rFonts w:hint="default" w:ascii="宋体" w:eastAsia="宋体"/>
          <w:color w:val="auto"/>
          <w:sz w:val="32"/>
          <w:szCs w:val="32"/>
          <w:highlight w:val="none"/>
          <w:u w:val="single"/>
          <w:lang w:val="en-US" w:eastAsia="zh-CN"/>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r>
        <w:rPr>
          <w:rFonts w:hint="eastAsia" w:ascii="宋体"/>
          <w:color w:val="auto"/>
          <w:sz w:val="32"/>
          <w:szCs w:val="32"/>
          <w:highlight w:val="none"/>
          <w:u w:val="single"/>
          <w:lang w:val="en-US" w:eastAsia="zh-CN"/>
        </w:rPr>
        <w:t xml:space="preserve">     </w:t>
      </w:r>
      <w:r>
        <w:rPr>
          <w:rFonts w:hint="eastAsia" w:ascii="宋体"/>
          <w:color w:val="auto"/>
          <w:sz w:val="32"/>
          <w:szCs w:val="32"/>
          <w:highlight w:val="none"/>
          <w:u w:val="none"/>
          <w:lang w:val="en-US" w:eastAsia="zh-CN"/>
        </w:rPr>
        <w:t>标段</w:t>
      </w:r>
    </w:p>
    <w:p w14:paraId="2B1551F2">
      <w:pPr>
        <w:kinsoku/>
        <w:wordWrap w:val="0"/>
        <w:overflowPunct/>
        <w:topLinePunct w:val="0"/>
        <w:bidi w:val="0"/>
        <w:jc w:val="center"/>
        <w:rPr>
          <w:rFonts w:hint="eastAsia" w:ascii="宋体"/>
          <w:color w:val="auto"/>
          <w:sz w:val="28"/>
          <w:szCs w:val="28"/>
          <w:highlight w:val="none"/>
          <w:u w:val="single"/>
        </w:rPr>
      </w:pPr>
      <w:r>
        <w:rPr>
          <w:rFonts w:hint="eastAsia" w:ascii="宋体"/>
          <w:color w:val="auto"/>
          <w:sz w:val="28"/>
          <w:szCs w:val="28"/>
          <w:highlight w:val="none"/>
        </w:rPr>
        <w:t>项目编号</w:t>
      </w:r>
      <w:r>
        <w:rPr>
          <w:rFonts w:hint="eastAsia" w:ascii="宋体"/>
          <w:color w:val="auto"/>
          <w:sz w:val="28"/>
          <w:szCs w:val="28"/>
          <w:highlight w:val="none"/>
          <w:lang w:eastAsia="zh-CN"/>
        </w:rPr>
        <w:t>：</w:t>
      </w:r>
      <w:r>
        <w:rPr>
          <w:rFonts w:hint="eastAsia" w:ascii="宋体"/>
          <w:color w:val="auto"/>
          <w:sz w:val="28"/>
          <w:szCs w:val="28"/>
          <w:highlight w:val="none"/>
          <w:u w:val="single"/>
        </w:rPr>
        <w:t xml:space="preserve">      </w:t>
      </w:r>
    </w:p>
    <w:p w14:paraId="4EAC96E0">
      <w:pPr>
        <w:kinsoku/>
        <w:wordWrap w:val="0"/>
        <w:overflowPunct/>
        <w:topLinePunct w:val="0"/>
        <w:bidi w:val="0"/>
        <w:jc w:val="center"/>
        <w:rPr>
          <w:rFonts w:hint="eastAsia" w:ascii="宋体"/>
          <w:color w:val="auto"/>
          <w:sz w:val="28"/>
          <w:szCs w:val="28"/>
          <w:highlight w:val="none"/>
          <w:u w:val="single"/>
        </w:rPr>
      </w:pPr>
    </w:p>
    <w:p w14:paraId="4337AAF9">
      <w:pPr>
        <w:kinsoku/>
        <w:wordWrap w:val="0"/>
        <w:overflowPunct/>
        <w:topLinePunct w:val="0"/>
        <w:bidi w:val="0"/>
        <w:jc w:val="center"/>
        <w:rPr>
          <w:rFonts w:hint="eastAsia" w:ascii="宋体"/>
          <w:color w:val="auto"/>
          <w:sz w:val="28"/>
          <w:szCs w:val="28"/>
          <w:highlight w:val="none"/>
          <w:u w:val="single"/>
        </w:rPr>
      </w:pPr>
    </w:p>
    <w:p w14:paraId="4FFD799D">
      <w:pPr>
        <w:kinsoku/>
        <w:wordWrap w:val="0"/>
        <w:overflowPunct/>
        <w:topLinePunct w:val="0"/>
        <w:bidi w:val="0"/>
        <w:jc w:val="center"/>
        <w:rPr>
          <w:rFonts w:hint="eastAsia" w:ascii="宋体"/>
          <w:color w:val="auto"/>
          <w:sz w:val="28"/>
          <w:szCs w:val="28"/>
          <w:highlight w:val="none"/>
          <w:u w:val="single"/>
        </w:rPr>
      </w:pPr>
    </w:p>
    <w:p w14:paraId="3C008708">
      <w:pPr>
        <w:kinsoku/>
        <w:wordWrap w:val="0"/>
        <w:overflowPunct/>
        <w:topLinePunct w:val="0"/>
        <w:bidi w:val="0"/>
        <w:jc w:val="center"/>
        <w:rPr>
          <w:rFonts w:hint="eastAsia" w:ascii="宋体"/>
          <w:color w:val="auto"/>
          <w:sz w:val="28"/>
          <w:szCs w:val="28"/>
          <w:highlight w:val="none"/>
          <w:u w:val="single"/>
        </w:rPr>
      </w:pPr>
    </w:p>
    <w:p w14:paraId="70921C16">
      <w:pPr>
        <w:kinsoku/>
        <w:wordWrap w:val="0"/>
        <w:overflowPunct/>
        <w:topLinePunct w:val="0"/>
        <w:bidi w:val="0"/>
        <w:jc w:val="center"/>
        <w:rPr>
          <w:rFonts w:hint="eastAsia" w:ascii="宋体"/>
          <w:color w:val="auto"/>
          <w:sz w:val="28"/>
          <w:szCs w:val="28"/>
          <w:highlight w:val="none"/>
          <w:u w:val="single"/>
        </w:rPr>
      </w:pPr>
    </w:p>
    <w:p w14:paraId="2D2B44EC">
      <w:pPr>
        <w:kinsoku/>
        <w:wordWrap w:val="0"/>
        <w:overflowPunct/>
        <w:topLinePunct w:val="0"/>
        <w:bidi w:val="0"/>
        <w:jc w:val="center"/>
        <w:rPr>
          <w:rFonts w:hint="eastAsia" w:ascii="宋体"/>
          <w:color w:val="auto"/>
          <w:sz w:val="28"/>
          <w:szCs w:val="28"/>
          <w:highlight w:val="none"/>
          <w:u w:val="single"/>
        </w:rPr>
      </w:pPr>
    </w:p>
    <w:p w14:paraId="2B6F44B8">
      <w:pPr>
        <w:kinsoku/>
        <w:wordWrap w:val="0"/>
        <w:overflowPunct/>
        <w:topLinePunct w:val="0"/>
        <w:bidi w:val="0"/>
        <w:jc w:val="both"/>
        <w:rPr>
          <w:rFonts w:hint="eastAsia" w:ascii="宋体"/>
          <w:color w:val="auto"/>
          <w:sz w:val="28"/>
          <w:szCs w:val="28"/>
          <w:highlight w:val="none"/>
          <w:u w:val="single"/>
        </w:rPr>
      </w:pPr>
    </w:p>
    <w:p w14:paraId="12029229">
      <w:pPr>
        <w:kinsoku/>
        <w:wordWrap w:val="0"/>
        <w:overflowPunct/>
        <w:topLinePunct w:val="0"/>
        <w:bidi w:val="0"/>
        <w:jc w:val="center"/>
        <w:rPr>
          <w:rFonts w:hint="eastAsia" w:ascii="宋体"/>
          <w:color w:val="auto"/>
          <w:sz w:val="28"/>
          <w:szCs w:val="28"/>
          <w:highlight w:val="none"/>
          <w:u w:val="single"/>
        </w:rPr>
      </w:pPr>
    </w:p>
    <w:p w14:paraId="60BCA300">
      <w:pPr>
        <w:kinsoku/>
        <w:wordWrap w:val="0"/>
        <w:overflowPunct/>
        <w:topLinePunct w:val="0"/>
        <w:bidi w:val="0"/>
        <w:jc w:val="center"/>
        <w:rPr>
          <w:rFonts w:hint="eastAsia" w:ascii="宋体"/>
          <w:color w:val="auto"/>
          <w:sz w:val="28"/>
          <w:szCs w:val="28"/>
          <w:highlight w:val="none"/>
          <w:u w:val="single"/>
        </w:rPr>
      </w:pPr>
    </w:p>
    <w:p w14:paraId="370EABF6">
      <w:pPr>
        <w:kinsoku/>
        <w:wordWrap w:val="0"/>
        <w:overflowPunct/>
        <w:topLinePunct w:val="0"/>
        <w:bidi w:val="0"/>
        <w:jc w:val="center"/>
        <w:rPr>
          <w:rFonts w:hint="eastAsia" w:ascii="宋体"/>
          <w:color w:val="auto"/>
          <w:sz w:val="28"/>
          <w:szCs w:val="28"/>
          <w:highlight w:val="none"/>
          <w:u w:val="single"/>
        </w:rPr>
      </w:pPr>
    </w:p>
    <w:p w14:paraId="7F9658FA">
      <w:pPr>
        <w:kinsoku/>
        <w:wordWrap w:val="0"/>
        <w:overflowPunct/>
        <w:topLinePunct w:val="0"/>
        <w:bidi w:val="0"/>
        <w:jc w:val="center"/>
        <w:rPr>
          <w:rFonts w:hint="eastAsia" w:ascii="宋体"/>
          <w:color w:val="auto"/>
          <w:sz w:val="28"/>
          <w:szCs w:val="28"/>
          <w:highlight w:val="none"/>
          <w:u w:val="single"/>
        </w:rPr>
      </w:pPr>
    </w:p>
    <w:p w14:paraId="7F583A26">
      <w:pPr>
        <w:kinsoku/>
        <w:wordWrap w:val="0"/>
        <w:overflowPunct/>
        <w:topLinePunct w:val="0"/>
        <w:bidi w:val="0"/>
        <w:jc w:val="center"/>
        <w:rPr>
          <w:rFonts w:hint="eastAsia" w:ascii="宋体"/>
          <w:color w:val="auto"/>
          <w:sz w:val="28"/>
          <w:szCs w:val="28"/>
          <w:highlight w:val="none"/>
          <w:u w:val="single"/>
        </w:rPr>
      </w:pPr>
    </w:p>
    <w:p w14:paraId="21CC2BC0">
      <w:pPr>
        <w:kinsoku/>
        <w:wordWrap w:val="0"/>
        <w:overflowPunct/>
        <w:topLinePunct w:val="0"/>
        <w:bidi w:val="0"/>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6604619">
      <w:pPr>
        <w:pStyle w:val="12"/>
        <w:kinsoku/>
        <w:wordWrap w:val="0"/>
        <w:overflowPunct/>
        <w:topLinePunct w:val="0"/>
        <w:bidi w:val="0"/>
        <w:ind w:firstLine="560"/>
        <w:rPr>
          <w:rFonts w:hint="eastAsia" w:ascii="宋体"/>
          <w:color w:val="auto"/>
          <w:sz w:val="28"/>
          <w:szCs w:val="28"/>
          <w:highlight w:val="none"/>
        </w:rPr>
      </w:pPr>
    </w:p>
    <w:p w14:paraId="3CD989C2">
      <w:pPr>
        <w:kinsoku/>
        <w:wordWrap w:val="0"/>
        <w:overflowPunct/>
        <w:topLinePunct w:val="0"/>
        <w:bidi w:val="0"/>
        <w:rPr>
          <w:rFonts w:hint="eastAsia"/>
          <w:color w:val="auto"/>
          <w:highlight w:val="none"/>
        </w:rPr>
      </w:pPr>
    </w:p>
    <w:p w14:paraId="1B95989A">
      <w:pPr>
        <w:kinsoku/>
        <w:wordWrap w:val="0"/>
        <w:overflowPunct/>
        <w:topLinePunct w:val="0"/>
        <w:bidi w:val="0"/>
        <w:rPr>
          <w:rFonts w:hint="eastAsia" w:ascii="宋体"/>
          <w:color w:val="auto"/>
          <w:sz w:val="28"/>
          <w:szCs w:val="28"/>
          <w:highlight w:val="none"/>
        </w:rPr>
      </w:pPr>
    </w:p>
    <w:p w14:paraId="3D29B921">
      <w:pPr>
        <w:pStyle w:val="12"/>
        <w:kinsoku/>
        <w:wordWrap w:val="0"/>
        <w:overflowPunct/>
        <w:topLinePunct w:val="0"/>
        <w:bidi w:val="0"/>
        <w:ind w:firstLine="400"/>
        <w:rPr>
          <w:rFonts w:hint="eastAsia"/>
          <w:color w:val="auto"/>
          <w:highlight w:val="none"/>
        </w:rPr>
      </w:pPr>
    </w:p>
    <w:p w14:paraId="235F37AD">
      <w:pPr>
        <w:kinsoku/>
        <w:wordWrap w:val="0"/>
        <w:overflowPunct/>
        <w:topLinePunct w:val="0"/>
        <w:bidi w:val="0"/>
        <w:spacing w:line="400" w:lineRule="exact"/>
        <w:jc w:val="both"/>
        <w:rPr>
          <w:rFonts w:hint="eastAsia"/>
          <w:b/>
          <w:color w:val="auto"/>
          <w:sz w:val="36"/>
          <w:szCs w:val="36"/>
          <w:highlight w:val="none"/>
        </w:rPr>
      </w:pPr>
    </w:p>
    <w:p w14:paraId="59910E82">
      <w:pPr>
        <w:kinsoku/>
        <w:wordWrap w:val="0"/>
        <w:overflowPunct/>
        <w:topLinePunct w:val="0"/>
        <w:bidi w:val="0"/>
        <w:jc w:val="center"/>
        <w:rPr>
          <w:rFonts w:hint="eastAsia" w:ascii="Times New Roman" w:hAnsi="Times New Roman" w:cs="Times New Roman"/>
          <w:b/>
          <w:color w:val="auto"/>
          <w:sz w:val="36"/>
          <w:szCs w:val="36"/>
          <w:highlight w:val="none"/>
        </w:rPr>
      </w:pPr>
      <w:r>
        <w:rPr>
          <w:rFonts w:hint="eastAsia" w:ascii="Times New Roman" w:hAnsi="Times New Roman" w:cs="Times New Roman"/>
          <w:b/>
          <w:color w:val="auto"/>
          <w:sz w:val="36"/>
          <w:szCs w:val="36"/>
          <w:highlight w:val="none"/>
        </w:rPr>
        <w:t>目   录</w:t>
      </w:r>
    </w:p>
    <w:p w14:paraId="5FA89961">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（1）重大活动保障方案；</w:t>
      </w:r>
    </w:p>
    <w:p w14:paraId="4CFD3020">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2"/>
          <w:sz w:val="21"/>
          <w:szCs w:val="24"/>
          <w:highlight w:val="none"/>
          <w:lang w:val="en-US" w:eastAsia="zh-CN" w:bidi="ar-SA"/>
        </w:rPr>
        <w:t>进退场交接方案；</w:t>
      </w:r>
    </w:p>
    <w:p w14:paraId="4D30C438">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kern w:val="2"/>
          <w:sz w:val="21"/>
          <w:szCs w:val="24"/>
          <w:highlight w:val="none"/>
          <w:lang w:val="en-US" w:eastAsia="zh-CN" w:bidi="ar-SA"/>
        </w:rPr>
        <w:t>日常秩序维</w:t>
      </w:r>
      <w:r>
        <w:rPr>
          <w:rFonts w:hint="eastAsia" w:ascii="宋体" w:hAnsi="宋体" w:eastAsia="宋体" w:cs="宋体"/>
          <w:color w:val="auto"/>
          <w:szCs w:val="21"/>
          <w:highlight w:val="none"/>
          <w:lang w:val="en-US" w:eastAsia="zh-CN"/>
        </w:rPr>
        <w:t>护方案；</w:t>
      </w:r>
    </w:p>
    <w:p w14:paraId="63DB882D">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（4）日常保洁服务方案；</w:t>
      </w:r>
    </w:p>
    <w:p w14:paraId="11BDCD17">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（5）内部管理制度；</w:t>
      </w:r>
    </w:p>
    <w:p w14:paraId="7181DF24">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（6）人员培训与管理；</w:t>
      </w:r>
    </w:p>
    <w:p w14:paraId="369792A1">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（7）应急突发事件的处理；</w:t>
      </w:r>
    </w:p>
    <w:p w14:paraId="661B9DCD">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left"/>
        <w:textAlignment w:val="auto"/>
        <w:rPr>
          <w:rFonts w:hint="eastAsia" w:ascii="宋体" w:hAnsi="宋体"/>
          <w:b/>
          <w:color w:val="auto"/>
          <w:sz w:val="28"/>
          <w:szCs w:val="28"/>
          <w:highlight w:val="none"/>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本项目采用横向暗标评审，请投标人结合技术标评审细则和系统内容在对应模块上传技术标评审内容。</w:t>
      </w:r>
      <w:r>
        <w:rPr>
          <w:rFonts w:hint="eastAsia" w:ascii="宋体" w:hAnsi="宋体"/>
          <w:b/>
          <w:color w:val="auto"/>
          <w:sz w:val="28"/>
          <w:szCs w:val="28"/>
          <w:highlight w:val="none"/>
        </w:rPr>
        <w:br w:type="page"/>
      </w:r>
    </w:p>
    <w:p w14:paraId="07CE96CE">
      <w:pPr>
        <w:kinsoku/>
        <w:wordWrap w:val="0"/>
        <w:overflowPunct/>
        <w:topLinePunct w:val="0"/>
        <w:bidi w:val="0"/>
        <w:jc w:val="center"/>
        <w:outlineLvl w:val="1"/>
        <w:rPr>
          <w:rFonts w:hint="eastAsia" w:ascii="宋体"/>
          <w:color w:val="auto"/>
          <w:sz w:val="24"/>
          <w:highlight w:val="none"/>
        </w:rPr>
      </w:pPr>
      <w:r>
        <w:rPr>
          <w:rFonts w:hint="eastAsia" w:ascii="宋体" w:hAnsi="宋体"/>
          <w:b/>
          <w:color w:val="auto"/>
          <w:sz w:val="28"/>
          <w:szCs w:val="28"/>
          <w:highlight w:val="none"/>
        </w:rPr>
        <w:t>三、商务标格式文件</w:t>
      </w:r>
    </w:p>
    <w:p w14:paraId="06CB3F24">
      <w:pPr>
        <w:kinsoku/>
        <w:wordWrap w:val="0"/>
        <w:overflowPunct/>
        <w:topLinePunct w:val="0"/>
        <w:bidi w:val="0"/>
        <w:jc w:val="center"/>
        <w:rPr>
          <w:rFonts w:hint="eastAsia" w:eastAsia="黑体"/>
          <w:color w:val="auto"/>
          <w:sz w:val="20"/>
          <w:highlight w:val="none"/>
        </w:rPr>
      </w:pPr>
    </w:p>
    <w:p w14:paraId="12C6F3F4">
      <w:pPr>
        <w:kinsoku/>
        <w:wordWrap w:val="0"/>
        <w:overflowPunct/>
        <w:topLinePunct w:val="0"/>
        <w:bidi w:val="0"/>
        <w:rPr>
          <w:rFonts w:hint="eastAsia" w:ascii="宋体"/>
          <w:color w:val="auto"/>
          <w:sz w:val="20"/>
          <w:highlight w:val="none"/>
        </w:rPr>
      </w:pPr>
    </w:p>
    <w:p w14:paraId="031261A8">
      <w:pPr>
        <w:pStyle w:val="12"/>
        <w:kinsoku/>
        <w:wordWrap w:val="0"/>
        <w:overflowPunct/>
        <w:topLinePunct w:val="0"/>
        <w:bidi w:val="0"/>
        <w:ind w:firstLine="400"/>
        <w:rPr>
          <w:rFonts w:hint="eastAsia"/>
          <w:color w:val="auto"/>
          <w:highlight w:val="none"/>
        </w:rPr>
      </w:pPr>
    </w:p>
    <w:p w14:paraId="05086BFA">
      <w:pPr>
        <w:kinsoku/>
        <w:wordWrap w:val="0"/>
        <w:overflowPunct/>
        <w:topLinePunct w:val="0"/>
        <w:bidi w:val="0"/>
        <w:jc w:val="center"/>
        <w:rPr>
          <w:rFonts w:hint="eastAsia" w:ascii="宋体"/>
          <w:b/>
          <w:color w:val="auto"/>
          <w:sz w:val="44"/>
          <w:szCs w:val="44"/>
          <w:highlight w:val="none"/>
        </w:rPr>
      </w:pPr>
      <w:bookmarkStart w:id="125" w:name="_Toc449028954"/>
      <w:r>
        <w:rPr>
          <w:rFonts w:hint="eastAsia" w:ascii="宋体"/>
          <w:b/>
          <w:color w:val="auto"/>
          <w:sz w:val="44"/>
          <w:szCs w:val="44"/>
          <w:highlight w:val="none"/>
        </w:rPr>
        <w:t>商务标</w:t>
      </w:r>
      <w:bookmarkEnd w:id="125"/>
    </w:p>
    <w:p w14:paraId="550CA294">
      <w:pPr>
        <w:kinsoku/>
        <w:wordWrap w:val="0"/>
        <w:overflowPunct/>
        <w:topLinePunct w:val="0"/>
        <w:bidi w:val="0"/>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2D28631A">
      <w:pPr>
        <w:kinsoku/>
        <w:wordWrap w:val="0"/>
        <w:overflowPunct/>
        <w:topLinePunct w:val="0"/>
        <w:bidi w:val="0"/>
        <w:jc w:val="center"/>
        <w:rPr>
          <w:rFonts w:hint="eastAsia" w:ascii="宋体"/>
          <w:color w:val="auto"/>
          <w:sz w:val="36"/>
          <w:szCs w:val="36"/>
          <w:highlight w:val="none"/>
        </w:rPr>
      </w:pPr>
    </w:p>
    <w:p w14:paraId="66E2D6CD">
      <w:pPr>
        <w:kinsoku/>
        <w:wordWrap w:val="0"/>
        <w:overflowPunct/>
        <w:topLinePunct w:val="0"/>
        <w:bidi w:val="0"/>
        <w:jc w:val="center"/>
        <w:outlineLvl w:val="2"/>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r>
        <w:rPr>
          <w:rFonts w:hint="eastAsia" w:ascii="宋体"/>
          <w:color w:val="auto"/>
          <w:sz w:val="32"/>
          <w:szCs w:val="32"/>
          <w:highlight w:val="none"/>
          <w:u w:val="single"/>
          <w:lang w:val="en-US" w:eastAsia="zh-CN"/>
        </w:rPr>
        <w:t xml:space="preserve">     </w:t>
      </w:r>
      <w:r>
        <w:rPr>
          <w:rFonts w:hint="eastAsia" w:ascii="宋体"/>
          <w:color w:val="auto"/>
          <w:sz w:val="32"/>
          <w:szCs w:val="32"/>
          <w:highlight w:val="none"/>
          <w:u w:val="none"/>
          <w:lang w:val="en-US" w:eastAsia="zh-CN"/>
        </w:rPr>
        <w:t>标段</w:t>
      </w:r>
    </w:p>
    <w:p w14:paraId="29C1ADE9">
      <w:pPr>
        <w:kinsoku/>
        <w:wordWrap w:val="0"/>
        <w:overflowPunct/>
        <w:topLinePunct w:val="0"/>
        <w:bidi w:val="0"/>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D33026E">
      <w:pPr>
        <w:kinsoku/>
        <w:wordWrap w:val="0"/>
        <w:overflowPunct/>
        <w:topLinePunct w:val="0"/>
        <w:bidi w:val="0"/>
        <w:rPr>
          <w:rFonts w:hint="eastAsia" w:ascii="宋体"/>
          <w:color w:val="auto"/>
          <w:sz w:val="28"/>
          <w:szCs w:val="28"/>
          <w:highlight w:val="none"/>
        </w:rPr>
      </w:pPr>
    </w:p>
    <w:p w14:paraId="2DA01A1C">
      <w:pPr>
        <w:kinsoku/>
        <w:wordWrap w:val="0"/>
        <w:overflowPunct/>
        <w:topLinePunct w:val="0"/>
        <w:bidi w:val="0"/>
        <w:rPr>
          <w:rFonts w:hint="eastAsia" w:ascii="宋体"/>
          <w:color w:val="auto"/>
          <w:sz w:val="28"/>
          <w:szCs w:val="28"/>
          <w:highlight w:val="none"/>
        </w:rPr>
      </w:pPr>
    </w:p>
    <w:p w14:paraId="53A81B0C">
      <w:pPr>
        <w:kinsoku/>
        <w:wordWrap w:val="0"/>
        <w:overflowPunct/>
        <w:topLinePunct w:val="0"/>
        <w:bidi w:val="0"/>
        <w:rPr>
          <w:rFonts w:hint="eastAsia" w:ascii="宋体"/>
          <w:color w:val="auto"/>
          <w:sz w:val="28"/>
          <w:szCs w:val="28"/>
          <w:highlight w:val="none"/>
        </w:rPr>
      </w:pPr>
    </w:p>
    <w:p w14:paraId="6AEEB076">
      <w:pPr>
        <w:kinsoku/>
        <w:wordWrap w:val="0"/>
        <w:overflowPunct/>
        <w:topLinePunct w:val="0"/>
        <w:bidi w:val="0"/>
        <w:rPr>
          <w:rFonts w:hint="eastAsia" w:ascii="宋体"/>
          <w:color w:val="auto"/>
          <w:sz w:val="28"/>
          <w:szCs w:val="28"/>
          <w:highlight w:val="none"/>
        </w:rPr>
      </w:pPr>
    </w:p>
    <w:p w14:paraId="15F1CF36">
      <w:pPr>
        <w:kinsoku/>
        <w:wordWrap w:val="0"/>
        <w:overflowPunct/>
        <w:topLinePunct w:val="0"/>
        <w:bidi w:val="0"/>
        <w:rPr>
          <w:rFonts w:hint="eastAsia" w:ascii="宋体"/>
          <w:color w:val="auto"/>
          <w:sz w:val="28"/>
          <w:szCs w:val="28"/>
          <w:highlight w:val="none"/>
        </w:rPr>
      </w:pPr>
    </w:p>
    <w:p w14:paraId="523DA255">
      <w:pPr>
        <w:kinsoku/>
        <w:wordWrap w:val="0"/>
        <w:overflowPunct/>
        <w:topLinePunct w:val="0"/>
        <w:bidi w:val="0"/>
        <w:rPr>
          <w:rFonts w:hint="eastAsia" w:ascii="宋体"/>
          <w:color w:val="auto"/>
          <w:sz w:val="28"/>
          <w:szCs w:val="28"/>
          <w:highlight w:val="none"/>
        </w:rPr>
      </w:pPr>
    </w:p>
    <w:p w14:paraId="4D88DE8E">
      <w:pPr>
        <w:kinsoku/>
        <w:wordWrap w:val="0"/>
        <w:overflowPunct/>
        <w:topLinePunct w:val="0"/>
        <w:bidi w:val="0"/>
        <w:rPr>
          <w:rFonts w:hint="eastAsia" w:ascii="宋体"/>
          <w:color w:val="auto"/>
          <w:sz w:val="28"/>
          <w:szCs w:val="28"/>
          <w:highlight w:val="none"/>
        </w:rPr>
      </w:pPr>
    </w:p>
    <w:p w14:paraId="1572BB7D">
      <w:pPr>
        <w:kinsoku/>
        <w:wordWrap w:val="0"/>
        <w:overflowPunct/>
        <w:topLinePunct w:val="0"/>
        <w:bidi w:val="0"/>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17DA71D">
      <w:pPr>
        <w:kinsoku/>
        <w:wordWrap w:val="0"/>
        <w:overflowPunct/>
        <w:topLinePunct w:val="0"/>
        <w:bidi w:val="0"/>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5B3F5240">
      <w:pPr>
        <w:kinsoku/>
        <w:wordWrap w:val="0"/>
        <w:overflowPunct/>
        <w:topLinePunct w:val="0"/>
        <w:bidi w:val="0"/>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73CAFAF">
      <w:pPr>
        <w:kinsoku/>
        <w:wordWrap w:val="0"/>
        <w:overflowPunct/>
        <w:topLinePunct w:val="0"/>
        <w:bidi w:val="0"/>
        <w:spacing w:line="720" w:lineRule="auto"/>
        <w:jc w:val="center"/>
        <w:rPr>
          <w:rFonts w:hint="eastAsia" w:ascii="宋体"/>
          <w:b/>
          <w:color w:val="auto"/>
          <w:sz w:val="36"/>
          <w:szCs w:val="36"/>
          <w:highlight w:val="none"/>
        </w:rPr>
      </w:pPr>
    </w:p>
    <w:p w14:paraId="3F729950">
      <w:pPr>
        <w:kinsoku/>
        <w:wordWrap w:val="0"/>
        <w:overflowPunct/>
        <w:topLinePunct w:val="0"/>
        <w:bidi w:val="0"/>
        <w:spacing w:line="400" w:lineRule="exact"/>
        <w:ind w:firstLine="562" w:firstLineChars="200"/>
        <w:rPr>
          <w:rFonts w:hint="eastAsia"/>
          <w:b/>
          <w:color w:val="auto"/>
          <w:sz w:val="28"/>
          <w:szCs w:val="28"/>
          <w:highlight w:val="none"/>
        </w:rPr>
      </w:pPr>
    </w:p>
    <w:p w14:paraId="237953FD">
      <w:pPr>
        <w:kinsoku/>
        <w:wordWrap w:val="0"/>
        <w:overflowPunct/>
        <w:topLinePunct w:val="0"/>
        <w:bidi w:val="0"/>
        <w:spacing w:line="400" w:lineRule="exact"/>
        <w:jc w:val="center"/>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4FAB169F">
      <w:pPr>
        <w:kinsoku/>
        <w:wordWrap w:val="0"/>
        <w:overflowPunct/>
        <w:topLinePunct w:val="0"/>
        <w:bidi w:val="0"/>
        <w:spacing w:line="400" w:lineRule="exact"/>
        <w:ind w:firstLine="4130" w:firstLineChars="935"/>
        <w:rPr>
          <w:rFonts w:hint="eastAsia"/>
          <w:b/>
          <w:color w:val="auto"/>
          <w:sz w:val="44"/>
          <w:szCs w:val="44"/>
          <w:highlight w:val="none"/>
        </w:rPr>
      </w:pPr>
    </w:p>
    <w:p w14:paraId="379B5FAA">
      <w:pPr>
        <w:kinsoku/>
        <w:wordWrap w:val="0"/>
        <w:overflowPunct/>
        <w:topLinePunct w:val="0"/>
        <w:bidi w:val="0"/>
        <w:spacing w:line="440" w:lineRule="exact"/>
        <w:ind w:left="420"/>
        <w:jc w:val="left"/>
        <w:rPr>
          <w:rFonts w:hint="eastAsia" w:ascii="宋体"/>
          <w:color w:val="auto"/>
          <w:szCs w:val="21"/>
          <w:highlight w:val="none"/>
        </w:rPr>
      </w:pPr>
      <w:r>
        <w:rPr>
          <w:rFonts w:hint="eastAsia" w:ascii="宋体"/>
          <w:color w:val="auto"/>
          <w:szCs w:val="21"/>
          <w:highlight w:val="none"/>
        </w:rPr>
        <w:t>（1）开标一览表（格式见附件）；</w:t>
      </w:r>
    </w:p>
    <w:p w14:paraId="24ED7E13">
      <w:pPr>
        <w:kinsoku/>
        <w:wordWrap w:val="0"/>
        <w:overflowPunct/>
        <w:topLinePunct w:val="0"/>
        <w:bidi w:val="0"/>
        <w:spacing w:line="440" w:lineRule="exact"/>
        <w:ind w:left="420"/>
        <w:jc w:val="left"/>
        <w:rPr>
          <w:rFonts w:hint="eastAsia" w:ascii="宋体"/>
          <w:color w:val="auto"/>
          <w:szCs w:val="21"/>
          <w:highlight w:val="none"/>
        </w:rPr>
      </w:pPr>
      <w:r>
        <w:rPr>
          <w:rFonts w:hint="eastAsia" w:ascii="宋体"/>
          <w:color w:val="auto"/>
          <w:szCs w:val="21"/>
          <w:highlight w:val="none"/>
        </w:rPr>
        <w:t>（2）投标函（格式见附件）；</w:t>
      </w:r>
    </w:p>
    <w:p w14:paraId="582FA220">
      <w:pPr>
        <w:kinsoku/>
        <w:wordWrap w:val="0"/>
        <w:overflowPunct/>
        <w:topLinePunct w:val="0"/>
        <w:bidi w:val="0"/>
        <w:spacing w:line="440" w:lineRule="exact"/>
        <w:ind w:firstLine="424" w:firstLineChars="202"/>
        <w:jc w:val="left"/>
        <w:rPr>
          <w:rFonts w:hint="default"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3）分项报价清单（格式见附件）；</w:t>
      </w:r>
    </w:p>
    <w:p w14:paraId="3F313CCB">
      <w:pPr>
        <w:kinsoku/>
        <w:wordWrap w:val="0"/>
        <w:overflowPunct/>
        <w:topLinePunct w:val="0"/>
        <w:bidi w:val="0"/>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）投标人认为需要提供的其他材料。</w:t>
      </w:r>
    </w:p>
    <w:p w14:paraId="41D89D1A">
      <w:pPr>
        <w:kinsoku/>
        <w:wordWrap w:val="0"/>
        <w:overflowPunct/>
        <w:topLinePunct w:val="0"/>
        <w:bidi w:val="0"/>
        <w:jc w:val="center"/>
        <w:rPr>
          <w:rFonts w:hint="eastAsia" w:ascii="宋体"/>
          <w:b/>
          <w:color w:val="auto"/>
          <w:sz w:val="28"/>
          <w:szCs w:val="28"/>
          <w:highlight w:val="none"/>
        </w:rPr>
      </w:pPr>
    </w:p>
    <w:p w14:paraId="2F8359EA">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082BF226">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0C864022">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590CD22E">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5E701B79">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06CF5FAF">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2008F609">
      <w:pPr>
        <w:kinsoku/>
        <w:wordWrap w:val="0"/>
        <w:overflowPunct/>
        <w:topLinePunct w:val="0"/>
        <w:bidi w:val="0"/>
        <w:spacing w:line="360" w:lineRule="exact"/>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1F66BD67">
      <w:pPr>
        <w:kinsoku/>
        <w:wordWrap w:val="0"/>
        <w:overflowPunct/>
        <w:topLinePunct w:val="0"/>
        <w:bidi w:val="0"/>
        <w:spacing w:line="360" w:lineRule="exact"/>
        <w:ind w:firstLine="472" w:firstLineChars="147"/>
        <w:jc w:val="center"/>
        <w:rPr>
          <w:rFonts w:hint="eastAsia" w:ascii="宋体"/>
          <w:b/>
          <w:color w:val="auto"/>
          <w:sz w:val="32"/>
          <w:szCs w:val="32"/>
          <w:highlight w:val="none"/>
        </w:rPr>
      </w:pPr>
    </w:p>
    <w:p w14:paraId="2A85CAFC">
      <w:pPr>
        <w:kinsoku/>
        <w:wordWrap w:val="0"/>
        <w:overflowPunct/>
        <w:topLinePunct w:val="0"/>
        <w:bidi w:val="0"/>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06DB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442382FC">
            <w:pPr>
              <w:kinsoku/>
              <w:wordWrap w:val="0"/>
              <w:overflowPunct/>
              <w:topLinePunct w:val="0"/>
              <w:bidi w:val="0"/>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2F66EE0">
            <w:pPr>
              <w:kinsoku/>
              <w:wordWrap w:val="0"/>
              <w:overflowPunct/>
              <w:topLinePunct w:val="0"/>
              <w:bidi w:val="0"/>
              <w:spacing w:line="700" w:lineRule="exact"/>
              <w:jc w:val="left"/>
              <w:rPr>
                <w:rFonts w:hint="eastAsia"/>
                <w:color w:val="auto"/>
                <w:sz w:val="24"/>
                <w:highlight w:val="none"/>
              </w:rPr>
            </w:pPr>
            <w:r>
              <w:rPr>
                <w:rFonts w:hint="eastAsia"/>
                <w:color w:val="auto"/>
                <w:sz w:val="24"/>
                <w:highlight w:val="none"/>
              </w:rPr>
              <w:t xml:space="preserve">         </w:t>
            </w:r>
          </w:p>
        </w:tc>
      </w:tr>
      <w:tr w14:paraId="6A5C6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4411DFA9">
            <w:pPr>
              <w:kinsoku/>
              <w:wordWrap w:val="0"/>
              <w:overflowPunct/>
              <w:topLinePunct w:val="0"/>
              <w:bidi w:val="0"/>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7D9CDE6A">
            <w:pPr>
              <w:kinsoku/>
              <w:wordWrap w:val="0"/>
              <w:overflowPunct/>
              <w:topLinePunct w:val="0"/>
              <w:bidi w:val="0"/>
              <w:spacing w:line="700" w:lineRule="exact"/>
              <w:rPr>
                <w:rFonts w:hint="eastAsia" w:ascii="宋体"/>
                <w:color w:val="auto"/>
                <w:sz w:val="24"/>
                <w:highlight w:val="none"/>
              </w:rPr>
            </w:pPr>
          </w:p>
        </w:tc>
      </w:tr>
      <w:tr w14:paraId="0CDBB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5A304009">
            <w:pPr>
              <w:kinsoku/>
              <w:wordWrap w:val="0"/>
              <w:overflowPunct/>
              <w:topLinePunct w:val="0"/>
              <w:bidi w:val="0"/>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1DF57252">
            <w:pPr>
              <w:pStyle w:val="20"/>
              <w:kinsoku/>
              <w:wordWrap w:val="0"/>
              <w:overflowPunct/>
              <w:topLinePunct w:val="0"/>
              <w:bidi w:val="0"/>
              <w:spacing w:line="700" w:lineRule="exact"/>
              <w:ind w:left="86" w:leftChars="41"/>
              <w:rPr>
                <w:rFonts w:hint="eastAsia" w:ascii="宋体" w:eastAsia="宋体"/>
                <w:color w:val="auto"/>
                <w:sz w:val="24"/>
                <w:szCs w:val="24"/>
                <w:highlight w:val="none"/>
              </w:rPr>
            </w:pPr>
          </w:p>
        </w:tc>
      </w:tr>
      <w:tr w14:paraId="3C835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1" w:hRule="exact"/>
        </w:trPr>
        <w:tc>
          <w:tcPr>
            <w:tcW w:w="1803" w:type="dxa"/>
            <w:tcBorders>
              <w:right w:val="single" w:color="auto" w:sz="12" w:space="0"/>
            </w:tcBorders>
            <w:noWrap w:val="0"/>
            <w:vAlign w:val="center"/>
          </w:tcPr>
          <w:p w14:paraId="6DE62A49">
            <w:pPr>
              <w:kinsoku/>
              <w:wordWrap w:val="0"/>
              <w:overflowPunct/>
              <w:topLinePunct w:val="0"/>
              <w:bidi w:val="0"/>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25F1F076">
            <w:pPr>
              <w:keepNext w:val="0"/>
              <w:keepLines w:val="0"/>
              <w:pageBreakBefore w:val="0"/>
              <w:widowControl w:val="0"/>
              <w:kinsoku/>
              <w:wordWrap w:val="0"/>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投标报价：</w:t>
            </w:r>
          </w:p>
          <w:p w14:paraId="29E0F1BA">
            <w:pPr>
              <w:keepNext w:val="0"/>
              <w:keepLines w:val="0"/>
              <w:pageBreakBefore w:val="0"/>
              <w:widowControl w:val="0"/>
              <w:kinsoku/>
              <w:wordWrap w:val="0"/>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8DB2647">
            <w:pPr>
              <w:keepNext w:val="0"/>
              <w:keepLines w:val="0"/>
              <w:pageBreakBefore w:val="0"/>
              <w:widowControl w:val="0"/>
              <w:kinsoku/>
              <w:wordWrap w:val="0"/>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078D52A6">
            <w:pPr>
              <w:keepNext w:val="0"/>
              <w:keepLines w:val="0"/>
              <w:pageBreakBefore w:val="0"/>
              <w:widowControl w:val="0"/>
              <w:kinsoku/>
              <w:wordWrap w:val="0"/>
              <w:overflowPunct/>
              <w:topLinePunct w:val="0"/>
              <w:autoSpaceDE/>
              <w:autoSpaceDN/>
              <w:bidi w:val="0"/>
              <w:adjustRightInd/>
              <w:snapToGrid/>
              <w:spacing w:line="700" w:lineRule="exact"/>
              <w:jc w:val="left"/>
              <w:textAlignment w:val="auto"/>
              <w:rPr>
                <w:rFonts w:hint="default" w:ascii="宋体" w:hAnsi="宋体"/>
                <w:color w:val="auto"/>
                <w:sz w:val="24"/>
                <w:highlight w:val="none"/>
                <w:u w:val="single"/>
                <w:lang w:val="en-US" w:eastAsia="zh-CN"/>
              </w:rPr>
            </w:pPr>
            <w:r>
              <w:rPr>
                <w:rFonts w:hint="eastAsia" w:ascii="宋体" w:hAnsi="宋体" w:eastAsia="宋体" w:cs="Times New Roman"/>
                <w:color w:val="auto"/>
                <w:sz w:val="24"/>
                <w:highlight w:val="none"/>
                <w:lang w:val="en-US" w:eastAsia="zh-CN"/>
              </w:rPr>
              <w:t>合同履行期限：</w:t>
            </w:r>
            <w:r>
              <w:rPr>
                <w:rFonts w:hint="eastAsia" w:ascii="宋体" w:hAnsi="宋体" w:cs="Times New Roman"/>
                <w:color w:val="auto"/>
                <w:sz w:val="24"/>
                <w:highlight w:val="none"/>
                <w:lang w:val="en-US" w:eastAsia="zh-CN"/>
              </w:rPr>
              <w:t xml:space="preserve"> </w:t>
            </w:r>
            <w:r>
              <w:rPr>
                <w:rFonts w:hint="eastAsia" w:ascii="宋体" w:hAnsi="宋体" w:cs="Times New Roman"/>
                <w:color w:val="auto"/>
                <w:sz w:val="24"/>
                <w:highlight w:val="none"/>
                <w:u w:val="single"/>
                <w:lang w:val="en-US" w:eastAsia="zh-CN"/>
              </w:rPr>
              <w:t xml:space="preserve">               。</w:t>
            </w:r>
          </w:p>
        </w:tc>
      </w:tr>
    </w:tbl>
    <w:p w14:paraId="79E90D7F">
      <w:pPr>
        <w:kinsoku/>
        <w:wordWrap w:val="0"/>
        <w:overflowPunct/>
        <w:topLinePunct w:val="0"/>
        <w:bidi w:val="0"/>
        <w:snapToGrid w:val="0"/>
        <w:spacing w:line="460" w:lineRule="exact"/>
        <w:ind w:left="2940" w:leftChars="1400" w:firstLine="723" w:firstLineChars="300"/>
        <w:rPr>
          <w:rFonts w:hint="eastAsia" w:ascii="宋体"/>
          <w:b/>
          <w:color w:val="auto"/>
          <w:sz w:val="24"/>
          <w:highlight w:val="none"/>
        </w:rPr>
      </w:pPr>
    </w:p>
    <w:p w14:paraId="5D3BC229">
      <w:pPr>
        <w:kinsoku/>
        <w:wordWrap w:val="0"/>
        <w:overflowPunct/>
        <w:topLinePunct w:val="0"/>
        <w:bidi w:val="0"/>
        <w:rPr>
          <w:rFonts w:hint="eastAsia" w:ascii="宋体"/>
          <w:color w:val="auto"/>
          <w:sz w:val="24"/>
          <w:highlight w:val="none"/>
        </w:rPr>
      </w:pPr>
      <w:r>
        <w:rPr>
          <w:rFonts w:hint="eastAsia" w:ascii="宋体"/>
          <w:color w:val="auto"/>
          <w:sz w:val="24"/>
          <w:highlight w:val="none"/>
        </w:rPr>
        <w:t>法定代表人（签章）：         投标人（盖单位章）：</w:t>
      </w:r>
    </w:p>
    <w:p w14:paraId="1FBDFEC5">
      <w:pPr>
        <w:kinsoku/>
        <w:wordWrap w:val="0"/>
        <w:overflowPunct/>
        <w:topLinePunct w:val="0"/>
        <w:bidi w:val="0"/>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9F3F4E9">
      <w:pPr>
        <w:kinsoku/>
        <w:wordWrap w:val="0"/>
        <w:overflowPunct/>
        <w:topLinePunct w:val="0"/>
        <w:bidi w:val="0"/>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21B69924">
      <w:pPr>
        <w:kinsoku/>
        <w:wordWrap w:val="0"/>
        <w:overflowPunct/>
        <w:topLinePunct w:val="0"/>
        <w:bidi w:val="0"/>
        <w:spacing w:line="360" w:lineRule="exact"/>
        <w:ind w:firstLine="531" w:firstLineChars="147"/>
        <w:jc w:val="center"/>
        <w:rPr>
          <w:rFonts w:hint="eastAsia" w:ascii="宋体"/>
          <w:color w:val="auto"/>
          <w:sz w:val="24"/>
          <w:highlight w:val="none"/>
        </w:rPr>
      </w:pPr>
      <w:r>
        <w:rPr>
          <w:rFonts w:hint="eastAsia" w:ascii="宋体"/>
          <w:b/>
          <w:color w:val="auto"/>
          <w:sz w:val="36"/>
          <w:szCs w:val="36"/>
          <w:highlight w:val="none"/>
        </w:rPr>
        <w:t>投  标  函</w:t>
      </w:r>
    </w:p>
    <w:p w14:paraId="64CC36CB">
      <w:pPr>
        <w:kinsoku/>
        <w:wordWrap w:val="0"/>
        <w:overflowPunct/>
        <w:topLinePunct w:val="0"/>
        <w:bidi w:val="0"/>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431BD5EA">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标段</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548DE19">
      <w:pPr>
        <w:kinsoku/>
        <w:wordWrap w:val="0"/>
        <w:overflowPunct/>
        <w:topLinePunct w:val="0"/>
        <w:bidi w:val="0"/>
        <w:spacing w:line="5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u w:val="single"/>
          <w:lang w:eastAsia="zh-CN"/>
        </w:rPr>
        <w:t>。</w:t>
      </w:r>
    </w:p>
    <w:p w14:paraId="00F76AEF">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5A57B755">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若我方中标，愿意为本项目提交的纸质投标文件一式三份，其中正本一份、副本二份。</w:t>
      </w:r>
    </w:p>
    <w:p w14:paraId="50C75C66">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2AA2566C">
      <w:pPr>
        <w:pStyle w:val="12"/>
        <w:kinsoku/>
        <w:wordWrap w:val="0"/>
        <w:overflowPunct/>
        <w:topLinePunct w:val="0"/>
        <w:bidi w:val="0"/>
        <w:spacing w:after="0" w:line="500" w:lineRule="exact"/>
        <w:ind w:left="0" w:leftChars="0" w:firstLine="480"/>
        <w:jc w:val="left"/>
        <w:outlineLvl w:val="2"/>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2EE9B492">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AC30B32">
      <w:pPr>
        <w:kinsoku/>
        <w:wordWrap w:val="0"/>
        <w:overflowPunct/>
        <w:topLinePunct w:val="0"/>
        <w:bidi w:val="0"/>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 </w:t>
      </w:r>
    </w:p>
    <w:p w14:paraId="0710FA0F">
      <w:pPr>
        <w:kinsoku/>
        <w:wordWrap w:val="0"/>
        <w:overflowPunct/>
        <w:topLinePunct w:val="0"/>
        <w:bidi w:val="0"/>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843FC21">
      <w:pPr>
        <w:kinsoku/>
        <w:wordWrap w:val="0"/>
        <w:overflowPunct/>
        <w:topLinePunct w:val="0"/>
        <w:bidi w:val="0"/>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3CF18AFA">
      <w:pPr>
        <w:kinsoku/>
        <w:wordWrap w:val="0"/>
        <w:overflowPunct/>
        <w:topLinePunct w:val="0"/>
        <w:bidi w:val="0"/>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7624DA3">
      <w:pPr>
        <w:kinsoku/>
        <w:wordWrap w:val="0"/>
        <w:overflowPunct/>
        <w:topLinePunct w:val="0"/>
        <w:bidi w:val="0"/>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38AF3785">
      <w:pPr>
        <w:kinsoku/>
        <w:wordWrap w:val="0"/>
        <w:overflowPunct/>
        <w:topLinePunct w:val="0"/>
        <w:bidi w:val="0"/>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38FE641B">
      <w:pPr>
        <w:kinsoku/>
        <w:wordWrap w:val="0"/>
        <w:overflowPunct/>
        <w:topLinePunct w:val="0"/>
        <w:bidi w:val="0"/>
        <w:spacing w:line="500" w:lineRule="exact"/>
        <w:ind w:right="-178" w:rightChars="-85" w:firstLine="3360" w:firstLineChars="1400"/>
        <w:jc w:val="left"/>
        <w:rPr>
          <w:rFonts w:hint="eastAsia" w:ascii="宋体" w:hAnsi="宋体"/>
          <w:b/>
          <w:color w:val="auto"/>
          <w:sz w:val="30"/>
          <w:szCs w:val="30"/>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1B8FFA92">
      <w:pPr>
        <w:kinsoku/>
        <w:wordWrap w:val="0"/>
        <w:overflowPunct/>
        <w:topLinePunct w:val="0"/>
        <w:bidi w:val="0"/>
        <w:rPr>
          <w:rFonts w:hint="eastAsia" w:ascii="宋体" w:hAnsi="宋体"/>
          <w:b/>
          <w:color w:val="auto"/>
          <w:sz w:val="30"/>
          <w:szCs w:val="30"/>
          <w:highlight w:val="none"/>
        </w:rPr>
      </w:pPr>
    </w:p>
    <w:p w14:paraId="444FC666">
      <w:pPr>
        <w:kinsoku/>
        <w:wordWrap w:val="0"/>
        <w:overflowPunct/>
        <w:topLinePunct w:val="0"/>
        <w:bidi w:val="0"/>
        <w:rPr>
          <w:rFonts w:hint="eastAsia" w:ascii="宋体" w:hAnsi="宋体"/>
          <w:b/>
          <w:color w:val="auto"/>
          <w:sz w:val="30"/>
          <w:szCs w:val="30"/>
          <w:highlight w:val="none"/>
        </w:rPr>
      </w:pPr>
    </w:p>
    <w:p w14:paraId="37FE8709">
      <w:pPr>
        <w:kinsoku/>
        <w:wordWrap w:val="0"/>
        <w:overflowPunct/>
        <w:topLinePunct w:val="0"/>
        <w:bidi w:val="0"/>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77CA78EA">
      <w:pPr>
        <w:kinsoku/>
        <w:wordWrap w:val="0"/>
        <w:overflowPunct/>
        <w:topLinePunct w:val="0"/>
        <w:bidi w:val="0"/>
        <w:outlineLvl w:val="3"/>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41E60EC8">
      <w:pPr>
        <w:kinsoku/>
        <w:wordWrap w:val="0"/>
        <w:overflowPunct/>
        <w:topLinePunct w:val="0"/>
        <w:bidi w:val="0"/>
        <w:jc w:val="center"/>
        <w:outlineLvl w:val="3"/>
        <w:rPr>
          <w:rFonts w:hint="default"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lang w:val="en-US" w:eastAsia="zh-CN"/>
        </w:rPr>
        <w:t>分项报价清单（一标段）</w:t>
      </w:r>
    </w:p>
    <w:tbl>
      <w:tblPr>
        <w:tblStyle w:val="3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18"/>
        <w:gridCol w:w="1342"/>
        <w:gridCol w:w="1842"/>
        <w:gridCol w:w="1614"/>
        <w:gridCol w:w="2446"/>
      </w:tblGrid>
      <w:tr w14:paraId="38AC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1EEE27AD">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618" w:type="dxa"/>
            <w:noWrap w:val="0"/>
            <w:vAlign w:val="center"/>
          </w:tcPr>
          <w:p w14:paraId="4F545E38">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1342" w:type="dxa"/>
            <w:noWrap w:val="0"/>
            <w:vAlign w:val="center"/>
          </w:tcPr>
          <w:p w14:paraId="6BAD3D98">
            <w:pPr>
              <w:kinsoku/>
              <w:wordWrap w:val="0"/>
              <w:overflowPunct/>
              <w:topLinePunct w:val="0"/>
              <w:bidi w:val="0"/>
              <w:spacing w:line="44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月数</w:t>
            </w:r>
          </w:p>
        </w:tc>
        <w:tc>
          <w:tcPr>
            <w:tcW w:w="1842" w:type="dxa"/>
            <w:noWrap w:val="0"/>
            <w:vAlign w:val="center"/>
          </w:tcPr>
          <w:p w14:paraId="6106AFFA">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综合</w:t>
            </w:r>
            <w:r>
              <w:rPr>
                <w:rFonts w:hint="eastAsia" w:ascii="宋体" w:hAnsi="宋体" w:eastAsia="宋体" w:cs="宋体"/>
                <w:b/>
                <w:bCs/>
                <w:color w:val="auto"/>
                <w:szCs w:val="21"/>
                <w:highlight w:val="none"/>
              </w:rPr>
              <w:t>单价</w:t>
            </w:r>
          </w:p>
          <w:p w14:paraId="2BF7E699">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w:t>
            </w:r>
            <w:r>
              <w:rPr>
                <w:rFonts w:hint="eastAsia" w:ascii="宋体" w:hAnsi="宋体" w:cs="宋体"/>
                <w:b/>
                <w:bCs/>
                <w:color w:val="auto"/>
                <w:szCs w:val="21"/>
                <w:highlight w:val="none"/>
                <w:lang w:val="en-US" w:eastAsia="zh-CN"/>
              </w:rPr>
              <w:t>/月</w:t>
            </w:r>
            <w:r>
              <w:rPr>
                <w:rFonts w:hint="eastAsia" w:ascii="宋体" w:hAnsi="宋体" w:eastAsia="宋体" w:cs="宋体"/>
                <w:b/>
                <w:bCs/>
                <w:color w:val="auto"/>
                <w:szCs w:val="21"/>
                <w:highlight w:val="none"/>
              </w:rPr>
              <w:t>）</w:t>
            </w:r>
          </w:p>
        </w:tc>
        <w:tc>
          <w:tcPr>
            <w:tcW w:w="1614" w:type="dxa"/>
            <w:noWrap w:val="0"/>
            <w:vAlign w:val="center"/>
          </w:tcPr>
          <w:p w14:paraId="7CE18874">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小计</w:t>
            </w:r>
            <w:r>
              <w:rPr>
                <w:rFonts w:hint="eastAsia" w:ascii="宋体" w:hAnsi="宋体" w:eastAsia="宋体" w:cs="宋体"/>
                <w:b/>
                <w:bCs/>
                <w:color w:val="auto"/>
                <w:szCs w:val="21"/>
                <w:highlight w:val="none"/>
              </w:rPr>
              <w:t>（元）</w:t>
            </w:r>
          </w:p>
        </w:tc>
        <w:tc>
          <w:tcPr>
            <w:tcW w:w="2446" w:type="dxa"/>
            <w:noWrap w:val="0"/>
            <w:vAlign w:val="center"/>
          </w:tcPr>
          <w:p w14:paraId="09467A66">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6ED1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003084A6">
            <w:pPr>
              <w:kinsoku/>
              <w:wordWrap w:val="0"/>
              <w:overflowPunct/>
              <w:topLinePunct w:val="0"/>
              <w:bidi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1618" w:type="dxa"/>
            <w:noWrap w:val="0"/>
            <w:vAlign w:val="center"/>
          </w:tcPr>
          <w:p w14:paraId="3E79A4B4">
            <w:pPr>
              <w:kinsoku/>
              <w:wordWrap w:val="0"/>
              <w:overflowPunct/>
              <w:topLinePunct w:val="0"/>
              <w:bidi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体育公园</w:t>
            </w:r>
          </w:p>
        </w:tc>
        <w:tc>
          <w:tcPr>
            <w:tcW w:w="1342" w:type="dxa"/>
            <w:noWrap w:val="0"/>
            <w:vAlign w:val="center"/>
          </w:tcPr>
          <w:p w14:paraId="06DC3BEA">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25</w:t>
            </w:r>
          </w:p>
        </w:tc>
        <w:tc>
          <w:tcPr>
            <w:tcW w:w="1842" w:type="dxa"/>
            <w:noWrap w:val="0"/>
            <w:vAlign w:val="center"/>
          </w:tcPr>
          <w:p w14:paraId="413AB662">
            <w:pPr>
              <w:kinsoku/>
              <w:wordWrap w:val="0"/>
              <w:overflowPunct/>
              <w:topLinePunct w:val="0"/>
              <w:bidi w:val="0"/>
              <w:spacing w:line="440" w:lineRule="exact"/>
              <w:jc w:val="center"/>
              <w:rPr>
                <w:rFonts w:hint="eastAsia" w:ascii="宋体" w:hAnsi="宋体" w:eastAsia="宋体" w:cs="宋体"/>
                <w:color w:val="auto"/>
                <w:szCs w:val="21"/>
                <w:highlight w:val="none"/>
              </w:rPr>
            </w:pPr>
          </w:p>
        </w:tc>
        <w:tc>
          <w:tcPr>
            <w:tcW w:w="1614" w:type="dxa"/>
            <w:noWrap w:val="0"/>
            <w:vAlign w:val="center"/>
          </w:tcPr>
          <w:p w14:paraId="33F08405">
            <w:pPr>
              <w:kinsoku/>
              <w:wordWrap w:val="0"/>
              <w:overflowPunct/>
              <w:topLinePunct w:val="0"/>
              <w:bidi w:val="0"/>
              <w:spacing w:line="440" w:lineRule="exact"/>
              <w:jc w:val="center"/>
              <w:rPr>
                <w:rFonts w:hint="eastAsia" w:ascii="宋体" w:hAnsi="宋体" w:eastAsia="宋体" w:cs="宋体"/>
                <w:color w:val="auto"/>
                <w:szCs w:val="21"/>
                <w:highlight w:val="none"/>
              </w:rPr>
            </w:pPr>
          </w:p>
        </w:tc>
        <w:tc>
          <w:tcPr>
            <w:tcW w:w="2446" w:type="dxa"/>
            <w:noWrap w:val="0"/>
            <w:vAlign w:val="center"/>
          </w:tcPr>
          <w:p w14:paraId="0AE07A0D">
            <w:pPr>
              <w:kinsoku/>
              <w:wordWrap w:val="0"/>
              <w:overflowPunct/>
              <w:topLinePunct w:val="0"/>
              <w:bidi w:val="0"/>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此项小计金额不得超过969900元</w:t>
            </w:r>
          </w:p>
        </w:tc>
      </w:tr>
      <w:tr w14:paraId="345F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4A0024B1">
            <w:pPr>
              <w:kinsoku/>
              <w:wordWrap w:val="0"/>
              <w:overflowPunct/>
              <w:topLinePunct w:val="0"/>
              <w:bidi w:val="0"/>
              <w:spacing w:line="360" w:lineRule="exact"/>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2</w:t>
            </w:r>
          </w:p>
        </w:tc>
        <w:tc>
          <w:tcPr>
            <w:tcW w:w="1618" w:type="dxa"/>
            <w:noWrap w:val="0"/>
            <w:vAlign w:val="center"/>
          </w:tcPr>
          <w:p w14:paraId="2863561C">
            <w:pPr>
              <w:kinsoku/>
              <w:wordWrap w:val="0"/>
              <w:overflowPunct/>
              <w:topLinePunct w:val="0"/>
              <w:bidi w:val="0"/>
              <w:spacing w:line="340" w:lineRule="exact"/>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丰收渠东侧景观带</w:t>
            </w:r>
            <w:r>
              <w:rPr>
                <w:rFonts w:hint="eastAsia" w:ascii="宋体" w:hAnsi="宋体" w:cs="宋体"/>
                <w:b/>
                <w:bCs/>
                <w:color w:val="auto"/>
                <w:szCs w:val="21"/>
                <w:highlight w:val="none"/>
                <w:lang w:val="en-US" w:eastAsia="zh-CN"/>
              </w:rPr>
              <w:t>、清流河沿岸北侧景观带、徽州路滨水景观带</w:t>
            </w:r>
          </w:p>
        </w:tc>
        <w:tc>
          <w:tcPr>
            <w:tcW w:w="1342" w:type="dxa"/>
            <w:noWrap w:val="0"/>
            <w:vAlign w:val="center"/>
          </w:tcPr>
          <w:p w14:paraId="3B87B28E">
            <w:pPr>
              <w:kinsoku/>
              <w:wordWrap w:val="0"/>
              <w:overflowPunct/>
              <w:topLinePunct w:val="0"/>
              <w:bidi w:val="0"/>
              <w:spacing w:line="34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22</w:t>
            </w:r>
          </w:p>
        </w:tc>
        <w:tc>
          <w:tcPr>
            <w:tcW w:w="1842" w:type="dxa"/>
            <w:noWrap w:val="0"/>
            <w:vAlign w:val="center"/>
          </w:tcPr>
          <w:p w14:paraId="241E11DA">
            <w:pPr>
              <w:kinsoku/>
              <w:wordWrap w:val="0"/>
              <w:overflowPunct/>
              <w:topLinePunct w:val="0"/>
              <w:bidi w:val="0"/>
              <w:spacing w:line="340" w:lineRule="exact"/>
              <w:jc w:val="center"/>
              <w:rPr>
                <w:rFonts w:hint="eastAsia" w:ascii="宋体" w:hAnsi="宋体" w:eastAsia="宋体" w:cs="宋体"/>
                <w:color w:val="auto"/>
                <w:szCs w:val="21"/>
                <w:highlight w:val="none"/>
              </w:rPr>
            </w:pPr>
          </w:p>
        </w:tc>
        <w:tc>
          <w:tcPr>
            <w:tcW w:w="1614" w:type="dxa"/>
            <w:noWrap w:val="0"/>
            <w:vAlign w:val="center"/>
          </w:tcPr>
          <w:p w14:paraId="7E10FC27">
            <w:pPr>
              <w:kinsoku/>
              <w:wordWrap w:val="0"/>
              <w:overflowPunct/>
              <w:topLinePunct w:val="0"/>
              <w:bidi w:val="0"/>
              <w:spacing w:line="340" w:lineRule="exact"/>
              <w:jc w:val="center"/>
              <w:rPr>
                <w:rFonts w:hint="eastAsia" w:ascii="宋体" w:hAnsi="宋体" w:eastAsia="宋体" w:cs="宋体"/>
                <w:color w:val="auto"/>
                <w:szCs w:val="21"/>
                <w:highlight w:val="none"/>
              </w:rPr>
            </w:pPr>
          </w:p>
        </w:tc>
        <w:tc>
          <w:tcPr>
            <w:tcW w:w="2446" w:type="dxa"/>
            <w:noWrap w:val="0"/>
            <w:vAlign w:val="center"/>
          </w:tcPr>
          <w:p w14:paraId="6D2EDB90">
            <w:pPr>
              <w:kinsoku/>
              <w:wordWrap w:val="0"/>
              <w:overflowPunct/>
              <w:topLinePunct w:val="0"/>
              <w:bidi w:val="0"/>
              <w:spacing w:line="340" w:lineRule="exact"/>
              <w:jc w:val="center"/>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此项小计金额不得超过3034900元</w:t>
            </w:r>
          </w:p>
        </w:tc>
      </w:tr>
      <w:tr w14:paraId="2ECC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52248EB7">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1618" w:type="dxa"/>
            <w:noWrap w:val="0"/>
            <w:vAlign w:val="center"/>
          </w:tcPr>
          <w:p w14:paraId="2B08632A">
            <w:pPr>
              <w:kinsoku/>
              <w:wordWrap w:val="0"/>
              <w:overflowPunct/>
              <w:topLinePunct w:val="0"/>
              <w:bidi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群众性文体活动的人员配合</w:t>
            </w:r>
          </w:p>
        </w:tc>
        <w:tc>
          <w:tcPr>
            <w:tcW w:w="1342" w:type="dxa"/>
            <w:noWrap w:val="0"/>
            <w:vAlign w:val="center"/>
          </w:tcPr>
          <w:p w14:paraId="157029C8">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1项</w:t>
            </w:r>
          </w:p>
        </w:tc>
        <w:tc>
          <w:tcPr>
            <w:tcW w:w="1842" w:type="dxa"/>
            <w:noWrap w:val="0"/>
            <w:vAlign w:val="center"/>
          </w:tcPr>
          <w:p w14:paraId="0226F6ED">
            <w:pPr>
              <w:kinsoku/>
              <w:wordWrap w:val="0"/>
              <w:overflowPunct/>
              <w:topLinePunct w:val="0"/>
              <w:bidi w:val="0"/>
              <w:spacing w:line="440" w:lineRule="exact"/>
              <w:jc w:val="center"/>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176元/人·次/天</w:t>
            </w:r>
          </w:p>
        </w:tc>
        <w:tc>
          <w:tcPr>
            <w:tcW w:w="1614" w:type="dxa"/>
            <w:noWrap w:val="0"/>
            <w:vAlign w:val="center"/>
          </w:tcPr>
          <w:p w14:paraId="47025241">
            <w:pPr>
              <w:kinsoku/>
              <w:wordWrap w:val="0"/>
              <w:overflowPunct/>
              <w:topLinePunct w:val="0"/>
              <w:bidi w:val="0"/>
              <w:spacing w:line="440" w:lineRule="exact"/>
              <w:jc w:val="center"/>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35200</w:t>
            </w:r>
          </w:p>
        </w:tc>
        <w:tc>
          <w:tcPr>
            <w:tcW w:w="2446" w:type="dxa"/>
            <w:noWrap w:val="0"/>
            <w:vAlign w:val="center"/>
          </w:tcPr>
          <w:p w14:paraId="61FB47B8">
            <w:pPr>
              <w:kinsoku/>
              <w:wordWrap w:val="0"/>
              <w:overflowPunct/>
              <w:topLinePunct w:val="0"/>
              <w:bidi w:val="0"/>
              <w:spacing w:line="4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此项费用，投标时不竞争，人数暂按200人计取，履约中按具体使用人数*综合单价，据实结算。</w:t>
            </w:r>
          </w:p>
        </w:tc>
      </w:tr>
      <w:tr w14:paraId="3EF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662" w:type="dxa"/>
            <w:gridSpan w:val="3"/>
            <w:noWrap w:val="0"/>
            <w:vAlign w:val="center"/>
          </w:tcPr>
          <w:p w14:paraId="166BB2C0">
            <w:pPr>
              <w:kinsoku/>
              <w:wordWrap w:val="0"/>
              <w:overflowPunct/>
              <w:topLinePunct w:val="0"/>
              <w:bidi w:val="0"/>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服务费用</w:t>
            </w:r>
            <w:r>
              <w:rPr>
                <w:rFonts w:hint="eastAsia" w:ascii="宋体" w:hAnsi="宋体" w:cs="宋体"/>
                <w:color w:val="auto"/>
                <w:szCs w:val="21"/>
                <w:highlight w:val="none"/>
                <w:lang w:val="en-US" w:eastAsia="zh-CN"/>
              </w:rPr>
              <w:t>总计</w:t>
            </w:r>
            <w:r>
              <w:rPr>
                <w:rFonts w:hint="eastAsia" w:ascii="宋体" w:hAnsi="宋体" w:eastAsia="宋体" w:cs="宋体"/>
                <w:color w:val="auto"/>
                <w:szCs w:val="21"/>
                <w:highlight w:val="none"/>
                <w:lang w:val="en-US" w:eastAsia="zh-CN"/>
              </w:rPr>
              <w:t>（1+2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）（元）</w:t>
            </w:r>
          </w:p>
        </w:tc>
        <w:tc>
          <w:tcPr>
            <w:tcW w:w="5902" w:type="dxa"/>
            <w:gridSpan w:val="3"/>
            <w:noWrap w:val="0"/>
            <w:vAlign w:val="center"/>
          </w:tcPr>
          <w:p w14:paraId="701B13DC">
            <w:pPr>
              <w:kinsoku/>
              <w:wordWrap w:val="0"/>
              <w:overflowPunct/>
              <w:topLinePunct w:val="0"/>
              <w:bidi w:val="0"/>
              <w:spacing w:line="340" w:lineRule="exact"/>
              <w:ind w:firstLine="3990" w:firstLineChars="19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bl>
    <w:p w14:paraId="0CE03982">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注：1、报价保留两位小数点，第三位四舍五入。</w:t>
      </w:r>
    </w:p>
    <w:p w14:paraId="5298370E">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2、所有投标只能选择一种方案，单价和合价的报价只能是唯一，小计=</w:t>
      </w:r>
      <w:r>
        <w:rPr>
          <w:rFonts w:hint="eastAsia" w:ascii="宋体" w:hAnsi="宋体" w:cs="Times New Roman"/>
          <w:b/>
          <w:color w:val="auto"/>
          <w:sz w:val="21"/>
          <w:szCs w:val="21"/>
          <w:highlight w:val="none"/>
          <w:lang w:val="en-US" w:eastAsia="zh-CN"/>
        </w:rPr>
        <w:t>月数</w:t>
      </w:r>
      <w:r>
        <w:rPr>
          <w:rFonts w:hint="eastAsia" w:ascii="宋体" w:hAnsi="宋体" w:eastAsia="宋体" w:cs="Times New Roman"/>
          <w:b/>
          <w:color w:val="auto"/>
          <w:sz w:val="21"/>
          <w:szCs w:val="21"/>
          <w:highlight w:val="none"/>
          <w:lang w:val="en-US" w:eastAsia="zh-CN"/>
        </w:rPr>
        <w:t>*综合单价。</w:t>
      </w:r>
    </w:p>
    <w:p w14:paraId="2DEF99C9">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3、本项目综合单价包括但不限于人员工资、采购需求中要求的设备费用、耗材费用、行政费用、</w:t>
      </w:r>
      <w:r>
        <w:rPr>
          <w:rFonts w:hint="eastAsia"/>
          <w:b/>
          <w:bCs w:val="0"/>
          <w:color w:val="auto"/>
          <w:sz w:val="21"/>
          <w:szCs w:val="21"/>
          <w:highlight w:val="none"/>
          <w:lang w:val="en-US" w:eastAsia="zh-CN"/>
        </w:rPr>
        <w:t>其他费用（含垃圾清运、下水疏通、防虫灭鼠、垃圾桶、前期介入费，低值易耗品、</w:t>
      </w:r>
      <w:r>
        <w:rPr>
          <w:rFonts w:hint="eastAsia" w:ascii="宋体" w:hAnsi="宋体" w:eastAsia="宋体" w:cs="宋体"/>
          <w:b/>
          <w:bCs w:val="0"/>
          <w:color w:val="auto"/>
          <w:kern w:val="0"/>
          <w:sz w:val="21"/>
          <w:szCs w:val="21"/>
          <w:highlight w:val="none"/>
          <w:lang w:val="en-US" w:eastAsia="zh-CN" w:bidi="ar-SA"/>
        </w:rPr>
        <w:t>病媒防治</w:t>
      </w:r>
      <w:r>
        <w:rPr>
          <w:rFonts w:hint="eastAsia" w:ascii="宋体" w:hAnsi="宋体" w:cs="宋体"/>
          <w:b/>
          <w:bCs w:val="0"/>
          <w:color w:val="auto"/>
          <w:kern w:val="0"/>
          <w:sz w:val="21"/>
          <w:szCs w:val="21"/>
          <w:highlight w:val="none"/>
          <w:lang w:val="en-US" w:eastAsia="zh-CN" w:bidi="ar-SA"/>
        </w:rPr>
        <w:t>、防溺水</w:t>
      </w:r>
      <w:r>
        <w:rPr>
          <w:rFonts w:hint="eastAsia" w:ascii="宋体" w:hAnsi="宋体" w:eastAsia="宋体" w:cs="宋体"/>
          <w:b/>
          <w:bCs w:val="0"/>
          <w:color w:val="auto"/>
          <w:kern w:val="0"/>
          <w:sz w:val="21"/>
          <w:szCs w:val="21"/>
          <w:highlight w:val="none"/>
          <w:lang w:val="en-US" w:eastAsia="zh-CN" w:bidi="ar-SA"/>
        </w:rPr>
        <w:t>“四救”设施</w:t>
      </w:r>
      <w:r>
        <w:rPr>
          <w:rFonts w:hint="eastAsia" w:ascii="宋体" w:hAnsi="宋体" w:cs="宋体"/>
          <w:b/>
          <w:bCs w:val="0"/>
          <w:color w:val="auto"/>
          <w:kern w:val="0"/>
          <w:sz w:val="21"/>
          <w:szCs w:val="21"/>
          <w:highlight w:val="none"/>
          <w:lang w:val="en-US" w:eastAsia="zh-CN" w:bidi="ar-SA"/>
        </w:rPr>
        <w:t>维护、</w:t>
      </w:r>
      <w:r>
        <w:rPr>
          <w:rFonts w:hint="eastAsia" w:ascii="宋体" w:hAnsi="宋体" w:eastAsia="宋体" w:cs="宋体"/>
          <w:b/>
          <w:bCs w:val="0"/>
          <w:color w:val="auto"/>
          <w:kern w:val="0"/>
          <w:sz w:val="21"/>
          <w:szCs w:val="21"/>
          <w:highlight w:val="none"/>
          <w:lang w:val="en-US" w:eastAsia="zh-CN" w:bidi="ar-SA"/>
        </w:rPr>
        <w:t>更换</w:t>
      </w:r>
      <w:r>
        <w:rPr>
          <w:rFonts w:hint="eastAsia" w:ascii="宋体" w:hAnsi="宋体" w:cs="宋体"/>
          <w:b/>
          <w:bCs w:val="0"/>
          <w:color w:val="auto"/>
          <w:kern w:val="0"/>
          <w:sz w:val="21"/>
          <w:szCs w:val="21"/>
          <w:highlight w:val="none"/>
          <w:lang w:val="en-US" w:eastAsia="zh-CN" w:bidi="ar-SA"/>
        </w:rPr>
        <w:t>、</w:t>
      </w:r>
      <w:r>
        <w:rPr>
          <w:rFonts w:hint="eastAsia" w:ascii="宋体" w:hAnsi="宋体" w:eastAsia="宋体" w:cs="宋体"/>
          <w:b/>
          <w:bCs w:val="0"/>
          <w:color w:val="auto"/>
          <w:kern w:val="0"/>
          <w:sz w:val="21"/>
          <w:szCs w:val="21"/>
          <w:highlight w:val="none"/>
          <w:lang w:val="en-US" w:eastAsia="zh-CN" w:bidi="ar-SA"/>
        </w:rPr>
        <w:t>化粪池清理</w:t>
      </w:r>
      <w:r>
        <w:rPr>
          <w:rFonts w:hint="eastAsia"/>
          <w:b/>
          <w:bCs w:val="0"/>
          <w:color w:val="auto"/>
          <w:sz w:val="21"/>
          <w:szCs w:val="21"/>
          <w:highlight w:val="none"/>
          <w:lang w:val="en-US" w:eastAsia="zh-CN"/>
        </w:rPr>
        <w:t>、</w:t>
      </w:r>
      <w:r>
        <w:rPr>
          <w:rFonts w:hint="eastAsia" w:ascii="宋体" w:hAnsi="宋体" w:eastAsia="宋体" w:cs="Times New Roman"/>
          <w:b/>
          <w:bCs w:val="0"/>
          <w:color w:val="auto"/>
          <w:sz w:val="21"/>
          <w:szCs w:val="21"/>
          <w:highlight w:val="none"/>
          <w:lang w:val="en-US" w:eastAsia="zh-CN"/>
        </w:rPr>
        <w:t>招标代理费、</w:t>
      </w:r>
      <w:r>
        <w:rPr>
          <w:rFonts w:hint="eastAsia"/>
          <w:b/>
          <w:bCs w:val="0"/>
          <w:color w:val="auto"/>
          <w:sz w:val="21"/>
          <w:szCs w:val="21"/>
          <w:highlight w:val="none"/>
          <w:lang w:val="en-US" w:eastAsia="zh-CN"/>
        </w:rPr>
        <w:t>企业管理费、税金、利润</w:t>
      </w:r>
      <w:r>
        <w:rPr>
          <w:rFonts w:hint="eastAsia" w:ascii="宋体" w:hAnsi="宋体" w:eastAsia="宋体" w:cs="Times New Roman"/>
          <w:b/>
          <w:bCs w:val="0"/>
          <w:color w:val="auto"/>
          <w:sz w:val="21"/>
          <w:szCs w:val="21"/>
          <w:highlight w:val="none"/>
          <w:lang w:val="en-US" w:eastAsia="zh-CN"/>
        </w:rPr>
        <w:t>和政策性文件规定及合同包含的所有风险、责任等完成本项工作的各项应有费用。综合单价今后将不作任何调整。</w:t>
      </w:r>
    </w:p>
    <w:p w14:paraId="2F9B5CC3">
      <w:pPr>
        <w:pStyle w:val="12"/>
        <w:kinsoku/>
        <w:wordWrap w:val="0"/>
        <w:overflowPunct/>
        <w:topLinePunct w:val="0"/>
        <w:bidi w:val="0"/>
        <w:rPr>
          <w:rFonts w:hint="eastAsia"/>
          <w:color w:val="auto"/>
          <w:highlight w:val="none"/>
          <w:lang w:val="en-US" w:eastAsia="zh-CN"/>
        </w:rPr>
      </w:pPr>
    </w:p>
    <w:p w14:paraId="1EA14495">
      <w:pPr>
        <w:pStyle w:val="12"/>
        <w:numPr>
          <w:ilvl w:val="0"/>
          <w:numId w:val="0"/>
        </w:numPr>
        <w:kinsoku/>
        <w:wordWrap w:val="0"/>
        <w:overflowPunct/>
        <w:topLinePunct w:val="0"/>
        <w:bidi w:val="0"/>
        <w:rPr>
          <w:rFonts w:hint="default"/>
          <w:color w:val="auto"/>
          <w:highlight w:val="none"/>
          <w:lang w:val="en-US" w:eastAsia="zh-CN"/>
        </w:rPr>
      </w:pPr>
    </w:p>
    <w:p w14:paraId="3F7C636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default" w:ascii="宋体" w:hAnsi="宋体" w:eastAsia="宋体" w:cs="Times New Roman"/>
          <w:b/>
          <w:color w:val="auto"/>
          <w:sz w:val="21"/>
          <w:szCs w:val="21"/>
          <w:highlight w:val="none"/>
          <w:lang w:val="en-US" w:eastAsia="zh-CN"/>
        </w:rPr>
      </w:pPr>
    </w:p>
    <w:p w14:paraId="21B786A6">
      <w:pPr>
        <w:pStyle w:val="12"/>
        <w:kinsoku/>
        <w:wordWrap w:val="0"/>
        <w:overflowPunct/>
        <w:topLinePunct w:val="0"/>
        <w:bidi w:val="0"/>
        <w:rPr>
          <w:rFonts w:hint="eastAsia"/>
          <w:color w:val="auto"/>
          <w:highlight w:val="none"/>
        </w:rPr>
      </w:pPr>
    </w:p>
    <w:p w14:paraId="6994C37F">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228CB58">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7D1A729F">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firstLine="2880" w:firstLineChars="1200"/>
        <w:jc w:val="both"/>
        <w:textAlignment w:val="auto"/>
        <w:rPr>
          <w:rFonts w:hint="eastAsia"/>
          <w:color w:val="auto"/>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 xml:space="preserve"> </w:t>
      </w:r>
    </w:p>
    <w:p w14:paraId="134AF229">
      <w:pPr>
        <w:kinsoku/>
        <w:wordWrap w:val="0"/>
        <w:overflowPunct/>
        <w:topLinePunct w:val="0"/>
        <w:bidi w:val="0"/>
        <w:rPr>
          <w:rFonts w:hint="eastAsia" w:ascii="宋体" w:hAnsi="宋体"/>
          <w:b/>
          <w:color w:val="auto"/>
          <w:sz w:val="30"/>
          <w:szCs w:val="30"/>
          <w:highlight w:val="none"/>
        </w:rPr>
      </w:pPr>
    </w:p>
    <w:p w14:paraId="28D7E2B2">
      <w:pPr>
        <w:kinsoku/>
        <w:wordWrap w:val="0"/>
        <w:overflowPunct/>
        <w:topLinePunct w:val="0"/>
        <w:bidi w:val="0"/>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BC055B1">
      <w:pPr>
        <w:kinsoku/>
        <w:wordWrap w:val="0"/>
        <w:overflowPunct/>
        <w:topLinePunct w:val="0"/>
        <w:bidi w:val="0"/>
        <w:jc w:val="center"/>
        <w:outlineLvl w:val="3"/>
        <w:rPr>
          <w:rFonts w:hint="default"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lang w:val="en-US" w:eastAsia="zh-CN"/>
        </w:rPr>
        <w:t>分项报价清单（二标段）</w:t>
      </w:r>
    </w:p>
    <w:tbl>
      <w:tblPr>
        <w:tblStyle w:val="3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18"/>
        <w:gridCol w:w="1478"/>
        <w:gridCol w:w="2053"/>
        <w:gridCol w:w="1658"/>
        <w:gridCol w:w="2055"/>
      </w:tblGrid>
      <w:tr w14:paraId="085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3EE05040">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618" w:type="dxa"/>
            <w:noWrap w:val="0"/>
            <w:vAlign w:val="center"/>
          </w:tcPr>
          <w:p w14:paraId="11EAE694">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1478" w:type="dxa"/>
            <w:noWrap w:val="0"/>
            <w:vAlign w:val="center"/>
          </w:tcPr>
          <w:p w14:paraId="1B0E33E7">
            <w:pPr>
              <w:kinsoku/>
              <w:wordWrap w:val="0"/>
              <w:overflowPunct/>
              <w:topLinePunct w:val="0"/>
              <w:bidi w:val="0"/>
              <w:spacing w:line="44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月数</w:t>
            </w:r>
          </w:p>
        </w:tc>
        <w:tc>
          <w:tcPr>
            <w:tcW w:w="2053" w:type="dxa"/>
            <w:noWrap w:val="0"/>
            <w:vAlign w:val="center"/>
          </w:tcPr>
          <w:p w14:paraId="0AE25AC7">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综合</w:t>
            </w:r>
            <w:r>
              <w:rPr>
                <w:rFonts w:hint="eastAsia" w:ascii="宋体" w:hAnsi="宋体" w:eastAsia="宋体" w:cs="宋体"/>
                <w:b/>
                <w:bCs/>
                <w:color w:val="auto"/>
                <w:szCs w:val="21"/>
                <w:highlight w:val="none"/>
              </w:rPr>
              <w:t>单价</w:t>
            </w:r>
          </w:p>
          <w:p w14:paraId="7E85AB0E">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（元/月）</w:t>
            </w:r>
          </w:p>
        </w:tc>
        <w:tc>
          <w:tcPr>
            <w:tcW w:w="1658" w:type="dxa"/>
            <w:noWrap w:val="0"/>
            <w:vAlign w:val="center"/>
          </w:tcPr>
          <w:p w14:paraId="35C277EA">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小计</w:t>
            </w:r>
            <w:r>
              <w:rPr>
                <w:rFonts w:hint="eastAsia" w:ascii="宋体" w:hAnsi="宋体" w:eastAsia="宋体" w:cs="宋体"/>
                <w:b/>
                <w:bCs/>
                <w:color w:val="auto"/>
                <w:szCs w:val="21"/>
                <w:highlight w:val="none"/>
              </w:rPr>
              <w:t>（元）</w:t>
            </w:r>
          </w:p>
        </w:tc>
        <w:tc>
          <w:tcPr>
            <w:tcW w:w="2055" w:type="dxa"/>
            <w:noWrap w:val="0"/>
            <w:vAlign w:val="center"/>
          </w:tcPr>
          <w:p w14:paraId="59CEA754">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2D6C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1D23CF1D">
            <w:pPr>
              <w:kinsoku/>
              <w:wordWrap w:val="0"/>
              <w:overflowPunct/>
              <w:topLinePunct w:val="0"/>
              <w:bidi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1618" w:type="dxa"/>
            <w:noWrap w:val="0"/>
            <w:vAlign w:val="center"/>
          </w:tcPr>
          <w:p w14:paraId="7A9F2AE3">
            <w:pPr>
              <w:kinsoku/>
              <w:wordWrap w:val="0"/>
              <w:overflowPunct/>
              <w:topLinePunct w:val="0"/>
              <w:bidi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鱼尾狮公园、时代公园（含3号停车场）</w:t>
            </w:r>
          </w:p>
        </w:tc>
        <w:tc>
          <w:tcPr>
            <w:tcW w:w="1478" w:type="dxa"/>
            <w:noWrap w:val="0"/>
            <w:vAlign w:val="center"/>
          </w:tcPr>
          <w:p w14:paraId="07B6DCFD">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22</w:t>
            </w:r>
          </w:p>
        </w:tc>
        <w:tc>
          <w:tcPr>
            <w:tcW w:w="2053" w:type="dxa"/>
            <w:noWrap w:val="0"/>
            <w:vAlign w:val="center"/>
          </w:tcPr>
          <w:p w14:paraId="54FF0711">
            <w:pPr>
              <w:kinsoku/>
              <w:wordWrap w:val="0"/>
              <w:overflowPunct/>
              <w:topLinePunct w:val="0"/>
              <w:bidi w:val="0"/>
              <w:spacing w:line="440" w:lineRule="exact"/>
              <w:jc w:val="center"/>
              <w:rPr>
                <w:rFonts w:hint="eastAsia" w:ascii="宋体" w:hAnsi="宋体" w:eastAsia="宋体" w:cs="宋体"/>
                <w:b/>
                <w:bCs/>
                <w:color w:val="auto"/>
                <w:szCs w:val="21"/>
                <w:highlight w:val="none"/>
              </w:rPr>
            </w:pPr>
          </w:p>
        </w:tc>
        <w:tc>
          <w:tcPr>
            <w:tcW w:w="1658" w:type="dxa"/>
            <w:noWrap w:val="0"/>
            <w:vAlign w:val="center"/>
          </w:tcPr>
          <w:p w14:paraId="5C9C9DA7">
            <w:pPr>
              <w:kinsoku/>
              <w:wordWrap w:val="0"/>
              <w:overflowPunct/>
              <w:topLinePunct w:val="0"/>
              <w:bidi w:val="0"/>
              <w:spacing w:line="440" w:lineRule="exact"/>
              <w:jc w:val="center"/>
              <w:rPr>
                <w:rFonts w:hint="eastAsia" w:ascii="宋体" w:hAnsi="宋体" w:eastAsia="宋体" w:cs="宋体"/>
                <w:b/>
                <w:bCs/>
                <w:color w:val="auto"/>
                <w:szCs w:val="21"/>
                <w:highlight w:val="none"/>
              </w:rPr>
            </w:pPr>
          </w:p>
        </w:tc>
        <w:tc>
          <w:tcPr>
            <w:tcW w:w="2055" w:type="dxa"/>
            <w:noWrap w:val="0"/>
            <w:vAlign w:val="center"/>
          </w:tcPr>
          <w:p w14:paraId="02FB1DFE">
            <w:pPr>
              <w:kinsoku/>
              <w:wordWrap w:val="0"/>
              <w:overflowPunct/>
              <w:topLinePunct w:val="0"/>
              <w:bidi w:val="0"/>
              <w:spacing w:line="440" w:lineRule="exact"/>
              <w:jc w:val="center"/>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此项小计金额不得超过3214800元</w:t>
            </w:r>
          </w:p>
        </w:tc>
      </w:tr>
      <w:tr w14:paraId="03BF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5B8548C9">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1618" w:type="dxa"/>
            <w:noWrap w:val="0"/>
            <w:vAlign w:val="center"/>
          </w:tcPr>
          <w:p w14:paraId="33C82672">
            <w:pPr>
              <w:kinsoku/>
              <w:wordWrap w:val="0"/>
              <w:overflowPunct/>
              <w:topLinePunct w:val="0"/>
              <w:bidi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群众性文体活动的人员配合</w:t>
            </w:r>
          </w:p>
        </w:tc>
        <w:tc>
          <w:tcPr>
            <w:tcW w:w="1478" w:type="dxa"/>
            <w:noWrap w:val="0"/>
            <w:vAlign w:val="center"/>
          </w:tcPr>
          <w:p w14:paraId="41D5B87B">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1项</w:t>
            </w:r>
          </w:p>
        </w:tc>
        <w:tc>
          <w:tcPr>
            <w:tcW w:w="2053" w:type="dxa"/>
            <w:noWrap w:val="0"/>
            <w:vAlign w:val="center"/>
          </w:tcPr>
          <w:p w14:paraId="3908A1FA">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176元/人·次/天</w:t>
            </w:r>
          </w:p>
        </w:tc>
        <w:tc>
          <w:tcPr>
            <w:tcW w:w="1658" w:type="dxa"/>
            <w:noWrap w:val="0"/>
            <w:vAlign w:val="center"/>
          </w:tcPr>
          <w:p w14:paraId="50387BC2">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35200</w:t>
            </w:r>
          </w:p>
        </w:tc>
        <w:tc>
          <w:tcPr>
            <w:tcW w:w="2055" w:type="dxa"/>
            <w:noWrap w:val="0"/>
            <w:vAlign w:val="center"/>
          </w:tcPr>
          <w:p w14:paraId="35733666">
            <w:pPr>
              <w:kinsoku/>
              <w:wordWrap w:val="0"/>
              <w:overflowPunct/>
              <w:topLinePunct w:val="0"/>
              <w:bidi w:val="0"/>
              <w:spacing w:line="4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此项费用，投标时不竞争，人数暂按200人计取，履约中按具体使用人数*综合单价，据实结算。</w:t>
            </w:r>
          </w:p>
        </w:tc>
      </w:tr>
      <w:tr w14:paraId="0EFD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798" w:type="dxa"/>
            <w:gridSpan w:val="3"/>
            <w:noWrap w:val="0"/>
            <w:vAlign w:val="center"/>
          </w:tcPr>
          <w:p w14:paraId="082B1DB5">
            <w:pPr>
              <w:kinsoku/>
              <w:wordWrap w:val="0"/>
              <w:overflowPunct/>
              <w:topLinePunct w:val="0"/>
              <w:bidi w:val="0"/>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服务费用</w:t>
            </w:r>
            <w:r>
              <w:rPr>
                <w:rFonts w:hint="eastAsia" w:ascii="宋体" w:hAnsi="宋体" w:cs="宋体"/>
                <w:color w:val="auto"/>
                <w:szCs w:val="21"/>
                <w:highlight w:val="none"/>
                <w:lang w:val="en-US" w:eastAsia="zh-CN"/>
              </w:rPr>
              <w:t>总计（1+2）</w:t>
            </w:r>
            <w:r>
              <w:rPr>
                <w:rFonts w:hint="eastAsia" w:ascii="宋体" w:hAnsi="宋体" w:eastAsia="宋体" w:cs="宋体"/>
                <w:color w:val="auto"/>
                <w:szCs w:val="21"/>
                <w:highlight w:val="none"/>
                <w:lang w:val="en-US" w:eastAsia="zh-CN"/>
              </w:rPr>
              <w:t>（元）</w:t>
            </w:r>
          </w:p>
        </w:tc>
        <w:tc>
          <w:tcPr>
            <w:tcW w:w="5766" w:type="dxa"/>
            <w:gridSpan w:val="3"/>
            <w:noWrap w:val="0"/>
            <w:vAlign w:val="center"/>
          </w:tcPr>
          <w:p w14:paraId="472F6AF8">
            <w:pPr>
              <w:kinsoku/>
              <w:wordWrap w:val="0"/>
              <w:overflowPunct/>
              <w:topLinePunct w:val="0"/>
              <w:bidi w:val="0"/>
              <w:spacing w:line="340" w:lineRule="exact"/>
              <w:ind w:firstLine="3990" w:firstLineChars="19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bl>
    <w:p w14:paraId="2C8064E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注：1、报价保留两位小数点，第三位四舍五入。</w:t>
      </w:r>
    </w:p>
    <w:p w14:paraId="5CC0C0C9">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2、所有投标只能选择一种方案，单价和合价的报价只能是唯一，小计=</w:t>
      </w:r>
      <w:r>
        <w:rPr>
          <w:rFonts w:hint="eastAsia" w:ascii="宋体" w:hAnsi="宋体" w:cs="Times New Roman"/>
          <w:b/>
          <w:color w:val="auto"/>
          <w:sz w:val="21"/>
          <w:szCs w:val="21"/>
          <w:highlight w:val="none"/>
          <w:lang w:val="en-US" w:eastAsia="zh-CN"/>
        </w:rPr>
        <w:t>月数</w:t>
      </w:r>
      <w:r>
        <w:rPr>
          <w:rFonts w:hint="eastAsia" w:ascii="宋体" w:hAnsi="宋体" w:eastAsia="宋体" w:cs="Times New Roman"/>
          <w:b/>
          <w:color w:val="auto"/>
          <w:sz w:val="21"/>
          <w:szCs w:val="21"/>
          <w:highlight w:val="none"/>
          <w:lang w:val="en-US" w:eastAsia="zh-CN"/>
        </w:rPr>
        <w:t>*综合单价。</w:t>
      </w:r>
    </w:p>
    <w:p w14:paraId="7BE2ABD8">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3、本项目综合单价包括但不限于人员工资、采购需求中要求的设备费用、耗材费用、行政费用、</w:t>
      </w:r>
      <w:r>
        <w:rPr>
          <w:rFonts w:hint="eastAsia"/>
          <w:b/>
          <w:bCs w:val="0"/>
          <w:color w:val="auto"/>
          <w:sz w:val="21"/>
          <w:szCs w:val="21"/>
          <w:highlight w:val="none"/>
          <w:lang w:val="en-US" w:eastAsia="zh-CN"/>
        </w:rPr>
        <w:t>其他费用（含垃圾清运、下水疏通、防虫灭鼠、垃圾桶、前期介入费，低值易耗品、</w:t>
      </w:r>
      <w:r>
        <w:rPr>
          <w:rFonts w:hint="eastAsia" w:ascii="宋体" w:hAnsi="宋体" w:eastAsia="宋体" w:cs="宋体"/>
          <w:b/>
          <w:bCs w:val="0"/>
          <w:color w:val="auto"/>
          <w:kern w:val="0"/>
          <w:sz w:val="21"/>
          <w:szCs w:val="21"/>
          <w:highlight w:val="none"/>
          <w:lang w:val="en-US" w:eastAsia="zh-CN" w:bidi="ar-SA"/>
        </w:rPr>
        <w:t>病媒防治</w:t>
      </w:r>
      <w:r>
        <w:rPr>
          <w:rFonts w:hint="eastAsia" w:ascii="宋体" w:hAnsi="宋体" w:cs="宋体"/>
          <w:b/>
          <w:bCs w:val="0"/>
          <w:color w:val="auto"/>
          <w:kern w:val="0"/>
          <w:sz w:val="21"/>
          <w:szCs w:val="21"/>
          <w:highlight w:val="none"/>
          <w:lang w:val="en-US" w:eastAsia="zh-CN" w:bidi="ar-SA"/>
        </w:rPr>
        <w:t>、防溺水</w:t>
      </w:r>
      <w:r>
        <w:rPr>
          <w:rFonts w:hint="eastAsia" w:ascii="宋体" w:hAnsi="宋体" w:eastAsia="宋体" w:cs="宋体"/>
          <w:b/>
          <w:bCs w:val="0"/>
          <w:color w:val="auto"/>
          <w:kern w:val="0"/>
          <w:sz w:val="21"/>
          <w:szCs w:val="21"/>
          <w:highlight w:val="none"/>
          <w:lang w:val="en-US" w:eastAsia="zh-CN" w:bidi="ar-SA"/>
        </w:rPr>
        <w:t>“四救”设施</w:t>
      </w:r>
      <w:r>
        <w:rPr>
          <w:rFonts w:hint="eastAsia" w:ascii="宋体" w:hAnsi="宋体" w:cs="宋体"/>
          <w:b/>
          <w:bCs w:val="0"/>
          <w:color w:val="auto"/>
          <w:kern w:val="0"/>
          <w:sz w:val="21"/>
          <w:szCs w:val="21"/>
          <w:highlight w:val="none"/>
          <w:lang w:val="en-US" w:eastAsia="zh-CN" w:bidi="ar-SA"/>
        </w:rPr>
        <w:t>维护、</w:t>
      </w:r>
      <w:r>
        <w:rPr>
          <w:rFonts w:hint="eastAsia" w:ascii="宋体" w:hAnsi="宋体" w:eastAsia="宋体" w:cs="宋体"/>
          <w:b/>
          <w:bCs w:val="0"/>
          <w:color w:val="auto"/>
          <w:kern w:val="0"/>
          <w:sz w:val="21"/>
          <w:szCs w:val="21"/>
          <w:highlight w:val="none"/>
          <w:lang w:val="en-US" w:eastAsia="zh-CN" w:bidi="ar-SA"/>
        </w:rPr>
        <w:t>更换</w:t>
      </w:r>
      <w:r>
        <w:rPr>
          <w:rFonts w:hint="eastAsia" w:ascii="宋体" w:hAnsi="宋体" w:cs="宋体"/>
          <w:b/>
          <w:bCs w:val="0"/>
          <w:color w:val="auto"/>
          <w:kern w:val="0"/>
          <w:sz w:val="21"/>
          <w:szCs w:val="21"/>
          <w:highlight w:val="none"/>
          <w:lang w:val="en-US" w:eastAsia="zh-CN" w:bidi="ar-SA"/>
        </w:rPr>
        <w:t>、</w:t>
      </w:r>
      <w:r>
        <w:rPr>
          <w:rFonts w:hint="eastAsia" w:ascii="宋体" w:hAnsi="宋体" w:eastAsia="宋体" w:cs="宋体"/>
          <w:b/>
          <w:bCs w:val="0"/>
          <w:color w:val="auto"/>
          <w:kern w:val="0"/>
          <w:sz w:val="21"/>
          <w:szCs w:val="21"/>
          <w:highlight w:val="none"/>
          <w:lang w:val="en-US" w:eastAsia="zh-CN" w:bidi="ar-SA"/>
        </w:rPr>
        <w:t>化粪池清理</w:t>
      </w:r>
      <w:r>
        <w:rPr>
          <w:rFonts w:hint="eastAsia" w:ascii="宋体" w:hAnsi="宋体" w:cs="宋体"/>
          <w:b/>
          <w:bCs w:val="0"/>
          <w:color w:val="auto"/>
          <w:kern w:val="0"/>
          <w:sz w:val="21"/>
          <w:szCs w:val="21"/>
          <w:highlight w:val="none"/>
          <w:lang w:val="en-US" w:eastAsia="zh-CN" w:bidi="ar-SA"/>
        </w:rPr>
        <w:t>、万国旗采购及更换（一年不少于6次整体更换）、空调清洗、幕墙清洗、电梯维保</w:t>
      </w:r>
      <w:r>
        <w:rPr>
          <w:rFonts w:hint="eastAsia"/>
          <w:b/>
          <w:bCs w:val="0"/>
          <w:color w:val="auto"/>
          <w:sz w:val="21"/>
          <w:szCs w:val="21"/>
          <w:highlight w:val="none"/>
          <w:lang w:val="en-US" w:eastAsia="zh-CN"/>
        </w:rPr>
        <w:t>等相关所有费用）、</w:t>
      </w:r>
      <w:r>
        <w:rPr>
          <w:rFonts w:hint="eastAsia" w:ascii="宋体" w:hAnsi="宋体" w:eastAsia="宋体" w:cs="Times New Roman"/>
          <w:b/>
          <w:bCs w:val="0"/>
          <w:color w:val="auto"/>
          <w:sz w:val="21"/>
          <w:szCs w:val="21"/>
          <w:highlight w:val="none"/>
          <w:lang w:val="en-US" w:eastAsia="zh-CN"/>
        </w:rPr>
        <w:t>招标代理费、</w:t>
      </w:r>
      <w:r>
        <w:rPr>
          <w:rFonts w:hint="eastAsia"/>
          <w:b/>
          <w:bCs w:val="0"/>
          <w:color w:val="auto"/>
          <w:sz w:val="21"/>
          <w:szCs w:val="21"/>
          <w:highlight w:val="none"/>
          <w:lang w:val="en-US" w:eastAsia="zh-CN"/>
        </w:rPr>
        <w:t>企业管理费、税金、利润</w:t>
      </w:r>
      <w:r>
        <w:rPr>
          <w:rFonts w:hint="eastAsia" w:ascii="宋体" w:hAnsi="宋体" w:eastAsia="宋体" w:cs="Times New Roman"/>
          <w:b/>
          <w:bCs w:val="0"/>
          <w:color w:val="auto"/>
          <w:sz w:val="21"/>
          <w:szCs w:val="21"/>
          <w:highlight w:val="none"/>
          <w:lang w:val="en-US" w:eastAsia="zh-CN"/>
        </w:rPr>
        <w:t>和政策性文件规定及合同包含的所有风险、责任等完成本项工作的各项应有费用。综合单价今后将不作任何调整。</w:t>
      </w:r>
    </w:p>
    <w:p w14:paraId="3D8C43EF">
      <w:pPr>
        <w:pStyle w:val="12"/>
        <w:kinsoku/>
        <w:wordWrap w:val="0"/>
        <w:overflowPunct/>
        <w:topLinePunct w:val="0"/>
        <w:bidi w:val="0"/>
        <w:rPr>
          <w:rFonts w:hint="eastAsia"/>
          <w:color w:val="auto"/>
          <w:highlight w:val="none"/>
          <w:lang w:val="en-US" w:eastAsia="zh-CN"/>
        </w:rPr>
      </w:pPr>
    </w:p>
    <w:p w14:paraId="75491CE9">
      <w:pPr>
        <w:pStyle w:val="12"/>
        <w:numPr>
          <w:ilvl w:val="0"/>
          <w:numId w:val="0"/>
        </w:numPr>
        <w:kinsoku/>
        <w:wordWrap w:val="0"/>
        <w:overflowPunct/>
        <w:topLinePunct w:val="0"/>
        <w:bidi w:val="0"/>
        <w:rPr>
          <w:rFonts w:hint="default"/>
          <w:color w:val="auto"/>
          <w:highlight w:val="none"/>
          <w:lang w:val="en-US" w:eastAsia="zh-CN"/>
        </w:rPr>
      </w:pPr>
    </w:p>
    <w:p w14:paraId="2C8E47A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default" w:ascii="宋体" w:hAnsi="宋体" w:eastAsia="宋体" w:cs="Times New Roman"/>
          <w:b/>
          <w:color w:val="auto"/>
          <w:sz w:val="21"/>
          <w:szCs w:val="21"/>
          <w:highlight w:val="none"/>
          <w:lang w:val="en-US" w:eastAsia="zh-CN"/>
        </w:rPr>
      </w:pPr>
    </w:p>
    <w:p w14:paraId="6840DEF5">
      <w:pPr>
        <w:pStyle w:val="12"/>
        <w:kinsoku/>
        <w:wordWrap w:val="0"/>
        <w:overflowPunct/>
        <w:topLinePunct w:val="0"/>
        <w:bidi w:val="0"/>
        <w:rPr>
          <w:rFonts w:hint="eastAsia"/>
          <w:color w:val="auto"/>
          <w:highlight w:val="none"/>
        </w:rPr>
      </w:pPr>
    </w:p>
    <w:p w14:paraId="3E8AEB05">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F91FA9D">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5222F5E2">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firstLine="2880" w:firstLineChars="1200"/>
        <w:jc w:val="both"/>
        <w:textAlignment w:val="auto"/>
        <w:rPr>
          <w:rFonts w:hint="eastAsia"/>
          <w:color w:val="auto"/>
          <w:highlight w:val="none"/>
          <w:u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 xml:space="preserve"> </w:t>
      </w:r>
    </w:p>
    <w:p w14:paraId="1614FD45">
      <w:pPr>
        <w:kinsoku/>
        <w:wordWrap w:val="0"/>
        <w:overflowPunct/>
        <w:topLinePunct w:val="0"/>
        <w:bidi w:val="0"/>
        <w:outlineLvl w:val="1"/>
        <w:rPr>
          <w:rFonts w:hint="eastAsia" w:ascii="宋体" w:hAnsi="宋体"/>
          <w:b/>
          <w:color w:val="auto"/>
          <w:sz w:val="30"/>
          <w:szCs w:val="30"/>
          <w:highlight w:val="none"/>
        </w:rPr>
      </w:pPr>
    </w:p>
    <w:p w14:paraId="16C6C4DD">
      <w:pPr>
        <w:kinsoku/>
        <w:wordWrap w:val="0"/>
        <w:overflowPunct/>
        <w:topLinePunct w:val="0"/>
        <w:bidi w:val="0"/>
        <w:outlineLvl w:val="1"/>
        <w:rPr>
          <w:rFonts w:hint="eastAsia" w:ascii="宋体" w:hAnsi="宋体"/>
          <w:b/>
          <w:color w:val="auto"/>
          <w:sz w:val="30"/>
          <w:szCs w:val="30"/>
          <w:highlight w:val="none"/>
        </w:rPr>
      </w:pPr>
    </w:p>
    <w:p w14:paraId="64753258">
      <w:pPr>
        <w:kinsoku/>
        <w:wordWrap w:val="0"/>
        <w:overflowPunct/>
        <w:topLinePunct w:val="0"/>
        <w:bidi w:val="0"/>
        <w:jc w:val="center"/>
        <w:outlineLvl w:val="3"/>
        <w:rPr>
          <w:rFonts w:hint="default"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lang w:val="en-US" w:eastAsia="zh-CN"/>
        </w:rPr>
        <w:t>分项报价清单（三标段）</w:t>
      </w:r>
    </w:p>
    <w:tbl>
      <w:tblPr>
        <w:tblStyle w:val="3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18"/>
        <w:gridCol w:w="1539"/>
        <w:gridCol w:w="1660"/>
        <w:gridCol w:w="1600"/>
        <w:gridCol w:w="2445"/>
      </w:tblGrid>
      <w:tr w14:paraId="14A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0838308F">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618" w:type="dxa"/>
            <w:noWrap w:val="0"/>
            <w:vAlign w:val="center"/>
          </w:tcPr>
          <w:p w14:paraId="10EC8E03">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1539" w:type="dxa"/>
            <w:noWrap w:val="0"/>
            <w:vAlign w:val="center"/>
          </w:tcPr>
          <w:p w14:paraId="47EA6618">
            <w:pPr>
              <w:kinsoku/>
              <w:wordWrap w:val="0"/>
              <w:overflowPunct/>
              <w:topLinePunct w:val="0"/>
              <w:bidi w:val="0"/>
              <w:spacing w:line="44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月数</w:t>
            </w:r>
          </w:p>
        </w:tc>
        <w:tc>
          <w:tcPr>
            <w:tcW w:w="1660" w:type="dxa"/>
            <w:noWrap w:val="0"/>
            <w:vAlign w:val="center"/>
          </w:tcPr>
          <w:p w14:paraId="0FAFE2CB">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综合</w:t>
            </w:r>
            <w:r>
              <w:rPr>
                <w:rFonts w:hint="eastAsia" w:ascii="宋体" w:hAnsi="宋体" w:eastAsia="宋体" w:cs="宋体"/>
                <w:b/>
                <w:bCs/>
                <w:color w:val="auto"/>
                <w:szCs w:val="21"/>
                <w:highlight w:val="none"/>
              </w:rPr>
              <w:t>单价</w:t>
            </w:r>
          </w:p>
          <w:p w14:paraId="621055C6">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（元/月）</w:t>
            </w:r>
          </w:p>
        </w:tc>
        <w:tc>
          <w:tcPr>
            <w:tcW w:w="1600" w:type="dxa"/>
            <w:noWrap w:val="0"/>
            <w:vAlign w:val="center"/>
          </w:tcPr>
          <w:p w14:paraId="210C3610">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小计</w:t>
            </w:r>
            <w:r>
              <w:rPr>
                <w:rFonts w:hint="eastAsia" w:ascii="宋体" w:hAnsi="宋体" w:eastAsia="宋体" w:cs="宋体"/>
                <w:b/>
                <w:bCs/>
                <w:color w:val="auto"/>
                <w:szCs w:val="21"/>
                <w:highlight w:val="none"/>
              </w:rPr>
              <w:t>（元）</w:t>
            </w:r>
          </w:p>
        </w:tc>
        <w:tc>
          <w:tcPr>
            <w:tcW w:w="2445" w:type="dxa"/>
            <w:noWrap w:val="0"/>
            <w:vAlign w:val="center"/>
          </w:tcPr>
          <w:p w14:paraId="61458831">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082F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5D2D5FBD">
            <w:pPr>
              <w:kinsoku/>
              <w:wordWrap w:val="0"/>
              <w:overflowPunct/>
              <w:topLinePunct w:val="0"/>
              <w:bidi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1618" w:type="dxa"/>
            <w:noWrap w:val="0"/>
            <w:vAlign w:val="center"/>
          </w:tcPr>
          <w:p w14:paraId="423EF502">
            <w:pPr>
              <w:kinsoku/>
              <w:wordWrap w:val="0"/>
              <w:overflowPunct/>
              <w:topLinePunct w:val="0"/>
              <w:bidi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苏州公园（滁州市良塘湖景区）</w:t>
            </w:r>
          </w:p>
        </w:tc>
        <w:tc>
          <w:tcPr>
            <w:tcW w:w="1539" w:type="dxa"/>
            <w:noWrap w:val="0"/>
            <w:vAlign w:val="center"/>
          </w:tcPr>
          <w:p w14:paraId="08E5EBFB">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25</w:t>
            </w:r>
          </w:p>
        </w:tc>
        <w:tc>
          <w:tcPr>
            <w:tcW w:w="1660" w:type="dxa"/>
            <w:noWrap w:val="0"/>
            <w:vAlign w:val="center"/>
          </w:tcPr>
          <w:p w14:paraId="630E0BB3">
            <w:pPr>
              <w:kinsoku/>
              <w:wordWrap w:val="0"/>
              <w:overflowPunct/>
              <w:topLinePunct w:val="0"/>
              <w:bidi w:val="0"/>
              <w:spacing w:line="440" w:lineRule="exact"/>
              <w:jc w:val="center"/>
              <w:rPr>
                <w:rFonts w:hint="eastAsia" w:ascii="宋体" w:hAnsi="宋体" w:eastAsia="宋体" w:cs="宋体"/>
                <w:b/>
                <w:bCs/>
                <w:color w:val="auto"/>
                <w:szCs w:val="21"/>
                <w:highlight w:val="none"/>
              </w:rPr>
            </w:pPr>
          </w:p>
        </w:tc>
        <w:tc>
          <w:tcPr>
            <w:tcW w:w="1600" w:type="dxa"/>
            <w:noWrap w:val="0"/>
            <w:vAlign w:val="center"/>
          </w:tcPr>
          <w:p w14:paraId="60967654">
            <w:pPr>
              <w:kinsoku/>
              <w:wordWrap w:val="0"/>
              <w:overflowPunct/>
              <w:topLinePunct w:val="0"/>
              <w:bidi w:val="0"/>
              <w:spacing w:line="440" w:lineRule="exact"/>
              <w:jc w:val="center"/>
              <w:rPr>
                <w:rFonts w:hint="eastAsia" w:ascii="宋体" w:hAnsi="宋体" w:eastAsia="宋体" w:cs="宋体"/>
                <w:b/>
                <w:bCs/>
                <w:color w:val="auto"/>
                <w:szCs w:val="21"/>
                <w:highlight w:val="none"/>
              </w:rPr>
            </w:pPr>
          </w:p>
        </w:tc>
        <w:tc>
          <w:tcPr>
            <w:tcW w:w="2445" w:type="dxa"/>
            <w:noWrap w:val="0"/>
            <w:vAlign w:val="center"/>
          </w:tcPr>
          <w:p w14:paraId="4A58518F">
            <w:pPr>
              <w:kinsoku/>
              <w:wordWrap w:val="0"/>
              <w:overflowPunct/>
              <w:topLinePunct w:val="0"/>
              <w:bidi w:val="0"/>
              <w:spacing w:line="440" w:lineRule="exact"/>
              <w:jc w:val="center"/>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此项小计金额不得超过3687000元</w:t>
            </w:r>
          </w:p>
        </w:tc>
      </w:tr>
      <w:tr w14:paraId="723D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5B9EF371">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1618" w:type="dxa"/>
            <w:noWrap w:val="0"/>
            <w:vAlign w:val="center"/>
          </w:tcPr>
          <w:p w14:paraId="72473B82">
            <w:pPr>
              <w:kinsoku/>
              <w:wordWrap w:val="0"/>
              <w:overflowPunct/>
              <w:topLinePunct w:val="0"/>
              <w:bidi w:val="0"/>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大王公园、锦州路停车场</w:t>
            </w:r>
          </w:p>
        </w:tc>
        <w:tc>
          <w:tcPr>
            <w:tcW w:w="1539" w:type="dxa"/>
            <w:noWrap w:val="0"/>
            <w:vAlign w:val="center"/>
          </w:tcPr>
          <w:p w14:paraId="3CC3C4D8">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22</w:t>
            </w:r>
          </w:p>
        </w:tc>
        <w:tc>
          <w:tcPr>
            <w:tcW w:w="1660" w:type="dxa"/>
            <w:noWrap w:val="0"/>
            <w:vAlign w:val="center"/>
          </w:tcPr>
          <w:p w14:paraId="0D007B9F">
            <w:pPr>
              <w:kinsoku/>
              <w:wordWrap w:val="0"/>
              <w:overflowPunct/>
              <w:topLinePunct w:val="0"/>
              <w:bidi w:val="0"/>
              <w:spacing w:line="440" w:lineRule="exact"/>
              <w:jc w:val="center"/>
              <w:rPr>
                <w:rFonts w:hint="eastAsia" w:ascii="宋体" w:hAnsi="宋体" w:eastAsia="宋体" w:cs="宋体"/>
                <w:b/>
                <w:bCs/>
                <w:color w:val="auto"/>
                <w:szCs w:val="21"/>
                <w:highlight w:val="none"/>
              </w:rPr>
            </w:pPr>
          </w:p>
        </w:tc>
        <w:tc>
          <w:tcPr>
            <w:tcW w:w="1600" w:type="dxa"/>
            <w:noWrap w:val="0"/>
            <w:vAlign w:val="center"/>
          </w:tcPr>
          <w:p w14:paraId="3F8C65AA">
            <w:pPr>
              <w:kinsoku/>
              <w:wordWrap w:val="0"/>
              <w:overflowPunct/>
              <w:topLinePunct w:val="0"/>
              <w:bidi w:val="0"/>
              <w:spacing w:line="440" w:lineRule="exact"/>
              <w:jc w:val="center"/>
              <w:rPr>
                <w:rFonts w:hint="eastAsia" w:ascii="宋体" w:hAnsi="宋体" w:eastAsia="宋体" w:cs="宋体"/>
                <w:b/>
                <w:bCs/>
                <w:color w:val="auto"/>
                <w:szCs w:val="21"/>
                <w:highlight w:val="none"/>
              </w:rPr>
            </w:pPr>
          </w:p>
        </w:tc>
        <w:tc>
          <w:tcPr>
            <w:tcW w:w="2445" w:type="dxa"/>
            <w:noWrap w:val="0"/>
            <w:vAlign w:val="center"/>
          </w:tcPr>
          <w:p w14:paraId="39F9DD8B">
            <w:pPr>
              <w:kinsoku/>
              <w:wordWrap w:val="0"/>
              <w:overflowPunct/>
              <w:topLinePunct w:val="0"/>
              <w:bidi w:val="0"/>
              <w:spacing w:line="440" w:lineRule="exact"/>
              <w:jc w:val="center"/>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此项小计金额不得超过1297800元</w:t>
            </w:r>
          </w:p>
        </w:tc>
      </w:tr>
      <w:tr w14:paraId="037D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54CD1747">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1618" w:type="dxa"/>
            <w:noWrap w:val="0"/>
            <w:vAlign w:val="center"/>
          </w:tcPr>
          <w:p w14:paraId="73CD6C6C">
            <w:pPr>
              <w:kinsoku/>
              <w:wordWrap w:val="0"/>
              <w:overflowPunct/>
              <w:topLinePunct w:val="0"/>
              <w:bidi w:val="0"/>
              <w:spacing w:line="44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群众性文体活动的人员配合</w:t>
            </w:r>
          </w:p>
        </w:tc>
        <w:tc>
          <w:tcPr>
            <w:tcW w:w="1539" w:type="dxa"/>
            <w:noWrap w:val="0"/>
            <w:vAlign w:val="center"/>
          </w:tcPr>
          <w:p w14:paraId="72758A29">
            <w:pPr>
              <w:kinsoku/>
              <w:wordWrap w:val="0"/>
              <w:overflowPunct/>
              <w:topLinePunct w:val="0"/>
              <w:bidi w:val="0"/>
              <w:spacing w:line="44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1项</w:t>
            </w:r>
          </w:p>
        </w:tc>
        <w:tc>
          <w:tcPr>
            <w:tcW w:w="1660" w:type="dxa"/>
            <w:noWrap w:val="0"/>
            <w:vAlign w:val="center"/>
          </w:tcPr>
          <w:p w14:paraId="0951F848">
            <w:pPr>
              <w:kinsoku/>
              <w:wordWrap w:val="0"/>
              <w:overflowPunct/>
              <w:topLinePunct w:val="0"/>
              <w:bidi w:val="0"/>
              <w:spacing w:line="440" w:lineRule="exact"/>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176元/人·次/天</w:t>
            </w:r>
          </w:p>
        </w:tc>
        <w:tc>
          <w:tcPr>
            <w:tcW w:w="1600" w:type="dxa"/>
            <w:noWrap w:val="0"/>
            <w:vAlign w:val="center"/>
          </w:tcPr>
          <w:p w14:paraId="5DE45EB5">
            <w:pPr>
              <w:kinsoku/>
              <w:wordWrap w:val="0"/>
              <w:overflowPunct/>
              <w:topLinePunct w:val="0"/>
              <w:bidi w:val="0"/>
              <w:spacing w:line="44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35200</w:t>
            </w:r>
          </w:p>
        </w:tc>
        <w:tc>
          <w:tcPr>
            <w:tcW w:w="2445" w:type="dxa"/>
            <w:noWrap w:val="0"/>
            <w:vAlign w:val="center"/>
          </w:tcPr>
          <w:p w14:paraId="3FF09647">
            <w:pPr>
              <w:kinsoku/>
              <w:wordWrap w:val="0"/>
              <w:overflowPunct/>
              <w:topLinePunct w:val="0"/>
              <w:bidi w:val="0"/>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此项费用，投标时不竞争，人数暂按200人计取，履约中按具体使用人数*综合单价，据实结算。</w:t>
            </w:r>
          </w:p>
        </w:tc>
      </w:tr>
      <w:tr w14:paraId="2C1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859" w:type="dxa"/>
            <w:gridSpan w:val="3"/>
            <w:noWrap w:val="0"/>
            <w:vAlign w:val="center"/>
          </w:tcPr>
          <w:p w14:paraId="5EA5E887">
            <w:pPr>
              <w:kinsoku/>
              <w:wordWrap w:val="0"/>
              <w:overflowPunct/>
              <w:topLinePunct w:val="0"/>
              <w:bidi w:val="0"/>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服务费用</w:t>
            </w:r>
            <w:r>
              <w:rPr>
                <w:rFonts w:hint="eastAsia" w:ascii="宋体" w:hAnsi="宋体" w:cs="宋体"/>
                <w:color w:val="auto"/>
                <w:szCs w:val="21"/>
                <w:highlight w:val="none"/>
                <w:lang w:val="en-US" w:eastAsia="zh-CN"/>
              </w:rPr>
              <w:t>总计（1+2+3）</w:t>
            </w:r>
            <w:r>
              <w:rPr>
                <w:rFonts w:hint="eastAsia" w:ascii="宋体" w:hAnsi="宋体" w:eastAsia="宋体" w:cs="宋体"/>
                <w:color w:val="auto"/>
                <w:szCs w:val="21"/>
                <w:highlight w:val="none"/>
                <w:lang w:val="en-US" w:eastAsia="zh-CN"/>
              </w:rPr>
              <w:t>（元）</w:t>
            </w:r>
          </w:p>
        </w:tc>
        <w:tc>
          <w:tcPr>
            <w:tcW w:w="5705" w:type="dxa"/>
            <w:gridSpan w:val="3"/>
            <w:noWrap w:val="0"/>
            <w:vAlign w:val="center"/>
          </w:tcPr>
          <w:p w14:paraId="5F9F1CB5">
            <w:pPr>
              <w:kinsoku/>
              <w:wordWrap w:val="0"/>
              <w:overflowPunct/>
              <w:topLinePunct w:val="0"/>
              <w:bidi w:val="0"/>
              <w:spacing w:line="340" w:lineRule="exact"/>
              <w:ind w:firstLine="3990" w:firstLineChars="19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bl>
    <w:p w14:paraId="73A643F4">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注：1、报价保留两位小数点，第三位四舍五入。</w:t>
      </w:r>
    </w:p>
    <w:p w14:paraId="53269E1F">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2、所有投标只能选择一种方案，单价和合价的报价只能是唯一，小计=</w:t>
      </w:r>
      <w:r>
        <w:rPr>
          <w:rFonts w:hint="eastAsia" w:ascii="宋体" w:hAnsi="宋体" w:cs="Times New Roman"/>
          <w:b/>
          <w:color w:val="auto"/>
          <w:sz w:val="21"/>
          <w:szCs w:val="21"/>
          <w:highlight w:val="none"/>
          <w:lang w:val="en-US" w:eastAsia="zh-CN"/>
        </w:rPr>
        <w:t>月数</w:t>
      </w:r>
      <w:r>
        <w:rPr>
          <w:rFonts w:hint="eastAsia" w:ascii="宋体" w:hAnsi="宋体" w:eastAsia="宋体" w:cs="Times New Roman"/>
          <w:b/>
          <w:color w:val="auto"/>
          <w:sz w:val="21"/>
          <w:szCs w:val="21"/>
          <w:highlight w:val="none"/>
          <w:lang w:val="en-US" w:eastAsia="zh-CN"/>
        </w:rPr>
        <w:t>*综合单价。</w:t>
      </w:r>
    </w:p>
    <w:p w14:paraId="4F4D4895">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3、本项目综合单价包括但不限于人员工资、采购需求中要求的设备费用、耗材费用、行政费用、</w:t>
      </w:r>
      <w:r>
        <w:rPr>
          <w:rFonts w:hint="eastAsia"/>
          <w:b/>
          <w:bCs w:val="0"/>
          <w:color w:val="auto"/>
          <w:sz w:val="21"/>
          <w:szCs w:val="21"/>
          <w:highlight w:val="none"/>
          <w:lang w:val="en-US" w:eastAsia="zh-CN"/>
        </w:rPr>
        <w:t>其他费用（含垃圾清运、下水疏通、防虫灭鼠、垃圾桶、前期介入费，低值易耗品、</w:t>
      </w:r>
      <w:r>
        <w:rPr>
          <w:rFonts w:hint="eastAsia" w:ascii="宋体" w:hAnsi="宋体" w:eastAsia="宋体" w:cs="宋体"/>
          <w:b/>
          <w:bCs w:val="0"/>
          <w:color w:val="auto"/>
          <w:kern w:val="0"/>
          <w:sz w:val="21"/>
          <w:szCs w:val="21"/>
          <w:highlight w:val="none"/>
          <w:lang w:val="en-US" w:eastAsia="zh-CN" w:bidi="ar-SA"/>
        </w:rPr>
        <w:t>病媒防治</w:t>
      </w:r>
      <w:r>
        <w:rPr>
          <w:rFonts w:hint="eastAsia" w:ascii="宋体" w:hAnsi="宋体" w:cs="宋体"/>
          <w:b/>
          <w:bCs w:val="0"/>
          <w:color w:val="auto"/>
          <w:kern w:val="0"/>
          <w:sz w:val="21"/>
          <w:szCs w:val="21"/>
          <w:highlight w:val="none"/>
          <w:lang w:val="en-US" w:eastAsia="zh-CN" w:bidi="ar-SA"/>
        </w:rPr>
        <w:t>、防溺水</w:t>
      </w:r>
      <w:r>
        <w:rPr>
          <w:rFonts w:hint="eastAsia" w:ascii="宋体" w:hAnsi="宋体" w:eastAsia="宋体" w:cs="宋体"/>
          <w:b/>
          <w:bCs w:val="0"/>
          <w:color w:val="auto"/>
          <w:kern w:val="0"/>
          <w:sz w:val="21"/>
          <w:szCs w:val="21"/>
          <w:highlight w:val="none"/>
          <w:lang w:val="en-US" w:eastAsia="zh-CN" w:bidi="ar-SA"/>
        </w:rPr>
        <w:t>“四救”设施</w:t>
      </w:r>
      <w:r>
        <w:rPr>
          <w:rFonts w:hint="eastAsia" w:ascii="宋体" w:hAnsi="宋体" w:cs="宋体"/>
          <w:b/>
          <w:bCs w:val="0"/>
          <w:color w:val="auto"/>
          <w:kern w:val="0"/>
          <w:sz w:val="21"/>
          <w:szCs w:val="21"/>
          <w:highlight w:val="none"/>
          <w:lang w:val="en-US" w:eastAsia="zh-CN" w:bidi="ar-SA"/>
        </w:rPr>
        <w:t>维护、</w:t>
      </w:r>
      <w:r>
        <w:rPr>
          <w:rFonts w:hint="eastAsia" w:ascii="宋体" w:hAnsi="宋体" w:eastAsia="宋体" w:cs="宋体"/>
          <w:b/>
          <w:bCs w:val="0"/>
          <w:color w:val="auto"/>
          <w:kern w:val="0"/>
          <w:sz w:val="21"/>
          <w:szCs w:val="21"/>
          <w:highlight w:val="none"/>
          <w:lang w:val="en-US" w:eastAsia="zh-CN" w:bidi="ar-SA"/>
        </w:rPr>
        <w:t>更换</w:t>
      </w:r>
      <w:r>
        <w:rPr>
          <w:rFonts w:hint="eastAsia" w:ascii="宋体" w:hAnsi="宋体" w:cs="宋体"/>
          <w:b/>
          <w:bCs w:val="0"/>
          <w:color w:val="auto"/>
          <w:kern w:val="0"/>
          <w:sz w:val="21"/>
          <w:szCs w:val="21"/>
          <w:highlight w:val="none"/>
          <w:lang w:val="en-US" w:eastAsia="zh-CN" w:bidi="ar-SA"/>
        </w:rPr>
        <w:t>、</w:t>
      </w:r>
      <w:r>
        <w:rPr>
          <w:rFonts w:hint="eastAsia" w:ascii="宋体" w:hAnsi="宋体" w:eastAsia="宋体" w:cs="宋体"/>
          <w:b/>
          <w:bCs w:val="0"/>
          <w:color w:val="auto"/>
          <w:kern w:val="0"/>
          <w:sz w:val="21"/>
          <w:szCs w:val="21"/>
          <w:highlight w:val="none"/>
          <w:lang w:val="en-US" w:eastAsia="zh-CN" w:bidi="ar-SA"/>
        </w:rPr>
        <w:t>化粪池清理</w:t>
      </w:r>
      <w:r>
        <w:rPr>
          <w:rFonts w:hint="eastAsia"/>
          <w:b/>
          <w:bCs w:val="0"/>
          <w:color w:val="auto"/>
          <w:sz w:val="21"/>
          <w:szCs w:val="21"/>
          <w:highlight w:val="none"/>
          <w:lang w:val="en-US" w:eastAsia="zh-CN"/>
        </w:rPr>
        <w:t>、调研保障物资采购、</w:t>
      </w:r>
      <w:r>
        <w:rPr>
          <w:rFonts w:hint="eastAsia" w:ascii="宋体" w:hAnsi="宋体" w:eastAsia="宋体" w:cs="Times New Roman"/>
          <w:b/>
          <w:bCs w:val="0"/>
          <w:color w:val="auto"/>
          <w:sz w:val="21"/>
          <w:szCs w:val="21"/>
          <w:highlight w:val="none"/>
          <w:lang w:val="en-US" w:eastAsia="zh-CN"/>
        </w:rPr>
        <w:t>招标代理费、</w:t>
      </w:r>
      <w:r>
        <w:rPr>
          <w:rFonts w:hint="eastAsia"/>
          <w:b/>
          <w:bCs w:val="0"/>
          <w:color w:val="auto"/>
          <w:sz w:val="21"/>
          <w:szCs w:val="21"/>
          <w:highlight w:val="none"/>
          <w:lang w:val="en-US" w:eastAsia="zh-CN"/>
        </w:rPr>
        <w:t>企业管理费、税金、利润</w:t>
      </w:r>
      <w:r>
        <w:rPr>
          <w:rFonts w:hint="eastAsia" w:ascii="宋体" w:hAnsi="宋体" w:eastAsia="宋体" w:cs="Times New Roman"/>
          <w:b/>
          <w:bCs w:val="0"/>
          <w:color w:val="auto"/>
          <w:sz w:val="21"/>
          <w:szCs w:val="21"/>
          <w:highlight w:val="none"/>
          <w:lang w:val="en-US" w:eastAsia="zh-CN"/>
        </w:rPr>
        <w:t>和政策性文件规定及合同包含的所有风险、责任等完成本项工作的各项应有费用。综合单价今后将不作任何调整。</w:t>
      </w:r>
    </w:p>
    <w:p w14:paraId="7FA0D5FC">
      <w:pPr>
        <w:pStyle w:val="12"/>
        <w:kinsoku/>
        <w:wordWrap w:val="0"/>
        <w:overflowPunct/>
        <w:topLinePunct w:val="0"/>
        <w:bidi w:val="0"/>
        <w:rPr>
          <w:rFonts w:hint="eastAsia"/>
          <w:color w:val="auto"/>
          <w:highlight w:val="none"/>
          <w:lang w:val="en-US" w:eastAsia="zh-CN"/>
        </w:rPr>
      </w:pPr>
    </w:p>
    <w:p w14:paraId="335835DB">
      <w:pPr>
        <w:pStyle w:val="12"/>
        <w:numPr>
          <w:ilvl w:val="0"/>
          <w:numId w:val="0"/>
        </w:numPr>
        <w:kinsoku/>
        <w:wordWrap w:val="0"/>
        <w:overflowPunct/>
        <w:topLinePunct w:val="0"/>
        <w:bidi w:val="0"/>
        <w:rPr>
          <w:rFonts w:hint="default"/>
          <w:color w:val="auto"/>
          <w:highlight w:val="none"/>
          <w:lang w:val="en-US" w:eastAsia="zh-CN"/>
        </w:rPr>
      </w:pPr>
    </w:p>
    <w:p w14:paraId="78D9EBB6">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default" w:ascii="宋体" w:hAnsi="宋体" w:eastAsia="宋体" w:cs="Times New Roman"/>
          <w:b/>
          <w:color w:val="auto"/>
          <w:sz w:val="21"/>
          <w:szCs w:val="21"/>
          <w:highlight w:val="none"/>
          <w:lang w:val="en-US" w:eastAsia="zh-CN"/>
        </w:rPr>
      </w:pPr>
    </w:p>
    <w:p w14:paraId="277EE95B">
      <w:pPr>
        <w:pStyle w:val="12"/>
        <w:kinsoku/>
        <w:wordWrap w:val="0"/>
        <w:overflowPunct/>
        <w:topLinePunct w:val="0"/>
        <w:bidi w:val="0"/>
        <w:rPr>
          <w:rFonts w:hint="eastAsia"/>
          <w:color w:val="auto"/>
          <w:highlight w:val="none"/>
        </w:rPr>
      </w:pPr>
    </w:p>
    <w:p w14:paraId="438F6229">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F5F74C8">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04DD3327">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firstLine="2880" w:firstLineChars="1200"/>
        <w:jc w:val="both"/>
        <w:textAlignment w:val="auto"/>
        <w:rPr>
          <w:rFonts w:hint="eastAsia"/>
          <w:color w:val="auto"/>
          <w:highlight w:val="none"/>
          <w:u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 xml:space="preserve"> </w:t>
      </w:r>
    </w:p>
    <w:p w14:paraId="53E2103B">
      <w:pPr>
        <w:kinsoku/>
        <w:wordWrap w:val="0"/>
        <w:overflowPunct/>
        <w:topLinePunct w:val="0"/>
        <w:bidi w:val="0"/>
        <w:outlineLvl w:val="1"/>
        <w:rPr>
          <w:rFonts w:hint="eastAsia" w:ascii="宋体" w:hAnsi="宋体"/>
          <w:b/>
          <w:color w:val="auto"/>
          <w:sz w:val="30"/>
          <w:szCs w:val="30"/>
          <w:highlight w:val="none"/>
        </w:rPr>
      </w:pPr>
    </w:p>
    <w:p w14:paraId="7764EBD5">
      <w:pPr>
        <w:pStyle w:val="12"/>
        <w:kinsoku/>
        <w:wordWrap w:val="0"/>
        <w:overflowPunct/>
        <w:topLinePunct w:val="0"/>
        <w:bidi w:val="0"/>
        <w:rPr>
          <w:rFonts w:hint="eastAsia" w:ascii="宋体" w:hAnsi="宋体"/>
          <w:b/>
          <w:color w:val="auto"/>
          <w:sz w:val="30"/>
          <w:szCs w:val="30"/>
          <w:highlight w:val="none"/>
        </w:rPr>
      </w:pPr>
    </w:p>
    <w:p w14:paraId="711B13CD">
      <w:pPr>
        <w:kinsoku/>
        <w:wordWrap w:val="0"/>
        <w:overflowPunct/>
        <w:topLinePunct w:val="0"/>
        <w:bidi w:val="0"/>
        <w:rPr>
          <w:rFonts w:hint="eastAsia"/>
          <w:color w:val="auto"/>
          <w:highlight w:val="none"/>
        </w:rPr>
      </w:pPr>
    </w:p>
    <w:p w14:paraId="3973AD7B">
      <w:pPr>
        <w:kinsoku/>
        <w:wordWrap w:val="0"/>
        <w:overflowPunct/>
        <w:topLinePunct w:val="0"/>
        <w:bidi w:val="0"/>
        <w:outlineLvl w:val="1"/>
        <w:rPr>
          <w:rFonts w:hint="eastAsia" w:ascii="宋体" w:hAnsi="宋体"/>
          <w:b/>
          <w:color w:val="auto"/>
          <w:sz w:val="30"/>
          <w:szCs w:val="30"/>
          <w:highlight w:val="none"/>
        </w:rPr>
      </w:pPr>
    </w:p>
    <w:p w14:paraId="22764740">
      <w:pPr>
        <w:kinsoku/>
        <w:wordWrap w:val="0"/>
        <w:overflowPunct/>
        <w:topLinePunct w:val="0"/>
        <w:bidi w:val="0"/>
        <w:outlineLvl w:val="1"/>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4E8C0D3">
      <w:pPr>
        <w:kinsoku/>
        <w:wordWrap w:val="0"/>
        <w:overflowPunct/>
        <w:topLinePunct w:val="0"/>
        <w:bidi w:val="0"/>
        <w:spacing w:line="380" w:lineRule="exact"/>
        <w:ind w:firstLine="424" w:firstLineChars="202"/>
        <w:rPr>
          <w:rFonts w:hint="eastAsia" w:ascii="宋体"/>
          <w:color w:val="auto"/>
          <w:szCs w:val="21"/>
          <w:highlight w:val="none"/>
        </w:rPr>
      </w:pPr>
      <w:r>
        <w:rPr>
          <w:rFonts w:hint="eastAsia" w:ascii="宋体"/>
          <w:color w:val="auto"/>
          <w:szCs w:val="21"/>
          <w:highlight w:val="none"/>
        </w:rPr>
        <w:t>投标人认为需要提供的其他材料（如有）</w:t>
      </w:r>
    </w:p>
    <w:p w14:paraId="3B62E820">
      <w:pPr>
        <w:kinsoku/>
        <w:wordWrap w:val="0"/>
        <w:overflowPunct/>
        <w:topLinePunct w:val="0"/>
        <w:bidi w:val="0"/>
        <w:spacing w:line="440" w:lineRule="exact"/>
        <w:ind w:firstLine="615"/>
        <w:rPr>
          <w:rFonts w:hint="eastAsia" w:ascii="宋体" w:hAnsi="宋体" w:cs="宋体"/>
          <w:b/>
          <w:color w:val="auto"/>
          <w:szCs w:val="21"/>
          <w:highlight w:val="none"/>
        </w:rPr>
      </w:pPr>
      <w:r>
        <w:rPr>
          <w:rFonts w:hint="eastAsia"/>
          <w:color w:val="auto"/>
          <w:highlight w:val="none"/>
        </w:rPr>
        <w:br w:type="page"/>
      </w:r>
    </w:p>
    <w:p w14:paraId="284FC7FB">
      <w:pPr>
        <w:kinsoku/>
        <w:wordWrap w:val="0"/>
        <w:overflowPunct/>
        <w:topLinePunct w:val="0"/>
        <w:bidi w:val="0"/>
        <w:outlineLvl w:val="0"/>
        <w:rPr>
          <w:rFonts w:hint="eastAsia" w:ascii="宋体" w:hAnsi="宋体" w:eastAsia="宋体" w:cs="宋体"/>
          <w:color w:val="auto"/>
          <w:sz w:val="28"/>
          <w:szCs w:val="28"/>
          <w:highlight w:val="none"/>
        </w:rPr>
      </w:pPr>
      <w:bookmarkStart w:id="126" w:name="_Toc11016"/>
      <w:r>
        <w:rPr>
          <w:rFonts w:hint="eastAsia" w:ascii="宋体" w:hAnsi="宋体" w:eastAsia="宋体" w:cs="宋体"/>
          <w:b/>
          <w:color w:val="auto"/>
          <w:sz w:val="28"/>
          <w:szCs w:val="28"/>
          <w:highlight w:val="none"/>
          <w:lang w:bidi="ar"/>
        </w:rPr>
        <w:t>附件1</w:t>
      </w:r>
      <w:bookmarkEnd w:id="126"/>
    </w:p>
    <w:p w14:paraId="16A75FC1">
      <w:pPr>
        <w:kinsoku/>
        <w:wordWrap w:val="0"/>
        <w:overflowPunct/>
        <w:topLinePunct w:val="0"/>
        <w:bidi w:val="0"/>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关于联合惩戒失信行为 加强信用查询管理的通知</w:t>
      </w:r>
    </w:p>
    <w:p w14:paraId="676888DA">
      <w:pPr>
        <w:keepNext w:val="0"/>
        <w:keepLines w:val="0"/>
        <w:pageBreakBefore w:val="0"/>
        <w:kinsoku/>
        <w:wordWrap w:val="0"/>
        <w:overflowPunct/>
        <w:topLinePunct w:val="0"/>
        <w:autoSpaceDN/>
        <w:bidi w:val="0"/>
        <w:adjustRightInd/>
        <w:snapToGrid/>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313D4D7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7F01628B">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（一）工程建设项目</w:t>
      </w:r>
    </w:p>
    <w:p w14:paraId="23683D1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1、“信用中国”网站（www.creditchina.gov.cn）查询投标人、法定代表人及其项目经理(建造师)以下失信行为：</w:t>
      </w:r>
    </w:p>
    <w:p w14:paraId="25AED6F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61F0070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42ACC2DA">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③被列入“拖欠农民工工资失信联合惩戒对象名单”的；</w:t>
      </w:r>
    </w:p>
    <w:p w14:paraId="7614B7D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④被列入 “严重失信主体名单”的；</w:t>
      </w:r>
    </w:p>
    <w:p w14:paraId="0C001F72">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⑤在“信用中国”网站上披露的仍在公示期的严重失信行为(具体行为类别及判定依据见附件2)的。</w:t>
      </w:r>
    </w:p>
    <w:p w14:paraId="07A2637F">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2、国家企业信用信息公示系统网站（www.gsxt.gov.cn）查询投标人以下失信行为：</w:t>
      </w:r>
    </w:p>
    <w:p w14:paraId="6074521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1A23DD08">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3、由投标人、法定代表人及其项目经理(建造师)进行承诺，不进行现场网上信用查询的失信行为：</w:t>
      </w:r>
    </w:p>
    <w:p w14:paraId="566FDFB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①前三年有行贿犯罪行为的单位和个人；</w:t>
      </w:r>
    </w:p>
    <w:p w14:paraId="5DEC0851">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②被滁州市县两级公管部门取消在一定期限内的投标资格且在取消期限内的；</w:t>
      </w:r>
    </w:p>
    <w:p w14:paraId="0F8F2487">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③被滁州市县两级各行业主管部门取消在一定期限内的投标资格且在取消期限内的；</w:t>
      </w:r>
    </w:p>
    <w:p w14:paraId="4C1D736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④因拖欠农民工工资被县级及以上有关行政主管部门限制投标资格且在限制期限内的；</w:t>
      </w:r>
    </w:p>
    <w:p w14:paraId="30715A3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A64B321">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（二）政府采购项目</w:t>
      </w:r>
    </w:p>
    <w:p w14:paraId="6EC430E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1、“信用中国”网站（www.creditchina.gov.cn）查询供应商、法定代表人及其项目负责人以下失信行为：</w:t>
      </w:r>
    </w:p>
    <w:p w14:paraId="02F769AA">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2F383CF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7C6AEFF5">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 “严重失信主体名单”的；</w:t>
      </w:r>
    </w:p>
    <w:p w14:paraId="50C58D0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④在“信用中国”网站上披露的仍在公示期的严重失信行为(具体行为类别及判定依据见附件2)的。</w:t>
      </w:r>
    </w:p>
    <w:p w14:paraId="5422871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t>
      </w:r>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"http://www.gsxt.gov.cn）查询"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www.gsxt.gov.cn）</w:t>
      </w:r>
      <w:r>
        <w:rPr>
          <w:rFonts w:hint="eastAsia" w:ascii="宋体" w:hAnsi="宋体" w:eastAsia="宋体" w:cs="宋体"/>
          <w:bCs/>
          <w:color w:val="auto"/>
          <w:kern w:val="0"/>
          <w:sz w:val="24"/>
          <w:szCs w:val="24"/>
          <w:highlight w:val="none"/>
          <w:lang w:bidi="ar"/>
        </w:rPr>
        <w:fldChar w:fldCharType="end"/>
      </w:r>
      <w:r>
        <w:rPr>
          <w:rFonts w:hint="eastAsia" w:ascii="宋体" w:hAnsi="宋体" w:eastAsia="宋体" w:cs="宋体"/>
          <w:bCs/>
          <w:color w:val="auto"/>
          <w:kern w:val="0"/>
          <w:sz w:val="24"/>
          <w:szCs w:val="24"/>
          <w:highlight w:val="none"/>
          <w:lang w:bidi="ar"/>
        </w:rPr>
        <w:t>查询供应商以下失信行为：</w:t>
      </w:r>
    </w:p>
    <w:p w14:paraId="500AC45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27" w:name="OLE_LINK100"/>
      <w:bookmarkStart w:id="128" w:name="OLE_LINK101"/>
      <w:bookmarkStart w:id="129" w:name="OLE_LINK102"/>
      <w:r>
        <w:rPr>
          <w:rFonts w:hint="eastAsia" w:ascii="宋体" w:hAnsi="宋体" w:eastAsia="宋体" w:cs="宋体"/>
          <w:bCs/>
          <w:color w:val="auto"/>
          <w:kern w:val="0"/>
          <w:sz w:val="24"/>
          <w:szCs w:val="24"/>
          <w:highlight w:val="none"/>
          <w:lang w:bidi="ar"/>
        </w:rPr>
        <w:t>被列入“经营异常名录”或者“严重违法失信名单”的</w:t>
      </w:r>
      <w:bookmarkEnd w:id="127"/>
      <w:bookmarkEnd w:id="128"/>
      <w:bookmarkEnd w:id="129"/>
      <w:r>
        <w:rPr>
          <w:rFonts w:hint="eastAsia" w:ascii="宋体" w:hAnsi="宋体" w:eastAsia="宋体" w:cs="宋体"/>
          <w:bCs/>
          <w:color w:val="auto"/>
          <w:kern w:val="0"/>
          <w:sz w:val="24"/>
          <w:szCs w:val="24"/>
          <w:highlight w:val="none"/>
          <w:lang w:bidi="ar"/>
        </w:rPr>
        <w:t>。</w:t>
      </w:r>
    </w:p>
    <w:p w14:paraId="25D32E7A">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3、中国政府采购网站（</w:t>
      </w:r>
      <w:bookmarkStart w:id="130" w:name="OLE_LINK96"/>
      <w:bookmarkStart w:id="131" w:name="OLE_LINK95"/>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"http://www.ccgp.gov.cn"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www.ccgp.gov.cn</w:t>
      </w:r>
      <w:r>
        <w:rPr>
          <w:rFonts w:hint="eastAsia" w:ascii="宋体" w:hAnsi="宋体" w:eastAsia="宋体" w:cs="宋体"/>
          <w:bCs/>
          <w:color w:val="auto"/>
          <w:kern w:val="0"/>
          <w:sz w:val="24"/>
          <w:szCs w:val="24"/>
          <w:highlight w:val="none"/>
          <w:lang w:bidi="ar"/>
        </w:rPr>
        <w:fldChar w:fldCharType="end"/>
      </w:r>
      <w:bookmarkEnd w:id="130"/>
      <w:bookmarkEnd w:id="131"/>
      <w:r>
        <w:rPr>
          <w:rFonts w:hint="eastAsia" w:ascii="宋体" w:hAnsi="宋体" w:eastAsia="宋体" w:cs="宋体"/>
          <w:bCs/>
          <w:color w:val="auto"/>
          <w:kern w:val="0"/>
          <w:sz w:val="24"/>
          <w:szCs w:val="24"/>
          <w:highlight w:val="none"/>
          <w:lang w:bidi="ar"/>
        </w:rPr>
        <w:t>）查询以下失信行为：</w:t>
      </w:r>
    </w:p>
    <w:p w14:paraId="0AADDBF3">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32" w:name="OLE_LINK106"/>
      <w:bookmarkStart w:id="133" w:name="OLE_LINK104"/>
      <w:bookmarkStart w:id="134" w:name="OLE_LINK105"/>
      <w:r>
        <w:rPr>
          <w:rFonts w:hint="eastAsia" w:ascii="宋体" w:hAnsi="宋体" w:eastAsia="宋体" w:cs="宋体"/>
          <w:bCs/>
          <w:color w:val="auto"/>
          <w:kern w:val="0"/>
          <w:sz w:val="24"/>
          <w:szCs w:val="24"/>
          <w:highlight w:val="none"/>
          <w:lang w:bidi="ar"/>
        </w:rPr>
        <w:t>被列入“政府采购严重违法失信行为信息记录”的</w:t>
      </w:r>
      <w:bookmarkEnd w:id="132"/>
      <w:bookmarkEnd w:id="133"/>
      <w:bookmarkEnd w:id="134"/>
      <w:r>
        <w:rPr>
          <w:rFonts w:hint="eastAsia" w:ascii="宋体" w:hAnsi="宋体" w:eastAsia="宋体" w:cs="宋体"/>
          <w:bCs/>
          <w:color w:val="auto"/>
          <w:kern w:val="0"/>
          <w:sz w:val="24"/>
          <w:szCs w:val="24"/>
          <w:highlight w:val="none"/>
          <w:lang w:bidi="ar"/>
        </w:rPr>
        <w:t>。</w:t>
      </w:r>
    </w:p>
    <w:p w14:paraId="4674B8F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5615465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479B56D0">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二、在开评标活动中的查询程序</w:t>
      </w:r>
    </w:p>
    <w:p w14:paraId="2EDF981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4F48058">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235A41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09899982">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三、相关要求</w:t>
      </w:r>
    </w:p>
    <w:p w14:paraId="53E4A933">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425300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044908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12F93D6">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334A592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4E726C61">
      <w:pPr>
        <w:kinsoku/>
        <w:wordWrap w:val="0"/>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1290EF54">
      <w:pPr>
        <w:pStyle w:val="31"/>
        <w:widowControl/>
        <w:kinsoku/>
        <w:wordWrap w:val="0"/>
        <w:overflowPunct/>
        <w:topLinePunct w:val="0"/>
        <w:bidi w:val="0"/>
        <w:spacing w:before="0" w:after="120" w:afterAutospacing="0" w:line="360" w:lineRule="auto"/>
        <w:ind w:left="420" w:leftChars="20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 xml:space="preserve"> </w:t>
      </w:r>
    </w:p>
    <w:p w14:paraId="04B84CB8">
      <w:pPr>
        <w:kinsoku/>
        <w:wordWrap w:val="0"/>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附件2</w:t>
      </w:r>
    </w:p>
    <w:p w14:paraId="4D1614E6">
      <w:pPr>
        <w:kinsoku/>
        <w:wordWrap w:val="0"/>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48F86DEC">
      <w:pPr>
        <w:kinsoku/>
        <w:wordWrap w:val="0"/>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0C9670D7">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416006DC">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1440925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（一）下列发生生产安全事故的生产经营单位及其有关人员应当列入严重失信主体名单：</w:t>
      </w:r>
    </w:p>
    <w:p w14:paraId="700A8817">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1、发生特别重大、重大生产安全事故的生产经营单位及其主要负责人，以及经调查认定对该事故发生负有责任，应当列入名单的其他单位和人员；</w:t>
      </w:r>
    </w:p>
    <w:p w14:paraId="35E93CA7">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2、12个月内累计发生2起以上较大生产安全事故的生产经营单位及其主要负责人；</w:t>
      </w:r>
    </w:p>
    <w:p w14:paraId="22F4A11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2AE25E9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4、瞒报、谎报生产安全事故的生产经营单位及其有关责任人员；</w:t>
      </w:r>
    </w:p>
    <w:p w14:paraId="01759C4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5、发生生产安全事故后，不立即组织抢救或者在事故调查处理期间擅离职守或者逃匿的生产经营单位主要负责人。</w:t>
      </w:r>
    </w:p>
    <w:p w14:paraId="648766FD">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（二）下列未发生生产安全事故，但因安全生产违法行为，受到行政处罚的生产经营单位或者机构及其有关人员，应当列入严重失信主体名单：</w:t>
      </w:r>
    </w:p>
    <w:p w14:paraId="3F1A853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1、未依法取得安全生产相关许可或者许可被暂扣、吊销期间从事相关生产经营活动的生产经营单位及其主要负责人；</w:t>
      </w:r>
    </w:p>
    <w:p w14:paraId="7E39B61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2、承担安全评价、认证、检测、检验职责的机构及其直接责任人员租借资质、挂靠、出具虚假报告或者证书的；</w:t>
      </w:r>
    </w:p>
    <w:p w14:paraId="730F274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3、在应急管理部门作出行政处罚后，有执行能力拒不执行或者逃避执行的生产经营单位及其主要负责人；</w:t>
      </w:r>
    </w:p>
    <w:p w14:paraId="16571DA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4、其他违反安全生产法律法规受到行政处罚，且性质恶劣、情节严重的。</w:t>
      </w:r>
    </w:p>
    <w:p w14:paraId="2C2DA6FF">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依据：《安全生产严重失信主体名单管理办法》（2023年8月8日应急管理部令第11号）</w:t>
      </w:r>
    </w:p>
    <w:p w14:paraId="5DF6A605">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14F482D6">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03773B3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（一）因为环境违法构成环境犯罪的；</w:t>
      </w:r>
    </w:p>
    <w:p w14:paraId="226A5E44">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49DBFD0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14C45E5D">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088D1B6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（五）主要污染物排放总量超过控制指标的；</w:t>
      </w:r>
    </w:p>
    <w:p w14:paraId="092C2D50">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73DB689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50B93940">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（八）环境违法行为造成集中式生活饮用水水源取水中断的；</w:t>
      </w:r>
    </w:p>
    <w:p w14:paraId="5628BA5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2C8196F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05F7ED56">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（十一）发生较大及以上突发环境事件的；</w:t>
      </w:r>
    </w:p>
    <w:p w14:paraId="4B16534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（十二）被环保部门挂牌督办，整改逾期未完成的；</w:t>
      </w:r>
    </w:p>
    <w:p w14:paraId="606D6BC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331DB67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5751D614">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06FCA1BC">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277D3B6">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4F3D2B8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（一）违反法律规定，必须进行招标的项目而不招标的，将必须进行招标的项目化整为零或者以其他任何方式规避招标的； </w:t>
      </w:r>
    </w:p>
    <w:p w14:paraId="61FA0CC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012B46DB">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C7658B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20E73F0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（五）投标人相互串通投标或者与招标人串通投标的，投标人以向招标人或者评标委员会成员行贿的手段谋取中标的； </w:t>
      </w:r>
    </w:p>
    <w:p w14:paraId="6338862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2D7079D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568382B4">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2C87A3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13D0D18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0C53CEFD">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（十一）招标人与中标人不按照招标文件和中标人的投标文件订立合同的，或者招标人、中标人订立背离合同实质性内容的 协议的； </w:t>
      </w:r>
    </w:p>
    <w:p w14:paraId="26452FC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（十二）中标人不按照与招标人订立的合同履行义务，情节严重的； </w:t>
      </w:r>
    </w:p>
    <w:p w14:paraId="2023AA6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6860E52">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5C8C69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（十五）采购人对应当实行集中采购的政府采购项目，不委托集中采购机构实行集中采购的； </w:t>
      </w:r>
    </w:p>
    <w:p w14:paraId="4EA5D06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（十六）采购人、采购代理机构违反法律规定隐匿、销毁应当保存的采购文件或者伪造、变造采购文件的； </w:t>
      </w:r>
    </w:p>
    <w:p w14:paraId="1409B786">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C39F4A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（十八）疫苗生产企业向县级疾病预防控制机构以外的单位或者个人销售第二类疫苗的； </w:t>
      </w:r>
    </w:p>
    <w:p w14:paraId="7295F88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4DC31265">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7A9F4B6C">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71B676B8">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548B5E0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11E4A690">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5DD8328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（三）应缴纳社会保险费却拒不缴纳的； </w:t>
      </w:r>
    </w:p>
    <w:p w14:paraId="3AB250A2">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33CFAE3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66A692B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6D3B0824">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488B8E5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3527975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613721C4">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5F03018A">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0CBEB378">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20FC2F4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（一）利用虚假材料、以欺骗手段取得企业资质的；</w:t>
      </w:r>
    </w:p>
    <w:p w14:paraId="43E8CB42">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（二）发生转包、出借资质，受到行政处罚的；</w:t>
      </w:r>
    </w:p>
    <w:p w14:paraId="6CC2EC0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4945F55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25BBEBD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442F8D7E">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6784DD1E">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70A3267">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2BEE9DF6">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6C98CE7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（一）三万元以上罚款；</w:t>
      </w:r>
    </w:p>
    <w:p w14:paraId="414E1DB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505D290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6D1C622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4BEEF560">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7D4B4432">
      <w:pPr>
        <w:widowControl/>
        <w:kinsoku/>
        <w:wordWrap w:val="0"/>
        <w:overflowPunct/>
        <w:topLinePunct w:val="0"/>
        <w:autoSpaceDE w:val="0"/>
        <w:bidi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742048A3">
      <w:pPr>
        <w:widowControl/>
        <w:kinsoku/>
        <w:wordWrap w:val="0"/>
        <w:overflowPunct/>
        <w:topLinePunct w:val="0"/>
        <w:autoSpaceDE w:val="0"/>
        <w:bidi w:val="0"/>
        <w:spacing w:line="480" w:lineRule="exact"/>
        <w:ind w:firstLine="482" w:firstLineChars="200"/>
        <w:jc w:val="left"/>
        <w:textAlignment w:val="baseline"/>
        <w:rPr>
          <w:rFonts w:hint="eastAsia" w:ascii="FangSong_GB2312" w:eastAsia="FangSong_GB2312"/>
          <w:b/>
          <w:color w:val="auto"/>
          <w:sz w:val="32"/>
          <w:szCs w:val="32"/>
          <w:highlight w:val="none"/>
        </w:rPr>
      </w:pPr>
      <w:r>
        <w:rPr>
          <w:rFonts w:hint="eastAsia" w:ascii="宋体" w:hAnsi="宋体" w:eastAsia="宋体" w:cs="宋体"/>
          <w:b/>
          <w:color w:val="auto"/>
          <w:kern w:val="0"/>
          <w:sz w:val="24"/>
          <w:szCs w:val="24"/>
          <w:highlight w:val="none"/>
          <w:lang w:bidi="ar"/>
        </w:rPr>
        <w:t>未列出的其他类别严重失信行为，由招标人（代理机构）根据各类别行业主管部门下发的联合惩戒文件进行判断</w:t>
      </w:r>
      <w:r>
        <w:rPr>
          <w:rFonts w:hint="eastAsia" w:ascii="仿宋_GB2312" w:hAnsi="宋体" w:eastAsia="仿宋_GB2312"/>
          <w:b/>
          <w:color w:val="auto"/>
          <w:sz w:val="32"/>
          <w:szCs w:val="32"/>
          <w:highlight w:val="none"/>
        </w:rPr>
        <w:t>。</w:t>
      </w:r>
    </w:p>
    <w:p w14:paraId="6B787C9A">
      <w:pPr>
        <w:pStyle w:val="2"/>
        <w:tabs>
          <w:tab w:val="left" w:pos="0"/>
          <w:tab w:val="left" w:pos="3165"/>
          <w:tab w:val="center" w:pos="4153"/>
        </w:tabs>
        <w:kinsoku/>
        <w:wordWrap w:val="0"/>
        <w:overflowPunct/>
        <w:topLinePunct w:val="0"/>
        <w:autoSpaceDE w:val="0"/>
        <w:autoSpaceDN w:val="0"/>
        <w:bidi w:val="0"/>
        <w:adjustRightInd w:val="0"/>
        <w:spacing w:before="0" w:after="0" w:line="240" w:lineRule="auto"/>
        <w:rPr>
          <w:rFonts w:hint="eastAsia" w:ascii="宋体"/>
          <w:b w:val="0"/>
          <w:color w:val="auto"/>
          <w:szCs w:val="32"/>
          <w:highlight w:val="none"/>
        </w:rPr>
      </w:pPr>
      <w:bookmarkStart w:id="135" w:name="_Toc25631"/>
      <w:bookmarkStart w:id="136" w:name="_Toc449028957"/>
      <w:bookmarkStart w:id="137" w:name="_Toc58430333"/>
      <w:r>
        <w:rPr>
          <w:rFonts w:hint="eastAsia" w:ascii="华文中宋" w:hAnsi="华文中宋" w:eastAsia="华文中宋"/>
          <w:color w:val="auto"/>
          <w:highlight w:val="none"/>
        </w:rPr>
        <w:t xml:space="preserve"> 第</w:t>
      </w:r>
      <w:r>
        <w:rPr>
          <w:rFonts w:hint="eastAsia" w:ascii="华文中宋" w:hAnsi="华文中宋" w:eastAsia="华文中宋"/>
          <w:color w:val="auto"/>
          <w:highlight w:val="none"/>
          <w:lang w:val="en-US" w:eastAsia="zh-CN"/>
        </w:rPr>
        <w:t>八</w:t>
      </w:r>
      <w:r>
        <w:rPr>
          <w:rFonts w:hint="eastAsia" w:ascii="华文中宋" w:hAnsi="华文中宋" w:eastAsia="华文中宋"/>
          <w:color w:val="auto"/>
          <w:highlight w:val="none"/>
        </w:rPr>
        <w:t>章 招标人、代理机构对本招标文件的确认</w:t>
      </w:r>
      <w:bookmarkEnd w:id="135"/>
      <w:bookmarkEnd w:id="136"/>
      <w:bookmarkEnd w:id="137"/>
    </w:p>
    <w:p w14:paraId="3FD3E308">
      <w:pPr>
        <w:pStyle w:val="2"/>
        <w:tabs>
          <w:tab w:val="left" w:pos="0"/>
          <w:tab w:val="left" w:pos="3165"/>
          <w:tab w:val="center" w:pos="4153"/>
        </w:tabs>
        <w:kinsoku/>
        <w:wordWrap w:val="0"/>
        <w:overflowPunct/>
        <w:topLinePunct w:val="0"/>
        <w:autoSpaceDE w:val="0"/>
        <w:autoSpaceDN w:val="0"/>
        <w:bidi w:val="0"/>
        <w:adjustRightInd w:val="0"/>
        <w:spacing w:before="0" w:after="0" w:line="240" w:lineRule="auto"/>
        <w:outlineLvl w:val="9"/>
        <w:rPr>
          <w:rFonts w:hint="eastAsia"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094BABAF">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7970D743">
            <w:pPr>
              <w:kinsoku/>
              <w:wordWrap w:val="0"/>
              <w:overflowPunct/>
              <w:topLinePunct w:val="0"/>
              <w:bidi w:val="0"/>
              <w:spacing w:line="440" w:lineRule="exact"/>
              <w:ind w:firstLine="560" w:firstLineChars="200"/>
              <w:rPr>
                <w:rFonts w:hint="eastAsia" w:ascii="宋体" w:cs="宋体"/>
                <w:color w:val="auto"/>
                <w:sz w:val="28"/>
                <w:szCs w:val="28"/>
                <w:highlight w:val="none"/>
              </w:rPr>
            </w:pPr>
          </w:p>
          <w:p w14:paraId="48E75935">
            <w:pPr>
              <w:kinsoku/>
              <w:wordWrap w:val="0"/>
              <w:overflowPunct/>
              <w:topLinePunct w:val="0"/>
              <w:bidi w:val="0"/>
              <w:spacing w:after="156" w:afterLines="5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中新苏滁高新区2026-2028年度公园、景观带保安保洁服务项目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440F8221">
            <w:pPr>
              <w:kinsoku/>
              <w:wordWrap w:val="0"/>
              <w:overflowPunct/>
              <w:topLinePunct w:val="0"/>
              <w:bidi w:val="0"/>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滁州市苏滁市政公用发展有限公司</w:t>
            </w:r>
          </w:p>
          <w:p w14:paraId="0D231B8A">
            <w:pPr>
              <w:kinsoku/>
              <w:wordWrap w:val="0"/>
              <w:overflowPunct/>
              <w:topLinePunct w:val="0"/>
              <w:bidi w:val="0"/>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李传旭</w:t>
            </w:r>
          </w:p>
          <w:p w14:paraId="0A68A5A7">
            <w:pPr>
              <w:kinsoku/>
              <w:wordWrap w:val="0"/>
              <w:overflowPunct/>
              <w:topLinePunct w:val="0"/>
              <w:bidi w:val="0"/>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val="en-US" w:eastAsia="zh-CN"/>
              </w:rPr>
              <w:t>0550-2201369</w:t>
            </w:r>
          </w:p>
          <w:p w14:paraId="56352ACB">
            <w:pPr>
              <w:kinsoku/>
              <w:wordWrap w:val="0"/>
              <w:overflowPunct/>
              <w:topLinePunct w:val="0"/>
              <w:bidi w:val="0"/>
              <w:spacing w:line="540" w:lineRule="exact"/>
              <w:ind w:firstLine="7140" w:firstLineChars="2550"/>
              <w:rPr>
                <w:rFonts w:hint="eastAsia" w:ascii="宋体" w:cs="宋体"/>
                <w:color w:val="auto"/>
                <w:sz w:val="28"/>
                <w:szCs w:val="28"/>
                <w:highlight w:val="none"/>
              </w:rPr>
            </w:pPr>
          </w:p>
          <w:p w14:paraId="1DB446CF">
            <w:pPr>
              <w:kinsoku/>
              <w:wordWrap w:val="0"/>
              <w:overflowPunct/>
              <w:topLinePunct w:val="0"/>
              <w:bidi w:val="0"/>
              <w:spacing w:line="540" w:lineRule="exact"/>
              <w:ind w:firstLine="7140" w:firstLineChars="2550"/>
              <w:rPr>
                <w:rFonts w:hint="eastAsia" w:ascii="宋体" w:cs="宋体"/>
                <w:color w:val="auto"/>
                <w:sz w:val="28"/>
                <w:szCs w:val="28"/>
                <w:highlight w:val="none"/>
              </w:rPr>
            </w:pPr>
            <w:r>
              <w:rPr>
                <w:rFonts w:hint="eastAsia" w:ascii="宋体" w:cs="宋体"/>
                <w:color w:val="auto"/>
                <w:sz w:val="28"/>
                <w:szCs w:val="28"/>
                <w:highlight w:val="none"/>
              </w:rPr>
              <w:t>（盖单位章）</w:t>
            </w:r>
          </w:p>
          <w:p w14:paraId="4854D245">
            <w:pPr>
              <w:kinsoku/>
              <w:wordWrap w:val="0"/>
              <w:overflowPunct/>
              <w:topLinePunct w:val="0"/>
              <w:bidi w:val="0"/>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r w14:paraId="2CDCC578">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4F874531">
            <w:pPr>
              <w:kinsoku/>
              <w:wordWrap w:val="0"/>
              <w:overflowPunct/>
              <w:topLinePunct w:val="0"/>
              <w:bidi w:val="0"/>
              <w:spacing w:line="440" w:lineRule="exact"/>
              <w:rPr>
                <w:rFonts w:hint="eastAsia" w:ascii="宋体" w:cs="宋体"/>
                <w:color w:val="auto"/>
                <w:sz w:val="28"/>
                <w:szCs w:val="28"/>
                <w:highlight w:val="none"/>
              </w:rPr>
            </w:pPr>
          </w:p>
          <w:p w14:paraId="283C7DD4">
            <w:pPr>
              <w:kinsoku/>
              <w:wordWrap w:val="0"/>
              <w:overflowPunct/>
              <w:topLinePunct w:val="0"/>
              <w:bidi w:val="0"/>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78B85A2A">
            <w:pPr>
              <w:kinsoku/>
              <w:wordWrap w:val="0"/>
              <w:overflowPunct/>
              <w:topLinePunct w:val="0"/>
              <w:bidi w:val="0"/>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eastAsia="zh-CN"/>
              </w:rPr>
              <w:t>关勤勤</w:t>
            </w:r>
          </w:p>
          <w:p w14:paraId="45CA0114">
            <w:pPr>
              <w:kinsoku/>
              <w:wordWrap w:val="0"/>
              <w:overflowPunct/>
              <w:topLinePunct w:val="0"/>
              <w:bidi w:val="0"/>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电  话：</w:t>
            </w:r>
            <w:r>
              <w:rPr>
                <w:rFonts w:hint="eastAsia" w:ascii="宋体" w:cs="宋体"/>
                <w:color w:val="auto"/>
                <w:sz w:val="28"/>
                <w:szCs w:val="28"/>
                <w:highlight w:val="none"/>
                <w:lang w:eastAsia="zh-CN"/>
              </w:rPr>
              <w:t>18909605753</w:t>
            </w:r>
          </w:p>
          <w:p w14:paraId="2CF61197">
            <w:pPr>
              <w:kinsoku/>
              <w:wordWrap w:val="0"/>
              <w:overflowPunct/>
              <w:topLinePunct w:val="0"/>
              <w:bidi w:val="0"/>
              <w:spacing w:line="520" w:lineRule="exact"/>
              <w:ind w:firstLine="6300" w:firstLineChars="2250"/>
              <w:rPr>
                <w:rFonts w:hint="eastAsia" w:ascii="宋体" w:cs="宋体"/>
                <w:color w:val="auto"/>
                <w:sz w:val="28"/>
                <w:szCs w:val="28"/>
                <w:highlight w:val="none"/>
              </w:rPr>
            </w:pPr>
          </w:p>
          <w:p w14:paraId="44D0AF00">
            <w:pPr>
              <w:pStyle w:val="12"/>
              <w:kinsoku/>
              <w:wordWrap w:val="0"/>
              <w:overflowPunct/>
              <w:topLinePunct w:val="0"/>
              <w:bidi w:val="0"/>
              <w:rPr>
                <w:rFonts w:hint="eastAsia"/>
                <w:color w:val="auto"/>
                <w:kern w:val="2"/>
                <w:sz w:val="21"/>
                <w:szCs w:val="24"/>
                <w:highlight w:val="none"/>
              </w:rPr>
            </w:pPr>
          </w:p>
          <w:p w14:paraId="51877551">
            <w:pPr>
              <w:kinsoku/>
              <w:wordWrap w:val="0"/>
              <w:overflowPunct/>
              <w:topLinePunct w:val="0"/>
              <w:bidi w:val="0"/>
              <w:spacing w:line="520" w:lineRule="exact"/>
              <w:ind w:firstLine="6580" w:firstLineChars="2350"/>
              <w:rPr>
                <w:rFonts w:hint="eastAsia" w:ascii="宋体" w:cs="宋体"/>
                <w:color w:val="auto"/>
                <w:sz w:val="28"/>
                <w:szCs w:val="28"/>
                <w:highlight w:val="none"/>
              </w:rPr>
            </w:pPr>
          </w:p>
          <w:p w14:paraId="51799385">
            <w:pPr>
              <w:kinsoku/>
              <w:wordWrap w:val="0"/>
              <w:overflowPunct/>
              <w:topLinePunct w:val="0"/>
              <w:bidi w:val="0"/>
              <w:spacing w:line="520" w:lineRule="exact"/>
              <w:ind w:firstLine="7140" w:firstLineChars="2550"/>
              <w:rPr>
                <w:rFonts w:hint="eastAsia" w:ascii="宋体" w:cs="宋体"/>
                <w:color w:val="auto"/>
                <w:sz w:val="28"/>
                <w:szCs w:val="28"/>
                <w:highlight w:val="none"/>
              </w:rPr>
            </w:pPr>
            <w:r>
              <w:rPr>
                <w:rFonts w:hint="eastAsia" w:ascii="宋体" w:cs="宋体"/>
                <w:color w:val="auto"/>
                <w:sz w:val="28"/>
                <w:szCs w:val="28"/>
                <w:highlight w:val="none"/>
              </w:rPr>
              <w:t>（盖单位章）</w:t>
            </w:r>
          </w:p>
          <w:p w14:paraId="3A3ECDD9">
            <w:pPr>
              <w:kinsoku/>
              <w:wordWrap w:val="0"/>
              <w:overflowPunct/>
              <w:topLinePunct w:val="0"/>
              <w:bidi w:val="0"/>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bl>
    <w:p w14:paraId="52E6E5F4">
      <w:pPr>
        <w:kinsoku/>
        <w:wordWrap w:val="0"/>
        <w:overflowPunct/>
        <w:topLinePunct w:val="0"/>
        <w:bidi w:val="0"/>
        <w:rPr>
          <w:color w:val="auto"/>
          <w:highlight w:val="none"/>
        </w:rPr>
      </w:pPr>
    </w:p>
    <w:sectPr>
      <w:pgSz w:w="11906" w:h="16838"/>
      <w:pgMar w:top="1440"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Segoe Print"/>
    <w:panose1 w:val="020B0604020202020204"/>
    <w:charset w:val="00"/>
    <w:family w:val="swiss"/>
    <w:pitch w:val="default"/>
    <w:sig w:usb0="00000000" w:usb1="00000000" w:usb2="00000000" w:usb3="00000000" w:csb0="40010001" w:csb1="0000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2010609060101010101"/>
    <w:charset w:val="86"/>
    <w:family w:val="modern"/>
    <w:pitch w:val="default"/>
    <w:sig w:usb0="00000000" w:usb1="00000000" w:usb2="000A005E" w:usb3="00000000" w:csb0="00040001" w:csb1="00000000"/>
  </w:font>
  <w:font w:name="FangSong_GB2312">
    <w:altName w:val="仿宋"/>
    <w:panose1 w:val="0201060906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C92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7DA9">
    <w:pPr>
      <w:pStyle w:val="17"/>
      <w:spacing w:line="209" w:lineRule="auto"/>
      <w:ind w:left="406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8DA3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98DA3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799B">
    <w:pPr>
      <w:pStyle w:val="23"/>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7A04E">
                          <w:pPr>
                            <w:pStyle w:val="2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D7A04E">
                    <w:pPr>
                      <w:pStyle w:val="2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4991">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03"/>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decimal"/>
      <w:pStyle w:val="96"/>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GI2NWIzOGNkOWNmNzBiZjU5OTkyZjljYWYzZDQifQ=="/>
    <w:docVar w:name="KSO_WPS_MARK_KEY" w:val="e5cd924d-ae79-4381-995b-bef1e63571aa"/>
  </w:docVars>
  <w:rsids>
    <w:rsidRoot w:val="00172A27"/>
    <w:rsid w:val="000126F2"/>
    <w:rsid w:val="000749E3"/>
    <w:rsid w:val="00086696"/>
    <w:rsid w:val="0009024D"/>
    <w:rsid w:val="0009075B"/>
    <w:rsid w:val="00115C78"/>
    <w:rsid w:val="00153AFF"/>
    <w:rsid w:val="00186C2B"/>
    <w:rsid w:val="00210D6B"/>
    <w:rsid w:val="00212728"/>
    <w:rsid w:val="00233C4E"/>
    <w:rsid w:val="00251036"/>
    <w:rsid w:val="002E50F8"/>
    <w:rsid w:val="003225FB"/>
    <w:rsid w:val="00330766"/>
    <w:rsid w:val="003419E5"/>
    <w:rsid w:val="003752C8"/>
    <w:rsid w:val="003955F9"/>
    <w:rsid w:val="00395E25"/>
    <w:rsid w:val="003E670B"/>
    <w:rsid w:val="003F417C"/>
    <w:rsid w:val="00401F67"/>
    <w:rsid w:val="00403054"/>
    <w:rsid w:val="00466F77"/>
    <w:rsid w:val="004C4A9A"/>
    <w:rsid w:val="004E616D"/>
    <w:rsid w:val="004F3A79"/>
    <w:rsid w:val="004F5165"/>
    <w:rsid w:val="00506947"/>
    <w:rsid w:val="00510AFB"/>
    <w:rsid w:val="00533663"/>
    <w:rsid w:val="00555935"/>
    <w:rsid w:val="005868F5"/>
    <w:rsid w:val="00587233"/>
    <w:rsid w:val="005931B7"/>
    <w:rsid w:val="005A3C00"/>
    <w:rsid w:val="005B5679"/>
    <w:rsid w:val="00620A2A"/>
    <w:rsid w:val="00677F31"/>
    <w:rsid w:val="0069368B"/>
    <w:rsid w:val="007678C6"/>
    <w:rsid w:val="007D541D"/>
    <w:rsid w:val="007F45BE"/>
    <w:rsid w:val="008005F7"/>
    <w:rsid w:val="008201B4"/>
    <w:rsid w:val="00833AB6"/>
    <w:rsid w:val="00847DE1"/>
    <w:rsid w:val="00853109"/>
    <w:rsid w:val="008766D7"/>
    <w:rsid w:val="008953F8"/>
    <w:rsid w:val="008C7661"/>
    <w:rsid w:val="008E0C60"/>
    <w:rsid w:val="009255FE"/>
    <w:rsid w:val="009269A2"/>
    <w:rsid w:val="009343AA"/>
    <w:rsid w:val="00937817"/>
    <w:rsid w:val="009B2C38"/>
    <w:rsid w:val="009D17C8"/>
    <w:rsid w:val="009E196C"/>
    <w:rsid w:val="009F2CCC"/>
    <w:rsid w:val="00A012AB"/>
    <w:rsid w:val="00A10993"/>
    <w:rsid w:val="00A54152"/>
    <w:rsid w:val="00A67D58"/>
    <w:rsid w:val="00A975DD"/>
    <w:rsid w:val="00AE30B0"/>
    <w:rsid w:val="00AF40A6"/>
    <w:rsid w:val="00AF43B5"/>
    <w:rsid w:val="00B2494E"/>
    <w:rsid w:val="00B41BDC"/>
    <w:rsid w:val="00B45701"/>
    <w:rsid w:val="00B502D3"/>
    <w:rsid w:val="00B627A9"/>
    <w:rsid w:val="00B77363"/>
    <w:rsid w:val="00B8500A"/>
    <w:rsid w:val="00BF0751"/>
    <w:rsid w:val="00BF52BD"/>
    <w:rsid w:val="00C069E8"/>
    <w:rsid w:val="00C24AE6"/>
    <w:rsid w:val="00C609F9"/>
    <w:rsid w:val="00CD391E"/>
    <w:rsid w:val="00CF1FFF"/>
    <w:rsid w:val="00D24FF0"/>
    <w:rsid w:val="00D25ACB"/>
    <w:rsid w:val="00D46C3D"/>
    <w:rsid w:val="00D50329"/>
    <w:rsid w:val="00D651BA"/>
    <w:rsid w:val="00DD6A62"/>
    <w:rsid w:val="00E4156B"/>
    <w:rsid w:val="00E700A9"/>
    <w:rsid w:val="00E70847"/>
    <w:rsid w:val="00E87AA3"/>
    <w:rsid w:val="00F13E63"/>
    <w:rsid w:val="00F768E1"/>
    <w:rsid w:val="00FC02BF"/>
    <w:rsid w:val="00FC3E1B"/>
    <w:rsid w:val="00FF16F3"/>
    <w:rsid w:val="011078C7"/>
    <w:rsid w:val="011C44BE"/>
    <w:rsid w:val="014852B3"/>
    <w:rsid w:val="016947F9"/>
    <w:rsid w:val="01826A17"/>
    <w:rsid w:val="0187402D"/>
    <w:rsid w:val="019978BC"/>
    <w:rsid w:val="019B1886"/>
    <w:rsid w:val="01A22C15"/>
    <w:rsid w:val="01C81F50"/>
    <w:rsid w:val="01CB7DA6"/>
    <w:rsid w:val="01DA5E9C"/>
    <w:rsid w:val="01DB6127"/>
    <w:rsid w:val="01DE01EE"/>
    <w:rsid w:val="01E23011"/>
    <w:rsid w:val="0216715F"/>
    <w:rsid w:val="0219028B"/>
    <w:rsid w:val="022E6257"/>
    <w:rsid w:val="023850C1"/>
    <w:rsid w:val="023A4BFB"/>
    <w:rsid w:val="02477318"/>
    <w:rsid w:val="0255285E"/>
    <w:rsid w:val="026B1259"/>
    <w:rsid w:val="02783976"/>
    <w:rsid w:val="027B5E76"/>
    <w:rsid w:val="02827B99"/>
    <w:rsid w:val="029F2E1F"/>
    <w:rsid w:val="02B82D6E"/>
    <w:rsid w:val="02BC3AEB"/>
    <w:rsid w:val="02D079EE"/>
    <w:rsid w:val="02E1227E"/>
    <w:rsid w:val="02E54D69"/>
    <w:rsid w:val="02F254D6"/>
    <w:rsid w:val="02F53218"/>
    <w:rsid w:val="031F2043"/>
    <w:rsid w:val="03261624"/>
    <w:rsid w:val="0341645D"/>
    <w:rsid w:val="03433F84"/>
    <w:rsid w:val="035241C7"/>
    <w:rsid w:val="03695E25"/>
    <w:rsid w:val="03766107"/>
    <w:rsid w:val="038A570F"/>
    <w:rsid w:val="038D71C9"/>
    <w:rsid w:val="039E11BA"/>
    <w:rsid w:val="03A2514E"/>
    <w:rsid w:val="03A569EC"/>
    <w:rsid w:val="03B409DD"/>
    <w:rsid w:val="03BB0FB2"/>
    <w:rsid w:val="03C03826"/>
    <w:rsid w:val="03C30C20"/>
    <w:rsid w:val="03D1158F"/>
    <w:rsid w:val="03D35307"/>
    <w:rsid w:val="03DB41BC"/>
    <w:rsid w:val="03DD29A1"/>
    <w:rsid w:val="03E56DE9"/>
    <w:rsid w:val="03EF7C67"/>
    <w:rsid w:val="03F434D0"/>
    <w:rsid w:val="03FE7EAB"/>
    <w:rsid w:val="040000C7"/>
    <w:rsid w:val="041C543C"/>
    <w:rsid w:val="04221DEB"/>
    <w:rsid w:val="042B5143"/>
    <w:rsid w:val="04435676"/>
    <w:rsid w:val="044E498E"/>
    <w:rsid w:val="04754611"/>
    <w:rsid w:val="047A1C27"/>
    <w:rsid w:val="048E56D2"/>
    <w:rsid w:val="04926B8C"/>
    <w:rsid w:val="049928A3"/>
    <w:rsid w:val="04A22F2C"/>
    <w:rsid w:val="04A66578"/>
    <w:rsid w:val="04A70542"/>
    <w:rsid w:val="04A942BA"/>
    <w:rsid w:val="04AB3862"/>
    <w:rsid w:val="04B2316F"/>
    <w:rsid w:val="04DE21B6"/>
    <w:rsid w:val="04EB042F"/>
    <w:rsid w:val="04F55751"/>
    <w:rsid w:val="04F96FF0"/>
    <w:rsid w:val="04FA4B16"/>
    <w:rsid w:val="05085485"/>
    <w:rsid w:val="050B6D23"/>
    <w:rsid w:val="051E61BB"/>
    <w:rsid w:val="05216546"/>
    <w:rsid w:val="05373674"/>
    <w:rsid w:val="053C0C8A"/>
    <w:rsid w:val="053E4A03"/>
    <w:rsid w:val="05455577"/>
    <w:rsid w:val="054B0F4A"/>
    <w:rsid w:val="054E09BE"/>
    <w:rsid w:val="05545FD4"/>
    <w:rsid w:val="057316FE"/>
    <w:rsid w:val="05740424"/>
    <w:rsid w:val="058F1702"/>
    <w:rsid w:val="059E7B97"/>
    <w:rsid w:val="05A23DEA"/>
    <w:rsid w:val="05A351AD"/>
    <w:rsid w:val="05A401A4"/>
    <w:rsid w:val="05B13426"/>
    <w:rsid w:val="05C649F8"/>
    <w:rsid w:val="05E82BC0"/>
    <w:rsid w:val="05F477B7"/>
    <w:rsid w:val="05F932BF"/>
    <w:rsid w:val="06021ED4"/>
    <w:rsid w:val="06112117"/>
    <w:rsid w:val="062278D0"/>
    <w:rsid w:val="06370ACC"/>
    <w:rsid w:val="06420131"/>
    <w:rsid w:val="065A2128"/>
    <w:rsid w:val="06624926"/>
    <w:rsid w:val="06632AA3"/>
    <w:rsid w:val="0671705A"/>
    <w:rsid w:val="06836B5F"/>
    <w:rsid w:val="06897EFF"/>
    <w:rsid w:val="06936FD0"/>
    <w:rsid w:val="069C1F62"/>
    <w:rsid w:val="069C6BC6"/>
    <w:rsid w:val="06A55ADF"/>
    <w:rsid w:val="06A64F55"/>
    <w:rsid w:val="06AE5BB8"/>
    <w:rsid w:val="06BA27AF"/>
    <w:rsid w:val="06BB70EE"/>
    <w:rsid w:val="06C453DB"/>
    <w:rsid w:val="06D82C35"/>
    <w:rsid w:val="06E6058C"/>
    <w:rsid w:val="06F224DF"/>
    <w:rsid w:val="06F9554A"/>
    <w:rsid w:val="07077E6C"/>
    <w:rsid w:val="0721282E"/>
    <w:rsid w:val="07371FAF"/>
    <w:rsid w:val="073E1390"/>
    <w:rsid w:val="074B78AB"/>
    <w:rsid w:val="075239E7"/>
    <w:rsid w:val="0765096C"/>
    <w:rsid w:val="07660241"/>
    <w:rsid w:val="07750484"/>
    <w:rsid w:val="07950B26"/>
    <w:rsid w:val="079E3E7E"/>
    <w:rsid w:val="07A1396F"/>
    <w:rsid w:val="07A174CB"/>
    <w:rsid w:val="07AD2313"/>
    <w:rsid w:val="07B76CEE"/>
    <w:rsid w:val="07CA07CF"/>
    <w:rsid w:val="07CB4548"/>
    <w:rsid w:val="07E0529D"/>
    <w:rsid w:val="07E13D6B"/>
    <w:rsid w:val="07EA0E72"/>
    <w:rsid w:val="07ED2710"/>
    <w:rsid w:val="07F613C5"/>
    <w:rsid w:val="07FB307F"/>
    <w:rsid w:val="08140B8B"/>
    <w:rsid w:val="08143A40"/>
    <w:rsid w:val="08293B60"/>
    <w:rsid w:val="082C4FE6"/>
    <w:rsid w:val="082E5BE5"/>
    <w:rsid w:val="08395955"/>
    <w:rsid w:val="08470072"/>
    <w:rsid w:val="084A1910"/>
    <w:rsid w:val="084F5934"/>
    <w:rsid w:val="085747DA"/>
    <w:rsid w:val="08653347"/>
    <w:rsid w:val="0865674A"/>
    <w:rsid w:val="088A4403"/>
    <w:rsid w:val="088A5A8D"/>
    <w:rsid w:val="08A13C26"/>
    <w:rsid w:val="08BF40AC"/>
    <w:rsid w:val="08C07429"/>
    <w:rsid w:val="08D35DAA"/>
    <w:rsid w:val="08D51B22"/>
    <w:rsid w:val="08DA2C94"/>
    <w:rsid w:val="08E27D9B"/>
    <w:rsid w:val="08E92ED7"/>
    <w:rsid w:val="08EE00FD"/>
    <w:rsid w:val="08F63846"/>
    <w:rsid w:val="08FA50E4"/>
    <w:rsid w:val="09271C52"/>
    <w:rsid w:val="092B6141"/>
    <w:rsid w:val="0935241C"/>
    <w:rsid w:val="09524F20"/>
    <w:rsid w:val="097035F9"/>
    <w:rsid w:val="09835F85"/>
    <w:rsid w:val="09840E52"/>
    <w:rsid w:val="09963123"/>
    <w:rsid w:val="09981838"/>
    <w:rsid w:val="09B5283E"/>
    <w:rsid w:val="09C166B7"/>
    <w:rsid w:val="09CB469C"/>
    <w:rsid w:val="09CF3948"/>
    <w:rsid w:val="09DC0C8E"/>
    <w:rsid w:val="09DE67B4"/>
    <w:rsid w:val="09E3005A"/>
    <w:rsid w:val="09E71B0D"/>
    <w:rsid w:val="09F14739"/>
    <w:rsid w:val="0A2825E1"/>
    <w:rsid w:val="0A287A2F"/>
    <w:rsid w:val="0A2D3F49"/>
    <w:rsid w:val="0A8712AB"/>
    <w:rsid w:val="0A99092D"/>
    <w:rsid w:val="0AA04DDE"/>
    <w:rsid w:val="0AA3355A"/>
    <w:rsid w:val="0AB12DCE"/>
    <w:rsid w:val="0AB45767"/>
    <w:rsid w:val="0AC57974"/>
    <w:rsid w:val="0AC96303"/>
    <w:rsid w:val="0AD96F7B"/>
    <w:rsid w:val="0AE00732"/>
    <w:rsid w:val="0AEC4F01"/>
    <w:rsid w:val="0AF3628F"/>
    <w:rsid w:val="0B051624"/>
    <w:rsid w:val="0B106E41"/>
    <w:rsid w:val="0B2E28C9"/>
    <w:rsid w:val="0B343101"/>
    <w:rsid w:val="0B414AD3"/>
    <w:rsid w:val="0B48482D"/>
    <w:rsid w:val="0B4B60CB"/>
    <w:rsid w:val="0B5E5DFE"/>
    <w:rsid w:val="0B627EDA"/>
    <w:rsid w:val="0B704808"/>
    <w:rsid w:val="0B7C44D7"/>
    <w:rsid w:val="0B982B0E"/>
    <w:rsid w:val="0B9A0F05"/>
    <w:rsid w:val="0BA94BA0"/>
    <w:rsid w:val="0BAB31B1"/>
    <w:rsid w:val="0BAF62FB"/>
    <w:rsid w:val="0BB06DD2"/>
    <w:rsid w:val="0BBB6EA8"/>
    <w:rsid w:val="0BC66C7D"/>
    <w:rsid w:val="0BDD298F"/>
    <w:rsid w:val="0BDF6813"/>
    <w:rsid w:val="0BEC240A"/>
    <w:rsid w:val="0BED3778"/>
    <w:rsid w:val="0BFC1173"/>
    <w:rsid w:val="0C0544CC"/>
    <w:rsid w:val="0C232BA4"/>
    <w:rsid w:val="0C2A577B"/>
    <w:rsid w:val="0C2D26E3"/>
    <w:rsid w:val="0C373ADB"/>
    <w:rsid w:val="0C37733F"/>
    <w:rsid w:val="0C3856AB"/>
    <w:rsid w:val="0C3C5A14"/>
    <w:rsid w:val="0C405504"/>
    <w:rsid w:val="0C4274CE"/>
    <w:rsid w:val="0C523489"/>
    <w:rsid w:val="0C580AA0"/>
    <w:rsid w:val="0C5F125B"/>
    <w:rsid w:val="0C6952DD"/>
    <w:rsid w:val="0C6A3809"/>
    <w:rsid w:val="0C7451AE"/>
    <w:rsid w:val="0C801DA5"/>
    <w:rsid w:val="0C931AD8"/>
    <w:rsid w:val="0CAD06C0"/>
    <w:rsid w:val="0CB6782B"/>
    <w:rsid w:val="0CBF0B1F"/>
    <w:rsid w:val="0CC31C91"/>
    <w:rsid w:val="0CC53C5B"/>
    <w:rsid w:val="0CCE0D62"/>
    <w:rsid w:val="0CD77BFB"/>
    <w:rsid w:val="0CDB7B95"/>
    <w:rsid w:val="0CE95B9C"/>
    <w:rsid w:val="0CEA25F0"/>
    <w:rsid w:val="0CEA5470"/>
    <w:rsid w:val="0D077DD0"/>
    <w:rsid w:val="0D1519D3"/>
    <w:rsid w:val="0D2546FA"/>
    <w:rsid w:val="0D2B61B4"/>
    <w:rsid w:val="0D374B59"/>
    <w:rsid w:val="0D3E4B53"/>
    <w:rsid w:val="0D3F756A"/>
    <w:rsid w:val="0D650905"/>
    <w:rsid w:val="0D6B65B1"/>
    <w:rsid w:val="0D7075DE"/>
    <w:rsid w:val="0D8458C4"/>
    <w:rsid w:val="0D8544BC"/>
    <w:rsid w:val="0D93795E"/>
    <w:rsid w:val="0DB32638"/>
    <w:rsid w:val="0DCF134F"/>
    <w:rsid w:val="0DD405FA"/>
    <w:rsid w:val="0DD8176C"/>
    <w:rsid w:val="0DDC74AE"/>
    <w:rsid w:val="0DE01542"/>
    <w:rsid w:val="0DEB5944"/>
    <w:rsid w:val="0DF06AB6"/>
    <w:rsid w:val="0DF2282E"/>
    <w:rsid w:val="0DF5231E"/>
    <w:rsid w:val="0DFD3DA4"/>
    <w:rsid w:val="0E24538F"/>
    <w:rsid w:val="0E3037E0"/>
    <w:rsid w:val="0E46735F"/>
    <w:rsid w:val="0E4969BD"/>
    <w:rsid w:val="0E5928AD"/>
    <w:rsid w:val="0E5A59B2"/>
    <w:rsid w:val="0E5B4877"/>
    <w:rsid w:val="0E6354DA"/>
    <w:rsid w:val="0E707BF7"/>
    <w:rsid w:val="0E7D0D45"/>
    <w:rsid w:val="0E8536A2"/>
    <w:rsid w:val="0E856C59"/>
    <w:rsid w:val="0E8611C8"/>
    <w:rsid w:val="0E9E29B6"/>
    <w:rsid w:val="0EAD1661"/>
    <w:rsid w:val="0EBE21D3"/>
    <w:rsid w:val="0EBF7B36"/>
    <w:rsid w:val="0EC51CF1"/>
    <w:rsid w:val="0ECC307F"/>
    <w:rsid w:val="0EE06B2A"/>
    <w:rsid w:val="0EE228A3"/>
    <w:rsid w:val="0EEA5BFB"/>
    <w:rsid w:val="0EEC7FF8"/>
    <w:rsid w:val="0EF40828"/>
    <w:rsid w:val="0EFF16A6"/>
    <w:rsid w:val="0F0A1DF9"/>
    <w:rsid w:val="0F0C791F"/>
    <w:rsid w:val="0F312AB7"/>
    <w:rsid w:val="0F31382A"/>
    <w:rsid w:val="0F3779FA"/>
    <w:rsid w:val="0F441D54"/>
    <w:rsid w:val="0F4E7F38"/>
    <w:rsid w:val="0F56503F"/>
    <w:rsid w:val="0F616B1E"/>
    <w:rsid w:val="0F7B6853"/>
    <w:rsid w:val="0F891446"/>
    <w:rsid w:val="0F9A13CF"/>
    <w:rsid w:val="0F9B000F"/>
    <w:rsid w:val="0FA85B9A"/>
    <w:rsid w:val="0FB747DD"/>
    <w:rsid w:val="0FC63F72"/>
    <w:rsid w:val="0FC91CB4"/>
    <w:rsid w:val="0FC95811"/>
    <w:rsid w:val="0FD7007E"/>
    <w:rsid w:val="0FD710A5"/>
    <w:rsid w:val="0FD83CA6"/>
    <w:rsid w:val="0FDC19E8"/>
    <w:rsid w:val="0FE34B24"/>
    <w:rsid w:val="10131364"/>
    <w:rsid w:val="101822F4"/>
    <w:rsid w:val="10282537"/>
    <w:rsid w:val="102B2027"/>
    <w:rsid w:val="104D4694"/>
    <w:rsid w:val="105B218F"/>
    <w:rsid w:val="10616837"/>
    <w:rsid w:val="1065381B"/>
    <w:rsid w:val="106A2B50"/>
    <w:rsid w:val="107E794C"/>
    <w:rsid w:val="109220A6"/>
    <w:rsid w:val="10A5002C"/>
    <w:rsid w:val="10AC25CA"/>
    <w:rsid w:val="10B4201D"/>
    <w:rsid w:val="10B607C7"/>
    <w:rsid w:val="10B85FB1"/>
    <w:rsid w:val="10C1473A"/>
    <w:rsid w:val="10CA7A92"/>
    <w:rsid w:val="10E548CC"/>
    <w:rsid w:val="10EC17B7"/>
    <w:rsid w:val="10EF574B"/>
    <w:rsid w:val="10F845FF"/>
    <w:rsid w:val="10FB7C4C"/>
    <w:rsid w:val="10FD1C16"/>
    <w:rsid w:val="110A1D05"/>
    <w:rsid w:val="110C00AB"/>
    <w:rsid w:val="110C1E59"/>
    <w:rsid w:val="110D0173"/>
    <w:rsid w:val="11125CD9"/>
    <w:rsid w:val="11160F29"/>
    <w:rsid w:val="11254CC9"/>
    <w:rsid w:val="11292A0B"/>
    <w:rsid w:val="112951FE"/>
    <w:rsid w:val="112E7BB1"/>
    <w:rsid w:val="11317B11"/>
    <w:rsid w:val="11326BC9"/>
    <w:rsid w:val="11382C4E"/>
    <w:rsid w:val="11665A0D"/>
    <w:rsid w:val="116E6670"/>
    <w:rsid w:val="117A3C75"/>
    <w:rsid w:val="11826A7D"/>
    <w:rsid w:val="118616F9"/>
    <w:rsid w:val="11875983"/>
    <w:rsid w:val="11904838"/>
    <w:rsid w:val="11B83956"/>
    <w:rsid w:val="11C40985"/>
    <w:rsid w:val="11CC786A"/>
    <w:rsid w:val="11CE1BE3"/>
    <w:rsid w:val="11E132E5"/>
    <w:rsid w:val="11E93F48"/>
    <w:rsid w:val="11EC68FB"/>
    <w:rsid w:val="12046FD4"/>
    <w:rsid w:val="121420F8"/>
    <w:rsid w:val="12210415"/>
    <w:rsid w:val="12214445"/>
    <w:rsid w:val="12273D08"/>
    <w:rsid w:val="123165F9"/>
    <w:rsid w:val="12324FEA"/>
    <w:rsid w:val="123553DF"/>
    <w:rsid w:val="123D2FB3"/>
    <w:rsid w:val="12425176"/>
    <w:rsid w:val="124538DB"/>
    <w:rsid w:val="12491784"/>
    <w:rsid w:val="125067AE"/>
    <w:rsid w:val="12637655"/>
    <w:rsid w:val="1279351E"/>
    <w:rsid w:val="127D08EB"/>
    <w:rsid w:val="12A12A75"/>
    <w:rsid w:val="12AC38F3"/>
    <w:rsid w:val="12C80001"/>
    <w:rsid w:val="12CF56B4"/>
    <w:rsid w:val="12E0359D"/>
    <w:rsid w:val="12E87DC5"/>
    <w:rsid w:val="12EF558E"/>
    <w:rsid w:val="12F92791"/>
    <w:rsid w:val="13033659"/>
    <w:rsid w:val="130354DD"/>
    <w:rsid w:val="13066050"/>
    <w:rsid w:val="13132BFE"/>
    <w:rsid w:val="13135720"/>
    <w:rsid w:val="131A3C63"/>
    <w:rsid w:val="13280AA0"/>
    <w:rsid w:val="132A7687"/>
    <w:rsid w:val="133236CD"/>
    <w:rsid w:val="13331B2B"/>
    <w:rsid w:val="13426006"/>
    <w:rsid w:val="13491142"/>
    <w:rsid w:val="134F1DF4"/>
    <w:rsid w:val="13557827"/>
    <w:rsid w:val="135A0B4F"/>
    <w:rsid w:val="13631AD8"/>
    <w:rsid w:val="137837D5"/>
    <w:rsid w:val="137F4B64"/>
    <w:rsid w:val="138008DC"/>
    <w:rsid w:val="138B3117"/>
    <w:rsid w:val="138E7538"/>
    <w:rsid w:val="13904FC3"/>
    <w:rsid w:val="1392323A"/>
    <w:rsid w:val="13B74DE6"/>
    <w:rsid w:val="13BA5B9C"/>
    <w:rsid w:val="13C06B9F"/>
    <w:rsid w:val="13CD2CC1"/>
    <w:rsid w:val="14050F2A"/>
    <w:rsid w:val="140B289C"/>
    <w:rsid w:val="140B464A"/>
    <w:rsid w:val="140D6614"/>
    <w:rsid w:val="142327DF"/>
    <w:rsid w:val="142B0848"/>
    <w:rsid w:val="14364B2C"/>
    <w:rsid w:val="1438503B"/>
    <w:rsid w:val="144025BE"/>
    <w:rsid w:val="14492F3E"/>
    <w:rsid w:val="144933C4"/>
    <w:rsid w:val="14524026"/>
    <w:rsid w:val="145F3F52"/>
    <w:rsid w:val="14694230"/>
    <w:rsid w:val="146B158C"/>
    <w:rsid w:val="146D0392"/>
    <w:rsid w:val="14720C0D"/>
    <w:rsid w:val="147D0BDA"/>
    <w:rsid w:val="148443FC"/>
    <w:rsid w:val="14860A3B"/>
    <w:rsid w:val="148703FF"/>
    <w:rsid w:val="148D505F"/>
    <w:rsid w:val="14903E04"/>
    <w:rsid w:val="14972381"/>
    <w:rsid w:val="14A20267"/>
    <w:rsid w:val="14B52807"/>
    <w:rsid w:val="14B940A6"/>
    <w:rsid w:val="14BA1BCC"/>
    <w:rsid w:val="14BE16BC"/>
    <w:rsid w:val="14C34D67"/>
    <w:rsid w:val="14C724CE"/>
    <w:rsid w:val="14CA5427"/>
    <w:rsid w:val="14E07884"/>
    <w:rsid w:val="14E32ED1"/>
    <w:rsid w:val="14FF53E6"/>
    <w:rsid w:val="150317C5"/>
    <w:rsid w:val="150572EB"/>
    <w:rsid w:val="150A448F"/>
    <w:rsid w:val="150C68CB"/>
    <w:rsid w:val="152F25BA"/>
    <w:rsid w:val="153E0735"/>
    <w:rsid w:val="15436065"/>
    <w:rsid w:val="154461CC"/>
    <w:rsid w:val="15597637"/>
    <w:rsid w:val="156C1118"/>
    <w:rsid w:val="156C2EC6"/>
    <w:rsid w:val="156D6C3E"/>
    <w:rsid w:val="157616C5"/>
    <w:rsid w:val="15804BC3"/>
    <w:rsid w:val="159643E7"/>
    <w:rsid w:val="15A9411A"/>
    <w:rsid w:val="15BA38CF"/>
    <w:rsid w:val="15BD23EA"/>
    <w:rsid w:val="15C9430D"/>
    <w:rsid w:val="15D373E9"/>
    <w:rsid w:val="15E213DA"/>
    <w:rsid w:val="15E52C78"/>
    <w:rsid w:val="15F14CB0"/>
    <w:rsid w:val="15FA4976"/>
    <w:rsid w:val="16021A7C"/>
    <w:rsid w:val="16027CCE"/>
    <w:rsid w:val="161B48EC"/>
    <w:rsid w:val="162C7D6D"/>
    <w:rsid w:val="1633342F"/>
    <w:rsid w:val="1647748F"/>
    <w:rsid w:val="166149F5"/>
    <w:rsid w:val="16683008"/>
    <w:rsid w:val="166C5148"/>
    <w:rsid w:val="16877BED"/>
    <w:rsid w:val="168E3310"/>
    <w:rsid w:val="16A36DBB"/>
    <w:rsid w:val="16A50D85"/>
    <w:rsid w:val="16A6065A"/>
    <w:rsid w:val="16B81E85"/>
    <w:rsid w:val="16C136E5"/>
    <w:rsid w:val="16CF7F44"/>
    <w:rsid w:val="16D2144F"/>
    <w:rsid w:val="16FE3FF2"/>
    <w:rsid w:val="171323AA"/>
    <w:rsid w:val="172337D9"/>
    <w:rsid w:val="17400AAE"/>
    <w:rsid w:val="1740285C"/>
    <w:rsid w:val="17546308"/>
    <w:rsid w:val="17591B70"/>
    <w:rsid w:val="17681BB1"/>
    <w:rsid w:val="178F10EE"/>
    <w:rsid w:val="179B3F36"/>
    <w:rsid w:val="179E3336"/>
    <w:rsid w:val="17A86360"/>
    <w:rsid w:val="17B44FF8"/>
    <w:rsid w:val="17B63456"/>
    <w:rsid w:val="17E05DED"/>
    <w:rsid w:val="17E1714A"/>
    <w:rsid w:val="17E44EC0"/>
    <w:rsid w:val="17F2764F"/>
    <w:rsid w:val="17FF44C5"/>
    <w:rsid w:val="17FF46D1"/>
    <w:rsid w:val="18023E10"/>
    <w:rsid w:val="181F06C4"/>
    <w:rsid w:val="1833416F"/>
    <w:rsid w:val="18386D56"/>
    <w:rsid w:val="18524B4C"/>
    <w:rsid w:val="18585984"/>
    <w:rsid w:val="18641846"/>
    <w:rsid w:val="18716A45"/>
    <w:rsid w:val="18730A0F"/>
    <w:rsid w:val="18737F6A"/>
    <w:rsid w:val="187D1E98"/>
    <w:rsid w:val="187D53EA"/>
    <w:rsid w:val="18932E60"/>
    <w:rsid w:val="189A2B1C"/>
    <w:rsid w:val="189C1D14"/>
    <w:rsid w:val="18A817AE"/>
    <w:rsid w:val="18B21538"/>
    <w:rsid w:val="18BB7749"/>
    <w:rsid w:val="18C44192"/>
    <w:rsid w:val="18C96881"/>
    <w:rsid w:val="18D9512F"/>
    <w:rsid w:val="18DD40DB"/>
    <w:rsid w:val="18DF176E"/>
    <w:rsid w:val="18E92A80"/>
    <w:rsid w:val="18ED431E"/>
    <w:rsid w:val="18EF453A"/>
    <w:rsid w:val="18F558C8"/>
    <w:rsid w:val="18F76175"/>
    <w:rsid w:val="18F877F3"/>
    <w:rsid w:val="1901601B"/>
    <w:rsid w:val="19017DC9"/>
    <w:rsid w:val="19070275"/>
    <w:rsid w:val="19106B6F"/>
    <w:rsid w:val="19121FD6"/>
    <w:rsid w:val="19235F91"/>
    <w:rsid w:val="193C7053"/>
    <w:rsid w:val="193F7C64"/>
    <w:rsid w:val="19614D0C"/>
    <w:rsid w:val="196C36C2"/>
    <w:rsid w:val="196D1903"/>
    <w:rsid w:val="196D1EB9"/>
    <w:rsid w:val="19724162"/>
    <w:rsid w:val="199649B5"/>
    <w:rsid w:val="199B021E"/>
    <w:rsid w:val="199F19A9"/>
    <w:rsid w:val="19B47531"/>
    <w:rsid w:val="19C214C4"/>
    <w:rsid w:val="19DD0836"/>
    <w:rsid w:val="19EF056A"/>
    <w:rsid w:val="19F70AC5"/>
    <w:rsid w:val="19F94F44"/>
    <w:rsid w:val="19FD13BA"/>
    <w:rsid w:val="1A1324AA"/>
    <w:rsid w:val="1A2B77F4"/>
    <w:rsid w:val="1A2F16BB"/>
    <w:rsid w:val="1A2F6BB8"/>
    <w:rsid w:val="1A3448A7"/>
    <w:rsid w:val="1A766595"/>
    <w:rsid w:val="1A78230D"/>
    <w:rsid w:val="1A8213DE"/>
    <w:rsid w:val="1A8C400A"/>
    <w:rsid w:val="1AA2738A"/>
    <w:rsid w:val="1AA57FC0"/>
    <w:rsid w:val="1AAC1FB7"/>
    <w:rsid w:val="1AAE61FB"/>
    <w:rsid w:val="1AB23324"/>
    <w:rsid w:val="1AB64BE3"/>
    <w:rsid w:val="1ABA0B77"/>
    <w:rsid w:val="1ACE4623"/>
    <w:rsid w:val="1AD339E7"/>
    <w:rsid w:val="1ADC4B9E"/>
    <w:rsid w:val="1ADF34BC"/>
    <w:rsid w:val="1AE23C2A"/>
    <w:rsid w:val="1AED13C7"/>
    <w:rsid w:val="1AEF5FB9"/>
    <w:rsid w:val="1AFA71C6"/>
    <w:rsid w:val="1AFE229A"/>
    <w:rsid w:val="1AFF47DC"/>
    <w:rsid w:val="1B0911B7"/>
    <w:rsid w:val="1B124510"/>
    <w:rsid w:val="1B193AF0"/>
    <w:rsid w:val="1B1D4C62"/>
    <w:rsid w:val="1B210BF7"/>
    <w:rsid w:val="1B2D30F7"/>
    <w:rsid w:val="1B351FAC"/>
    <w:rsid w:val="1B7747F3"/>
    <w:rsid w:val="1B7900EB"/>
    <w:rsid w:val="1B79254B"/>
    <w:rsid w:val="1B936430"/>
    <w:rsid w:val="1B943177"/>
    <w:rsid w:val="1B9969DF"/>
    <w:rsid w:val="1BA55384"/>
    <w:rsid w:val="1BA57132"/>
    <w:rsid w:val="1BAA299A"/>
    <w:rsid w:val="1BBC447B"/>
    <w:rsid w:val="1BDD4B1E"/>
    <w:rsid w:val="1BE76F28"/>
    <w:rsid w:val="1C0302FC"/>
    <w:rsid w:val="1C052EC8"/>
    <w:rsid w:val="1C072592"/>
    <w:rsid w:val="1C0C0878"/>
    <w:rsid w:val="1C177904"/>
    <w:rsid w:val="1C5A26D3"/>
    <w:rsid w:val="1C5D0DA4"/>
    <w:rsid w:val="1C640D9B"/>
    <w:rsid w:val="1C6554F8"/>
    <w:rsid w:val="1C6E39C8"/>
    <w:rsid w:val="1C6F5742"/>
    <w:rsid w:val="1C7134B8"/>
    <w:rsid w:val="1C76287C"/>
    <w:rsid w:val="1C8036FB"/>
    <w:rsid w:val="1C872925"/>
    <w:rsid w:val="1C962F1E"/>
    <w:rsid w:val="1C9D24FF"/>
    <w:rsid w:val="1C9E0082"/>
    <w:rsid w:val="1C9F4B65"/>
    <w:rsid w:val="1CA0217C"/>
    <w:rsid w:val="1CA67605"/>
    <w:rsid w:val="1CAA693B"/>
    <w:rsid w:val="1CB14442"/>
    <w:rsid w:val="1CB33AD0"/>
    <w:rsid w:val="1CC66428"/>
    <w:rsid w:val="1CED6FE2"/>
    <w:rsid w:val="1CFE11EF"/>
    <w:rsid w:val="1D0113C9"/>
    <w:rsid w:val="1D0A2DA7"/>
    <w:rsid w:val="1D1140B4"/>
    <w:rsid w:val="1D126A49"/>
    <w:rsid w:val="1D2B18B9"/>
    <w:rsid w:val="1D3544E5"/>
    <w:rsid w:val="1D497F91"/>
    <w:rsid w:val="1D556936"/>
    <w:rsid w:val="1D630F86"/>
    <w:rsid w:val="1D752B34"/>
    <w:rsid w:val="1D7B2840"/>
    <w:rsid w:val="1D7E5E8C"/>
    <w:rsid w:val="1D802372"/>
    <w:rsid w:val="1D836591"/>
    <w:rsid w:val="1DB55626"/>
    <w:rsid w:val="1DC05121"/>
    <w:rsid w:val="1DC15D79"/>
    <w:rsid w:val="1DC85AE6"/>
    <w:rsid w:val="1DCB4E4A"/>
    <w:rsid w:val="1DDB503E"/>
    <w:rsid w:val="1DE33F41"/>
    <w:rsid w:val="1DE84D03"/>
    <w:rsid w:val="1DE85A9D"/>
    <w:rsid w:val="1DEC54EC"/>
    <w:rsid w:val="1DEC55F2"/>
    <w:rsid w:val="1DF13B3B"/>
    <w:rsid w:val="1DF4614E"/>
    <w:rsid w:val="1DFE6FCD"/>
    <w:rsid w:val="1E081BFA"/>
    <w:rsid w:val="1E0E2B0B"/>
    <w:rsid w:val="1E1660C5"/>
    <w:rsid w:val="1E171E3D"/>
    <w:rsid w:val="1E205195"/>
    <w:rsid w:val="1E262080"/>
    <w:rsid w:val="1E276322"/>
    <w:rsid w:val="1E2F0A09"/>
    <w:rsid w:val="1E37428D"/>
    <w:rsid w:val="1E4C0B08"/>
    <w:rsid w:val="1E537319"/>
    <w:rsid w:val="1E5F2F8D"/>
    <w:rsid w:val="1E650DFA"/>
    <w:rsid w:val="1E6757C2"/>
    <w:rsid w:val="1E8C282B"/>
    <w:rsid w:val="1E90231B"/>
    <w:rsid w:val="1E982F7E"/>
    <w:rsid w:val="1EAC45D3"/>
    <w:rsid w:val="1EC176A7"/>
    <w:rsid w:val="1EC71AB5"/>
    <w:rsid w:val="1ECF4FD3"/>
    <w:rsid w:val="1ED0096A"/>
    <w:rsid w:val="1ED8781E"/>
    <w:rsid w:val="1EDB6610"/>
    <w:rsid w:val="1EF4202D"/>
    <w:rsid w:val="1F02489B"/>
    <w:rsid w:val="1F095D51"/>
    <w:rsid w:val="1F114ADE"/>
    <w:rsid w:val="1F132604"/>
    <w:rsid w:val="1F242A63"/>
    <w:rsid w:val="1F2627EB"/>
    <w:rsid w:val="1F294332"/>
    <w:rsid w:val="1F2A62AD"/>
    <w:rsid w:val="1F3233D2"/>
    <w:rsid w:val="1F42113B"/>
    <w:rsid w:val="1F4804CC"/>
    <w:rsid w:val="1F7A2683"/>
    <w:rsid w:val="1F7E2174"/>
    <w:rsid w:val="1F846B7E"/>
    <w:rsid w:val="1FA6791C"/>
    <w:rsid w:val="1FAA11BB"/>
    <w:rsid w:val="1FB35D6F"/>
    <w:rsid w:val="1FC75246"/>
    <w:rsid w:val="1FD60202"/>
    <w:rsid w:val="1FE01FA9"/>
    <w:rsid w:val="1FEF6DB8"/>
    <w:rsid w:val="1FF10D6B"/>
    <w:rsid w:val="1FFF0DDD"/>
    <w:rsid w:val="200A3A07"/>
    <w:rsid w:val="200D799B"/>
    <w:rsid w:val="20162241"/>
    <w:rsid w:val="201A79C2"/>
    <w:rsid w:val="201E4F4F"/>
    <w:rsid w:val="20256A93"/>
    <w:rsid w:val="202645B9"/>
    <w:rsid w:val="20270A5D"/>
    <w:rsid w:val="20286583"/>
    <w:rsid w:val="20315438"/>
    <w:rsid w:val="20384A18"/>
    <w:rsid w:val="20390790"/>
    <w:rsid w:val="203C3DDD"/>
    <w:rsid w:val="2040240F"/>
    <w:rsid w:val="204F3B10"/>
    <w:rsid w:val="205055EF"/>
    <w:rsid w:val="206C46C2"/>
    <w:rsid w:val="207C10F2"/>
    <w:rsid w:val="208E4638"/>
    <w:rsid w:val="20976AB4"/>
    <w:rsid w:val="20A81514"/>
    <w:rsid w:val="20AB6760"/>
    <w:rsid w:val="20B00A53"/>
    <w:rsid w:val="20B16579"/>
    <w:rsid w:val="20C84600"/>
    <w:rsid w:val="20C95670"/>
    <w:rsid w:val="20D65FDF"/>
    <w:rsid w:val="20E85D1A"/>
    <w:rsid w:val="20EF0E4F"/>
    <w:rsid w:val="210055F8"/>
    <w:rsid w:val="21020B82"/>
    <w:rsid w:val="21052421"/>
    <w:rsid w:val="21090163"/>
    <w:rsid w:val="2126121F"/>
    <w:rsid w:val="212A7304"/>
    <w:rsid w:val="216604FC"/>
    <w:rsid w:val="21750BB9"/>
    <w:rsid w:val="217B0F40"/>
    <w:rsid w:val="218A192D"/>
    <w:rsid w:val="218E0668"/>
    <w:rsid w:val="21A972E1"/>
    <w:rsid w:val="21B003EE"/>
    <w:rsid w:val="21B47199"/>
    <w:rsid w:val="21E14C3C"/>
    <w:rsid w:val="21E5472C"/>
    <w:rsid w:val="21EE6EEB"/>
    <w:rsid w:val="21F816C1"/>
    <w:rsid w:val="221C5C74"/>
    <w:rsid w:val="222B0959"/>
    <w:rsid w:val="222F1E4B"/>
    <w:rsid w:val="22395DB5"/>
    <w:rsid w:val="2240564F"/>
    <w:rsid w:val="224F6049"/>
    <w:rsid w:val="22603DB2"/>
    <w:rsid w:val="2264741B"/>
    <w:rsid w:val="22675ACD"/>
    <w:rsid w:val="22743D02"/>
    <w:rsid w:val="22816594"/>
    <w:rsid w:val="229879F0"/>
    <w:rsid w:val="22A00653"/>
    <w:rsid w:val="22A52EFA"/>
    <w:rsid w:val="22A567AC"/>
    <w:rsid w:val="22AA3280"/>
    <w:rsid w:val="22BD2FB3"/>
    <w:rsid w:val="22C177D1"/>
    <w:rsid w:val="22C5455D"/>
    <w:rsid w:val="22CB1F7F"/>
    <w:rsid w:val="22CC31F6"/>
    <w:rsid w:val="22D43C96"/>
    <w:rsid w:val="22D7603D"/>
    <w:rsid w:val="22DB5B2F"/>
    <w:rsid w:val="22E37A07"/>
    <w:rsid w:val="22EC6903"/>
    <w:rsid w:val="22FB3ADB"/>
    <w:rsid w:val="23076924"/>
    <w:rsid w:val="23214B81"/>
    <w:rsid w:val="23250B58"/>
    <w:rsid w:val="23287A3B"/>
    <w:rsid w:val="234E0C74"/>
    <w:rsid w:val="235D595F"/>
    <w:rsid w:val="2366667A"/>
    <w:rsid w:val="236E24FF"/>
    <w:rsid w:val="23725A46"/>
    <w:rsid w:val="237A70F6"/>
    <w:rsid w:val="237C10C0"/>
    <w:rsid w:val="238D31A7"/>
    <w:rsid w:val="239F4DAE"/>
    <w:rsid w:val="23A67EEB"/>
    <w:rsid w:val="23A75A11"/>
    <w:rsid w:val="23AB5501"/>
    <w:rsid w:val="23C40371"/>
    <w:rsid w:val="23D5257E"/>
    <w:rsid w:val="23DD1433"/>
    <w:rsid w:val="23ED1676"/>
    <w:rsid w:val="23EF1892"/>
    <w:rsid w:val="23F37F14"/>
    <w:rsid w:val="23F956E8"/>
    <w:rsid w:val="23FC3FAF"/>
    <w:rsid w:val="23FE7D27"/>
    <w:rsid w:val="24015121"/>
    <w:rsid w:val="241E2177"/>
    <w:rsid w:val="242855A6"/>
    <w:rsid w:val="24305A06"/>
    <w:rsid w:val="244400BF"/>
    <w:rsid w:val="2447702E"/>
    <w:rsid w:val="24765B0F"/>
    <w:rsid w:val="247C0C4C"/>
    <w:rsid w:val="247C50B5"/>
    <w:rsid w:val="248A5117"/>
    <w:rsid w:val="248F4E23"/>
    <w:rsid w:val="249A5961"/>
    <w:rsid w:val="249B0281"/>
    <w:rsid w:val="24A3267C"/>
    <w:rsid w:val="24AF2DCF"/>
    <w:rsid w:val="24C13735"/>
    <w:rsid w:val="24C22B02"/>
    <w:rsid w:val="24D570AE"/>
    <w:rsid w:val="24D6035C"/>
    <w:rsid w:val="24E01EF1"/>
    <w:rsid w:val="24E2777A"/>
    <w:rsid w:val="24E94533"/>
    <w:rsid w:val="24F51DFC"/>
    <w:rsid w:val="250B597D"/>
    <w:rsid w:val="250C0222"/>
    <w:rsid w:val="250C30B2"/>
    <w:rsid w:val="25294B7D"/>
    <w:rsid w:val="253D662D"/>
    <w:rsid w:val="254706FC"/>
    <w:rsid w:val="255D282B"/>
    <w:rsid w:val="25643BBA"/>
    <w:rsid w:val="25675458"/>
    <w:rsid w:val="256B13EC"/>
    <w:rsid w:val="25924268"/>
    <w:rsid w:val="2593449F"/>
    <w:rsid w:val="25E67FEE"/>
    <w:rsid w:val="25E76599"/>
    <w:rsid w:val="25EB7E37"/>
    <w:rsid w:val="25F3318F"/>
    <w:rsid w:val="26220E5B"/>
    <w:rsid w:val="2629095F"/>
    <w:rsid w:val="262D2207"/>
    <w:rsid w:val="26355556"/>
    <w:rsid w:val="2637307C"/>
    <w:rsid w:val="263B1FA4"/>
    <w:rsid w:val="263B7010"/>
    <w:rsid w:val="263C7979"/>
    <w:rsid w:val="264B2FCC"/>
    <w:rsid w:val="264E5249"/>
    <w:rsid w:val="2650413E"/>
    <w:rsid w:val="265359DC"/>
    <w:rsid w:val="26551754"/>
    <w:rsid w:val="267918E7"/>
    <w:rsid w:val="267B7958"/>
    <w:rsid w:val="26834513"/>
    <w:rsid w:val="268E3818"/>
    <w:rsid w:val="268F110A"/>
    <w:rsid w:val="268F1DAB"/>
    <w:rsid w:val="2694227D"/>
    <w:rsid w:val="26A10E3D"/>
    <w:rsid w:val="26AB43A0"/>
    <w:rsid w:val="26AC3A6A"/>
    <w:rsid w:val="26AF5314"/>
    <w:rsid w:val="26BE763B"/>
    <w:rsid w:val="26D708E5"/>
    <w:rsid w:val="26DF4C1B"/>
    <w:rsid w:val="26E730BC"/>
    <w:rsid w:val="270135A4"/>
    <w:rsid w:val="271138CD"/>
    <w:rsid w:val="271150DA"/>
    <w:rsid w:val="271635D9"/>
    <w:rsid w:val="272C6959"/>
    <w:rsid w:val="27334D4B"/>
    <w:rsid w:val="274517C9"/>
    <w:rsid w:val="274E4B21"/>
    <w:rsid w:val="2751016E"/>
    <w:rsid w:val="277B3BA7"/>
    <w:rsid w:val="27842593"/>
    <w:rsid w:val="27A43A41"/>
    <w:rsid w:val="27A97396"/>
    <w:rsid w:val="27B716B6"/>
    <w:rsid w:val="27B84691"/>
    <w:rsid w:val="27BD1CA7"/>
    <w:rsid w:val="27BD29B1"/>
    <w:rsid w:val="27C923FA"/>
    <w:rsid w:val="27CA464D"/>
    <w:rsid w:val="27CB7F20"/>
    <w:rsid w:val="27E56656"/>
    <w:rsid w:val="27E70AD2"/>
    <w:rsid w:val="27E91720"/>
    <w:rsid w:val="27F136A9"/>
    <w:rsid w:val="27F21934"/>
    <w:rsid w:val="27F231D4"/>
    <w:rsid w:val="27F6382B"/>
    <w:rsid w:val="27FA0805"/>
    <w:rsid w:val="27FD20A3"/>
    <w:rsid w:val="280F14ED"/>
    <w:rsid w:val="280F3776"/>
    <w:rsid w:val="281C4C20"/>
    <w:rsid w:val="28335AC5"/>
    <w:rsid w:val="28357A8F"/>
    <w:rsid w:val="2852419D"/>
    <w:rsid w:val="28527CD1"/>
    <w:rsid w:val="28697739"/>
    <w:rsid w:val="287C121A"/>
    <w:rsid w:val="287C7ABF"/>
    <w:rsid w:val="28844573"/>
    <w:rsid w:val="28885E11"/>
    <w:rsid w:val="289123ED"/>
    <w:rsid w:val="289A62B4"/>
    <w:rsid w:val="28A30E9D"/>
    <w:rsid w:val="28A4029C"/>
    <w:rsid w:val="28AA3FD9"/>
    <w:rsid w:val="28C52BC1"/>
    <w:rsid w:val="28D70B46"/>
    <w:rsid w:val="28E60D8A"/>
    <w:rsid w:val="28E9787B"/>
    <w:rsid w:val="28EA6E9E"/>
    <w:rsid w:val="28EF7AB7"/>
    <w:rsid w:val="28FE2577"/>
    <w:rsid w:val="29183639"/>
    <w:rsid w:val="29441132"/>
    <w:rsid w:val="296C18DD"/>
    <w:rsid w:val="296F0D7F"/>
    <w:rsid w:val="2973261D"/>
    <w:rsid w:val="29763EBB"/>
    <w:rsid w:val="297E09A5"/>
    <w:rsid w:val="29890753"/>
    <w:rsid w:val="298962E5"/>
    <w:rsid w:val="29934A6D"/>
    <w:rsid w:val="29A44ECD"/>
    <w:rsid w:val="29B50E88"/>
    <w:rsid w:val="29B72649"/>
    <w:rsid w:val="29B90BAE"/>
    <w:rsid w:val="29C9048F"/>
    <w:rsid w:val="29CC63DA"/>
    <w:rsid w:val="29CF7F37"/>
    <w:rsid w:val="29DD3F3B"/>
    <w:rsid w:val="2A064AA7"/>
    <w:rsid w:val="2A0753E5"/>
    <w:rsid w:val="2A0C29B8"/>
    <w:rsid w:val="2A0E5104"/>
    <w:rsid w:val="2A131C98"/>
    <w:rsid w:val="2A1536D4"/>
    <w:rsid w:val="2A500BB0"/>
    <w:rsid w:val="2A570E85"/>
    <w:rsid w:val="2A5C1303"/>
    <w:rsid w:val="2A6A337B"/>
    <w:rsid w:val="2A6B1546"/>
    <w:rsid w:val="2A76596A"/>
    <w:rsid w:val="2A7A79DB"/>
    <w:rsid w:val="2A830F86"/>
    <w:rsid w:val="2A8745B6"/>
    <w:rsid w:val="2A9860B3"/>
    <w:rsid w:val="2A9A1E2C"/>
    <w:rsid w:val="2A9F5694"/>
    <w:rsid w:val="2AA23A25"/>
    <w:rsid w:val="2AA23AE1"/>
    <w:rsid w:val="2AAA6513"/>
    <w:rsid w:val="2AC1560A"/>
    <w:rsid w:val="2AC60E73"/>
    <w:rsid w:val="2ACC53CC"/>
    <w:rsid w:val="2ACF41CB"/>
    <w:rsid w:val="2AD15C14"/>
    <w:rsid w:val="2ADC2444"/>
    <w:rsid w:val="2AF015CC"/>
    <w:rsid w:val="2B045837"/>
    <w:rsid w:val="2B07429B"/>
    <w:rsid w:val="2B152059"/>
    <w:rsid w:val="2B154372"/>
    <w:rsid w:val="2B1A0AB5"/>
    <w:rsid w:val="2B2116B0"/>
    <w:rsid w:val="2B230073"/>
    <w:rsid w:val="2B285689"/>
    <w:rsid w:val="2B323DA2"/>
    <w:rsid w:val="2B430715"/>
    <w:rsid w:val="2B520958"/>
    <w:rsid w:val="2B626DED"/>
    <w:rsid w:val="2B634913"/>
    <w:rsid w:val="2B85488A"/>
    <w:rsid w:val="2BA56CDA"/>
    <w:rsid w:val="2BBB02AC"/>
    <w:rsid w:val="2BC37160"/>
    <w:rsid w:val="2BE55328"/>
    <w:rsid w:val="2BEC2B5B"/>
    <w:rsid w:val="2BFF63EA"/>
    <w:rsid w:val="2C246995"/>
    <w:rsid w:val="2C3562B0"/>
    <w:rsid w:val="2C385DA0"/>
    <w:rsid w:val="2C444745"/>
    <w:rsid w:val="2C4944EB"/>
    <w:rsid w:val="2C4958B7"/>
    <w:rsid w:val="2C4B162F"/>
    <w:rsid w:val="2C54043B"/>
    <w:rsid w:val="2C5D1363"/>
    <w:rsid w:val="2C5F50DB"/>
    <w:rsid w:val="2C6203A4"/>
    <w:rsid w:val="2C792640"/>
    <w:rsid w:val="2C8132A3"/>
    <w:rsid w:val="2C9254B0"/>
    <w:rsid w:val="2C9C1E8B"/>
    <w:rsid w:val="2CA91FCE"/>
    <w:rsid w:val="2CAB0320"/>
    <w:rsid w:val="2CB847EB"/>
    <w:rsid w:val="2CC6515A"/>
    <w:rsid w:val="2CD23AFF"/>
    <w:rsid w:val="2CD72C54"/>
    <w:rsid w:val="2CE43832"/>
    <w:rsid w:val="2CEA709A"/>
    <w:rsid w:val="2CEB4BC0"/>
    <w:rsid w:val="2CF00429"/>
    <w:rsid w:val="2CF63C91"/>
    <w:rsid w:val="2D022235"/>
    <w:rsid w:val="2D031F0A"/>
    <w:rsid w:val="2D0F08AF"/>
    <w:rsid w:val="2D1A4D32"/>
    <w:rsid w:val="2D1C7470"/>
    <w:rsid w:val="2D2125B0"/>
    <w:rsid w:val="2D2F71A3"/>
    <w:rsid w:val="2D371BB4"/>
    <w:rsid w:val="2D3B78F6"/>
    <w:rsid w:val="2D3E2F42"/>
    <w:rsid w:val="2D7C1CBC"/>
    <w:rsid w:val="2D8017AD"/>
    <w:rsid w:val="2D8868B3"/>
    <w:rsid w:val="2DAC4350"/>
    <w:rsid w:val="2DBD7BEB"/>
    <w:rsid w:val="2DC511FA"/>
    <w:rsid w:val="2DE47F8D"/>
    <w:rsid w:val="2E141EF5"/>
    <w:rsid w:val="2E1755ED"/>
    <w:rsid w:val="2E19750B"/>
    <w:rsid w:val="2E2C6459"/>
    <w:rsid w:val="2E374561"/>
    <w:rsid w:val="2E494294"/>
    <w:rsid w:val="2E5073D1"/>
    <w:rsid w:val="2E56250D"/>
    <w:rsid w:val="2E5A1FFE"/>
    <w:rsid w:val="2E605E44"/>
    <w:rsid w:val="2E623354"/>
    <w:rsid w:val="2E6A4E27"/>
    <w:rsid w:val="2E7B108D"/>
    <w:rsid w:val="2E7D7A9A"/>
    <w:rsid w:val="2E9B12B3"/>
    <w:rsid w:val="2EAB0AAB"/>
    <w:rsid w:val="2ED33B5E"/>
    <w:rsid w:val="2EDA313F"/>
    <w:rsid w:val="2EE53D89"/>
    <w:rsid w:val="2EEC10D1"/>
    <w:rsid w:val="2EF17E76"/>
    <w:rsid w:val="2F030EDA"/>
    <w:rsid w:val="2F0412C1"/>
    <w:rsid w:val="2F171C9D"/>
    <w:rsid w:val="2F1749E6"/>
    <w:rsid w:val="2F202F46"/>
    <w:rsid w:val="2F2E6FE6"/>
    <w:rsid w:val="2F397E65"/>
    <w:rsid w:val="2F3B1E2F"/>
    <w:rsid w:val="2F436F36"/>
    <w:rsid w:val="2F47268D"/>
    <w:rsid w:val="2F484F80"/>
    <w:rsid w:val="2F57653D"/>
    <w:rsid w:val="2F8F5CD7"/>
    <w:rsid w:val="2F926074"/>
    <w:rsid w:val="2F963509"/>
    <w:rsid w:val="2F971630"/>
    <w:rsid w:val="2FA774C5"/>
    <w:rsid w:val="2FB44E46"/>
    <w:rsid w:val="2FCA005B"/>
    <w:rsid w:val="2FDC6A42"/>
    <w:rsid w:val="2FE204FD"/>
    <w:rsid w:val="2FEE6EA1"/>
    <w:rsid w:val="2FFF4CAE"/>
    <w:rsid w:val="30000983"/>
    <w:rsid w:val="30042C3B"/>
    <w:rsid w:val="301663F8"/>
    <w:rsid w:val="301F1BC4"/>
    <w:rsid w:val="302C1778"/>
    <w:rsid w:val="302E5110"/>
    <w:rsid w:val="303A5A64"/>
    <w:rsid w:val="30444D13"/>
    <w:rsid w:val="304E74D7"/>
    <w:rsid w:val="305111DE"/>
    <w:rsid w:val="3058256D"/>
    <w:rsid w:val="305B205D"/>
    <w:rsid w:val="305E5ED8"/>
    <w:rsid w:val="307A6987"/>
    <w:rsid w:val="30823A8E"/>
    <w:rsid w:val="3086532C"/>
    <w:rsid w:val="3087341E"/>
    <w:rsid w:val="308C2216"/>
    <w:rsid w:val="309317F7"/>
    <w:rsid w:val="3095429A"/>
    <w:rsid w:val="30A91479"/>
    <w:rsid w:val="30B04157"/>
    <w:rsid w:val="30B14C3C"/>
    <w:rsid w:val="30CD2F5B"/>
    <w:rsid w:val="30CE5B13"/>
    <w:rsid w:val="30E12562"/>
    <w:rsid w:val="30E84AF7"/>
    <w:rsid w:val="31103BE8"/>
    <w:rsid w:val="31132938"/>
    <w:rsid w:val="313703D4"/>
    <w:rsid w:val="31490108"/>
    <w:rsid w:val="31523460"/>
    <w:rsid w:val="31557F85"/>
    <w:rsid w:val="315630DF"/>
    <w:rsid w:val="315736D8"/>
    <w:rsid w:val="3166515D"/>
    <w:rsid w:val="31684A32"/>
    <w:rsid w:val="316E7B6E"/>
    <w:rsid w:val="31717D8A"/>
    <w:rsid w:val="317403C7"/>
    <w:rsid w:val="3179559F"/>
    <w:rsid w:val="317E6003"/>
    <w:rsid w:val="3183186B"/>
    <w:rsid w:val="319B6BB5"/>
    <w:rsid w:val="31A1154D"/>
    <w:rsid w:val="31A17F44"/>
    <w:rsid w:val="31A31F0E"/>
    <w:rsid w:val="31AD053C"/>
    <w:rsid w:val="31B47C77"/>
    <w:rsid w:val="31BC4D7D"/>
    <w:rsid w:val="31D04385"/>
    <w:rsid w:val="31E340B8"/>
    <w:rsid w:val="31E513C0"/>
    <w:rsid w:val="31EE13DB"/>
    <w:rsid w:val="31F75DB5"/>
    <w:rsid w:val="31F957C3"/>
    <w:rsid w:val="320433D9"/>
    <w:rsid w:val="320B1E88"/>
    <w:rsid w:val="322272D6"/>
    <w:rsid w:val="323D7C6C"/>
    <w:rsid w:val="324F79A0"/>
    <w:rsid w:val="32540C44"/>
    <w:rsid w:val="325B29A2"/>
    <w:rsid w:val="3268280F"/>
    <w:rsid w:val="32696CB3"/>
    <w:rsid w:val="326D226F"/>
    <w:rsid w:val="32755BEE"/>
    <w:rsid w:val="328533C1"/>
    <w:rsid w:val="32A4546A"/>
    <w:rsid w:val="32B31CDC"/>
    <w:rsid w:val="32B51FD0"/>
    <w:rsid w:val="32C57C62"/>
    <w:rsid w:val="32DD31FD"/>
    <w:rsid w:val="32ED1980"/>
    <w:rsid w:val="32EE540A"/>
    <w:rsid w:val="32F00E54"/>
    <w:rsid w:val="32F1304C"/>
    <w:rsid w:val="33094881"/>
    <w:rsid w:val="33370B5F"/>
    <w:rsid w:val="333A0650"/>
    <w:rsid w:val="333F3794"/>
    <w:rsid w:val="33462335"/>
    <w:rsid w:val="33467502"/>
    <w:rsid w:val="334F40FB"/>
    <w:rsid w:val="33557238"/>
    <w:rsid w:val="335A57BD"/>
    <w:rsid w:val="3381627F"/>
    <w:rsid w:val="33953AD8"/>
    <w:rsid w:val="339A10EE"/>
    <w:rsid w:val="339E5D33"/>
    <w:rsid w:val="33B0446E"/>
    <w:rsid w:val="33B977C6"/>
    <w:rsid w:val="33C53AAF"/>
    <w:rsid w:val="33C87A09"/>
    <w:rsid w:val="33D52183"/>
    <w:rsid w:val="33E04D53"/>
    <w:rsid w:val="33EC17CD"/>
    <w:rsid w:val="33EF143A"/>
    <w:rsid w:val="33EF1C73"/>
    <w:rsid w:val="33FA6F1E"/>
    <w:rsid w:val="340661A5"/>
    <w:rsid w:val="340903E3"/>
    <w:rsid w:val="340E30B9"/>
    <w:rsid w:val="34106DFB"/>
    <w:rsid w:val="34126ED7"/>
    <w:rsid w:val="341E3ACD"/>
    <w:rsid w:val="34311A53"/>
    <w:rsid w:val="343678CD"/>
    <w:rsid w:val="343B642D"/>
    <w:rsid w:val="34467C72"/>
    <w:rsid w:val="34480B4A"/>
    <w:rsid w:val="345968B4"/>
    <w:rsid w:val="345A0C5F"/>
    <w:rsid w:val="345B087E"/>
    <w:rsid w:val="346040E6"/>
    <w:rsid w:val="34702AF7"/>
    <w:rsid w:val="347A2085"/>
    <w:rsid w:val="347F27BE"/>
    <w:rsid w:val="34897199"/>
    <w:rsid w:val="34945B3E"/>
    <w:rsid w:val="349873DC"/>
    <w:rsid w:val="34A51AF9"/>
    <w:rsid w:val="34AD7661"/>
    <w:rsid w:val="34B01E1E"/>
    <w:rsid w:val="34C2413E"/>
    <w:rsid w:val="34DE4124"/>
    <w:rsid w:val="34E16FD5"/>
    <w:rsid w:val="34E94961"/>
    <w:rsid w:val="34EA39B0"/>
    <w:rsid w:val="35026F4B"/>
    <w:rsid w:val="35171719"/>
    <w:rsid w:val="352E7D40"/>
    <w:rsid w:val="35411821"/>
    <w:rsid w:val="354B26A0"/>
    <w:rsid w:val="354E2190"/>
    <w:rsid w:val="355E512E"/>
    <w:rsid w:val="357243F8"/>
    <w:rsid w:val="35853917"/>
    <w:rsid w:val="35906305"/>
    <w:rsid w:val="359C73A0"/>
    <w:rsid w:val="35A26038"/>
    <w:rsid w:val="35AA3A3A"/>
    <w:rsid w:val="35AA4722"/>
    <w:rsid w:val="35C10BB4"/>
    <w:rsid w:val="35CF507F"/>
    <w:rsid w:val="35E16EBF"/>
    <w:rsid w:val="35F66AB0"/>
    <w:rsid w:val="35F86203"/>
    <w:rsid w:val="36030A2E"/>
    <w:rsid w:val="360B340E"/>
    <w:rsid w:val="360C7071"/>
    <w:rsid w:val="36116540"/>
    <w:rsid w:val="3659703F"/>
    <w:rsid w:val="365E28A7"/>
    <w:rsid w:val="36655CF0"/>
    <w:rsid w:val="366B14C0"/>
    <w:rsid w:val="368E1A09"/>
    <w:rsid w:val="369342FF"/>
    <w:rsid w:val="369D456C"/>
    <w:rsid w:val="36A06A1C"/>
    <w:rsid w:val="36A8455A"/>
    <w:rsid w:val="36C95F72"/>
    <w:rsid w:val="36D05553"/>
    <w:rsid w:val="36DF3C16"/>
    <w:rsid w:val="36E27034"/>
    <w:rsid w:val="36ED1FA3"/>
    <w:rsid w:val="36F36DEE"/>
    <w:rsid w:val="370E607B"/>
    <w:rsid w:val="37256F92"/>
    <w:rsid w:val="372E4027"/>
    <w:rsid w:val="373D070E"/>
    <w:rsid w:val="373F79B1"/>
    <w:rsid w:val="37441A9D"/>
    <w:rsid w:val="37537F32"/>
    <w:rsid w:val="376C4F8C"/>
    <w:rsid w:val="376F2F1F"/>
    <w:rsid w:val="378400EB"/>
    <w:rsid w:val="378620B5"/>
    <w:rsid w:val="37904CE2"/>
    <w:rsid w:val="379522F8"/>
    <w:rsid w:val="379540A7"/>
    <w:rsid w:val="379D00C8"/>
    <w:rsid w:val="379F0A81"/>
    <w:rsid w:val="379F2985"/>
    <w:rsid w:val="37B00EE0"/>
    <w:rsid w:val="37C03BF9"/>
    <w:rsid w:val="37CB498A"/>
    <w:rsid w:val="37D20E57"/>
    <w:rsid w:val="37E1109A"/>
    <w:rsid w:val="37E97122"/>
    <w:rsid w:val="37EE37B7"/>
    <w:rsid w:val="381551E7"/>
    <w:rsid w:val="381F7AD5"/>
    <w:rsid w:val="382611A3"/>
    <w:rsid w:val="382C4A0B"/>
    <w:rsid w:val="382D2531"/>
    <w:rsid w:val="3837515E"/>
    <w:rsid w:val="383A697D"/>
    <w:rsid w:val="384F4255"/>
    <w:rsid w:val="385633E2"/>
    <w:rsid w:val="38635F53"/>
    <w:rsid w:val="38653A79"/>
    <w:rsid w:val="386F79F1"/>
    <w:rsid w:val="38767A34"/>
    <w:rsid w:val="388D2FD0"/>
    <w:rsid w:val="38983E4E"/>
    <w:rsid w:val="38A84A79"/>
    <w:rsid w:val="38B16CBE"/>
    <w:rsid w:val="38B36EDA"/>
    <w:rsid w:val="38E2156D"/>
    <w:rsid w:val="38E33288"/>
    <w:rsid w:val="38FD0155"/>
    <w:rsid w:val="390C65EA"/>
    <w:rsid w:val="390E2362"/>
    <w:rsid w:val="391060DB"/>
    <w:rsid w:val="39131B69"/>
    <w:rsid w:val="39253208"/>
    <w:rsid w:val="39400042"/>
    <w:rsid w:val="39403254"/>
    <w:rsid w:val="39490357"/>
    <w:rsid w:val="396C6330"/>
    <w:rsid w:val="397877DC"/>
    <w:rsid w:val="3999678C"/>
    <w:rsid w:val="39A6259B"/>
    <w:rsid w:val="39C40C73"/>
    <w:rsid w:val="39D377DB"/>
    <w:rsid w:val="39D569DC"/>
    <w:rsid w:val="39E5331E"/>
    <w:rsid w:val="39F9503D"/>
    <w:rsid w:val="3A0354D7"/>
    <w:rsid w:val="3A080BE1"/>
    <w:rsid w:val="3A105C66"/>
    <w:rsid w:val="3A152045"/>
    <w:rsid w:val="3A223DCB"/>
    <w:rsid w:val="3A2D05C6"/>
    <w:rsid w:val="3A3462BA"/>
    <w:rsid w:val="3A35391F"/>
    <w:rsid w:val="3A3A2CE3"/>
    <w:rsid w:val="3A4A561C"/>
    <w:rsid w:val="3A5169AB"/>
    <w:rsid w:val="3A58475F"/>
    <w:rsid w:val="3A5D7C28"/>
    <w:rsid w:val="3A5E7E93"/>
    <w:rsid w:val="3A654204"/>
    <w:rsid w:val="3A6E6C87"/>
    <w:rsid w:val="3A77515E"/>
    <w:rsid w:val="3A775CE5"/>
    <w:rsid w:val="3A791A5E"/>
    <w:rsid w:val="3A802DEC"/>
    <w:rsid w:val="3A8427E0"/>
    <w:rsid w:val="3A86417A"/>
    <w:rsid w:val="3A8B0C83"/>
    <w:rsid w:val="3A940645"/>
    <w:rsid w:val="3A970136"/>
    <w:rsid w:val="3A995420"/>
    <w:rsid w:val="3AA12D62"/>
    <w:rsid w:val="3AA57114"/>
    <w:rsid w:val="3AAB72AF"/>
    <w:rsid w:val="3AD13648"/>
    <w:rsid w:val="3AEE22E7"/>
    <w:rsid w:val="3AFD213A"/>
    <w:rsid w:val="3B0427CC"/>
    <w:rsid w:val="3B09112B"/>
    <w:rsid w:val="3B1C0596"/>
    <w:rsid w:val="3B20637D"/>
    <w:rsid w:val="3B2319C9"/>
    <w:rsid w:val="3B2C6AD0"/>
    <w:rsid w:val="3B455D7F"/>
    <w:rsid w:val="3B567FF1"/>
    <w:rsid w:val="3B5B1163"/>
    <w:rsid w:val="3B716BD9"/>
    <w:rsid w:val="3B84063D"/>
    <w:rsid w:val="3B862684"/>
    <w:rsid w:val="3B8875E3"/>
    <w:rsid w:val="3B955700"/>
    <w:rsid w:val="3BC27434"/>
    <w:rsid w:val="3BC62A80"/>
    <w:rsid w:val="3BC95C98"/>
    <w:rsid w:val="3BD75940"/>
    <w:rsid w:val="3BDA29D0"/>
    <w:rsid w:val="3BDD7DCA"/>
    <w:rsid w:val="3BE8091F"/>
    <w:rsid w:val="3BE949C1"/>
    <w:rsid w:val="3BF42260"/>
    <w:rsid w:val="3C033CD5"/>
    <w:rsid w:val="3C2366AE"/>
    <w:rsid w:val="3C265C15"/>
    <w:rsid w:val="3C284C49"/>
    <w:rsid w:val="3C4D13F4"/>
    <w:rsid w:val="3C4E5079"/>
    <w:rsid w:val="3C541BC5"/>
    <w:rsid w:val="3C5E2AB3"/>
    <w:rsid w:val="3C5F6A31"/>
    <w:rsid w:val="3C65673D"/>
    <w:rsid w:val="3C722C08"/>
    <w:rsid w:val="3C7C5F7D"/>
    <w:rsid w:val="3C8F37BA"/>
    <w:rsid w:val="3C9506A5"/>
    <w:rsid w:val="3C9C7C85"/>
    <w:rsid w:val="3C9E3DCB"/>
    <w:rsid w:val="3CB44FCF"/>
    <w:rsid w:val="3CBA35BB"/>
    <w:rsid w:val="3CCD6091"/>
    <w:rsid w:val="3CDB255C"/>
    <w:rsid w:val="3CDB6174"/>
    <w:rsid w:val="3CE74BDC"/>
    <w:rsid w:val="3CF11D7F"/>
    <w:rsid w:val="3CFB49AC"/>
    <w:rsid w:val="3D015D3A"/>
    <w:rsid w:val="3D050477"/>
    <w:rsid w:val="3D0F0457"/>
    <w:rsid w:val="3D14341C"/>
    <w:rsid w:val="3D167A38"/>
    <w:rsid w:val="3D404852"/>
    <w:rsid w:val="3D477BF1"/>
    <w:rsid w:val="3D4A76E1"/>
    <w:rsid w:val="3D516CC2"/>
    <w:rsid w:val="3D5567B2"/>
    <w:rsid w:val="3D785FFC"/>
    <w:rsid w:val="3D7C7242"/>
    <w:rsid w:val="3DB668C6"/>
    <w:rsid w:val="3DB83232"/>
    <w:rsid w:val="3DBF3C2B"/>
    <w:rsid w:val="3DD87CDC"/>
    <w:rsid w:val="3DDB658B"/>
    <w:rsid w:val="3DE70D2F"/>
    <w:rsid w:val="3DEB4A20"/>
    <w:rsid w:val="3DF007AE"/>
    <w:rsid w:val="3DF062BF"/>
    <w:rsid w:val="3E0420ED"/>
    <w:rsid w:val="3E0618F6"/>
    <w:rsid w:val="3E0869AC"/>
    <w:rsid w:val="3E1C32D8"/>
    <w:rsid w:val="3E2C6DE7"/>
    <w:rsid w:val="3E32264F"/>
    <w:rsid w:val="3E342474"/>
    <w:rsid w:val="3E3A59A8"/>
    <w:rsid w:val="3E3E1A04"/>
    <w:rsid w:val="3E4B1963"/>
    <w:rsid w:val="3E53454B"/>
    <w:rsid w:val="3E622809"/>
    <w:rsid w:val="3E6F204E"/>
    <w:rsid w:val="3E7569E0"/>
    <w:rsid w:val="3E7C38CA"/>
    <w:rsid w:val="3E832EAB"/>
    <w:rsid w:val="3E88151A"/>
    <w:rsid w:val="3E894239"/>
    <w:rsid w:val="3E8D3D29"/>
    <w:rsid w:val="3EA71E71"/>
    <w:rsid w:val="3EA82911"/>
    <w:rsid w:val="3EC62D97"/>
    <w:rsid w:val="3ECF60F0"/>
    <w:rsid w:val="3ED100BA"/>
    <w:rsid w:val="3EE020AB"/>
    <w:rsid w:val="3EF836B7"/>
    <w:rsid w:val="3EF913BF"/>
    <w:rsid w:val="3F0D6C18"/>
    <w:rsid w:val="3F1735F3"/>
    <w:rsid w:val="3F364D39"/>
    <w:rsid w:val="3F4D34B9"/>
    <w:rsid w:val="3F505A98"/>
    <w:rsid w:val="3F524B18"/>
    <w:rsid w:val="3F5922C0"/>
    <w:rsid w:val="3F6207BA"/>
    <w:rsid w:val="3F626F64"/>
    <w:rsid w:val="3F672E55"/>
    <w:rsid w:val="3F7B1DD4"/>
    <w:rsid w:val="3F810615"/>
    <w:rsid w:val="3F836EDA"/>
    <w:rsid w:val="3F843560"/>
    <w:rsid w:val="3F8B767F"/>
    <w:rsid w:val="3F8C1CD0"/>
    <w:rsid w:val="3F8C3FE1"/>
    <w:rsid w:val="3F8C5D8F"/>
    <w:rsid w:val="3F8E51D3"/>
    <w:rsid w:val="3F8E7D59"/>
    <w:rsid w:val="3F984C13"/>
    <w:rsid w:val="3FA72BC9"/>
    <w:rsid w:val="3FB3559B"/>
    <w:rsid w:val="3FB5786C"/>
    <w:rsid w:val="3FC90D91"/>
    <w:rsid w:val="3FCF3ECE"/>
    <w:rsid w:val="3FD84260"/>
    <w:rsid w:val="3FD919BA"/>
    <w:rsid w:val="3FDC2B4A"/>
    <w:rsid w:val="3FF04570"/>
    <w:rsid w:val="3FFC7B8D"/>
    <w:rsid w:val="3FFD010D"/>
    <w:rsid w:val="400446DB"/>
    <w:rsid w:val="400718BA"/>
    <w:rsid w:val="400973E0"/>
    <w:rsid w:val="400A40D9"/>
    <w:rsid w:val="400B75FC"/>
    <w:rsid w:val="401F452F"/>
    <w:rsid w:val="402C53E6"/>
    <w:rsid w:val="403A3A3D"/>
    <w:rsid w:val="40460634"/>
    <w:rsid w:val="40515724"/>
    <w:rsid w:val="40582115"/>
    <w:rsid w:val="4065700E"/>
    <w:rsid w:val="40703903"/>
    <w:rsid w:val="407927B7"/>
    <w:rsid w:val="407D7E74"/>
    <w:rsid w:val="408B38B3"/>
    <w:rsid w:val="40953369"/>
    <w:rsid w:val="409D2F33"/>
    <w:rsid w:val="40AB0497"/>
    <w:rsid w:val="40B63C8D"/>
    <w:rsid w:val="40B7508E"/>
    <w:rsid w:val="40C003E6"/>
    <w:rsid w:val="40D40AAB"/>
    <w:rsid w:val="40D77011"/>
    <w:rsid w:val="40E90FBF"/>
    <w:rsid w:val="40F40090"/>
    <w:rsid w:val="40F57964"/>
    <w:rsid w:val="40FB76BC"/>
    <w:rsid w:val="41036525"/>
    <w:rsid w:val="41072D28"/>
    <w:rsid w:val="41126768"/>
    <w:rsid w:val="412344D1"/>
    <w:rsid w:val="4125450E"/>
    <w:rsid w:val="412973EA"/>
    <w:rsid w:val="41316FA8"/>
    <w:rsid w:val="41456B3D"/>
    <w:rsid w:val="414C3A28"/>
    <w:rsid w:val="416845DA"/>
    <w:rsid w:val="41731AB7"/>
    <w:rsid w:val="418861C8"/>
    <w:rsid w:val="41AA69A0"/>
    <w:rsid w:val="41B45A71"/>
    <w:rsid w:val="41C9151C"/>
    <w:rsid w:val="41D54935"/>
    <w:rsid w:val="41DB3A91"/>
    <w:rsid w:val="41DC41E8"/>
    <w:rsid w:val="41F71B81"/>
    <w:rsid w:val="42010DBE"/>
    <w:rsid w:val="42075BA1"/>
    <w:rsid w:val="4214206C"/>
    <w:rsid w:val="42213106"/>
    <w:rsid w:val="42241720"/>
    <w:rsid w:val="422C1AAB"/>
    <w:rsid w:val="42470693"/>
    <w:rsid w:val="424E37D0"/>
    <w:rsid w:val="426B25D4"/>
    <w:rsid w:val="4278084D"/>
    <w:rsid w:val="427E247B"/>
    <w:rsid w:val="428611BC"/>
    <w:rsid w:val="42BD2703"/>
    <w:rsid w:val="42C65A5C"/>
    <w:rsid w:val="42CD6DEA"/>
    <w:rsid w:val="42E04834"/>
    <w:rsid w:val="430B346F"/>
    <w:rsid w:val="43140A2D"/>
    <w:rsid w:val="431542ED"/>
    <w:rsid w:val="43160791"/>
    <w:rsid w:val="432671FE"/>
    <w:rsid w:val="432B58BF"/>
    <w:rsid w:val="43301127"/>
    <w:rsid w:val="434150E2"/>
    <w:rsid w:val="43417739"/>
    <w:rsid w:val="4355293C"/>
    <w:rsid w:val="43602615"/>
    <w:rsid w:val="436117D4"/>
    <w:rsid w:val="43617533"/>
    <w:rsid w:val="437049F2"/>
    <w:rsid w:val="43707776"/>
    <w:rsid w:val="43842246"/>
    <w:rsid w:val="43853221"/>
    <w:rsid w:val="43A7763B"/>
    <w:rsid w:val="43B14016"/>
    <w:rsid w:val="43B92ECB"/>
    <w:rsid w:val="43BE0166"/>
    <w:rsid w:val="43CA1A58"/>
    <w:rsid w:val="43E048FB"/>
    <w:rsid w:val="440E3217"/>
    <w:rsid w:val="440F0504"/>
    <w:rsid w:val="44103433"/>
    <w:rsid w:val="4421185F"/>
    <w:rsid w:val="4437557C"/>
    <w:rsid w:val="443B7D84"/>
    <w:rsid w:val="444C2BC0"/>
    <w:rsid w:val="445361E5"/>
    <w:rsid w:val="44676DCB"/>
    <w:rsid w:val="447C0AC8"/>
    <w:rsid w:val="447C14DF"/>
    <w:rsid w:val="4482717F"/>
    <w:rsid w:val="448B4867"/>
    <w:rsid w:val="448E6105"/>
    <w:rsid w:val="44A21BB1"/>
    <w:rsid w:val="44A21CDC"/>
    <w:rsid w:val="44B57B36"/>
    <w:rsid w:val="44D05FB9"/>
    <w:rsid w:val="44D75CFE"/>
    <w:rsid w:val="44D9323B"/>
    <w:rsid w:val="44F248E6"/>
    <w:rsid w:val="452B1E36"/>
    <w:rsid w:val="452B6B92"/>
    <w:rsid w:val="45336CAD"/>
    <w:rsid w:val="453B44DF"/>
    <w:rsid w:val="453C0257"/>
    <w:rsid w:val="453C7EA3"/>
    <w:rsid w:val="454B3FF6"/>
    <w:rsid w:val="45682DFA"/>
    <w:rsid w:val="456C5AB9"/>
    <w:rsid w:val="45952817"/>
    <w:rsid w:val="45A863B8"/>
    <w:rsid w:val="45BB6D3C"/>
    <w:rsid w:val="45C24FE8"/>
    <w:rsid w:val="45CC3389"/>
    <w:rsid w:val="45CD7101"/>
    <w:rsid w:val="45D67D64"/>
    <w:rsid w:val="45E436D4"/>
    <w:rsid w:val="45F91CA4"/>
    <w:rsid w:val="46017508"/>
    <w:rsid w:val="460C7C2A"/>
    <w:rsid w:val="460F14C8"/>
    <w:rsid w:val="46130FB8"/>
    <w:rsid w:val="46132D66"/>
    <w:rsid w:val="46184820"/>
    <w:rsid w:val="46386C71"/>
    <w:rsid w:val="463A4797"/>
    <w:rsid w:val="46431B1A"/>
    <w:rsid w:val="464E1FF0"/>
    <w:rsid w:val="466366B9"/>
    <w:rsid w:val="4665558C"/>
    <w:rsid w:val="466B0DF4"/>
    <w:rsid w:val="4670640B"/>
    <w:rsid w:val="46790780"/>
    <w:rsid w:val="46794B93"/>
    <w:rsid w:val="46800253"/>
    <w:rsid w:val="46845A12"/>
    <w:rsid w:val="468C64C8"/>
    <w:rsid w:val="469320F9"/>
    <w:rsid w:val="46955E71"/>
    <w:rsid w:val="469C7200"/>
    <w:rsid w:val="46C96ACD"/>
    <w:rsid w:val="46CE1383"/>
    <w:rsid w:val="46D52711"/>
    <w:rsid w:val="46D67F86"/>
    <w:rsid w:val="46E14C12"/>
    <w:rsid w:val="46E6047B"/>
    <w:rsid w:val="46F448C2"/>
    <w:rsid w:val="47044DA5"/>
    <w:rsid w:val="47060D7D"/>
    <w:rsid w:val="47075225"/>
    <w:rsid w:val="470D5A07"/>
    <w:rsid w:val="471843AC"/>
    <w:rsid w:val="471E5E67"/>
    <w:rsid w:val="472D60AA"/>
    <w:rsid w:val="473F67A2"/>
    <w:rsid w:val="474536E0"/>
    <w:rsid w:val="47463365"/>
    <w:rsid w:val="47596E9F"/>
    <w:rsid w:val="47680E90"/>
    <w:rsid w:val="476B55F6"/>
    <w:rsid w:val="47777325"/>
    <w:rsid w:val="477D7ED7"/>
    <w:rsid w:val="47925F0D"/>
    <w:rsid w:val="47A10846"/>
    <w:rsid w:val="47A876DF"/>
    <w:rsid w:val="47AA594C"/>
    <w:rsid w:val="47AF4D11"/>
    <w:rsid w:val="47B370C9"/>
    <w:rsid w:val="47BE6DA0"/>
    <w:rsid w:val="47C3256A"/>
    <w:rsid w:val="47E744AA"/>
    <w:rsid w:val="47F46BC7"/>
    <w:rsid w:val="48027536"/>
    <w:rsid w:val="48042FA6"/>
    <w:rsid w:val="481C57BF"/>
    <w:rsid w:val="481E59F2"/>
    <w:rsid w:val="48286871"/>
    <w:rsid w:val="482E032B"/>
    <w:rsid w:val="48343468"/>
    <w:rsid w:val="485578E8"/>
    <w:rsid w:val="485B78C5"/>
    <w:rsid w:val="48680CE3"/>
    <w:rsid w:val="48741AB6"/>
    <w:rsid w:val="487516C9"/>
    <w:rsid w:val="488C5052"/>
    <w:rsid w:val="48967C7F"/>
    <w:rsid w:val="489F4D85"/>
    <w:rsid w:val="48A147B6"/>
    <w:rsid w:val="48A73C3A"/>
    <w:rsid w:val="48B9571B"/>
    <w:rsid w:val="48D367DD"/>
    <w:rsid w:val="48D82045"/>
    <w:rsid w:val="48DA7B6B"/>
    <w:rsid w:val="48E82D4D"/>
    <w:rsid w:val="48F007F6"/>
    <w:rsid w:val="48F549A5"/>
    <w:rsid w:val="490C7F41"/>
    <w:rsid w:val="49115557"/>
    <w:rsid w:val="491D5CAA"/>
    <w:rsid w:val="49431BB4"/>
    <w:rsid w:val="494C4342"/>
    <w:rsid w:val="49537DE0"/>
    <w:rsid w:val="495518E8"/>
    <w:rsid w:val="495913D8"/>
    <w:rsid w:val="4977360C"/>
    <w:rsid w:val="498703ED"/>
    <w:rsid w:val="49870E8A"/>
    <w:rsid w:val="499248EA"/>
    <w:rsid w:val="49AF3B93"/>
    <w:rsid w:val="49B37733"/>
    <w:rsid w:val="49C70A02"/>
    <w:rsid w:val="49C72B69"/>
    <w:rsid w:val="49E07403"/>
    <w:rsid w:val="49F11610"/>
    <w:rsid w:val="4A02381D"/>
    <w:rsid w:val="4A0E6954"/>
    <w:rsid w:val="4A121587"/>
    <w:rsid w:val="4A1A47F4"/>
    <w:rsid w:val="4A275032"/>
    <w:rsid w:val="4A275F90"/>
    <w:rsid w:val="4A280DAA"/>
    <w:rsid w:val="4A29760D"/>
    <w:rsid w:val="4A2D4613"/>
    <w:rsid w:val="4A3459A1"/>
    <w:rsid w:val="4A3B288C"/>
    <w:rsid w:val="4A3B526E"/>
    <w:rsid w:val="4A3B69AF"/>
    <w:rsid w:val="4A624814"/>
    <w:rsid w:val="4A64191B"/>
    <w:rsid w:val="4A6A4F1F"/>
    <w:rsid w:val="4A722025"/>
    <w:rsid w:val="4A745F18"/>
    <w:rsid w:val="4A8204BA"/>
    <w:rsid w:val="4A8B3EC0"/>
    <w:rsid w:val="4AA2290B"/>
    <w:rsid w:val="4AAC4A05"/>
    <w:rsid w:val="4AB112AD"/>
    <w:rsid w:val="4AB918F6"/>
    <w:rsid w:val="4AD14F9E"/>
    <w:rsid w:val="4AEB42B2"/>
    <w:rsid w:val="4AF403AA"/>
    <w:rsid w:val="4AFD616C"/>
    <w:rsid w:val="4B09298A"/>
    <w:rsid w:val="4B0B04B0"/>
    <w:rsid w:val="4B105AC6"/>
    <w:rsid w:val="4B447AD4"/>
    <w:rsid w:val="4B4D32E0"/>
    <w:rsid w:val="4B5D4A84"/>
    <w:rsid w:val="4B6E6BC9"/>
    <w:rsid w:val="4B7050AD"/>
    <w:rsid w:val="4B717B63"/>
    <w:rsid w:val="4B75001F"/>
    <w:rsid w:val="4B7A3887"/>
    <w:rsid w:val="4B7C629E"/>
    <w:rsid w:val="4BA30828"/>
    <w:rsid w:val="4BA93D64"/>
    <w:rsid w:val="4BB072A9"/>
    <w:rsid w:val="4BBE0554"/>
    <w:rsid w:val="4BBE22D0"/>
    <w:rsid w:val="4BBF20A9"/>
    <w:rsid w:val="4BCB40E3"/>
    <w:rsid w:val="4BCD170C"/>
    <w:rsid w:val="4BD20FCE"/>
    <w:rsid w:val="4BD74836"/>
    <w:rsid w:val="4BDF36EB"/>
    <w:rsid w:val="4BED5E07"/>
    <w:rsid w:val="4BF47196"/>
    <w:rsid w:val="4BF54CBC"/>
    <w:rsid w:val="4BF70A34"/>
    <w:rsid w:val="4BFD1393"/>
    <w:rsid w:val="4C0A69B9"/>
    <w:rsid w:val="4C1635B0"/>
    <w:rsid w:val="4C1C26CD"/>
    <w:rsid w:val="4C215AB1"/>
    <w:rsid w:val="4C2555A1"/>
    <w:rsid w:val="4C2832E3"/>
    <w:rsid w:val="4C2D08FA"/>
    <w:rsid w:val="4C387642"/>
    <w:rsid w:val="4C39104D"/>
    <w:rsid w:val="4C3F1BAE"/>
    <w:rsid w:val="4C4105CA"/>
    <w:rsid w:val="4C5C4D3B"/>
    <w:rsid w:val="4C5D5CA7"/>
    <w:rsid w:val="4C612351"/>
    <w:rsid w:val="4C667968"/>
    <w:rsid w:val="4C76404F"/>
    <w:rsid w:val="4C786019"/>
    <w:rsid w:val="4C991AEB"/>
    <w:rsid w:val="4CAC3D59"/>
    <w:rsid w:val="4CB26A62"/>
    <w:rsid w:val="4CCA7AE1"/>
    <w:rsid w:val="4CDB65A8"/>
    <w:rsid w:val="4CE216E4"/>
    <w:rsid w:val="4CEE0366"/>
    <w:rsid w:val="4CF569B5"/>
    <w:rsid w:val="4CFB4947"/>
    <w:rsid w:val="4D04165B"/>
    <w:rsid w:val="4D11448E"/>
    <w:rsid w:val="4D1D2091"/>
    <w:rsid w:val="4D243AAB"/>
    <w:rsid w:val="4D275D07"/>
    <w:rsid w:val="4D2770F7"/>
    <w:rsid w:val="4D3A507C"/>
    <w:rsid w:val="4D466E92"/>
    <w:rsid w:val="4D4844BB"/>
    <w:rsid w:val="4D5325E2"/>
    <w:rsid w:val="4D6614CB"/>
    <w:rsid w:val="4D6848C0"/>
    <w:rsid w:val="4D762204"/>
    <w:rsid w:val="4D7F0CE1"/>
    <w:rsid w:val="4D9E1AAF"/>
    <w:rsid w:val="4D9E5143"/>
    <w:rsid w:val="4D9F75D5"/>
    <w:rsid w:val="4DA9008C"/>
    <w:rsid w:val="4DAE03C1"/>
    <w:rsid w:val="4DC97603"/>
    <w:rsid w:val="4DE163BF"/>
    <w:rsid w:val="4DF54342"/>
    <w:rsid w:val="4DF571F5"/>
    <w:rsid w:val="4DFD3F6E"/>
    <w:rsid w:val="4DFE10C7"/>
    <w:rsid w:val="4E015B9A"/>
    <w:rsid w:val="4E086F29"/>
    <w:rsid w:val="4E140B6A"/>
    <w:rsid w:val="4E1B739A"/>
    <w:rsid w:val="4E1C0C26"/>
    <w:rsid w:val="4E233D62"/>
    <w:rsid w:val="4E407F3C"/>
    <w:rsid w:val="4E41243B"/>
    <w:rsid w:val="4E4C1468"/>
    <w:rsid w:val="4E5A52AA"/>
    <w:rsid w:val="4E676345"/>
    <w:rsid w:val="4E8567CB"/>
    <w:rsid w:val="4E8B5D8F"/>
    <w:rsid w:val="4E943545"/>
    <w:rsid w:val="4E944C60"/>
    <w:rsid w:val="4E964534"/>
    <w:rsid w:val="4EA74993"/>
    <w:rsid w:val="4EAF43FD"/>
    <w:rsid w:val="4EB86BA1"/>
    <w:rsid w:val="4EC72940"/>
    <w:rsid w:val="4ECC43FA"/>
    <w:rsid w:val="4EDF2886"/>
    <w:rsid w:val="4EE94FAC"/>
    <w:rsid w:val="4EEA4880"/>
    <w:rsid w:val="4EFC3606"/>
    <w:rsid w:val="4F107345"/>
    <w:rsid w:val="4F155DA1"/>
    <w:rsid w:val="4F1847B3"/>
    <w:rsid w:val="4F2314B3"/>
    <w:rsid w:val="4F397493"/>
    <w:rsid w:val="4F3B50DC"/>
    <w:rsid w:val="4F4246BC"/>
    <w:rsid w:val="4F520528"/>
    <w:rsid w:val="4F813436"/>
    <w:rsid w:val="4F980780"/>
    <w:rsid w:val="4FAE3B00"/>
    <w:rsid w:val="4FB619EF"/>
    <w:rsid w:val="4FBD3D43"/>
    <w:rsid w:val="4FC861DA"/>
    <w:rsid w:val="4FD55530"/>
    <w:rsid w:val="4FE70DC0"/>
    <w:rsid w:val="4FFB544B"/>
    <w:rsid w:val="500D6A78"/>
    <w:rsid w:val="500F69BB"/>
    <w:rsid w:val="501F67AB"/>
    <w:rsid w:val="503A0F5B"/>
    <w:rsid w:val="503F29AA"/>
    <w:rsid w:val="50406E4E"/>
    <w:rsid w:val="5051105B"/>
    <w:rsid w:val="505B77CA"/>
    <w:rsid w:val="507B7E86"/>
    <w:rsid w:val="507F7220"/>
    <w:rsid w:val="508F56DF"/>
    <w:rsid w:val="50970A38"/>
    <w:rsid w:val="509B22D6"/>
    <w:rsid w:val="50A126B7"/>
    <w:rsid w:val="50A82C45"/>
    <w:rsid w:val="50AE094F"/>
    <w:rsid w:val="50B27620"/>
    <w:rsid w:val="50BC224C"/>
    <w:rsid w:val="50BF6F9A"/>
    <w:rsid w:val="50C57AB0"/>
    <w:rsid w:val="50D650BC"/>
    <w:rsid w:val="50D723A3"/>
    <w:rsid w:val="50DB294E"/>
    <w:rsid w:val="50DC3D6E"/>
    <w:rsid w:val="50E377D9"/>
    <w:rsid w:val="50F87728"/>
    <w:rsid w:val="510936E3"/>
    <w:rsid w:val="510F485C"/>
    <w:rsid w:val="511856D5"/>
    <w:rsid w:val="511B6F73"/>
    <w:rsid w:val="512C73D2"/>
    <w:rsid w:val="51321C80"/>
    <w:rsid w:val="514F4E6E"/>
    <w:rsid w:val="515661FD"/>
    <w:rsid w:val="51600E2A"/>
    <w:rsid w:val="51621046"/>
    <w:rsid w:val="516A3A56"/>
    <w:rsid w:val="517255BD"/>
    <w:rsid w:val="517B5C63"/>
    <w:rsid w:val="51840FBC"/>
    <w:rsid w:val="51856AE2"/>
    <w:rsid w:val="518C4D4D"/>
    <w:rsid w:val="51B13335"/>
    <w:rsid w:val="51F24178"/>
    <w:rsid w:val="52187956"/>
    <w:rsid w:val="521D3CB5"/>
    <w:rsid w:val="522462FB"/>
    <w:rsid w:val="52262073"/>
    <w:rsid w:val="523302EC"/>
    <w:rsid w:val="523654BB"/>
    <w:rsid w:val="52426781"/>
    <w:rsid w:val="5244074B"/>
    <w:rsid w:val="52454FAD"/>
    <w:rsid w:val="524B1ADA"/>
    <w:rsid w:val="526B217C"/>
    <w:rsid w:val="52827404"/>
    <w:rsid w:val="528374C6"/>
    <w:rsid w:val="528B1ED6"/>
    <w:rsid w:val="52A15B9E"/>
    <w:rsid w:val="52A70D2C"/>
    <w:rsid w:val="52B07B8F"/>
    <w:rsid w:val="52B94C95"/>
    <w:rsid w:val="52C213BF"/>
    <w:rsid w:val="52D94528"/>
    <w:rsid w:val="52E361B6"/>
    <w:rsid w:val="52EF6909"/>
    <w:rsid w:val="52F932E4"/>
    <w:rsid w:val="530A35D5"/>
    <w:rsid w:val="531210C9"/>
    <w:rsid w:val="531B76FE"/>
    <w:rsid w:val="532742F5"/>
    <w:rsid w:val="53277E51"/>
    <w:rsid w:val="532F31A9"/>
    <w:rsid w:val="53395DD6"/>
    <w:rsid w:val="535E583D"/>
    <w:rsid w:val="53607807"/>
    <w:rsid w:val="536C018C"/>
    <w:rsid w:val="53733096"/>
    <w:rsid w:val="5376727D"/>
    <w:rsid w:val="538434F5"/>
    <w:rsid w:val="538A03E0"/>
    <w:rsid w:val="539835FD"/>
    <w:rsid w:val="539F032F"/>
    <w:rsid w:val="53B06098"/>
    <w:rsid w:val="53B86CFB"/>
    <w:rsid w:val="53B92A73"/>
    <w:rsid w:val="53BB67EB"/>
    <w:rsid w:val="53C53D56"/>
    <w:rsid w:val="53C71634"/>
    <w:rsid w:val="53D224B3"/>
    <w:rsid w:val="53E70484"/>
    <w:rsid w:val="53EB1FF8"/>
    <w:rsid w:val="53F45760"/>
    <w:rsid w:val="5406215C"/>
    <w:rsid w:val="54161C73"/>
    <w:rsid w:val="541A79B6"/>
    <w:rsid w:val="54212AF2"/>
    <w:rsid w:val="54330A77"/>
    <w:rsid w:val="54370568"/>
    <w:rsid w:val="5457415A"/>
    <w:rsid w:val="54705828"/>
    <w:rsid w:val="5472334E"/>
    <w:rsid w:val="549239F0"/>
    <w:rsid w:val="54A379AB"/>
    <w:rsid w:val="54B27BEE"/>
    <w:rsid w:val="54BD0C40"/>
    <w:rsid w:val="54CB4416"/>
    <w:rsid w:val="54D97871"/>
    <w:rsid w:val="54F75F49"/>
    <w:rsid w:val="55012924"/>
    <w:rsid w:val="55254DBB"/>
    <w:rsid w:val="55284354"/>
    <w:rsid w:val="55344AA7"/>
    <w:rsid w:val="554051FA"/>
    <w:rsid w:val="55432F3C"/>
    <w:rsid w:val="55562C6F"/>
    <w:rsid w:val="5560589C"/>
    <w:rsid w:val="556C4241"/>
    <w:rsid w:val="5579695E"/>
    <w:rsid w:val="558C043F"/>
    <w:rsid w:val="559807C9"/>
    <w:rsid w:val="55A133E3"/>
    <w:rsid w:val="55AE6607"/>
    <w:rsid w:val="55B87486"/>
    <w:rsid w:val="55C0458D"/>
    <w:rsid w:val="55C404FA"/>
    <w:rsid w:val="55C45E2B"/>
    <w:rsid w:val="55F726D8"/>
    <w:rsid w:val="56075D18"/>
    <w:rsid w:val="56203207"/>
    <w:rsid w:val="56206DD9"/>
    <w:rsid w:val="562A2C28"/>
    <w:rsid w:val="563D3E2F"/>
    <w:rsid w:val="56610227"/>
    <w:rsid w:val="56682C5A"/>
    <w:rsid w:val="566C201F"/>
    <w:rsid w:val="566E223B"/>
    <w:rsid w:val="56705FB3"/>
    <w:rsid w:val="567B54EE"/>
    <w:rsid w:val="567F61F6"/>
    <w:rsid w:val="56846C29"/>
    <w:rsid w:val="5689497F"/>
    <w:rsid w:val="56A106AF"/>
    <w:rsid w:val="56A45C5C"/>
    <w:rsid w:val="56A703F5"/>
    <w:rsid w:val="56B51C18"/>
    <w:rsid w:val="56BA0FDC"/>
    <w:rsid w:val="56C40E44"/>
    <w:rsid w:val="56D64EB7"/>
    <w:rsid w:val="56E314E0"/>
    <w:rsid w:val="56F50266"/>
    <w:rsid w:val="57282705"/>
    <w:rsid w:val="572F3778"/>
    <w:rsid w:val="572F5526"/>
    <w:rsid w:val="574C75A3"/>
    <w:rsid w:val="574D2F08"/>
    <w:rsid w:val="57664CC0"/>
    <w:rsid w:val="57754BF2"/>
    <w:rsid w:val="57825F9E"/>
    <w:rsid w:val="578B785A"/>
    <w:rsid w:val="578F03F8"/>
    <w:rsid w:val="57946A2F"/>
    <w:rsid w:val="57B15648"/>
    <w:rsid w:val="57BD6FD6"/>
    <w:rsid w:val="57CA16F3"/>
    <w:rsid w:val="57CA3880"/>
    <w:rsid w:val="57DD4150"/>
    <w:rsid w:val="57E43CCB"/>
    <w:rsid w:val="57E75E01"/>
    <w:rsid w:val="57F32A52"/>
    <w:rsid w:val="57F43BCE"/>
    <w:rsid w:val="57FE50EE"/>
    <w:rsid w:val="58022C3B"/>
    <w:rsid w:val="580544D9"/>
    <w:rsid w:val="58073B8C"/>
    <w:rsid w:val="580B5A97"/>
    <w:rsid w:val="58162D23"/>
    <w:rsid w:val="581B3CFC"/>
    <w:rsid w:val="58256929"/>
    <w:rsid w:val="583E1858"/>
    <w:rsid w:val="583F3E8F"/>
    <w:rsid w:val="584F48CF"/>
    <w:rsid w:val="586438F5"/>
    <w:rsid w:val="586D009D"/>
    <w:rsid w:val="587578B0"/>
    <w:rsid w:val="587D6765"/>
    <w:rsid w:val="58A21933"/>
    <w:rsid w:val="58A77915"/>
    <w:rsid w:val="58AB7FDD"/>
    <w:rsid w:val="58B008E9"/>
    <w:rsid w:val="58BF0B2C"/>
    <w:rsid w:val="58E74233"/>
    <w:rsid w:val="58EF7663"/>
    <w:rsid w:val="591946E0"/>
    <w:rsid w:val="591A2206"/>
    <w:rsid w:val="591E525B"/>
    <w:rsid w:val="593313C9"/>
    <w:rsid w:val="593E026C"/>
    <w:rsid w:val="593E5EF4"/>
    <w:rsid w:val="59457283"/>
    <w:rsid w:val="594D6137"/>
    <w:rsid w:val="595C45CC"/>
    <w:rsid w:val="59710078"/>
    <w:rsid w:val="5989503C"/>
    <w:rsid w:val="59977C6E"/>
    <w:rsid w:val="599E69E5"/>
    <w:rsid w:val="59A25D4A"/>
    <w:rsid w:val="59A3044D"/>
    <w:rsid w:val="59B14918"/>
    <w:rsid w:val="59B15C2B"/>
    <w:rsid w:val="59B25F2D"/>
    <w:rsid w:val="59D86349"/>
    <w:rsid w:val="59DD0C04"/>
    <w:rsid w:val="59EC76FE"/>
    <w:rsid w:val="5A034978"/>
    <w:rsid w:val="5A040EEC"/>
    <w:rsid w:val="5A0E3B19"/>
    <w:rsid w:val="5A16280E"/>
    <w:rsid w:val="5A1B5A10"/>
    <w:rsid w:val="5A266807"/>
    <w:rsid w:val="5A2C21F1"/>
    <w:rsid w:val="5A3572F7"/>
    <w:rsid w:val="5A494B51"/>
    <w:rsid w:val="5A5359CF"/>
    <w:rsid w:val="5A6776CD"/>
    <w:rsid w:val="5A6977D7"/>
    <w:rsid w:val="5A6E45B7"/>
    <w:rsid w:val="5A843DDB"/>
    <w:rsid w:val="5A89319F"/>
    <w:rsid w:val="5A8E4C59"/>
    <w:rsid w:val="5A963B0E"/>
    <w:rsid w:val="5AA955EF"/>
    <w:rsid w:val="5AC42B67"/>
    <w:rsid w:val="5ADF1011"/>
    <w:rsid w:val="5AFE3B8D"/>
    <w:rsid w:val="5B044F1C"/>
    <w:rsid w:val="5B070568"/>
    <w:rsid w:val="5B154DCD"/>
    <w:rsid w:val="5B1C2265"/>
    <w:rsid w:val="5B2353A2"/>
    <w:rsid w:val="5B2E3D47"/>
    <w:rsid w:val="5B33135D"/>
    <w:rsid w:val="5B372BFB"/>
    <w:rsid w:val="5B386973"/>
    <w:rsid w:val="5B4672E2"/>
    <w:rsid w:val="5B4A6DD2"/>
    <w:rsid w:val="5B572513"/>
    <w:rsid w:val="5B773CF2"/>
    <w:rsid w:val="5B953DC6"/>
    <w:rsid w:val="5B9B5880"/>
    <w:rsid w:val="5BA67D81"/>
    <w:rsid w:val="5BB7600F"/>
    <w:rsid w:val="5BC052E6"/>
    <w:rsid w:val="5BCD355F"/>
    <w:rsid w:val="5BD448EE"/>
    <w:rsid w:val="5BD82630"/>
    <w:rsid w:val="5BF037E6"/>
    <w:rsid w:val="5BF62AB6"/>
    <w:rsid w:val="5BFD3E45"/>
    <w:rsid w:val="5C0F2714"/>
    <w:rsid w:val="5C14118E"/>
    <w:rsid w:val="5C1A7FC5"/>
    <w:rsid w:val="5C2D3FFE"/>
    <w:rsid w:val="5C341831"/>
    <w:rsid w:val="5C3A263A"/>
    <w:rsid w:val="5C814A76"/>
    <w:rsid w:val="5C9A5B38"/>
    <w:rsid w:val="5CAE513F"/>
    <w:rsid w:val="5CAF7F16"/>
    <w:rsid w:val="5CBE74EA"/>
    <w:rsid w:val="5CC56713"/>
    <w:rsid w:val="5CC71DD8"/>
    <w:rsid w:val="5CCE3A33"/>
    <w:rsid w:val="5CD66444"/>
    <w:rsid w:val="5CD728E8"/>
    <w:rsid w:val="5CF82EF2"/>
    <w:rsid w:val="5CF9414D"/>
    <w:rsid w:val="5CF9552F"/>
    <w:rsid w:val="5CFB0C71"/>
    <w:rsid w:val="5CFC40FC"/>
    <w:rsid w:val="5D05501E"/>
    <w:rsid w:val="5D0B07E3"/>
    <w:rsid w:val="5D0B433F"/>
    <w:rsid w:val="5D0C552C"/>
    <w:rsid w:val="5D17501F"/>
    <w:rsid w:val="5D1A0A26"/>
    <w:rsid w:val="5D213B63"/>
    <w:rsid w:val="5D221689"/>
    <w:rsid w:val="5D2E002E"/>
    <w:rsid w:val="5D2E44D2"/>
    <w:rsid w:val="5D3C6BEF"/>
    <w:rsid w:val="5D431D2B"/>
    <w:rsid w:val="5D4569AE"/>
    <w:rsid w:val="5D494E68"/>
    <w:rsid w:val="5D50269A"/>
    <w:rsid w:val="5D55380D"/>
    <w:rsid w:val="5D7243BE"/>
    <w:rsid w:val="5D7C6FEB"/>
    <w:rsid w:val="5D835622"/>
    <w:rsid w:val="5D883BE2"/>
    <w:rsid w:val="5D9B1B67"/>
    <w:rsid w:val="5D9B5E1F"/>
    <w:rsid w:val="5DA36C6E"/>
    <w:rsid w:val="5DA56542"/>
    <w:rsid w:val="5DAF116F"/>
    <w:rsid w:val="5DB426F2"/>
    <w:rsid w:val="5DBB62FD"/>
    <w:rsid w:val="5DC15346"/>
    <w:rsid w:val="5DC70453"/>
    <w:rsid w:val="5DF11787"/>
    <w:rsid w:val="5E092699"/>
    <w:rsid w:val="5E2733FB"/>
    <w:rsid w:val="5E2A2EEB"/>
    <w:rsid w:val="5E3D49CC"/>
    <w:rsid w:val="5E422AAA"/>
    <w:rsid w:val="5E5166CA"/>
    <w:rsid w:val="5E604B5F"/>
    <w:rsid w:val="5E6F6B70"/>
    <w:rsid w:val="5E7128C8"/>
    <w:rsid w:val="5E785A05"/>
    <w:rsid w:val="5E7E5BC7"/>
    <w:rsid w:val="5E8C7702"/>
    <w:rsid w:val="5EA467FA"/>
    <w:rsid w:val="5EAB6551"/>
    <w:rsid w:val="5EAC5CC5"/>
    <w:rsid w:val="5EBB3B43"/>
    <w:rsid w:val="5EC24ED2"/>
    <w:rsid w:val="5ECA3D86"/>
    <w:rsid w:val="5ED70BB3"/>
    <w:rsid w:val="5EF3152F"/>
    <w:rsid w:val="5EF64B7B"/>
    <w:rsid w:val="5F117C07"/>
    <w:rsid w:val="5F131BD1"/>
    <w:rsid w:val="5F1C68EB"/>
    <w:rsid w:val="5F250216"/>
    <w:rsid w:val="5F3A18E5"/>
    <w:rsid w:val="5F3A658F"/>
    <w:rsid w:val="5F3C1128"/>
    <w:rsid w:val="5F4B6DF9"/>
    <w:rsid w:val="5F4D50E3"/>
    <w:rsid w:val="5F531FCE"/>
    <w:rsid w:val="5F5E109E"/>
    <w:rsid w:val="5F675CE8"/>
    <w:rsid w:val="5F6D7533"/>
    <w:rsid w:val="5F787BD2"/>
    <w:rsid w:val="5F797C86"/>
    <w:rsid w:val="5F904FD0"/>
    <w:rsid w:val="5F922AF6"/>
    <w:rsid w:val="5F9E101E"/>
    <w:rsid w:val="5FC1162D"/>
    <w:rsid w:val="5FC92290"/>
    <w:rsid w:val="5FD749AD"/>
    <w:rsid w:val="5FD80582"/>
    <w:rsid w:val="5FE07D05"/>
    <w:rsid w:val="5FE377F5"/>
    <w:rsid w:val="600357A2"/>
    <w:rsid w:val="60194FC5"/>
    <w:rsid w:val="60326087"/>
    <w:rsid w:val="603E7754"/>
    <w:rsid w:val="6045400C"/>
    <w:rsid w:val="604D407A"/>
    <w:rsid w:val="605E0C2A"/>
    <w:rsid w:val="6061582C"/>
    <w:rsid w:val="6071095D"/>
    <w:rsid w:val="60787F3E"/>
    <w:rsid w:val="60870181"/>
    <w:rsid w:val="60940AF0"/>
    <w:rsid w:val="609D64AA"/>
    <w:rsid w:val="60A27B32"/>
    <w:rsid w:val="60A527D8"/>
    <w:rsid w:val="60B01F30"/>
    <w:rsid w:val="60BE5D83"/>
    <w:rsid w:val="60D31618"/>
    <w:rsid w:val="60D37AAA"/>
    <w:rsid w:val="60E51508"/>
    <w:rsid w:val="60E53887"/>
    <w:rsid w:val="60F82E2D"/>
    <w:rsid w:val="60FC0223"/>
    <w:rsid w:val="610C68D8"/>
    <w:rsid w:val="614A3DAA"/>
    <w:rsid w:val="6155027F"/>
    <w:rsid w:val="61730B8F"/>
    <w:rsid w:val="617C580C"/>
    <w:rsid w:val="618463A2"/>
    <w:rsid w:val="618741B1"/>
    <w:rsid w:val="619C7C5C"/>
    <w:rsid w:val="61AA28BC"/>
    <w:rsid w:val="61AB60F1"/>
    <w:rsid w:val="61B2747F"/>
    <w:rsid w:val="61B90451"/>
    <w:rsid w:val="61BF394A"/>
    <w:rsid w:val="61E15FB7"/>
    <w:rsid w:val="61E73B15"/>
    <w:rsid w:val="61EA259B"/>
    <w:rsid w:val="61EB473F"/>
    <w:rsid w:val="6200468F"/>
    <w:rsid w:val="6211035A"/>
    <w:rsid w:val="62173786"/>
    <w:rsid w:val="622540F5"/>
    <w:rsid w:val="623B7475"/>
    <w:rsid w:val="62405FC3"/>
    <w:rsid w:val="62482F7C"/>
    <w:rsid w:val="624C6FD5"/>
    <w:rsid w:val="62677DAD"/>
    <w:rsid w:val="6281113E"/>
    <w:rsid w:val="62875998"/>
    <w:rsid w:val="62935219"/>
    <w:rsid w:val="62942C89"/>
    <w:rsid w:val="62C76F5B"/>
    <w:rsid w:val="62CD6AEC"/>
    <w:rsid w:val="62D358FF"/>
    <w:rsid w:val="62D94595"/>
    <w:rsid w:val="62EF64B1"/>
    <w:rsid w:val="63103C43"/>
    <w:rsid w:val="631E6C0A"/>
    <w:rsid w:val="632C14B3"/>
    <w:rsid w:val="633B5253"/>
    <w:rsid w:val="63566066"/>
    <w:rsid w:val="635B76A3"/>
    <w:rsid w:val="635D78BF"/>
    <w:rsid w:val="638257FD"/>
    <w:rsid w:val="63901A42"/>
    <w:rsid w:val="63AE1EC8"/>
    <w:rsid w:val="63B84AF5"/>
    <w:rsid w:val="63C27722"/>
    <w:rsid w:val="63C60FC0"/>
    <w:rsid w:val="63CB65D6"/>
    <w:rsid w:val="63D062E3"/>
    <w:rsid w:val="63D41366"/>
    <w:rsid w:val="63E1404C"/>
    <w:rsid w:val="63EE0517"/>
    <w:rsid w:val="640E2967"/>
    <w:rsid w:val="641461CF"/>
    <w:rsid w:val="64151F48"/>
    <w:rsid w:val="64153CF6"/>
    <w:rsid w:val="64236413"/>
    <w:rsid w:val="64264155"/>
    <w:rsid w:val="642F4DB7"/>
    <w:rsid w:val="643C74D4"/>
    <w:rsid w:val="64406FC4"/>
    <w:rsid w:val="644C769A"/>
    <w:rsid w:val="64520AA6"/>
    <w:rsid w:val="64664551"/>
    <w:rsid w:val="647A3F6A"/>
    <w:rsid w:val="64805613"/>
    <w:rsid w:val="64850E7B"/>
    <w:rsid w:val="64CB26DD"/>
    <w:rsid w:val="64D35ED3"/>
    <w:rsid w:val="64FF5D4E"/>
    <w:rsid w:val="650171EE"/>
    <w:rsid w:val="65055B18"/>
    <w:rsid w:val="651346D9"/>
    <w:rsid w:val="651F307E"/>
    <w:rsid w:val="65295CAB"/>
    <w:rsid w:val="65433804"/>
    <w:rsid w:val="65444892"/>
    <w:rsid w:val="65532D27"/>
    <w:rsid w:val="6558033E"/>
    <w:rsid w:val="65605444"/>
    <w:rsid w:val="65660CAD"/>
    <w:rsid w:val="65684D07"/>
    <w:rsid w:val="6573237E"/>
    <w:rsid w:val="657D2B36"/>
    <w:rsid w:val="657D2B9C"/>
    <w:rsid w:val="65905D2A"/>
    <w:rsid w:val="6590635A"/>
    <w:rsid w:val="65907AD8"/>
    <w:rsid w:val="6593581A"/>
    <w:rsid w:val="659375C8"/>
    <w:rsid w:val="65956E9C"/>
    <w:rsid w:val="659C4DF8"/>
    <w:rsid w:val="65A215B9"/>
    <w:rsid w:val="65BD63F3"/>
    <w:rsid w:val="65C854C3"/>
    <w:rsid w:val="65D406EA"/>
    <w:rsid w:val="65DC4ACB"/>
    <w:rsid w:val="65E46075"/>
    <w:rsid w:val="65E9368C"/>
    <w:rsid w:val="65EE47FE"/>
    <w:rsid w:val="65FE0EE5"/>
    <w:rsid w:val="66377D74"/>
    <w:rsid w:val="66540B05"/>
    <w:rsid w:val="66542B2C"/>
    <w:rsid w:val="665723A3"/>
    <w:rsid w:val="66707909"/>
    <w:rsid w:val="667421D9"/>
    <w:rsid w:val="66742F55"/>
    <w:rsid w:val="667967BE"/>
    <w:rsid w:val="667B400E"/>
    <w:rsid w:val="668F7D8F"/>
    <w:rsid w:val="66911D59"/>
    <w:rsid w:val="66AF21DF"/>
    <w:rsid w:val="66BC66AA"/>
    <w:rsid w:val="66C939FF"/>
    <w:rsid w:val="66D460EA"/>
    <w:rsid w:val="66D71736"/>
    <w:rsid w:val="66E005EB"/>
    <w:rsid w:val="66E53E53"/>
    <w:rsid w:val="66E55C01"/>
    <w:rsid w:val="66EA7812"/>
    <w:rsid w:val="66F127F8"/>
    <w:rsid w:val="66F773C4"/>
    <w:rsid w:val="66F83B86"/>
    <w:rsid w:val="66FB71D3"/>
    <w:rsid w:val="6703252B"/>
    <w:rsid w:val="6704527C"/>
    <w:rsid w:val="671F55B7"/>
    <w:rsid w:val="673F1F3F"/>
    <w:rsid w:val="67442824"/>
    <w:rsid w:val="674A1F08"/>
    <w:rsid w:val="674A6AF9"/>
    <w:rsid w:val="676F196F"/>
    <w:rsid w:val="677A0A3F"/>
    <w:rsid w:val="67987117"/>
    <w:rsid w:val="67A43BE0"/>
    <w:rsid w:val="67AB6E4B"/>
    <w:rsid w:val="67B37F71"/>
    <w:rsid w:val="67BB4F53"/>
    <w:rsid w:val="67CE6C86"/>
    <w:rsid w:val="67D0065F"/>
    <w:rsid w:val="67D31319"/>
    <w:rsid w:val="67D5211A"/>
    <w:rsid w:val="67D6379C"/>
    <w:rsid w:val="67D72D6F"/>
    <w:rsid w:val="67DB2545"/>
    <w:rsid w:val="67DC6D5A"/>
    <w:rsid w:val="67E206D5"/>
    <w:rsid w:val="67E4410B"/>
    <w:rsid w:val="68232E85"/>
    <w:rsid w:val="685502EE"/>
    <w:rsid w:val="685968A7"/>
    <w:rsid w:val="685A261F"/>
    <w:rsid w:val="6865349E"/>
    <w:rsid w:val="68655F18"/>
    <w:rsid w:val="686E1C26"/>
    <w:rsid w:val="68701E42"/>
    <w:rsid w:val="68833924"/>
    <w:rsid w:val="68AA0EB0"/>
    <w:rsid w:val="68B00491"/>
    <w:rsid w:val="68C14BF3"/>
    <w:rsid w:val="68D26659"/>
    <w:rsid w:val="68DC28D0"/>
    <w:rsid w:val="68E51EE8"/>
    <w:rsid w:val="68ED5329"/>
    <w:rsid w:val="68F31EBE"/>
    <w:rsid w:val="68FA309F"/>
    <w:rsid w:val="68FB170C"/>
    <w:rsid w:val="68FE0507"/>
    <w:rsid w:val="69086715"/>
    <w:rsid w:val="690F3409"/>
    <w:rsid w:val="69272501"/>
    <w:rsid w:val="692C5D69"/>
    <w:rsid w:val="692E7D33"/>
    <w:rsid w:val="692F7608"/>
    <w:rsid w:val="693966D8"/>
    <w:rsid w:val="69401815"/>
    <w:rsid w:val="694A487B"/>
    <w:rsid w:val="694D6631"/>
    <w:rsid w:val="695025CA"/>
    <w:rsid w:val="695D5F23"/>
    <w:rsid w:val="69690D6B"/>
    <w:rsid w:val="69695C61"/>
    <w:rsid w:val="696B65E2"/>
    <w:rsid w:val="69765236"/>
    <w:rsid w:val="697B284D"/>
    <w:rsid w:val="697B4FDF"/>
    <w:rsid w:val="6986055E"/>
    <w:rsid w:val="698C4A5A"/>
    <w:rsid w:val="699B2EEF"/>
    <w:rsid w:val="69A47FF6"/>
    <w:rsid w:val="69AB0D0D"/>
    <w:rsid w:val="69B27B43"/>
    <w:rsid w:val="69B74BA8"/>
    <w:rsid w:val="69BE0005"/>
    <w:rsid w:val="69CB5582"/>
    <w:rsid w:val="69CE2512"/>
    <w:rsid w:val="69DF2DDC"/>
    <w:rsid w:val="69E46644"/>
    <w:rsid w:val="69EA352F"/>
    <w:rsid w:val="69EB2192"/>
    <w:rsid w:val="6A3B73EC"/>
    <w:rsid w:val="6A4315BC"/>
    <w:rsid w:val="6A570136"/>
    <w:rsid w:val="6A611A43"/>
    <w:rsid w:val="6A695DCD"/>
    <w:rsid w:val="6A731776"/>
    <w:rsid w:val="6A753740"/>
    <w:rsid w:val="6A7A6FA8"/>
    <w:rsid w:val="6A7E2C0A"/>
    <w:rsid w:val="6A802F8E"/>
    <w:rsid w:val="6A9156CE"/>
    <w:rsid w:val="6AA8390D"/>
    <w:rsid w:val="6AAD4C88"/>
    <w:rsid w:val="6AB06526"/>
    <w:rsid w:val="6AC06CA1"/>
    <w:rsid w:val="6AC10733"/>
    <w:rsid w:val="6AC81AC2"/>
    <w:rsid w:val="6AD2649C"/>
    <w:rsid w:val="6AE17565"/>
    <w:rsid w:val="6AFE3735"/>
    <w:rsid w:val="6AFF300A"/>
    <w:rsid w:val="6B00125C"/>
    <w:rsid w:val="6B2111D2"/>
    <w:rsid w:val="6B340AA5"/>
    <w:rsid w:val="6B361E7E"/>
    <w:rsid w:val="6B3C7DBA"/>
    <w:rsid w:val="6B3D4EC2"/>
    <w:rsid w:val="6B3E7FD6"/>
    <w:rsid w:val="6B43383E"/>
    <w:rsid w:val="6B543355"/>
    <w:rsid w:val="6B560E7C"/>
    <w:rsid w:val="6B570CC1"/>
    <w:rsid w:val="6B5E5F82"/>
    <w:rsid w:val="6B6F63E1"/>
    <w:rsid w:val="6B7B2FD8"/>
    <w:rsid w:val="6B8359E9"/>
    <w:rsid w:val="6B930322"/>
    <w:rsid w:val="6B985938"/>
    <w:rsid w:val="6BA918F3"/>
    <w:rsid w:val="6BB16221"/>
    <w:rsid w:val="6BE40B7D"/>
    <w:rsid w:val="6BE45953"/>
    <w:rsid w:val="6BE94F3A"/>
    <w:rsid w:val="6BF40694"/>
    <w:rsid w:val="6BFB7C39"/>
    <w:rsid w:val="6C061F17"/>
    <w:rsid w:val="6C0E79A8"/>
    <w:rsid w:val="6C150D37"/>
    <w:rsid w:val="6C2F1E55"/>
    <w:rsid w:val="6C3804E4"/>
    <w:rsid w:val="6C4B29AA"/>
    <w:rsid w:val="6C580C23"/>
    <w:rsid w:val="6C661592"/>
    <w:rsid w:val="6C6D2921"/>
    <w:rsid w:val="6C741E4F"/>
    <w:rsid w:val="6C787517"/>
    <w:rsid w:val="6C7C13FA"/>
    <w:rsid w:val="6C892109"/>
    <w:rsid w:val="6C914D27"/>
    <w:rsid w:val="6CAA6CFE"/>
    <w:rsid w:val="6CC369E5"/>
    <w:rsid w:val="6CCB5899"/>
    <w:rsid w:val="6CD81D64"/>
    <w:rsid w:val="6CED2087"/>
    <w:rsid w:val="6CED5810"/>
    <w:rsid w:val="6CF748E0"/>
    <w:rsid w:val="6CFE7A1D"/>
    <w:rsid w:val="6D013FEB"/>
    <w:rsid w:val="6D042B59"/>
    <w:rsid w:val="6D0F39D8"/>
    <w:rsid w:val="6D0F7711"/>
    <w:rsid w:val="6D1930EC"/>
    <w:rsid w:val="6D2F407A"/>
    <w:rsid w:val="6D395B76"/>
    <w:rsid w:val="6D594C53"/>
    <w:rsid w:val="6D866288"/>
    <w:rsid w:val="6DA71186"/>
    <w:rsid w:val="6DA71E62"/>
    <w:rsid w:val="6DB30918"/>
    <w:rsid w:val="6DB602F7"/>
    <w:rsid w:val="6DB620A5"/>
    <w:rsid w:val="6DC42A14"/>
    <w:rsid w:val="6DCF3167"/>
    <w:rsid w:val="6DCF4F15"/>
    <w:rsid w:val="6DD036A3"/>
    <w:rsid w:val="6DD150E5"/>
    <w:rsid w:val="6DDB57DD"/>
    <w:rsid w:val="6DDD5884"/>
    <w:rsid w:val="6DE22E9A"/>
    <w:rsid w:val="6DE76703"/>
    <w:rsid w:val="6DE81D0F"/>
    <w:rsid w:val="6DE85FD7"/>
    <w:rsid w:val="6DE87DC1"/>
    <w:rsid w:val="6DF36E56"/>
    <w:rsid w:val="6DF76B0A"/>
    <w:rsid w:val="6DFB5D0A"/>
    <w:rsid w:val="6E054DB3"/>
    <w:rsid w:val="6E0D5EB7"/>
    <w:rsid w:val="6E105C5A"/>
    <w:rsid w:val="6E330C7F"/>
    <w:rsid w:val="6E3B6A4F"/>
    <w:rsid w:val="6E470F4F"/>
    <w:rsid w:val="6E62222D"/>
    <w:rsid w:val="6E6E472E"/>
    <w:rsid w:val="6E7004A6"/>
    <w:rsid w:val="6EBD700A"/>
    <w:rsid w:val="6EC627BC"/>
    <w:rsid w:val="6EC72090"/>
    <w:rsid w:val="6EC922AC"/>
    <w:rsid w:val="6ECB392F"/>
    <w:rsid w:val="6ED44ED9"/>
    <w:rsid w:val="6ED53771"/>
    <w:rsid w:val="6EFD2502"/>
    <w:rsid w:val="6F082DD5"/>
    <w:rsid w:val="6F0E7CBF"/>
    <w:rsid w:val="6F1352D6"/>
    <w:rsid w:val="6F3F60CB"/>
    <w:rsid w:val="6F593630"/>
    <w:rsid w:val="6F5E1724"/>
    <w:rsid w:val="6F6618A9"/>
    <w:rsid w:val="6F743FC6"/>
    <w:rsid w:val="6F783707"/>
    <w:rsid w:val="6F7D7049"/>
    <w:rsid w:val="6F800BBD"/>
    <w:rsid w:val="6F8561D3"/>
    <w:rsid w:val="6F963F3C"/>
    <w:rsid w:val="6F993A2D"/>
    <w:rsid w:val="6FA36659"/>
    <w:rsid w:val="6FD341E3"/>
    <w:rsid w:val="6FDA4B8E"/>
    <w:rsid w:val="6FE1043B"/>
    <w:rsid w:val="6FF670D1"/>
    <w:rsid w:val="6FFD4A92"/>
    <w:rsid w:val="700B760E"/>
    <w:rsid w:val="700D7F77"/>
    <w:rsid w:val="70117A67"/>
    <w:rsid w:val="703027C9"/>
    <w:rsid w:val="703B4AE4"/>
    <w:rsid w:val="70671D7D"/>
    <w:rsid w:val="706E310B"/>
    <w:rsid w:val="70794B97"/>
    <w:rsid w:val="70860455"/>
    <w:rsid w:val="70860D62"/>
    <w:rsid w:val="70877D29"/>
    <w:rsid w:val="70891C83"/>
    <w:rsid w:val="70903082"/>
    <w:rsid w:val="70981F36"/>
    <w:rsid w:val="70C13D2D"/>
    <w:rsid w:val="70C20D61"/>
    <w:rsid w:val="70CD6084"/>
    <w:rsid w:val="70D016D0"/>
    <w:rsid w:val="70D21C08"/>
    <w:rsid w:val="70F35BF8"/>
    <w:rsid w:val="70F748FF"/>
    <w:rsid w:val="71015D2D"/>
    <w:rsid w:val="71121CE9"/>
    <w:rsid w:val="71160F53"/>
    <w:rsid w:val="7120731A"/>
    <w:rsid w:val="712244BF"/>
    <w:rsid w:val="71290DE0"/>
    <w:rsid w:val="713C4FB8"/>
    <w:rsid w:val="713E54AE"/>
    <w:rsid w:val="71424D45"/>
    <w:rsid w:val="71453E6C"/>
    <w:rsid w:val="71491244"/>
    <w:rsid w:val="71582A07"/>
    <w:rsid w:val="715866DF"/>
    <w:rsid w:val="717943B6"/>
    <w:rsid w:val="71866233"/>
    <w:rsid w:val="718A5D23"/>
    <w:rsid w:val="718B55F7"/>
    <w:rsid w:val="71916F49"/>
    <w:rsid w:val="71A14E1B"/>
    <w:rsid w:val="71A33B87"/>
    <w:rsid w:val="71AB63BC"/>
    <w:rsid w:val="71AD37BF"/>
    <w:rsid w:val="71AE4713"/>
    <w:rsid w:val="71B27028"/>
    <w:rsid w:val="71B903B6"/>
    <w:rsid w:val="71C50F0C"/>
    <w:rsid w:val="71CD6690"/>
    <w:rsid w:val="71D25565"/>
    <w:rsid w:val="71D945B4"/>
    <w:rsid w:val="71F11C1F"/>
    <w:rsid w:val="71FC3878"/>
    <w:rsid w:val="71FE04BF"/>
    <w:rsid w:val="720158B9"/>
    <w:rsid w:val="720F6228"/>
    <w:rsid w:val="7224132C"/>
    <w:rsid w:val="722A12B4"/>
    <w:rsid w:val="722D0338"/>
    <w:rsid w:val="723314F1"/>
    <w:rsid w:val="723E08BB"/>
    <w:rsid w:val="7240429C"/>
    <w:rsid w:val="72563E57"/>
    <w:rsid w:val="725D3437"/>
    <w:rsid w:val="72604CD6"/>
    <w:rsid w:val="72683487"/>
    <w:rsid w:val="72712A3F"/>
    <w:rsid w:val="72786636"/>
    <w:rsid w:val="727F33AE"/>
    <w:rsid w:val="72802C82"/>
    <w:rsid w:val="72850298"/>
    <w:rsid w:val="72A8433C"/>
    <w:rsid w:val="72AA7CFF"/>
    <w:rsid w:val="72BD1CA1"/>
    <w:rsid w:val="72C07522"/>
    <w:rsid w:val="72D468CD"/>
    <w:rsid w:val="72DD00D4"/>
    <w:rsid w:val="72E31549"/>
    <w:rsid w:val="72EF2DA5"/>
    <w:rsid w:val="72FA0C86"/>
    <w:rsid w:val="72FA6ED8"/>
    <w:rsid w:val="72FB261A"/>
    <w:rsid w:val="73061F81"/>
    <w:rsid w:val="73156124"/>
    <w:rsid w:val="731A30D6"/>
    <w:rsid w:val="7320374B"/>
    <w:rsid w:val="73216213"/>
    <w:rsid w:val="73412411"/>
    <w:rsid w:val="73426189"/>
    <w:rsid w:val="734C0DB6"/>
    <w:rsid w:val="735A3B0C"/>
    <w:rsid w:val="7361796E"/>
    <w:rsid w:val="73662278"/>
    <w:rsid w:val="737427E7"/>
    <w:rsid w:val="737C78ED"/>
    <w:rsid w:val="737E5413"/>
    <w:rsid w:val="738D38A8"/>
    <w:rsid w:val="73934681"/>
    <w:rsid w:val="739369E5"/>
    <w:rsid w:val="73AB01D2"/>
    <w:rsid w:val="73AB7D8F"/>
    <w:rsid w:val="73AD5CF9"/>
    <w:rsid w:val="73BB6668"/>
    <w:rsid w:val="73C25D9A"/>
    <w:rsid w:val="73D94D40"/>
    <w:rsid w:val="740F0761"/>
    <w:rsid w:val="741144D9"/>
    <w:rsid w:val="74122000"/>
    <w:rsid w:val="74273CFD"/>
    <w:rsid w:val="742E508B"/>
    <w:rsid w:val="744877CF"/>
    <w:rsid w:val="74561EEC"/>
    <w:rsid w:val="74622F9F"/>
    <w:rsid w:val="74692D8A"/>
    <w:rsid w:val="74820346"/>
    <w:rsid w:val="74933140"/>
    <w:rsid w:val="74962C31"/>
    <w:rsid w:val="74A94712"/>
    <w:rsid w:val="74B135C7"/>
    <w:rsid w:val="74B81FE2"/>
    <w:rsid w:val="74B86703"/>
    <w:rsid w:val="74C57072"/>
    <w:rsid w:val="74C652C4"/>
    <w:rsid w:val="74CE23CA"/>
    <w:rsid w:val="74D13C69"/>
    <w:rsid w:val="74E813D5"/>
    <w:rsid w:val="74FF4332"/>
    <w:rsid w:val="750D68EF"/>
    <w:rsid w:val="751C1388"/>
    <w:rsid w:val="754206C3"/>
    <w:rsid w:val="754E7067"/>
    <w:rsid w:val="755F3023"/>
    <w:rsid w:val="757D16FB"/>
    <w:rsid w:val="758E3908"/>
    <w:rsid w:val="758E4F8E"/>
    <w:rsid w:val="75995FB8"/>
    <w:rsid w:val="759A22AD"/>
    <w:rsid w:val="75A1188D"/>
    <w:rsid w:val="75B50E95"/>
    <w:rsid w:val="75CA0DE4"/>
    <w:rsid w:val="75CD4430"/>
    <w:rsid w:val="75D25EEA"/>
    <w:rsid w:val="75F75951"/>
    <w:rsid w:val="75FC4D15"/>
    <w:rsid w:val="75FE0A8D"/>
    <w:rsid w:val="75FF0362"/>
    <w:rsid w:val="76097029"/>
    <w:rsid w:val="7610256F"/>
    <w:rsid w:val="76133C04"/>
    <w:rsid w:val="762229CE"/>
    <w:rsid w:val="763612C0"/>
    <w:rsid w:val="763B583E"/>
    <w:rsid w:val="763C15B6"/>
    <w:rsid w:val="764676CD"/>
    <w:rsid w:val="764A4CEF"/>
    <w:rsid w:val="76674885"/>
    <w:rsid w:val="76880357"/>
    <w:rsid w:val="769A0FC0"/>
    <w:rsid w:val="769D2054"/>
    <w:rsid w:val="76A50F09"/>
    <w:rsid w:val="76AA4771"/>
    <w:rsid w:val="76B33626"/>
    <w:rsid w:val="76C26322"/>
    <w:rsid w:val="76CC0B8C"/>
    <w:rsid w:val="76D0242A"/>
    <w:rsid w:val="76E13170"/>
    <w:rsid w:val="76E311A3"/>
    <w:rsid w:val="76FB0C8A"/>
    <w:rsid w:val="770B1FE4"/>
    <w:rsid w:val="771B11CB"/>
    <w:rsid w:val="772938E8"/>
    <w:rsid w:val="77304C77"/>
    <w:rsid w:val="774424D0"/>
    <w:rsid w:val="7769139F"/>
    <w:rsid w:val="777032C5"/>
    <w:rsid w:val="77770AF7"/>
    <w:rsid w:val="777C4360"/>
    <w:rsid w:val="77860D3A"/>
    <w:rsid w:val="77972F48"/>
    <w:rsid w:val="77A2369A"/>
    <w:rsid w:val="77B37656"/>
    <w:rsid w:val="77B561D9"/>
    <w:rsid w:val="77CD6969"/>
    <w:rsid w:val="77DD23C3"/>
    <w:rsid w:val="77E141C3"/>
    <w:rsid w:val="77EF68E0"/>
    <w:rsid w:val="78054355"/>
    <w:rsid w:val="780B7492"/>
    <w:rsid w:val="78202F3D"/>
    <w:rsid w:val="78281DF2"/>
    <w:rsid w:val="78300CA6"/>
    <w:rsid w:val="783267CC"/>
    <w:rsid w:val="783951EC"/>
    <w:rsid w:val="783C3AEF"/>
    <w:rsid w:val="783E1615"/>
    <w:rsid w:val="78484242"/>
    <w:rsid w:val="78485FF0"/>
    <w:rsid w:val="784A1D68"/>
    <w:rsid w:val="786646C8"/>
    <w:rsid w:val="786A240A"/>
    <w:rsid w:val="786C4C30"/>
    <w:rsid w:val="786D2D6A"/>
    <w:rsid w:val="7874661E"/>
    <w:rsid w:val="78787121"/>
    <w:rsid w:val="78827754"/>
    <w:rsid w:val="78B91B03"/>
    <w:rsid w:val="78D12489"/>
    <w:rsid w:val="78E201F2"/>
    <w:rsid w:val="78E26444"/>
    <w:rsid w:val="78E75809"/>
    <w:rsid w:val="790A7749"/>
    <w:rsid w:val="79134850"/>
    <w:rsid w:val="79170223"/>
    <w:rsid w:val="794744F9"/>
    <w:rsid w:val="794C5FB4"/>
    <w:rsid w:val="794C7B60"/>
    <w:rsid w:val="794E3859"/>
    <w:rsid w:val="795A247F"/>
    <w:rsid w:val="795A792C"/>
    <w:rsid w:val="79711576"/>
    <w:rsid w:val="7973634F"/>
    <w:rsid w:val="797F0066"/>
    <w:rsid w:val="79815C5D"/>
    <w:rsid w:val="79862855"/>
    <w:rsid w:val="798C63B0"/>
    <w:rsid w:val="799F4335"/>
    <w:rsid w:val="79AB7B9C"/>
    <w:rsid w:val="79B80F53"/>
    <w:rsid w:val="79D33BD7"/>
    <w:rsid w:val="79D52F41"/>
    <w:rsid w:val="79E65AC0"/>
    <w:rsid w:val="79EB1329"/>
    <w:rsid w:val="7A0128FA"/>
    <w:rsid w:val="7A0712A8"/>
    <w:rsid w:val="7A1A5F3C"/>
    <w:rsid w:val="7A293BFF"/>
    <w:rsid w:val="7A2E3F8E"/>
    <w:rsid w:val="7A342C40"/>
    <w:rsid w:val="7A3C1B84"/>
    <w:rsid w:val="7A486B67"/>
    <w:rsid w:val="7A546ECE"/>
    <w:rsid w:val="7A5C5D83"/>
    <w:rsid w:val="7A63380E"/>
    <w:rsid w:val="7A6D61E2"/>
    <w:rsid w:val="7A756E44"/>
    <w:rsid w:val="7A794B87"/>
    <w:rsid w:val="7A7C01D3"/>
    <w:rsid w:val="7A7E002C"/>
    <w:rsid w:val="7A8734B8"/>
    <w:rsid w:val="7A8A6D94"/>
    <w:rsid w:val="7A8E0B0D"/>
    <w:rsid w:val="7AA93B38"/>
    <w:rsid w:val="7AAD4830"/>
    <w:rsid w:val="7AB5650E"/>
    <w:rsid w:val="7AB64546"/>
    <w:rsid w:val="7AB91427"/>
    <w:rsid w:val="7ACB4729"/>
    <w:rsid w:val="7AE70BAE"/>
    <w:rsid w:val="7AEA7832"/>
    <w:rsid w:val="7AEC455F"/>
    <w:rsid w:val="7AF1296F"/>
    <w:rsid w:val="7AF406B1"/>
    <w:rsid w:val="7B05466C"/>
    <w:rsid w:val="7B0A3A31"/>
    <w:rsid w:val="7B1B7885"/>
    <w:rsid w:val="7B2F3497"/>
    <w:rsid w:val="7B3B62E0"/>
    <w:rsid w:val="7B4D1357"/>
    <w:rsid w:val="7B641393"/>
    <w:rsid w:val="7B6E2F9B"/>
    <w:rsid w:val="7B89704B"/>
    <w:rsid w:val="7B8A691F"/>
    <w:rsid w:val="7B98702C"/>
    <w:rsid w:val="7BA479E1"/>
    <w:rsid w:val="7BB045D8"/>
    <w:rsid w:val="7BC71922"/>
    <w:rsid w:val="7BD57CCF"/>
    <w:rsid w:val="7BDE0C48"/>
    <w:rsid w:val="7BFD3595"/>
    <w:rsid w:val="7C022E76"/>
    <w:rsid w:val="7C0D1A2A"/>
    <w:rsid w:val="7C0E7550"/>
    <w:rsid w:val="7C213B75"/>
    <w:rsid w:val="7C266648"/>
    <w:rsid w:val="7C3163FF"/>
    <w:rsid w:val="7C365D86"/>
    <w:rsid w:val="7C3B26D9"/>
    <w:rsid w:val="7C541407"/>
    <w:rsid w:val="7C5E4034"/>
    <w:rsid w:val="7C725D31"/>
    <w:rsid w:val="7C896BD7"/>
    <w:rsid w:val="7C8B6DF3"/>
    <w:rsid w:val="7C8D6749"/>
    <w:rsid w:val="7CA12173"/>
    <w:rsid w:val="7CA3413D"/>
    <w:rsid w:val="7CA61385"/>
    <w:rsid w:val="7CB718F6"/>
    <w:rsid w:val="7CCC0C02"/>
    <w:rsid w:val="7CD673E6"/>
    <w:rsid w:val="7CE64C01"/>
    <w:rsid w:val="7CEB2A4A"/>
    <w:rsid w:val="7CFB1883"/>
    <w:rsid w:val="7CFB7AD5"/>
    <w:rsid w:val="7CFE5817"/>
    <w:rsid w:val="7D123C1F"/>
    <w:rsid w:val="7D135677"/>
    <w:rsid w:val="7D1467DB"/>
    <w:rsid w:val="7D2863F0"/>
    <w:rsid w:val="7D295F33"/>
    <w:rsid w:val="7D2C7C8E"/>
    <w:rsid w:val="7D4B3316"/>
    <w:rsid w:val="7D6E1C31"/>
    <w:rsid w:val="7D6E64F9"/>
    <w:rsid w:val="7D847ACA"/>
    <w:rsid w:val="7D871368"/>
    <w:rsid w:val="7D8C2E23"/>
    <w:rsid w:val="7D931348"/>
    <w:rsid w:val="7DA35B52"/>
    <w:rsid w:val="7DBB54B6"/>
    <w:rsid w:val="7DD10836"/>
    <w:rsid w:val="7DD32800"/>
    <w:rsid w:val="7DED1B13"/>
    <w:rsid w:val="7DF14781"/>
    <w:rsid w:val="7E0D3978"/>
    <w:rsid w:val="7E1B4E79"/>
    <w:rsid w:val="7E266DD3"/>
    <w:rsid w:val="7E3A287F"/>
    <w:rsid w:val="7E492AC2"/>
    <w:rsid w:val="7E5A082B"/>
    <w:rsid w:val="7E5B163B"/>
    <w:rsid w:val="7E6873EC"/>
    <w:rsid w:val="7E95448B"/>
    <w:rsid w:val="7E9B156F"/>
    <w:rsid w:val="7EA61CC2"/>
    <w:rsid w:val="7EB10D93"/>
    <w:rsid w:val="7EB459DD"/>
    <w:rsid w:val="7EB776E6"/>
    <w:rsid w:val="7EBC14E6"/>
    <w:rsid w:val="7EC00FD6"/>
    <w:rsid w:val="7ECD724F"/>
    <w:rsid w:val="7ED24865"/>
    <w:rsid w:val="7EE10F4C"/>
    <w:rsid w:val="7EE22D5E"/>
    <w:rsid w:val="7EF02C27"/>
    <w:rsid w:val="7EF7251E"/>
    <w:rsid w:val="7EF91AB2"/>
    <w:rsid w:val="7EFA5574"/>
    <w:rsid w:val="7EFB3E85"/>
    <w:rsid w:val="7F005876"/>
    <w:rsid w:val="7F016EF9"/>
    <w:rsid w:val="7F076C05"/>
    <w:rsid w:val="7F0D7F93"/>
    <w:rsid w:val="7F0E20E8"/>
    <w:rsid w:val="7F177E9D"/>
    <w:rsid w:val="7F1B5744"/>
    <w:rsid w:val="7F2729DE"/>
    <w:rsid w:val="7F390D88"/>
    <w:rsid w:val="7F3E1EFB"/>
    <w:rsid w:val="7F5E7F52"/>
    <w:rsid w:val="7F7D0C75"/>
    <w:rsid w:val="7F7E5754"/>
    <w:rsid w:val="7F841BB1"/>
    <w:rsid w:val="7F89761A"/>
    <w:rsid w:val="7F8C2C66"/>
    <w:rsid w:val="7F9D2340"/>
    <w:rsid w:val="7FAA7590"/>
    <w:rsid w:val="7FAB3A34"/>
    <w:rsid w:val="7FC468A4"/>
    <w:rsid w:val="7FCF1996"/>
    <w:rsid w:val="7FD17D13"/>
    <w:rsid w:val="7FD7406F"/>
    <w:rsid w:val="7FDB621D"/>
    <w:rsid w:val="7FDF106F"/>
    <w:rsid w:val="7FF107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beforeLines="0" w:after="330" w:afterLines="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rFonts w:ascii="Times New Roman" w:hAnsi="Times New Roman" w:eastAsia="宋体" w:cs="Times New Roman"/>
      <w:kern w:val="0"/>
      <w:sz w:val="24"/>
      <w:szCs w:val="20"/>
    </w:rPr>
  </w:style>
  <w:style w:type="paragraph" w:styleId="4">
    <w:name w:val="heading 3"/>
    <w:basedOn w:val="1"/>
    <w:next w:val="1"/>
    <w:autoRedefine/>
    <w:qFormat/>
    <w:uiPriority w:val="0"/>
    <w:pPr>
      <w:keepNext/>
      <w:keepLines/>
      <w:spacing w:before="260" w:beforeLines="0" w:after="260" w:afterLines="0" w:line="416" w:lineRule="atLeast"/>
      <w:jc w:val="both"/>
      <w:textAlignment w:val="baseline"/>
      <w:outlineLvl w:val="2"/>
    </w:pPr>
    <w:rPr>
      <w:rFonts w:ascii="Times New Roman" w:hAnsi="Times New Roman" w:eastAsia="宋体" w:cs="Times New Roman"/>
      <w:b/>
      <w:bCs/>
      <w:color w:val="000000"/>
      <w:sz w:val="32"/>
      <w:szCs w:val="32"/>
      <w:u w:val="none" w:color="000000"/>
      <w:lang w:val="en-US" w:eastAsia="zh-CN" w:bidi="ar-SA"/>
    </w:rPr>
  </w:style>
  <w:style w:type="paragraph" w:styleId="5">
    <w:name w:val="heading 4"/>
    <w:basedOn w:val="1"/>
    <w:next w:val="1"/>
    <w:link w:val="58"/>
    <w:autoRedefine/>
    <w:qFormat/>
    <w:uiPriority w:val="0"/>
    <w:pPr>
      <w:keepNext/>
      <w:keepLines/>
      <w:widowControl/>
      <w:spacing w:before="280" w:beforeLines="0" w:after="290" w:afterLines="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9"/>
    <w:autoRedefine/>
    <w:qFormat/>
    <w:uiPriority w:val="0"/>
    <w:pPr>
      <w:keepNext/>
      <w:keepLines/>
      <w:spacing w:before="280" w:beforeLines="0" w:after="290" w:afterLines="0" w:line="376" w:lineRule="auto"/>
      <w:outlineLvl w:val="4"/>
    </w:pPr>
    <w:rPr>
      <w:b/>
      <w:bCs/>
      <w:sz w:val="28"/>
      <w:szCs w:val="28"/>
    </w:rPr>
  </w:style>
  <w:style w:type="paragraph" w:styleId="7">
    <w:name w:val="heading 6"/>
    <w:basedOn w:val="1"/>
    <w:next w:val="1"/>
    <w:link w:val="60"/>
    <w:autoRedefine/>
    <w:qFormat/>
    <w:uiPriority w:val="0"/>
    <w:pPr>
      <w:keepNext/>
      <w:keepLines/>
      <w:spacing w:before="240" w:beforeLines="0" w:after="64" w:afterLines="0" w:line="320" w:lineRule="auto"/>
      <w:outlineLvl w:val="5"/>
    </w:pPr>
    <w:rPr>
      <w:rFonts w:ascii="Cambria" w:hAnsi="Cambria"/>
      <w:b/>
      <w:bCs/>
      <w:sz w:val="24"/>
    </w:rPr>
  </w:style>
  <w:style w:type="paragraph" w:styleId="8">
    <w:name w:val="heading 7"/>
    <w:basedOn w:val="1"/>
    <w:next w:val="1"/>
    <w:link w:val="61"/>
    <w:autoRedefine/>
    <w:qFormat/>
    <w:uiPriority w:val="0"/>
    <w:pPr>
      <w:keepNext/>
      <w:keepLines/>
      <w:spacing w:before="240" w:beforeLines="0" w:after="64" w:afterLines="0" w:line="320" w:lineRule="auto"/>
      <w:outlineLvl w:val="6"/>
    </w:pPr>
    <w:rPr>
      <w:b/>
      <w:bCs/>
      <w:sz w:val="24"/>
    </w:rPr>
  </w:style>
  <w:style w:type="character" w:default="1" w:styleId="37">
    <w:name w:val="Default Paragraph Font"/>
    <w:autoRedefine/>
    <w:qFormat/>
    <w:uiPriority w:val="0"/>
    <w:rPr>
      <w:rFonts w:ascii="Times New Roman" w:hAnsi="Times New Roman" w:eastAsia="宋体" w:cs="Times New Roman"/>
    </w:rPr>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 w:val="clear" w:pos="425"/>
      </w:tabs>
      <w:adjustRightInd w:val="0"/>
      <w:spacing w:line="300" w:lineRule="auto"/>
      <w:textAlignment w:val="baseline"/>
    </w:pPr>
    <w:rPr>
      <w:rFonts w:ascii="Times New Roman" w:hAnsi="Times New Roman" w:eastAsia="宋体" w:cs="Times New Roman"/>
      <w:kern w:val="0"/>
      <w:sz w:val="28"/>
      <w:szCs w:val="20"/>
    </w:rPr>
  </w:style>
  <w:style w:type="paragraph" w:styleId="11">
    <w:name w:val="Normal Indent"/>
    <w:basedOn w:val="1"/>
    <w:next w:val="12"/>
    <w:autoRedefine/>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2">
    <w:name w:val="Body Text First Indent 2"/>
    <w:basedOn w:val="13"/>
    <w:next w:val="1"/>
    <w:link w:val="56"/>
    <w:autoRedefine/>
    <w:qFormat/>
    <w:uiPriority w:val="0"/>
    <w:pPr>
      <w:ind w:left="420" w:firstLine="420" w:firstLineChars="200"/>
    </w:pPr>
    <w:rPr>
      <w:kern w:val="0"/>
      <w:sz w:val="20"/>
      <w:szCs w:val="20"/>
    </w:rPr>
  </w:style>
  <w:style w:type="paragraph" w:styleId="13">
    <w:name w:val="Body Text Indent"/>
    <w:basedOn w:val="1"/>
    <w:next w:val="14"/>
    <w:link w:val="55"/>
    <w:autoRedefine/>
    <w:qFormat/>
    <w:uiPriority w:val="0"/>
    <w:pPr>
      <w:spacing w:after="120" w:afterLines="0"/>
      <w:ind w:left="200" w:leftChars="200"/>
    </w:pPr>
  </w:style>
  <w:style w:type="paragraph" w:styleId="14">
    <w:name w:val="envelope return"/>
    <w:basedOn w:val="1"/>
    <w:autoRedefine/>
    <w:qFormat/>
    <w:uiPriority w:val="0"/>
    <w:pPr>
      <w:snapToGrid w:val="0"/>
    </w:pPr>
    <w:rPr>
      <w:rFonts w:ascii="Arial" w:hAnsi="Arial" w:eastAsia="宋体" w:cs="Times New Roman"/>
    </w:rPr>
  </w:style>
  <w:style w:type="paragraph" w:styleId="15">
    <w:name w:val="Document Map"/>
    <w:basedOn w:val="1"/>
    <w:next w:val="1"/>
    <w:autoRedefine/>
    <w:qFormat/>
    <w:uiPriority w:val="0"/>
    <w:pPr>
      <w:widowControl/>
      <w:shd w:val="clear" w:color="000000" w:fill="000080"/>
      <w:autoSpaceDE/>
      <w:autoSpaceDN/>
      <w:spacing w:before="0" w:beforeLines="0" w:after="0" w:afterLines="0" w:line="357" w:lineRule="atLeast"/>
      <w:ind w:left="0" w:firstLine="0"/>
      <w:jc w:val="both"/>
    </w:pPr>
    <w:rPr>
      <w:rFonts w:ascii="Times New Roman" w:hAnsi="Times New Roman" w:eastAsia="宋体" w:cs="Times New Roman"/>
      <w:color w:val="000000"/>
      <w:sz w:val="21"/>
    </w:rPr>
  </w:style>
  <w:style w:type="paragraph" w:styleId="16">
    <w:name w:val="annotation text"/>
    <w:basedOn w:val="1"/>
    <w:link w:val="62"/>
    <w:autoRedefine/>
    <w:qFormat/>
    <w:uiPriority w:val="0"/>
    <w:pPr>
      <w:jc w:val="left"/>
    </w:pPr>
  </w:style>
  <w:style w:type="paragraph" w:styleId="17">
    <w:name w:val="Body Text"/>
    <w:basedOn w:val="1"/>
    <w:autoRedefine/>
    <w:qFormat/>
    <w:uiPriority w:val="0"/>
    <w:pPr>
      <w:spacing w:after="120" w:afterLines="0"/>
    </w:pPr>
    <w:rPr>
      <w:rFonts w:ascii="Times New Roman" w:hAnsi="Times New Roman" w:eastAsia="宋体" w:cs="Times New Roman"/>
    </w:rPr>
  </w:style>
  <w:style w:type="paragraph" w:styleId="18">
    <w:name w:val="toc 3"/>
    <w:basedOn w:val="1"/>
    <w:next w:val="1"/>
    <w:autoRedefine/>
    <w:qFormat/>
    <w:uiPriority w:val="0"/>
    <w:pPr>
      <w:tabs>
        <w:tab w:val="right" w:leader="dot" w:pos="9288"/>
      </w:tabs>
      <w:ind w:left="400" w:leftChars="400"/>
    </w:pPr>
    <w:rPr>
      <w:rFonts w:ascii="宋体" w:hAnsi="Times New Roman" w:eastAsia="宋体" w:cs="Times New Roman"/>
    </w:rPr>
  </w:style>
  <w:style w:type="paragraph" w:styleId="19">
    <w:name w:val="Plain Text"/>
    <w:basedOn w:val="1"/>
    <w:link w:val="63"/>
    <w:autoRedefine/>
    <w:qFormat/>
    <w:uiPriority w:val="0"/>
    <w:rPr>
      <w:rFonts w:ascii="宋体"/>
      <w:color w:val="000000"/>
      <w:szCs w:val="20"/>
      <w:u w:val="none" w:color="000000"/>
    </w:rPr>
  </w:style>
  <w:style w:type="paragraph" w:styleId="20">
    <w:name w:val="Date"/>
    <w:basedOn w:val="1"/>
    <w:next w:val="1"/>
    <w:link w:val="64"/>
    <w:autoRedefine/>
    <w:qFormat/>
    <w:uiPriority w:val="0"/>
    <w:rPr>
      <w:rFonts w:ascii="Arial" w:hAnsi="Arial" w:eastAsia="仿宋_GB2312"/>
      <w:color w:val="000000"/>
      <w:sz w:val="32"/>
      <w:szCs w:val="20"/>
      <w:u w:val="none" w:color="000000"/>
    </w:rPr>
  </w:style>
  <w:style w:type="paragraph" w:styleId="21">
    <w:name w:val="Body Text Indent 2"/>
    <w:basedOn w:val="1"/>
    <w:link w:val="65"/>
    <w:autoRedefine/>
    <w:qFormat/>
    <w:uiPriority w:val="0"/>
    <w:pPr>
      <w:spacing w:after="120" w:afterLines="0" w:line="480" w:lineRule="auto"/>
      <w:ind w:left="420" w:leftChars="200"/>
    </w:pPr>
  </w:style>
  <w:style w:type="paragraph" w:styleId="22">
    <w:name w:val="Balloon Text"/>
    <w:basedOn w:val="1"/>
    <w:link w:val="66"/>
    <w:autoRedefine/>
    <w:qFormat/>
    <w:uiPriority w:val="0"/>
    <w:rPr>
      <w:sz w:val="18"/>
      <w:szCs w:val="18"/>
    </w:rPr>
  </w:style>
  <w:style w:type="paragraph" w:styleId="23">
    <w:name w:val="footer"/>
    <w:basedOn w:val="1"/>
    <w:link w:val="67"/>
    <w:autoRedefine/>
    <w:qFormat/>
    <w:uiPriority w:val="0"/>
    <w:pPr>
      <w:tabs>
        <w:tab w:val="center" w:pos="4153"/>
        <w:tab w:val="right" w:pos="8306"/>
      </w:tabs>
      <w:snapToGrid w:val="0"/>
      <w:jc w:val="left"/>
    </w:pPr>
    <w:rPr>
      <w:sz w:val="18"/>
      <w:szCs w:val="18"/>
    </w:rPr>
  </w:style>
  <w:style w:type="paragraph" w:styleId="24">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rPr>
      <w:rFonts w:ascii="Times New Roman" w:hAnsi="Times New Roman" w:eastAsia="宋体" w:cs="Times New Roman"/>
    </w:rPr>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eastAsia="宋体" w:cs="Times New Roman"/>
      <w:bCs/>
      <w:kern w:val="28"/>
      <w:szCs w:val="32"/>
    </w:rPr>
  </w:style>
  <w:style w:type="paragraph" w:styleId="27">
    <w:name w:val="List"/>
    <w:basedOn w:val="1"/>
    <w:next w:val="1"/>
    <w:autoRedefine/>
    <w:qFormat/>
    <w:uiPriority w:val="0"/>
    <w:pPr>
      <w:widowControl w:val="0"/>
      <w:spacing w:line="240" w:lineRule="auto"/>
      <w:ind w:left="420" w:hanging="420"/>
      <w:textAlignment w:val="auto"/>
    </w:pPr>
    <w:rPr>
      <w:rFonts w:ascii="Arial" w:hAnsi="Arial" w:eastAsia="楷体_GB2312" w:cs="Times New Roman"/>
      <w:color w:val="auto"/>
      <w:kern w:val="2"/>
      <w:sz w:val="28"/>
      <w:u w:val="none" w:color="auto"/>
    </w:rPr>
  </w:style>
  <w:style w:type="paragraph" w:styleId="28">
    <w:name w:val="footnote text"/>
    <w:basedOn w:val="1"/>
    <w:autoRedefine/>
    <w:qFormat/>
    <w:uiPriority w:val="0"/>
    <w:rPr>
      <w:sz w:val="20"/>
      <w:szCs w:val="20"/>
    </w:rPr>
  </w:style>
  <w:style w:type="paragraph" w:styleId="29">
    <w:name w:val="toc 2"/>
    <w:basedOn w:val="1"/>
    <w:next w:val="1"/>
    <w:autoRedefine/>
    <w:qFormat/>
    <w:uiPriority w:val="0"/>
    <w:pPr>
      <w:ind w:left="200" w:leftChars="200"/>
    </w:pPr>
    <w:rPr>
      <w:rFonts w:ascii="Times New Roman" w:hAnsi="Times New Roman" w:eastAsia="宋体" w:cs="Times New Roman"/>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eastAsia="宋体" w:cs="Times New Roman"/>
      <w:b/>
      <w:bCs/>
      <w:sz w:val="28"/>
      <w:szCs w:val="32"/>
    </w:rPr>
  </w:style>
  <w:style w:type="paragraph" w:styleId="33">
    <w:name w:val="annotation subject"/>
    <w:basedOn w:val="16"/>
    <w:next w:val="16"/>
    <w:link w:val="69"/>
    <w:autoRedefine/>
    <w:qFormat/>
    <w:uiPriority w:val="0"/>
    <w:rPr>
      <w:b/>
      <w:bCs/>
    </w:rPr>
  </w:style>
  <w:style w:type="paragraph" w:styleId="34">
    <w:name w:val="Body Text First Indent"/>
    <w:basedOn w:val="17"/>
    <w:autoRedefine/>
    <w:qFormat/>
    <w:uiPriority w:val="0"/>
    <w:pPr>
      <w:ind w:firstLine="420" w:firstLineChars="100"/>
    </w:pPr>
    <w:rPr>
      <w:rFonts w:ascii="Times New Roman" w:hAnsi="Times New Roman" w:eastAsia="宋体" w:cs="Times New Roman"/>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rFonts w:ascii="Times New Roman" w:hAnsi="Times New Roman" w:eastAsia="宋体" w:cs="Times New Roman"/>
      <w:b/>
    </w:rPr>
  </w:style>
  <w:style w:type="character" w:styleId="39">
    <w:name w:val="page number"/>
    <w:autoRedefine/>
    <w:qFormat/>
    <w:uiPriority w:val="0"/>
    <w:rPr>
      <w:rFonts w:ascii="Times New Roman" w:hAnsi="Times New Roman" w:eastAsia="宋体" w:cs="Times New Roman"/>
    </w:rPr>
  </w:style>
  <w:style w:type="character" w:styleId="40">
    <w:name w:val="FollowedHyperlink"/>
    <w:autoRedefine/>
    <w:qFormat/>
    <w:uiPriority w:val="0"/>
    <w:rPr>
      <w:rFonts w:ascii="Times New Roman" w:hAnsi="Times New Roman" w:eastAsia="宋体" w:cs="Times New Roman"/>
      <w:color w:val="333333"/>
      <w:u w:val="none"/>
    </w:rPr>
  </w:style>
  <w:style w:type="character" w:styleId="41">
    <w:name w:val="Emphasis"/>
    <w:autoRedefine/>
    <w:qFormat/>
    <w:uiPriority w:val="0"/>
    <w:rPr>
      <w:rFonts w:ascii="Times New Roman" w:hAnsi="Times New Roman" w:eastAsia="宋体" w:cs="Times New Roman"/>
      <w:i/>
      <w:iCs/>
    </w:rPr>
  </w:style>
  <w:style w:type="character" w:styleId="42">
    <w:name w:val="HTML Definition"/>
    <w:autoRedefine/>
    <w:qFormat/>
    <w:uiPriority w:val="0"/>
    <w:rPr>
      <w:rFonts w:ascii="Times New Roman" w:hAnsi="Times New Roman" w:eastAsia="宋体" w:cs="Times New Roman"/>
    </w:rPr>
  </w:style>
  <w:style w:type="character" w:styleId="43">
    <w:name w:val="HTML Typewriter"/>
    <w:autoRedefine/>
    <w:qFormat/>
    <w:uiPriority w:val="0"/>
    <w:rPr>
      <w:rFonts w:hint="default" w:ascii="monospace" w:hAnsi="monospace" w:eastAsia="monospace" w:cs="monospace"/>
      <w:sz w:val="20"/>
    </w:rPr>
  </w:style>
  <w:style w:type="character" w:styleId="44">
    <w:name w:val="HTML Acronym"/>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autoRedefine/>
    <w:qFormat/>
    <w:uiPriority w:val="0"/>
    <w:rPr>
      <w:rFonts w:ascii="Times New Roman" w:hAnsi="Times New Roman" w:eastAsia="宋体" w:cs="Times New Roman"/>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footnote reference"/>
    <w:autoRedefine/>
    <w:qFormat/>
    <w:uiPriority w:val="0"/>
    <w:rPr>
      <w:vertAlign w:val="superscript"/>
    </w:rPr>
  </w:style>
  <w:style w:type="character" w:styleId="51">
    <w:name w:val="HTML Keyboard"/>
    <w:autoRedefine/>
    <w:qFormat/>
    <w:uiPriority w:val="0"/>
    <w:rPr>
      <w:rFonts w:hint="default" w:ascii="monospace" w:hAnsi="monospace" w:eastAsia="monospace" w:cs="monospace"/>
      <w:sz w:val="20"/>
    </w:rPr>
  </w:style>
  <w:style w:type="character" w:styleId="52">
    <w:name w:val="HTML Sample"/>
    <w:autoRedefine/>
    <w:qFormat/>
    <w:uiPriority w:val="0"/>
    <w:rPr>
      <w:rFonts w:ascii="monospace" w:hAnsi="monospace" w:eastAsia="monospace" w:cs="monospace"/>
    </w:rPr>
  </w:style>
  <w:style w:type="paragraph" w:customStyle="1" w:styleId="53">
    <w:name w:val="正文文字 8"/>
    <w:basedOn w:val="1"/>
    <w:next w:val="1"/>
    <w:autoRedefine/>
    <w:qFormat/>
    <w:uiPriority w:val="0"/>
    <w:pPr>
      <w:ind w:left="240"/>
    </w:pPr>
    <w:rPr>
      <w:sz w:val="16"/>
    </w:rPr>
  </w:style>
  <w:style w:type="paragraph" w:customStyle="1" w:styleId="5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5">
    <w:name w:val="正文文本缩进 Char"/>
    <w:link w:val="13"/>
    <w:autoRedefine/>
    <w:qFormat/>
    <w:uiPriority w:val="0"/>
    <w:rPr>
      <w:rFonts w:ascii="Times New Roman" w:hAnsi="Times New Roman" w:eastAsia="宋体" w:cs="Times New Roman"/>
      <w:kern w:val="2"/>
      <w:sz w:val="21"/>
      <w:szCs w:val="24"/>
    </w:rPr>
  </w:style>
  <w:style w:type="character" w:customStyle="1" w:styleId="56">
    <w:name w:val="正文首行缩进 2 Char"/>
    <w:link w:val="12"/>
    <w:autoRedefine/>
    <w:qFormat/>
    <w:uiPriority w:val="0"/>
    <w:rPr>
      <w:rFonts w:ascii="Times New Roman" w:hAnsi="Times New Roman" w:eastAsia="宋体" w:cs="Times New Roman"/>
    </w:rPr>
  </w:style>
  <w:style w:type="character" w:customStyle="1" w:styleId="57">
    <w:name w:val="标题 1 Char"/>
    <w:link w:val="2"/>
    <w:autoRedefine/>
    <w:qFormat/>
    <w:uiPriority w:val="0"/>
    <w:rPr>
      <w:rFonts w:ascii="Times New Roman" w:hAnsi="Times New Roman" w:eastAsia="宋体" w:cs="Times New Roman"/>
      <w:b/>
      <w:bCs/>
      <w:kern w:val="44"/>
      <w:sz w:val="32"/>
      <w:szCs w:val="44"/>
    </w:rPr>
  </w:style>
  <w:style w:type="character" w:customStyle="1" w:styleId="58">
    <w:name w:val="标题 4 Char"/>
    <w:link w:val="5"/>
    <w:autoRedefine/>
    <w:qFormat/>
    <w:uiPriority w:val="0"/>
    <w:rPr>
      <w:rFonts w:ascii="Arial" w:hAnsi="Arial" w:eastAsia="黑体" w:cs="Times New Roman"/>
      <w:b/>
      <w:bCs/>
      <w:color w:val="000000"/>
      <w:sz w:val="28"/>
      <w:szCs w:val="28"/>
      <w:u w:val="none" w:color="000000"/>
      <w:lang w:val="en-US" w:eastAsia="zh-CN" w:bidi="ar-SA"/>
    </w:rPr>
  </w:style>
  <w:style w:type="character" w:customStyle="1" w:styleId="59">
    <w:name w:val="标题 5 Char"/>
    <w:link w:val="6"/>
    <w:autoRedefine/>
    <w:qFormat/>
    <w:uiPriority w:val="0"/>
    <w:rPr>
      <w:rFonts w:ascii="Times New Roman" w:hAnsi="Times New Roman" w:eastAsia="宋体" w:cs="Times New Roman"/>
      <w:b/>
      <w:bCs/>
      <w:kern w:val="2"/>
      <w:sz w:val="28"/>
      <w:szCs w:val="28"/>
    </w:rPr>
  </w:style>
  <w:style w:type="character" w:customStyle="1" w:styleId="60">
    <w:name w:val="标题 6 Char"/>
    <w:link w:val="7"/>
    <w:autoRedefine/>
    <w:qFormat/>
    <w:uiPriority w:val="0"/>
    <w:rPr>
      <w:rFonts w:ascii="Cambria" w:hAnsi="Cambria" w:eastAsia="宋体" w:cs="Times New Roman"/>
      <w:b/>
      <w:bCs/>
      <w:kern w:val="2"/>
      <w:sz w:val="24"/>
      <w:szCs w:val="24"/>
    </w:rPr>
  </w:style>
  <w:style w:type="character" w:customStyle="1" w:styleId="61">
    <w:name w:val="标题 7 Char"/>
    <w:link w:val="8"/>
    <w:autoRedefine/>
    <w:qFormat/>
    <w:uiPriority w:val="0"/>
    <w:rPr>
      <w:rFonts w:ascii="Times New Roman" w:hAnsi="Times New Roman" w:eastAsia="宋体" w:cs="Times New Roman"/>
      <w:b/>
      <w:bCs/>
      <w:kern w:val="2"/>
      <w:sz w:val="24"/>
      <w:szCs w:val="24"/>
    </w:rPr>
  </w:style>
  <w:style w:type="character" w:customStyle="1" w:styleId="62">
    <w:name w:val="批注文字 Char"/>
    <w:link w:val="16"/>
    <w:autoRedefine/>
    <w:qFormat/>
    <w:uiPriority w:val="0"/>
    <w:rPr>
      <w:rFonts w:ascii="Times New Roman" w:hAnsi="Times New Roman" w:eastAsia="宋体" w:cs="Times New Roman"/>
      <w:kern w:val="2"/>
      <w:sz w:val="21"/>
      <w:szCs w:val="24"/>
    </w:rPr>
  </w:style>
  <w:style w:type="character" w:customStyle="1" w:styleId="63">
    <w:name w:val="纯文本 Char"/>
    <w:link w:val="19"/>
    <w:autoRedefine/>
    <w:qFormat/>
    <w:uiPriority w:val="0"/>
    <w:rPr>
      <w:rFonts w:ascii="宋体" w:hAnsi="Times New Roman" w:eastAsia="宋体" w:cs="Times New Roman"/>
      <w:color w:val="000000"/>
      <w:kern w:val="2"/>
      <w:sz w:val="21"/>
      <w:u w:val="none" w:color="000000"/>
      <w:lang w:val="en-US" w:eastAsia="zh-CN" w:bidi="ar-SA"/>
    </w:rPr>
  </w:style>
  <w:style w:type="character" w:customStyle="1" w:styleId="64">
    <w:name w:val="日期 Char"/>
    <w:link w:val="20"/>
    <w:autoRedefine/>
    <w:qFormat/>
    <w:uiPriority w:val="0"/>
    <w:rPr>
      <w:rFonts w:ascii="Arial" w:hAnsi="Arial" w:eastAsia="仿宋_GB2312" w:cs="Times New Roman"/>
      <w:color w:val="000000"/>
      <w:kern w:val="2"/>
      <w:sz w:val="32"/>
      <w:u w:val="none" w:color="000000"/>
    </w:rPr>
  </w:style>
  <w:style w:type="character" w:customStyle="1" w:styleId="65">
    <w:name w:val="正文文本缩进 2 Char"/>
    <w:link w:val="21"/>
    <w:autoRedefine/>
    <w:qFormat/>
    <w:uiPriority w:val="0"/>
    <w:rPr>
      <w:rFonts w:ascii="Times New Roman" w:hAnsi="Times New Roman" w:eastAsia="宋体" w:cs="Times New Roman"/>
      <w:kern w:val="2"/>
      <w:sz w:val="21"/>
      <w:szCs w:val="24"/>
    </w:rPr>
  </w:style>
  <w:style w:type="character" w:customStyle="1" w:styleId="66">
    <w:name w:val="批注框文本 Char"/>
    <w:link w:val="22"/>
    <w:autoRedefine/>
    <w:qFormat/>
    <w:uiPriority w:val="0"/>
    <w:rPr>
      <w:rFonts w:ascii="Times New Roman" w:hAnsi="Times New Roman" w:eastAsia="宋体" w:cs="Times New Roman"/>
      <w:kern w:val="2"/>
      <w:sz w:val="18"/>
      <w:szCs w:val="18"/>
    </w:rPr>
  </w:style>
  <w:style w:type="character" w:customStyle="1" w:styleId="67">
    <w:name w:val="页脚 Char"/>
    <w:link w:val="23"/>
    <w:autoRedefine/>
    <w:qFormat/>
    <w:uiPriority w:val="0"/>
    <w:rPr>
      <w:rFonts w:ascii="Times New Roman" w:hAnsi="Times New Roman" w:eastAsia="宋体" w:cs="Times New Roman"/>
      <w:kern w:val="2"/>
      <w:sz w:val="18"/>
      <w:szCs w:val="18"/>
    </w:rPr>
  </w:style>
  <w:style w:type="character" w:customStyle="1" w:styleId="68">
    <w:name w:val="页眉 Char"/>
    <w:link w:val="24"/>
    <w:autoRedefine/>
    <w:qFormat/>
    <w:uiPriority w:val="0"/>
    <w:rPr>
      <w:rFonts w:ascii="Times New Roman" w:hAnsi="Times New Roman" w:eastAsia="宋体" w:cs="Times New Roman"/>
      <w:kern w:val="2"/>
      <w:sz w:val="18"/>
      <w:szCs w:val="18"/>
    </w:rPr>
  </w:style>
  <w:style w:type="character" w:customStyle="1" w:styleId="69">
    <w:name w:val="批注主题 Char"/>
    <w:link w:val="33"/>
    <w:autoRedefine/>
    <w:qFormat/>
    <w:uiPriority w:val="0"/>
    <w:rPr>
      <w:rFonts w:ascii="Times New Roman" w:hAnsi="Times New Roman" w:eastAsia="宋体" w:cs="Times New Roman"/>
      <w:b/>
      <w:bCs/>
      <w:kern w:val="2"/>
      <w:sz w:val="21"/>
      <w:szCs w:val="24"/>
    </w:rPr>
  </w:style>
  <w:style w:type="character" w:customStyle="1" w:styleId="70">
    <w:name w:val="图表 Char Char"/>
    <w:link w:val="71"/>
    <w:autoRedefine/>
    <w:qFormat/>
    <w:uiPriority w:val="0"/>
    <w:rPr>
      <w:rFonts w:ascii="Times New Roman" w:hAnsi="Times New Roman" w:eastAsia="宋体" w:cs="Times New Roman"/>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正文】 Char Char"/>
    <w:link w:val="73"/>
    <w:autoRedefine/>
    <w:qFormat/>
    <w:uiPriority w:val="0"/>
    <w:rPr>
      <w:rFonts w:ascii="Times New Roman" w:hAnsi="Times New Roman" w:eastAsia="宋体" w:cs="DokChampa"/>
      <w:kern w:val="2"/>
      <w:sz w:val="24"/>
      <w:szCs w:val="22"/>
    </w:rPr>
  </w:style>
  <w:style w:type="paragraph" w:customStyle="1" w:styleId="73">
    <w:name w:val="【正文】"/>
    <w:basedOn w:val="1"/>
    <w:link w:val="72"/>
    <w:autoRedefine/>
    <w:qFormat/>
    <w:uiPriority w:val="0"/>
    <w:pPr>
      <w:spacing w:line="360" w:lineRule="auto"/>
      <w:ind w:firstLine="480" w:firstLineChars="200"/>
    </w:pPr>
    <w:rPr>
      <w:sz w:val="24"/>
      <w:szCs w:val="22"/>
    </w:rPr>
  </w:style>
  <w:style w:type="character" w:customStyle="1" w:styleId="74">
    <w:name w:val="selected"/>
    <w:autoRedefine/>
    <w:qFormat/>
    <w:uiPriority w:val="0"/>
    <w:rPr>
      <w:rFonts w:ascii="Times New Roman" w:hAnsi="Times New Roman" w:eastAsia="宋体" w:cs="Times New Roman"/>
      <w:shd w:val="clear" w:color="auto" w:fill="B00006"/>
    </w:rPr>
  </w:style>
  <w:style w:type="character" w:customStyle="1" w:styleId="75">
    <w:name w:val="font21"/>
    <w:basedOn w:val="37"/>
    <w:autoRedefine/>
    <w:qFormat/>
    <w:uiPriority w:val="0"/>
    <w:rPr>
      <w:rFonts w:hint="eastAsia" w:ascii="宋体" w:hAnsi="宋体" w:eastAsia="宋体" w:cs="宋体"/>
      <w:color w:val="000000"/>
      <w:sz w:val="18"/>
      <w:szCs w:val="18"/>
      <w:u w:val="none"/>
    </w:rPr>
  </w:style>
  <w:style w:type="character" w:customStyle="1" w:styleId="76">
    <w:name w:val="bds_nopic"/>
    <w:autoRedefine/>
    <w:qFormat/>
    <w:uiPriority w:val="0"/>
    <w:rPr>
      <w:rFonts w:ascii="Times New Roman" w:hAnsi="Times New Roman" w:eastAsia="宋体" w:cs="Times New Roman"/>
    </w:rPr>
  </w:style>
  <w:style w:type="character" w:customStyle="1" w:styleId="77">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78">
    <w:name w:val="gpa"/>
    <w:autoRedefine/>
    <w:qFormat/>
    <w:uiPriority w:val="0"/>
    <w:rPr>
      <w:rFonts w:ascii="Arial" w:hAnsi="Arial" w:eastAsia="宋体" w:cs="Arial"/>
      <w:sz w:val="15"/>
      <w:szCs w:val="15"/>
    </w:rPr>
  </w:style>
  <w:style w:type="character" w:customStyle="1" w:styleId="79">
    <w:name w:val="正文首行缩进 2 Char1"/>
    <w:autoRedefine/>
    <w:qFormat/>
    <w:uiPriority w:val="0"/>
    <w:rPr>
      <w:rFonts w:ascii="Times New Roman" w:hAnsi="Times New Roman" w:eastAsia="宋体" w:cs="Times New Roman"/>
    </w:rPr>
  </w:style>
  <w:style w:type="character" w:customStyle="1" w:styleId="80">
    <w:name w:val="列出段落 Char"/>
    <w:link w:val="81"/>
    <w:autoRedefine/>
    <w:qFormat/>
    <w:uiPriority w:val="0"/>
    <w:rPr>
      <w:rFonts w:ascii="Calibri" w:hAnsi="Calibri" w:eastAsia="宋体" w:cs="Times New Roman"/>
      <w:kern w:val="2"/>
      <w:sz w:val="21"/>
      <w:szCs w:val="22"/>
      <w:lang w:val="en-US" w:eastAsia="zh-CN" w:bidi="ar-SA"/>
    </w:rPr>
  </w:style>
  <w:style w:type="paragraph" w:customStyle="1" w:styleId="81">
    <w:name w:val="List Paragraph1"/>
    <w:basedOn w:val="1"/>
    <w:link w:val="80"/>
    <w:autoRedefine/>
    <w:qFormat/>
    <w:uiPriority w:val="0"/>
    <w:pPr>
      <w:spacing w:line="312" w:lineRule="auto"/>
      <w:ind w:firstLine="420" w:firstLineChars="200"/>
    </w:pPr>
    <w:rPr>
      <w:rFonts w:ascii="Calibri" w:hAnsi="Calibri"/>
      <w:szCs w:val="22"/>
    </w:rPr>
  </w:style>
  <w:style w:type="character" w:customStyle="1" w:styleId="82">
    <w:name w:val="bds_nopic2"/>
    <w:autoRedefine/>
    <w:qFormat/>
    <w:uiPriority w:val="0"/>
    <w:rPr>
      <w:rFonts w:ascii="Times New Roman" w:hAnsi="Times New Roman" w:eastAsia="宋体" w:cs="Times New Roman"/>
    </w:rPr>
  </w:style>
  <w:style w:type="character" w:customStyle="1" w:styleId="83">
    <w:name w:val="font61"/>
    <w:autoRedefine/>
    <w:qFormat/>
    <w:uiPriority w:val="0"/>
    <w:rPr>
      <w:rFonts w:hint="default" w:ascii="MS Sans Serif" w:hAnsi="MS Sans Serif" w:eastAsia="MS Sans Serif" w:cs="MS Sans Serif"/>
      <w:color w:val="000000"/>
      <w:sz w:val="18"/>
      <w:szCs w:val="18"/>
      <w:u w:val="none"/>
    </w:rPr>
  </w:style>
  <w:style w:type="character" w:customStyle="1" w:styleId="84">
    <w:name w:val="bds_more1"/>
    <w:autoRedefine/>
    <w:qFormat/>
    <w:uiPriority w:val="0"/>
    <w:rPr>
      <w:rFonts w:ascii="Times New Roman" w:hAnsi="Times New Roman" w:eastAsia="宋体" w:cs="Times New Roman"/>
    </w:rPr>
  </w:style>
  <w:style w:type="character" w:customStyle="1" w:styleId="85">
    <w:name w:val="font71"/>
    <w:autoRedefine/>
    <w:qFormat/>
    <w:uiPriority w:val="0"/>
    <w:rPr>
      <w:rFonts w:hint="default" w:ascii="MS Sans Serif" w:hAnsi="MS Sans Serif" w:eastAsia="MS Sans Serif" w:cs="MS Sans Serif"/>
      <w:color w:val="000000"/>
      <w:sz w:val="18"/>
      <w:szCs w:val="18"/>
      <w:u w:val="none"/>
    </w:rPr>
  </w:style>
  <w:style w:type="character" w:customStyle="1" w:styleId="86">
    <w:name w:val="first-child"/>
    <w:autoRedefine/>
    <w:qFormat/>
    <w:uiPriority w:val="0"/>
    <w:rPr>
      <w:rFonts w:ascii="Times New Roman" w:hAnsi="Times New Roman" w:eastAsia="宋体" w:cs="Times New Roman"/>
    </w:rPr>
  </w:style>
  <w:style w:type="character" w:customStyle="1" w:styleId="87">
    <w:name w:val="bds_nopic1"/>
    <w:qFormat/>
    <w:uiPriority w:val="0"/>
    <w:rPr>
      <w:rFonts w:ascii="Times New Roman" w:hAnsi="Times New Roman" w:eastAsia="宋体" w:cs="Times New Roman"/>
    </w:rPr>
  </w:style>
  <w:style w:type="character" w:customStyle="1" w:styleId="88">
    <w:name w:val="layui-this"/>
    <w:autoRedefine/>
    <w:qFormat/>
    <w:uiPriority w:val="0"/>
    <w:rPr>
      <w:rFonts w:ascii="Times New Roman" w:hAnsi="Times New Roman" w:eastAsia="宋体" w:cs="Times New Roman"/>
      <w:bdr w:val="single" w:color="EEEEEE" w:sz="6" w:space="0"/>
      <w:shd w:val="clear" w:color="auto" w:fill="FFFFFF"/>
    </w:rPr>
  </w:style>
  <w:style w:type="character" w:customStyle="1" w:styleId="89">
    <w:name w:val="font81"/>
    <w:autoRedefine/>
    <w:qFormat/>
    <w:uiPriority w:val="0"/>
    <w:rPr>
      <w:rFonts w:ascii="Arial Unicode MS" w:hAnsi="Arial Unicode MS" w:eastAsia="Arial Unicode MS" w:cs="Arial Unicode MS"/>
      <w:color w:val="000000"/>
      <w:sz w:val="18"/>
      <w:szCs w:val="18"/>
      <w:u w:val="none"/>
    </w:rPr>
  </w:style>
  <w:style w:type="character" w:customStyle="1" w:styleId="90">
    <w:name w:val="apple-converted-space"/>
    <w:autoRedefine/>
    <w:qFormat/>
    <w:uiPriority w:val="0"/>
    <w:rPr>
      <w:rFonts w:ascii="Times New Roman" w:hAnsi="Times New Roman" w:eastAsia="宋体" w:cs="Times New Roman"/>
    </w:rPr>
  </w:style>
  <w:style w:type="character" w:customStyle="1" w:styleId="91">
    <w:name w:val="displayarti"/>
    <w:autoRedefine/>
    <w:qFormat/>
    <w:uiPriority w:val="0"/>
    <w:rPr>
      <w:rFonts w:ascii="Times New Roman" w:hAnsi="Times New Roman" w:eastAsia="宋体" w:cs="Times New Roman"/>
      <w:color w:val="FFFFFF"/>
      <w:shd w:val="clear" w:color="auto" w:fill="A00000"/>
    </w:rPr>
  </w:style>
  <w:style w:type="character" w:customStyle="1" w:styleId="92">
    <w:name w:val="font131"/>
    <w:autoRedefine/>
    <w:qFormat/>
    <w:uiPriority w:val="0"/>
    <w:rPr>
      <w:rFonts w:hint="eastAsia" w:ascii="宋体" w:hAnsi="宋体" w:eastAsia="宋体" w:cs="宋体"/>
      <w:b/>
      <w:bCs/>
      <w:color w:val="000000"/>
      <w:sz w:val="20"/>
      <w:szCs w:val="20"/>
      <w:u w:val="none"/>
    </w:rPr>
  </w:style>
  <w:style w:type="character" w:customStyle="1" w:styleId="93">
    <w:name w:val="bds_more2"/>
    <w:autoRedefine/>
    <w:qFormat/>
    <w:uiPriority w:val="0"/>
    <w:rPr>
      <w:rFonts w:ascii="Times New Roman" w:hAnsi="Times New Roman" w:eastAsia="宋体" w:cs="Times New Roman"/>
    </w:rPr>
  </w:style>
  <w:style w:type="character" w:customStyle="1" w:styleId="94">
    <w:name w:val="bds_more"/>
    <w:autoRedefine/>
    <w:qFormat/>
    <w:uiPriority w:val="0"/>
    <w:rPr>
      <w:rFonts w:hint="eastAsia" w:ascii="宋体" w:hAnsi="宋体" w:eastAsia="宋体" w:cs="宋体"/>
    </w:rPr>
  </w:style>
  <w:style w:type="paragraph" w:customStyle="1" w:styleId="95">
    <w:name w:val=" Char Char Char Char"/>
    <w:basedOn w:val="1"/>
    <w:autoRedefine/>
    <w:qFormat/>
    <w:uiPriority w:val="0"/>
    <w:rPr>
      <w:rFonts w:ascii="Tahoma" w:hAnsi="Tahoma" w:eastAsia="宋体" w:cs="Times New Roman"/>
      <w:sz w:val="24"/>
      <w:szCs w:val="20"/>
    </w:rPr>
  </w:style>
  <w:style w:type="paragraph" w:customStyle="1" w:styleId="96">
    <w:name w:val="标题4"/>
    <w:basedOn w:val="1"/>
    <w:autoRedefine/>
    <w:qFormat/>
    <w:uiPriority w:val="0"/>
    <w:pPr>
      <w:numPr>
        <w:ilvl w:val="0"/>
        <w:numId w:val="5"/>
      </w:numPr>
      <w:spacing w:line="360" w:lineRule="auto"/>
      <w:ind w:left="720" w:leftChars="300"/>
      <w:jc w:val="left"/>
    </w:pPr>
    <w:rPr>
      <w:rFonts w:ascii="宋体" w:hAnsi="宋体" w:eastAsia="宋体" w:cs="Times New Roman"/>
      <w:sz w:val="18"/>
      <w:szCs w:val="18"/>
    </w:rPr>
  </w:style>
  <w:style w:type="paragraph" w:customStyle="1" w:styleId="97">
    <w:name w:val="Table Paragraph"/>
    <w:basedOn w:val="1"/>
    <w:autoRedefine/>
    <w:qFormat/>
    <w:uiPriority w:val="0"/>
    <w:rPr>
      <w:rFonts w:ascii="宋体" w:hAnsi="宋体" w:eastAsia="宋体" w:cs="宋体"/>
      <w:lang w:val="zh-CN" w:eastAsia="zh-CN" w:bidi="zh-CN"/>
    </w:rPr>
  </w:style>
  <w:style w:type="paragraph" w:customStyle="1" w:styleId="98">
    <w:name w:val="p0"/>
    <w:basedOn w:val="1"/>
    <w:autoRedefine/>
    <w:qFormat/>
    <w:uiPriority w:val="0"/>
    <w:pPr>
      <w:widowControl/>
      <w:spacing w:line="365" w:lineRule="atLeast"/>
      <w:ind w:left="1"/>
      <w:textAlignment w:val="bottom"/>
    </w:pPr>
    <w:rPr>
      <w:rFonts w:ascii="Calibri" w:hAnsi="Calibri" w:eastAsia="宋体" w:cs="Times New Roman"/>
      <w:kern w:val="0"/>
      <w:sz w:val="20"/>
      <w:szCs w:val="22"/>
    </w:rPr>
  </w:style>
  <w:style w:type="paragraph" w:customStyle="1" w:styleId="99">
    <w:name w:val="正文 New"/>
    <w:next w:val="100"/>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00">
    <w:name w:val="正文缩进1"/>
    <w:basedOn w:val="1"/>
    <w:next w:val="15"/>
    <w:autoRedefine/>
    <w:qFormat/>
    <w:uiPriority w:val="0"/>
    <w:pPr>
      <w:widowControl w:val="0"/>
      <w:autoSpaceDE/>
      <w:autoSpaceDN/>
      <w:spacing w:before="0" w:beforeLines="0" w:after="0" w:afterLines="0" w:line="360" w:lineRule="atLeast"/>
      <w:ind w:left="0" w:firstLine="482"/>
      <w:jc w:val="both"/>
    </w:pPr>
    <w:rPr>
      <w:rFonts w:ascii="Times New Roman" w:hAnsi="Times New Roman" w:eastAsia="宋体" w:cs="Times New Roman"/>
      <w:sz w:val="24"/>
    </w:rPr>
  </w:style>
  <w:style w:type="paragraph" w:customStyle="1" w:styleId="101">
    <w:name w:val="Char Char Char Char Char Char Char1 Char"/>
    <w:basedOn w:val="1"/>
    <w:autoRedefine/>
    <w:qFormat/>
    <w:uiPriority w:val="0"/>
    <w:rPr>
      <w:rFonts w:ascii="Tahoma" w:hAnsi="Tahoma" w:eastAsia="宋体" w:cs="Times New Roman"/>
      <w:sz w:val="24"/>
      <w:szCs w:val="20"/>
    </w:rPr>
  </w:style>
  <w:style w:type="paragraph" w:customStyle="1" w:styleId="102">
    <w:name w:val=" Char"/>
    <w:basedOn w:val="1"/>
    <w:autoRedefine/>
    <w:qFormat/>
    <w:uiPriority w:val="0"/>
    <w:rPr>
      <w:rFonts w:ascii="Times New Roman" w:hAnsi="Times New Roman" w:eastAsia="宋体" w:cs="Times New Roman"/>
    </w:rPr>
  </w:style>
  <w:style w:type="paragraph" w:customStyle="1" w:styleId="103">
    <w:name w:val="（无样式）"/>
    <w:basedOn w:val="1"/>
    <w:autoRedefine/>
    <w:qFormat/>
    <w:uiPriority w:val="0"/>
    <w:pPr>
      <w:widowControl/>
      <w:numPr>
        <w:ilvl w:val="0"/>
        <w:numId w:val="6"/>
      </w:numPr>
      <w:spacing w:line="360" w:lineRule="auto"/>
      <w:ind w:firstLine="0"/>
    </w:pPr>
    <w:rPr>
      <w:rFonts w:ascii="Times New Roman" w:hAnsi="Times New Roman" w:eastAsia="宋体" w:cs="Times New Roman"/>
      <w:sz w:val="24"/>
      <w:szCs w:val="20"/>
    </w:rPr>
  </w:style>
  <w:style w:type="paragraph" w:customStyle="1" w:styleId="10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5">
    <w:name w:val="节标题"/>
    <w:basedOn w:val="1"/>
    <w:next w:val="1"/>
    <w:autoRedefine/>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paragraph" w:customStyle="1" w:styleId="106">
    <w:name w:val="_Style 102"/>
    <w:qFormat/>
    <w:uiPriority w:val="0"/>
    <w:rPr>
      <w:rFonts w:ascii="Times New Roman" w:hAnsi="Times New Roman" w:eastAsia="宋体" w:cs="Times New Roman"/>
      <w:kern w:val="2"/>
      <w:sz w:val="21"/>
      <w:szCs w:val="24"/>
      <w:lang w:val="en-US" w:eastAsia="zh-CN" w:bidi="ar-SA"/>
    </w:rPr>
  </w:style>
  <w:style w:type="paragraph" w:customStyle="1" w:styleId="107">
    <w:name w:val="Char"/>
    <w:basedOn w:val="1"/>
    <w:next w:val="1"/>
    <w:autoRedefine/>
    <w:qFormat/>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108">
    <w:name w:val="_Style 2"/>
    <w:basedOn w:val="1"/>
    <w:autoRedefine/>
    <w:qFormat/>
    <w:uiPriority w:val="0"/>
    <w:rPr>
      <w:rFonts w:ascii="Times New Roman" w:hAnsi="Times New Roman" w:eastAsia="宋体" w:cs="Times New Roman"/>
    </w:rPr>
  </w:style>
  <w:style w:type="paragraph" w:customStyle="1" w:styleId="109">
    <w:name w:val="列出段落2"/>
    <w:basedOn w:val="1"/>
    <w:autoRedefine/>
    <w:qFormat/>
    <w:uiPriority w:val="0"/>
    <w:pPr>
      <w:ind w:firstLine="420" w:firstLineChars="200"/>
    </w:pPr>
    <w:rPr>
      <w:rFonts w:ascii="Calibri" w:hAnsi="Calibri" w:eastAsia="宋体" w:cs="Times New Roman"/>
      <w:szCs w:val="22"/>
    </w:rPr>
  </w:style>
  <w:style w:type="paragraph" w:customStyle="1" w:styleId="110">
    <w:name w:val="*正文"/>
    <w:basedOn w:val="1"/>
    <w:autoRedefine/>
    <w:qFormat/>
    <w:uiPriority w:val="0"/>
    <w:pPr>
      <w:widowControl/>
      <w:snapToGrid w:val="0"/>
      <w:ind w:firstLine="560"/>
      <w:jc w:val="left"/>
    </w:pPr>
    <w:rPr>
      <w:rFonts w:ascii="仿宋_GB2312" w:hAnsi="Times New Roman" w:eastAsia="宋体" w:cs="Times New Roman"/>
      <w:color w:val="191919"/>
      <w:sz w:val="28"/>
      <w:szCs w:val="28"/>
    </w:rPr>
  </w:style>
  <w:style w:type="paragraph" w:customStyle="1" w:styleId="111">
    <w:name w:val="列出段落1"/>
    <w:basedOn w:val="1"/>
    <w:autoRedefine/>
    <w:qFormat/>
    <w:uiPriority w:val="0"/>
    <w:pPr>
      <w:ind w:firstLine="420" w:firstLineChars="200"/>
    </w:pPr>
    <w:rPr>
      <w:rFonts w:ascii="Times New Roman" w:hAnsi="Times New Roman" w:eastAsia="宋体" w:cs="Times New Roman"/>
    </w:rPr>
  </w:style>
  <w:style w:type="paragraph" w:customStyle="1" w:styleId="112">
    <w:name w:val="HtmlNormal"/>
    <w:basedOn w:val="1"/>
    <w:autoRedefine/>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113">
    <w:name w:val="List Paragraph"/>
    <w:basedOn w:val="1"/>
    <w:autoRedefine/>
    <w:qFormat/>
    <w:uiPriority w:val="0"/>
    <w:pPr>
      <w:spacing w:line="360" w:lineRule="auto"/>
      <w:ind w:firstLine="420" w:firstLineChars="200"/>
    </w:pPr>
    <w:rPr>
      <w:rFonts w:ascii="宋体" w:hAnsi="宋体" w:eastAsia="宋体" w:cs="宋体"/>
      <w:sz w:val="24"/>
    </w:rPr>
  </w:style>
  <w:style w:type="paragraph" w:customStyle="1" w:styleId="114">
    <w:name w:val="列出段落11"/>
    <w:basedOn w:val="1"/>
    <w:autoRedefine/>
    <w:qFormat/>
    <w:uiPriority w:val="0"/>
    <w:pPr>
      <w:spacing w:after="120" w:afterLines="0" w:line="360" w:lineRule="auto"/>
      <w:ind w:firstLine="420" w:firstLineChars="200"/>
    </w:pPr>
    <w:rPr>
      <w:rFonts w:ascii="Calibri" w:hAnsi="Calibri" w:eastAsia="宋体" w:cs="Times New Roman"/>
      <w:szCs w:val="22"/>
    </w:rPr>
  </w:style>
  <w:style w:type="paragraph" w:customStyle="1" w:styleId="115">
    <w:name w:val="_Style 4"/>
    <w:basedOn w:val="1"/>
    <w:autoRedefine/>
    <w:qFormat/>
    <w:uiPriority w:val="0"/>
    <w:pPr>
      <w:adjustRightInd w:val="0"/>
      <w:ind w:firstLine="420" w:firstLineChars="200"/>
      <w:jc w:val="left"/>
      <w:textAlignment w:val="baseline"/>
    </w:pPr>
    <w:rPr>
      <w:rFonts w:ascii="Times New Roman" w:hAnsi="Times New Roman" w:eastAsia="宋体" w:cs="Times New Roman"/>
      <w:kern w:val="0"/>
      <w:szCs w:val="20"/>
    </w:rPr>
  </w:style>
  <w:style w:type="paragraph" w:customStyle="1" w:styleId="116">
    <w:name w:val="List Paragraph2"/>
    <w:basedOn w:val="1"/>
    <w:autoRedefine/>
    <w:qFormat/>
    <w:uiPriority w:val="0"/>
    <w:pPr>
      <w:spacing w:line="360" w:lineRule="auto"/>
      <w:ind w:firstLine="420"/>
    </w:pPr>
    <w:rPr>
      <w:rFonts w:ascii="Times New Roman" w:hAnsi="Times New Roman" w:eastAsia="宋体" w:cs="Times New Roman"/>
      <w:color w:val="000000"/>
      <w:sz w:val="24"/>
      <w:szCs w:val="21"/>
    </w:rPr>
  </w:style>
  <w:style w:type="paragraph" w:customStyle="1" w:styleId="117">
    <w:name w:val="样式1"/>
    <w:basedOn w:val="1"/>
    <w:autoRedefine/>
    <w:qFormat/>
    <w:uiPriority w:val="0"/>
    <w:pPr>
      <w:spacing w:line="360" w:lineRule="auto"/>
      <w:jc w:val="center"/>
    </w:pPr>
    <w:rPr>
      <w:rFonts w:ascii="Times New Roman" w:hAnsi="Times New Roman" w:eastAsia="宋体" w:cs="Times New Roman"/>
      <w:b/>
      <w:sz w:val="30"/>
      <w:szCs w:val="30"/>
    </w:rPr>
  </w:style>
  <w:style w:type="paragraph" w:customStyle="1" w:styleId="118">
    <w:name w:val="列表2"/>
    <w:basedOn w:val="1"/>
    <w:next w:val="1"/>
    <w:autoRedefine/>
    <w:qFormat/>
    <w:uiPriority w:val="0"/>
    <w:pPr>
      <w:numPr>
        <w:ilvl w:val="0"/>
        <w:numId w:val="7"/>
      </w:numPr>
      <w:spacing w:line="200" w:lineRule="atLeast"/>
    </w:pPr>
    <w:rPr>
      <w:rFonts w:ascii="Times New Roman" w:hAnsi="Times New Roman" w:eastAsia="仿宋" w:cs="Times New Roman"/>
      <w:sz w:val="28"/>
    </w:rPr>
  </w:style>
  <w:style w:type="paragraph" w:customStyle="1" w:styleId="119">
    <w:name w:val="标题3-副本"/>
    <w:basedOn w:val="26"/>
    <w:autoRedefine/>
    <w:qFormat/>
    <w:uiPriority w:val="0"/>
    <w:pPr>
      <w:numPr>
        <w:ilvl w:val="0"/>
        <w:numId w:val="0"/>
      </w:numPr>
      <w:ind w:left="840"/>
    </w:pPr>
    <w:rPr>
      <w:rFonts w:ascii="Times New Roman" w:hAnsi="Times New Roman" w:eastAsia="宋体" w:cs="Times New Roman"/>
    </w:rPr>
  </w:style>
  <w:style w:type="paragraph" w:customStyle="1" w:styleId="120">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1">
    <w:name w:val="_Style 118"/>
    <w:basedOn w:val="1"/>
    <w:next w:val="1"/>
    <w:autoRedefine/>
    <w:qFormat/>
    <w:uiPriority w:val="0"/>
    <w:pPr>
      <w:pBdr>
        <w:top w:val="single" w:color="auto" w:sz="6" w:space="1"/>
      </w:pBdr>
      <w:jc w:val="center"/>
    </w:pPr>
    <w:rPr>
      <w:rFonts w:ascii="Arial" w:eastAsia="宋体"/>
      <w:vanish/>
      <w:sz w:val="16"/>
    </w:rPr>
  </w:style>
  <w:style w:type="paragraph" w:customStyle="1" w:styleId="122">
    <w:name w:val="无间隔1"/>
    <w:basedOn w:val="1"/>
    <w:autoRedefine/>
    <w:qFormat/>
    <w:uiPriority w:val="0"/>
    <w:pPr>
      <w:widowControl/>
      <w:adjustRightInd w:val="0"/>
      <w:snapToGrid w:val="0"/>
      <w:jc w:val="left"/>
    </w:pPr>
    <w:rPr>
      <w:rFonts w:ascii="Tahoma" w:hAnsi="Tahoma" w:eastAsia="微软雅黑" w:cs="Times New Roman"/>
      <w:kern w:val="0"/>
      <w:sz w:val="24"/>
      <w:szCs w:val="22"/>
    </w:rPr>
  </w:style>
  <w:style w:type="paragraph" w:customStyle="1" w:styleId="123">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4">
    <w:name w:val="font11"/>
    <w:basedOn w:val="37"/>
    <w:autoRedefine/>
    <w:qFormat/>
    <w:uiPriority w:val="0"/>
    <w:rPr>
      <w:rFonts w:hint="eastAsia" w:ascii="宋体" w:hAnsi="宋体" w:eastAsia="宋体" w:cs="宋体"/>
      <w:color w:val="000000"/>
      <w:sz w:val="16"/>
      <w:szCs w:val="16"/>
      <w:u w:val="none"/>
    </w:rPr>
  </w:style>
  <w:style w:type="character" w:customStyle="1" w:styleId="125">
    <w:name w:val="font31"/>
    <w:basedOn w:val="37"/>
    <w:autoRedefine/>
    <w:qFormat/>
    <w:uiPriority w:val="0"/>
    <w:rPr>
      <w:rFonts w:ascii="宋体" w:hAnsi="宋体" w:eastAsia="宋体" w:cs="宋体"/>
      <w:color w:val="000000"/>
      <w:sz w:val="16"/>
      <w:szCs w:val="16"/>
      <w:u w:val="none"/>
    </w:rPr>
  </w:style>
  <w:style w:type="character" w:customStyle="1" w:styleId="126">
    <w:name w:val="font41"/>
    <w:basedOn w:val="37"/>
    <w:autoRedefine/>
    <w:qFormat/>
    <w:uiPriority w:val="0"/>
    <w:rPr>
      <w:rFonts w:hint="eastAsia" w:ascii="宋体" w:hAnsi="宋体" w:eastAsia="宋体" w:cs="宋体"/>
      <w:color w:val="000000"/>
      <w:sz w:val="21"/>
      <w:szCs w:val="21"/>
      <w:u w:val="none"/>
    </w:rPr>
  </w:style>
  <w:style w:type="character" w:customStyle="1" w:styleId="127">
    <w:name w:val="font01"/>
    <w:basedOn w:val="37"/>
    <w:autoRedefine/>
    <w:qFormat/>
    <w:uiPriority w:val="0"/>
    <w:rPr>
      <w:rFonts w:hint="eastAsia" w:ascii="宋体" w:hAnsi="宋体" w:eastAsia="宋体" w:cs="宋体"/>
      <w:color w:val="000000"/>
      <w:sz w:val="22"/>
      <w:szCs w:val="22"/>
      <w:u w:val="none"/>
    </w:rPr>
  </w:style>
  <w:style w:type="character" w:customStyle="1" w:styleId="128">
    <w:name w:val="hover"/>
    <w:basedOn w:val="37"/>
    <w:autoRedefine/>
    <w:qFormat/>
    <w:uiPriority w:val="0"/>
    <w:rPr>
      <w:color w:val="2590EB"/>
    </w:rPr>
  </w:style>
  <w:style w:type="character" w:customStyle="1" w:styleId="129">
    <w:name w:val="hover1"/>
    <w:basedOn w:val="37"/>
    <w:autoRedefine/>
    <w:qFormat/>
    <w:uiPriority w:val="0"/>
    <w:rPr>
      <w:color w:val="2590EB"/>
    </w:rPr>
  </w:style>
  <w:style w:type="character" w:customStyle="1" w:styleId="130">
    <w:name w:val="hover2"/>
    <w:basedOn w:val="37"/>
    <w:autoRedefine/>
    <w:qFormat/>
    <w:uiPriority w:val="0"/>
  </w:style>
  <w:style w:type="character" w:customStyle="1" w:styleId="131">
    <w:name w:val="hover3"/>
    <w:basedOn w:val="37"/>
    <w:autoRedefine/>
    <w:qFormat/>
    <w:uiPriority w:val="0"/>
    <w:rPr>
      <w:color w:val="2590EB"/>
      <w:shd w:val="clear" w:fill="E9F4FD"/>
    </w:rPr>
  </w:style>
  <w:style w:type="character" w:customStyle="1" w:styleId="132">
    <w:name w:val="hover4"/>
    <w:basedOn w:val="37"/>
    <w:autoRedefine/>
    <w:qFormat/>
    <w:uiPriority w:val="0"/>
    <w:rPr>
      <w:color w:val="2590EB"/>
      <w:shd w:val="clear" w:fill="E9F4FD"/>
    </w:rPr>
  </w:style>
  <w:style w:type="paragraph" w:customStyle="1" w:styleId="133">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34">
    <w:name w:val="列表段落1"/>
    <w:basedOn w:val="1"/>
    <w:autoRedefine/>
    <w:qFormat/>
    <w:uiPriority w:val="34"/>
    <w:pPr>
      <w:widowControl w:val="0"/>
      <w:spacing w:before="0" w:after="0"/>
      <w:ind w:firstLine="420" w:firstLineChars="200"/>
    </w:pPr>
    <w:rPr>
      <w:kern w:val="2"/>
      <w:sz w:val="21"/>
      <w:lang w:eastAsia="zh-CN"/>
    </w:rPr>
  </w:style>
  <w:style w:type="paragraph" w:customStyle="1" w:styleId="135">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36">
    <w:name w:val="协议书标题2"/>
    <w:basedOn w:val="3"/>
    <w:next w:val="1"/>
    <w:autoRedefine/>
    <w:qFormat/>
    <w:uiPriority w:val="0"/>
    <w:pPr>
      <w:keepNext w:val="0"/>
      <w:keepLines w:val="0"/>
      <w:tabs>
        <w:tab w:val="left" w:pos="567"/>
      </w:tabs>
      <w:spacing w:line="360" w:lineRule="auto"/>
      <w:ind w:left="425"/>
      <w:jc w:val="left"/>
    </w:pPr>
    <w:rPr>
      <w:rFonts w:ascii="宋体" w:hAnsi="宋体" w:eastAsia="宋体"/>
      <w:sz w:val="24"/>
    </w:rPr>
  </w:style>
  <w:style w:type="table" w:customStyle="1" w:styleId="137">
    <w:name w:val="Table Normal"/>
    <w:autoRedefine/>
    <w:semiHidden/>
    <w:unhideWhenUsed/>
    <w:qFormat/>
    <w:uiPriority w:val="2"/>
    <w:tblPr>
      <w:tblCellMar>
        <w:top w:w="0" w:type="dxa"/>
        <w:left w:w="0" w:type="dxa"/>
        <w:bottom w:w="0" w:type="dxa"/>
        <w:right w:w="0" w:type="dxa"/>
      </w:tblCellMar>
    </w:tblPr>
  </w:style>
  <w:style w:type="character" w:customStyle="1" w:styleId="138">
    <w:name w:val="c-icon"/>
    <w:basedOn w:val="37"/>
    <w:autoRedefine/>
    <w:qFormat/>
    <w:uiPriority w:val="0"/>
  </w:style>
  <w:style w:type="character" w:customStyle="1" w:styleId="139">
    <w:name w:val="hover24"/>
    <w:basedOn w:val="37"/>
    <w:autoRedefine/>
    <w:qFormat/>
    <w:uiPriority w:val="0"/>
    <w:rPr>
      <w:color w:val="315EFB"/>
    </w:rPr>
  </w:style>
  <w:style w:type="character" w:customStyle="1" w:styleId="140">
    <w:name w:val="hover25"/>
    <w:basedOn w:val="37"/>
    <w:autoRedefine/>
    <w:qFormat/>
    <w:uiPriority w:val="0"/>
    <w:rPr>
      <w:color w:val="315EFB"/>
    </w:rPr>
  </w:style>
  <w:style w:type="character" w:customStyle="1" w:styleId="141">
    <w:name w:val="hover26"/>
    <w:basedOn w:val="37"/>
    <w:autoRedefine/>
    <w:qFormat/>
    <w:uiPriority w:val="0"/>
  </w:style>
  <w:style w:type="character" w:customStyle="1" w:styleId="142">
    <w:name w:val="hover22"/>
    <w:basedOn w:val="37"/>
    <w:autoRedefine/>
    <w:qFormat/>
    <w:uiPriority w:val="0"/>
    <w:rPr>
      <w:color w:val="315EFB"/>
    </w:rPr>
  </w:style>
  <w:style w:type="character" w:customStyle="1" w:styleId="143">
    <w:name w:val="hover23"/>
    <w:basedOn w:val="37"/>
    <w:autoRedefine/>
    <w:qFormat/>
    <w:uiPriority w:val="0"/>
  </w:style>
  <w:style w:type="character" w:customStyle="1" w:styleId="144">
    <w:name w:val="c-icon28"/>
    <w:basedOn w:val="37"/>
    <w:autoRedefine/>
    <w:qFormat/>
    <w:uiPriority w:val="0"/>
  </w:style>
  <w:style w:type="paragraph" w:customStyle="1" w:styleId="145">
    <w:name w:val="Char Char Char Char Char Char"/>
    <w:basedOn w:val="1"/>
    <w:autoRedefine/>
    <w:qFormat/>
    <w:uiPriority w:val="0"/>
  </w:style>
  <w:style w:type="paragraph" w:customStyle="1" w:styleId="146">
    <w:name w:val="_Style 40"/>
    <w:basedOn w:val="1"/>
    <w:next w:val="113"/>
    <w:autoRedefine/>
    <w:qFormat/>
    <w:uiPriority w:val="34"/>
    <w:pPr>
      <w:ind w:firstLine="420" w:firstLineChars="200"/>
    </w:pPr>
    <w:rPr>
      <w:szCs w:val="22"/>
    </w:rPr>
  </w:style>
  <w:style w:type="paragraph" w:customStyle="1" w:styleId="147">
    <w:name w:val="AutoCorrect"/>
    <w:autoRedefine/>
    <w:qFormat/>
    <w:uiPriority w:val="0"/>
    <w:pPr>
      <w:widowControl w:val="0"/>
    </w:pPr>
    <w:rPr>
      <w:rFonts w:ascii="Times New Roman" w:hAnsi="Times New Roman" w:eastAsia="PMingLiU" w:cs="Times New Roman"/>
      <w:kern w:val="2"/>
      <w:sz w:val="24"/>
      <w:lang w:val="en-US" w:eastAsia="zh-TW" w:bidi="ar-SA"/>
    </w:rPr>
  </w:style>
  <w:style w:type="paragraph" w:customStyle="1" w:styleId="148">
    <w:name w:val="样式"/>
    <w:autoRedefine/>
    <w:qFormat/>
    <w:uiPriority w:val="0"/>
    <w:pPr>
      <w:widowControl w:val="0"/>
      <w:autoSpaceDE w:val="0"/>
      <w:autoSpaceDN w:val="0"/>
      <w:adjustRightInd w:val="0"/>
    </w:pPr>
    <w:rPr>
      <w:rFonts w:ascii="宋体" w:hAnsi="Calibri" w:eastAsia="宋体" w:cs="宋体"/>
      <w:sz w:val="24"/>
      <w:szCs w:val="24"/>
      <w:lang w:val="en-US" w:eastAsia="zh-CN" w:bidi="ar-SA"/>
    </w:rPr>
  </w:style>
  <w:style w:type="character" w:customStyle="1" w:styleId="149">
    <w:name w:val="before"/>
    <w:basedOn w:val="37"/>
    <w:autoRedefine/>
    <w:qFormat/>
    <w:uiPriority w:val="0"/>
    <w:rPr>
      <w:shd w:val="clear" w:fill="E22323"/>
    </w:rPr>
  </w:style>
  <w:style w:type="character" w:customStyle="1" w:styleId="150">
    <w:name w:val="active2"/>
    <w:basedOn w:val="37"/>
    <w:autoRedefine/>
    <w:qFormat/>
    <w:uiPriority w:val="0"/>
    <w:rPr>
      <w:color w:val="FFFFFF"/>
      <w:shd w:val="clear" w:fill="E22323"/>
    </w:rPr>
  </w:style>
  <w:style w:type="character" w:customStyle="1" w:styleId="151">
    <w:name w:val="margin_right202"/>
    <w:basedOn w:val="37"/>
    <w:autoRedefine/>
    <w:qFormat/>
    <w:uiPriority w:val="0"/>
  </w:style>
  <w:style w:type="character" w:customStyle="1" w:styleId="152">
    <w:name w:val="margin_right20"/>
    <w:basedOn w:val="37"/>
    <w:autoRedefine/>
    <w:qFormat/>
    <w:uiPriority w:val="0"/>
  </w:style>
  <w:style w:type="character" w:customStyle="1" w:styleId="153">
    <w:name w:val="hover5"/>
    <w:basedOn w:val="37"/>
    <w:autoRedefine/>
    <w:qFormat/>
    <w:uiPriority w:val="0"/>
    <w:rPr>
      <w:color w:val="0063BA"/>
    </w:rPr>
  </w:style>
  <w:style w:type="character" w:customStyle="1" w:styleId="154">
    <w:name w:val="active5"/>
    <w:basedOn w:val="37"/>
    <w:autoRedefine/>
    <w:qFormat/>
    <w:uiPriority w:val="0"/>
    <w:rPr>
      <w:color w:val="FFFFFF"/>
      <w:shd w:val="clear" w:fill="E22323"/>
    </w:rPr>
  </w:style>
  <w:style w:type="paragraph" w:customStyle="1" w:styleId="15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6">
    <w:name w:val="普通(网站) Char"/>
    <w:basedOn w:val="1"/>
    <w:autoRedefine/>
    <w:qFormat/>
    <w:uiPriority w:val="0"/>
    <w:pPr>
      <w:widowControl/>
      <w:spacing w:before="100" w:beforeAutospacing="1" w:after="100" w:afterAutospacing="1"/>
      <w:jc w:val="left"/>
    </w:pPr>
    <w:rPr>
      <w:kern w:val="0"/>
      <w:sz w:val="24"/>
    </w:rPr>
  </w:style>
  <w:style w:type="paragraph" w:customStyle="1" w:styleId="157">
    <w:name w:val="Table Text"/>
    <w:basedOn w:val="1"/>
    <w:semiHidden/>
    <w:qFormat/>
    <w:uiPriority w:val="0"/>
    <w:rPr>
      <w:rFonts w:ascii="宋体" w:hAnsi="宋体" w:eastAsia="宋体" w:cs="宋体"/>
      <w:sz w:val="20"/>
      <w:szCs w:val="20"/>
      <w:lang w:val="en-US" w:eastAsia="en-US" w:bidi="ar-SA"/>
    </w:rPr>
  </w:style>
  <w:style w:type="paragraph" w:customStyle="1" w:styleId="158">
    <w:name w:val="范本-表格-宋体-五号-两端对齐"/>
    <w:basedOn w:val="1"/>
    <w:qFormat/>
    <w:uiPriority w:val="0"/>
    <w:pPr>
      <w:adjustRightInd w:val="0"/>
      <w:spacing w:line="400" w:lineRule="exact"/>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11331</Words>
  <Characters>12397</Characters>
  <Lines>414</Lines>
  <Paragraphs>116</Paragraphs>
  <TotalTime>0</TotalTime>
  <ScaleCrop>false</ScaleCrop>
  <LinksUpToDate>false</LinksUpToDate>
  <CharactersWithSpaces>12640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2022-04-22T03:46:00Z</dcterms:created>
  <dc:creator>陈倩倩</dc:creator>
  <cp:lastModifiedBy>代理</cp:lastModifiedBy>
  <cp:lastPrinted>2025-09-20T03:40:00Z</cp:lastPrinted>
  <dcterms:modified xsi:type="dcterms:W3CDTF">2026-01-16T04:52:51Z</dcterms:modified>
  <dc:title>滁州市人力资源和社会保障信息中心信息网络设备采购及安装项目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F252D082F2FF4EDB87B3FA0F9E658D56_13</vt:lpwstr>
  </property>
  <property fmtid="{D5CDD505-2E9C-101B-9397-08002B2CF9AE}" pid="4" name="KSOTemplateDocerSaveRecord">
    <vt:lpwstr>eyJoZGlkIjoiOTc5MDNjMmIyODczM2YwMGZkZTNjYWY1NjIxZTY5YjciLCJ1c2VySWQiOiI1MDM3MjkwOTMifQ==</vt:lpwstr>
  </property>
</Properties>
</file>