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6886F">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rPr>
      </w:pPr>
    </w:p>
    <w:p w14:paraId="10AB3EEA">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rPr>
      </w:pPr>
    </w:p>
    <w:p w14:paraId="00822A3A">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rPr>
      </w:pPr>
    </w:p>
    <w:p w14:paraId="56B2EC58">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lang w:val="en-US" w:eastAsia="zh-CN"/>
        </w:rPr>
      </w:pPr>
      <w:bookmarkStart w:id="0" w:name="_Hlk9544796"/>
      <w:r>
        <w:rPr>
          <w:rFonts w:hint="eastAsia" w:ascii="宋体" w:hAnsi="宋体" w:eastAsia="宋体" w:cs="宋体"/>
          <w:b/>
          <w:bCs/>
          <w:color w:val="auto"/>
          <w:sz w:val="52"/>
          <w:szCs w:val="52"/>
          <w:highlight w:val="none"/>
          <w:lang w:val="en-US" w:eastAsia="zh-CN"/>
        </w:rPr>
        <w:t>安徽省</w:t>
      </w:r>
      <w:r>
        <w:rPr>
          <w:rFonts w:hint="eastAsia" w:ascii="宋体" w:hAnsi="宋体" w:eastAsia="宋体" w:cs="宋体"/>
          <w:b/>
          <w:bCs/>
          <w:color w:val="auto"/>
          <w:sz w:val="52"/>
          <w:szCs w:val="52"/>
          <w:highlight w:val="none"/>
        </w:rPr>
        <w:t>政府采购</w:t>
      </w:r>
      <w:r>
        <w:rPr>
          <w:rFonts w:hint="eastAsia" w:ascii="宋体" w:hAnsi="宋体" w:eastAsia="宋体" w:cs="宋体"/>
          <w:b/>
          <w:bCs/>
          <w:color w:val="auto"/>
          <w:sz w:val="52"/>
          <w:szCs w:val="52"/>
          <w:highlight w:val="none"/>
          <w:lang w:eastAsia="zh-CN"/>
        </w:rPr>
        <w:t>项目</w:t>
      </w:r>
    </w:p>
    <w:p w14:paraId="00307D44">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rPr>
        <w:t>公开招标文件示范文本</w:t>
      </w:r>
      <w:bookmarkEnd w:id="0"/>
      <w:r>
        <w:rPr>
          <w:rFonts w:hint="eastAsia" w:ascii="宋体" w:hAnsi="宋体" w:eastAsia="宋体" w:cs="宋体"/>
          <w:b/>
          <w:bCs/>
          <w:color w:val="auto"/>
          <w:sz w:val="52"/>
          <w:szCs w:val="52"/>
          <w:highlight w:val="none"/>
          <w:lang w:eastAsia="zh-CN"/>
        </w:rPr>
        <w:t>（</w:t>
      </w:r>
      <w:r>
        <w:rPr>
          <w:rFonts w:hint="eastAsia" w:ascii="宋体" w:hAnsi="宋体" w:eastAsia="宋体" w:cs="宋体"/>
          <w:b/>
          <w:bCs/>
          <w:color w:val="auto"/>
          <w:sz w:val="52"/>
          <w:szCs w:val="52"/>
          <w:highlight w:val="none"/>
          <w:lang w:val="en-US" w:eastAsia="zh-CN"/>
        </w:rPr>
        <w:t>服务类</w:t>
      </w:r>
      <w:r>
        <w:rPr>
          <w:rFonts w:hint="eastAsia" w:ascii="宋体" w:hAnsi="宋体" w:eastAsia="宋体" w:cs="宋体"/>
          <w:b/>
          <w:bCs/>
          <w:color w:val="auto"/>
          <w:sz w:val="52"/>
          <w:szCs w:val="52"/>
          <w:highlight w:val="none"/>
          <w:lang w:eastAsia="zh-CN"/>
        </w:rPr>
        <w:t>）</w:t>
      </w:r>
    </w:p>
    <w:p w14:paraId="4870A8E1">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lang w:eastAsia="zh-CN"/>
        </w:rPr>
        <w:t>（</w:t>
      </w:r>
      <w:r>
        <w:rPr>
          <w:rFonts w:hint="eastAsia" w:ascii="宋体" w:hAnsi="宋体" w:eastAsia="宋体" w:cs="宋体"/>
          <w:b/>
          <w:bCs/>
          <w:color w:val="auto"/>
          <w:sz w:val="52"/>
          <w:szCs w:val="52"/>
          <w:highlight w:val="none"/>
          <w:lang w:val="en-US" w:eastAsia="zh-CN"/>
        </w:rPr>
        <w:t>2024年版</w:t>
      </w:r>
      <w:r>
        <w:rPr>
          <w:rFonts w:hint="eastAsia" w:ascii="宋体" w:hAnsi="宋体" w:eastAsia="宋体" w:cs="宋体"/>
          <w:b/>
          <w:bCs/>
          <w:color w:val="auto"/>
          <w:sz w:val="52"/>
          <w:szCs w:val="52"/>
          <w:highlight w:val="none"/>
          <w:lang w:eastAsia="zh-CN"/>
        </w:rPr>
        <w:t>）</w:t>
      </w:r>
    </w:p>
    <w:p w14:paraId="0233F215">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0B561D9E">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1C1BF5A6">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6B187712">
      <w:pPr>
        <w:rPr>
          <w:rFonts w:hint="eastAsia" w:ascii="宋体" w:hAnsi="宋体" w:eastAsia="宋体" w:cs="宋体"/>
          <w:highlight w:val="none"/>
        </w:rPr>
      </w:pPr>
    </w:p>
    <w:p w14:paraId="583277F3">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36B28248">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6BD0F2A6">
      <w:pPr>
        <w:tabs>
          <w:tab w:val="left" w:pos="2410"/>
        </w:tabs>
        <w:autoSpaceDE w:val="0"/>
        <w:autoSpaceDN w:val="0"/>
        <w:adjustRightInd w:val="0"/>
        <w:snapToGrid w:val="0"/>
        <w:spacing w:line="360" w:lineRule="auto"/>
        <w:ind w:firstLine="723" w:firstLineChars="200"/>
        <w:rPr>
          <w:rFonts w:hint="eastAsia" w:ascii="宋体" w:hAnsi="宋体" w:eastAsia="宋体" w:cs="宋体"/>
          <w:b/>
          <w:color w:val="auto"/>
          <w:spacing w:val="20"/>
          <w:kern w:val="0"/>
          <w:sz w:val="32"/>
          <w:szCs w:val="32"/>
          <w:highlight w:val="none"/>
          <w:lang w:val="en-US" w:eastAsia="zh-CN"/>
        </w:rPr>
      </w:pPr>
      <w:r>
        <w:rPr>
          <w:rFonts w:hint="eastAsia" w:ascii="宋体" w:hAnsi="宋体" w:eastAsia="宋体" w:cs="宋体"/>
          <w:b/>
          <w:color w:val="auto"/>
          <w:spacing w:val="20"/>
          <w:kern w:val="0"/>
          <w:sz w:val="32"/>
          <w:szCs w:val="32"/>
          <w:highlight w:val="none"/>
        </w:rPr>
        <w:t>项目名称：</w:t>
      </w:r>
      <w:r>
        <w:rPr>
          <w:rFonts w:hint="eastAsia" w:ascii="宋体" w:hAnsi="宋体" w:eastAsia="宋体" w:cs="宋体"/>
          <w:b/>
          <w:color w:val="auto"/>
          <w:spacing w:val="20"/>
          <w:kern w:val="0"/>
          <w:sz w:val="32"/>
          <w:szCs w:val="32"/>
          <w:highlight w:val="none"/>
          <w:u w:val="single"/>
          <w:lang w:val="en-US" w:eastAsia="zh-CN"/>
        </w:rPr>
        <w:t>安徽省滁州市中级人民法院物业管理服务项目</w:t>
      </w:r>
    </w:p>
    <w:p w14:paraId="0AD66C2E">
      <w:pPr>
        <w:tabs>
          <w:tab w:val="left" w:pos="2410"/>
        </w:tabs>
        <w:autoSpaceDE w:val="0"/>
        <w:autoSpaceDN w:val="0"/>
        <w:adjustRightInd w:val="0"/>
        <w:snapToGrid w:val="0"/>
        <w:spacing w:line="360" w:lineRule="auto"/>
        <w:ind w:firstLine="723" w:firstLineChars="200"/>
        <w:rPr>
          <w:rFonts w:hint="eastAsia" w:ascii="宋体" w:hAnsi="宋体" w:eastAsia="宋体" w:cs="宋体"/>
          <w:b/>
          <w:color w:val="auto"/>
          <w:spacing w:val="20"/>
          <w:kern w:val="0"/>
          <w:sz w:val="32"/>
          <w:szCs w:val="32"/>
          <w:highlight w:val="none"/>
          <w:u w:val="single"/>
          <w:lang w:val="en-US" w:eastAsia="zh-CN"/>
        </w:rPr>
      </w:pPr>
      <w:r>
        <w:rPr>
          <w:rFonts w:hint="eastAsia" w:ascii="宋体" w:hAnsi="宋体" w:eastAsia="宋体" w:cs="宋体"/>
          <w:b/>
          <w:color w:val="auto"/>
          <w:spacing w:val="20"/>
          <w:kern w:val="0"/>
          <w:sz w:val="32"/>
          <w:szCs w:val="32"/>
          <w:highlight w:val="none"/>
        </w:rPr>
        <w:t>项目编号：</w:t>
      </w:r>
      <w:r>
        <w:rPr>
          <w:rFonts w:hint="eastAsia" w:ascii="宋体" w:hAnsi="宋体" w:eastAsia="宋体" w:cs="宋体"/>
          <w:b/>
          <w:color w:val="auto"/>
          <w:spacing w:val="20"/>
          <w:kern w:val="0"/>
          <w:sz w:val="32"/>
          <w:szCs w:val="32"/>
          <w:highlight w:val="none"/>
          <w:u w:val="single"/>
          <w:lang w:val="en-US" w:eastAsia="zh-CN"/>
        </w:rPr>
        <w:t>czsjcg202406-094</w:t>
      </w:r>
    </w:p>
    <w:p w14:paraId="6194FA52">
      <w:pPr>
        <w:tabs>
          <w:tab w:val="left" w:pos="2410"/>
        </w:tabs>
        <w:autoSpaceDE w:val="0"/>
        <w:autoSpaceDN w:val="0"/>
        <w:adjustRightInd w:val="0"/>
        <w:snapToGrid w:val="0"/>
        <w:spacing w:line="360" w:lineRule="auto"/>
        <w:ind w:firstLine="723" w:firstLineChars="200"/>
        <w:rPr>
          <w:rFonts w:hint="eastAsia" w:ascii="宋体" w:hAnsi="宋体" w:eastAsia="宋体" w:cs="宋体"/>
          <w:b/>
          <w:color w:val="auto"/>
          <w:spacing w:val="20"/>
          <w:kern w:val="0"/>
          <w:sz w:val="32"/>
          <w:szCs w:val="32"/>
          <w:highlight w:val="none"/>
          <w:lang w:val="en-US"/>
        </w:rPr>
      </w:pPr>
      <w:r>
        <w:rPr>
          <w:rFonts w:hint="eastAsia" w:ascii="宋体" w:hAnsi="宋体" w:eastAsia="宋体" w:cs="宋体"/>
          <w:b/>
          <w:color w:val="auto"/>
          <w:spacing w:val="20"/>
          <w:kern w:val="0"/>
          <w:sz w:val="32"/>
          <w:szCs w:val="32"/>
          <w:highlight w:val="none"/>
        </w:rPr>
        <w:t>采 购 人：</w:t>
      </w:r>
      <w:r>
        <w:rPr>
          <w:rFonts w:hint="eastAsia" w:ascii="宋体" w:hAnsi="宋体" w:eastAsia="宋体" w:cs="宋体"/>
          <w:b/>
          <w:color w:val="auto"/>
          <w:spacing w:val="20"/>
          <w:kern w:val="0"/>
          <w:sz w:val="32"/>
          <w:szCs w:val="32"/>
          <w:highlight w:val="none"/>
          <w:u w:val="single"/>
          <w:lang w:val="en-US" w:eastAsia="zh-CN"/>
        </w:rPr>
        <w:t>安徽省滁州市中级人民法院</w:t>
      </w:r>
    </w:p>
    <w:p w14:paraId="744F4EF6">
      <w:pPr>
        <w:tabs>
          <w:tab w:val="left" w:pos="2410"/>
        </w:tabs>
        <w:autoSpaceDE w:val="0"/>
        <w:autoSpaceDN w:val="0"/>
        <w:adjustRightInd w:val="0"/>
        <w:snapToGrid w:val="0"/>
        <w:spacing w:line="360" w:lineRule="auto"/>
        <w:ind w:firstLine="723" w:firstLineChars="200"/>
        <w:rPr>
          <w:rFonts w:hint="eastAsia" w:ascii="宋体" w:hAnsi="宋体" w:eastAsia="宋体" w:cs="宋体"/>
          <w:b/>
          <w:color w:val="auto"/>
          <w:spacing w:val="20"/>
          <w:kern w:val="0"/>
          <w:sz w:val="32"/>
          <w:szCs w:val="32"/>
          <w:highlight w:val="none"/>
          <w:u w:val="single"/>
          <w:lang w:val="en-US" w:eastAsia="zh-CN"/>
        </w:rPr>
      </w:pPr>
      <w:r>
        <w:rPr>
          <w:rFonts w:hint="eastAsia" w:ascii="宋体" w:hAnsi="宋体" w:eastAsia="宋体" w:cs="宋体"/>
          <w:b/>
          <w:color w:val="auto"/>
          <w:spacing w:val="20"/>
          <w:kern w:val="0"/>
          <w:sz w:val="32"/>
          <w:szCs w:val="32"/>
          <w:highlight w:val="none"/>
        </w:rPr>
        <w:t>采购代理机构：</w:t>
      </w:r>
      <w:r>
        <w:rPr>
          <w:rFonts w:hint="eastAsia" w:ascii="宋体" w:hAnsi="宋体" w:eastAsia="宋体" w:cs="宋体"/>
          <w:b/>
          <w:color w:val="auto"/>
          <w:spacing w:val="20"/>
          <w:kern w:val="0"/>
          <w:sz w:val="32"/>
          <w:szCs w:val="32"/>
          <w:highlight w:val="none"/>
          <w:u w:val="single"/>
          <w:lang w:val="en-US" w:eastAsia="zh-CN"/>
        </w:rPr>
        <w:t>滁州市政府采购中心</w:t>
      </w:r>
    </w:p>
    <w:p w14:paraId="4D95D4F4">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22977CBD">
      <w:pPr>
        <w:pStyle w:val="9"/>
        <w:rPr>
          <w:rFonts w:hint="eastAsia" w:ascii="宋体" w:hAnsi="宋体" w:eastAsia="宋体" w:cs="宋体"/>
          <w:highlight w:val="none"/>
        </w:rPr>
      </w:pPr>
    </w:p>
    <w:p w14:paraId="7E5B2C43">
      <w:pPr>
        <w:tabs>
          <w:tab w:val="left" w:pos="2410"/>
        </w:tabs>
        <w:autoSpaceDE w:val="0"/>
        <w:autoSpaceDN w:val="0"/>
        <w:adjustRightInd w:val="0"/>
        <w:snapToGrid w:val="0"/>
        <w:spacing w:line="360" w:lineRule="auto"/>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u w:val="single"/>
          <w:lang w:val="en-US" w:eastAsia="zh-CN"/>
        </w:rPr>
        <w:t>2024</w:t>
      </w:r>
      <w:r>
        <w:rPr>
          <w:rFonts w:hint="eastAsia" w:ascii="宋体" w:hAnsi="宋体" w:eastAsia="宋体" w:cs="宋体"/>
          <w:b/>
          <w:color w:val="auto"/>
          <w:sz w:val="36"/>
          <w:highlight w:val="none"/>
        </w:rPr>
        <w:t>年</w:t>
      </w:r>
      <w:r>
        <w:rPr>
          <w:rFonts w:hint="eastAsia" w:ascii="宋体" w:hAnsi="宋体" w:eastAsia="宋体" w:cs="宋体"/>
          <w:b/>
          <w:color w:val="auto"/>
          <w:sz w:val="36"/>
          <w:highlight w:val="none"/>
          <w:u w:val="single"/>
          <w:lang w:val="en-US" w:eastAsia="zh-CN"/>
        </w:rPr>
        <w:t>6</w:t>
      </w:r>
      <w:r>
        <w:rPr>
          <w:rFonts w:hint="eastAsia" w:ascii="宋体" w:hAnsi="宋体" w:eastAsia="宋体" w:cs="宋体"/>
          <w:b/>
          <w:color w:val="auto"/>
          <w:sz w:val="36"/>
          <w:highlight w:val="none"/>
        </w:rPr>
        <w:t>月</w:t>
      </w:r>
      <w:r>
        <w:rPr>
          <w:rFonts w:hint="eastAsia" w:ascii="宋体" w:hAnsi="宋体" w:eastAsia="宋体" w:cs="宋体"/>
          <w:b/>
          <w:color w:val="auto"/>
          <w:sz w:val="36"/>
          <w:highlight w:val="none"/>
        </w:rPr>
        <w:br w:type="page"/>
      </w:r>
    </w:p>
    <w:p w14:paraId="614A408E">
      <w:pPr>
        <w:rPr>
          <w:rFonts w:hint="eastAsia" w:ascii="宋体" w:hAnsi="宋体" w:eastAsia="宋体" w:cs="宋体"/>
          <w:b/>
          <w:color w:val="auto"/>
          <w:sz w:val="28"/>
          <w:highlight w:val="none"/>
        </w:rPr>
      </w:pPr>
    </w:p>
    <w:p w14:paraId="6D3CB5CD">
      <w:pPr>
        <w:keepNext w:val="0"/>
        <w:keepLines w:val="0"/>
        <w:pageBreakBefore w:val="0"/>
        <w:tabs>
          <w:tab w:val="left" w:pos="2410"/>
        </w:tabs>
        <w:kinsoku/>
        <w:wordWrap/>
        <w:overflowPunct/>
        <w:topLinePunct w:val="0"/>
        <w:autoSpaceDE w:val="0"/>
        <w:autoSpaceDN w:val="0"/>
        <w:bidi w:val="0"/>
        <w:adjustRightInd w:val="0"/>
        <w:snapToGrid w:val="0"/>
        <w:spacing w:line="600" w:lineRule="exact"/>
        <w:jc w:val="center"/>
        <w:textAlignment w:val="auto"/>
        <w:rPr>
          <w:rFonts w:hint="eastAsia" w:ascii="宋体" w:hAnsi="宋体" w:eastAsia="宋体" w:cs="宋体"/>
          <w:b/>
          <w:color w:val="auto"/>
          <w:sz w:val="28"/>
          <w:highlight w:val="none"/>
        </w:rPr>
      </w:pPr>
      <w:r>
        <w:rPr>
          <w:rFonts w:hint="eastAsia" w:ascii="宋体" w:hAnsi="宋体" w:eastAsia="宋体" w:cs="宋体"/>
          <w:b/>
          <w:color w:val="auto"/>
          <w:sz w:val="28"/>
          <w:highlight w:val="none"/>
        </w:rPr>
        <w:t>目  录</w:t>
      </w:r>
    </w:p>
    <w:p w14:paraId="758A6257">
      <w:pPr>
        <w:pStyle w:val="19"/>
        <w:keepNext w:val="0"/>
        <w:keepLines w:val="0"/>
        <w:pageBreakBefore w:val="0"/>
        <w:tabs>
          <w:tab w:val="right" w:leader="dot" w:pos="8306"/>
        </w:tabs>
        <w:kinsoku/>
        <w:wordWrap/>
        <w:overflowPunct/>
        <w:topLinePunct w:val="0"/>
        <w:bidi w:val="0"/>
        <w:spacing w:line="600" w:lineRule="exact"/>
        <w:jc w:val="center"/>
        <w:textAlignment w:val="auto"/>
        <w:rPr>
          <w:rFonts w:hint="eastAsia" w:ascii="宋体" w:hAnsi="宋体" w:eastAsia="宋体" w:cs="宋体"/>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TOC \o "1-2" \h \z \u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_Toc32331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第一章  投标邀请</w:t>
      </w:r>
      <w:r>
        <w:rPr>
          <w:rFonts w:hint="eastAsia" w:ascii="宋体" w:hAnsi="宋体" w:eastAsia="宋体" w:cs="宋体"/>
          <w:highlight w:val="none"/>
        </w:rPr>
        <w:tab/>
      </w:r>
      <w:r>
        <w:rPr>
          <w:rFonts w:hint="eastAsia" w:ascii="宋体" w:hAnsi="宋体" w:eastAsia="宋体" w:cs="宋体"/>
          <w:highlight w:val="none"/>
          <w:lang w:val="en-US" w:eastAsia="zh-CN"/>
        </w:rPr>
        <w:t>1</w:t>
      </w:r>
      <w:r>
        <w:rPr>
          <w:rFonts w:hint="eastAsia" w:ascii="宋体" w:hAnsi="宋体" w:eastAsia="宋体" w:cs="宋体"/>
          <w:color w:val="auto"/>
          <w:szCs w:val="24"/>
          <w:highlight w:val="none"/>
        </w:rPr>
        <w:fldChar w:fldCharType="end"/>
      </w:r>
    </w:p>
    <w:p w14:paraId="06103DBE">
      <w:pPr>
        <w:pStyle w:val="19"/>
        <w:keepNext w:val="0"/>
        <w:keepLines w:val="0"/>
        <w:pageBreakBefore w:val="0"/>
        <w:tabs>
          <w:tab w:val="right" w:leader="dot" w:pos="8306"/>
        </w:tabs>
        <w:kinsoku/>
        <w:wordWrap/>
        <w:overflowPunct/>
        <w:topLinePunct w:val="0"/>
        <w:bidi w:val="0"/>
        <w:spacing w:line="600" w:lineRule="exact"/>
        <w:jc w:val="center"/>
        <w:textAlignment w:val="auto"/>
        <w:rPr>
          <w:rFonts w:hint="eastAsia" w:ascii="宋体" w:hAnsi="宋体" w:eastAsia="宋体" w:cs="宋体"/>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_Toc8888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第二章  投标人须知</w:t>
      </w:r>
      <w:r>
        <w:rPr>
          <w:rFonts w:hint="eastAsia" w:ascii="宋体" w:hAnsi="宋体" w:eastAsia="宋体" w:cs="宋体"/>
          <w:highlight w:val="none"/>
        </w:rPr>
        <w:tab/>
      </w:r>
      <w:r>
        <w:rPr>
          <w:rFonts w:hint="eastAsia" w:ascii="宋体" w:hAnsi="宋体" w:eastAsia="宋体" w:cs="宋体"/>
          <w:highlight w:val="none"/>
          <w:lang w:val="en-US" w:eastAsia="zh-CN"/>
        </w:rPr>
        <w:t>4</w:t>
      </w:r>
      <w:r>
        <w:rPr>
          <w:rFonts w:hint="eastAsia" w:ascii="宋体" w:hAnsi="宋体" w:eastAsia="宋体" w:cs="宋体"/>
          <w:color w:val="auto"/>
          <w:szCs w:val="24"/>
          <w:highlight w:val="none"/>
        </w:rPr>
        <w:fldChar w:fldCharType="end"/>
      </w:r>
    </w:p>
    <w:p w14:paraId="210B6996">
      <w:pPr>
        <w:pStyle w:val="19"/>
        <w:keepNext w:val="0"/>
        <w:keepLines w:val="0"/>
        <w:pageBreakBefore w:val="0"/>
        <w:tabs>
          <w:tab w:val="right" w:leader="dot" w:pos="8306"/>
        </w:tabs>
        <w:kinsoku/>
        <w:wordWrap/>
        <w:overflowPunct/>
        <w:topLinePunct w:val="0"/>
        <w:bidi w:val="0"/>
        <w:spacing w:line="600" w:lineRule="exact"/>
        <w:jc w:val="center"/>
        <w:textAlignment w:val="auto"/>
        <w:rPr>
          <w:rFonts w:hint="eastAsia" w:ascii="宋体" w:hAnsi="宋体" w:eastAsia="宋体" w:cs="宋体"/>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_Toc22605 </w:instrText>
      </w:r>
      <w:r>
        <w:rPr>
          <w:rFonts w:hint="eastAsia" w:ascii="宋体" w:hAnsi="宋体" w:eastAsia="宋体" w:cs="宋体"/>
          <w:szCs w:val="24"/>
          <w:highlight w:val="none"/>
        </w:rPr>
        <w:fldChar w:fldCharType="separate"/>
      </w:r>
      <w:r>
        <w:rPr>
          <w:rFonts w:hint="eastAsia" w:ascii="宋体" w:hAnsi="宋体" w:eastAsia="宋体" w:cs="宋体"/>
          <w:highlight w:val="none"/>
          <w:lang w:eastAsia="zh-CN"/>
        </w:rPr>
        <w:t xml:space="preserve">第三章 </w:t>
      </w:r>
      <w:r>
        <w:rPr>
          <w:rFonts w:hint="eastAsia" w:ascii="宋体" w:hAnsi="宋体" w:eastAsia="宋体" w:cs="宋体"/>
          <w:highlight w:val="none"/>
          <w:lang w:val="en-US" w:eastAsia="zh-CN"/>
        </w:rPr>
        <w:t xml:space="preserve"> </w:t>
      </w:r>
      <w:r>
        <w:rPr>
          <w:rFonts w:hint="eastAsia" w:ascii="宋体" w:hAnsi="宋体" w:eastAsia="宋体" w:cs="宋体"/>
          <w:highlight w:val="none"/>
        </w:rPr>
        <w:t>采购需求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_Toc22605 \h </w:instrText>
      </w:r>
      <w:r>
        <w:rPr>
          <w:rFonts w:hint="eastAsia" w:ascii="宋体" w:hAnsi="宋体" w:eastAsia="宋体" w:cs="宋体"/>
          <w:highlight w:val="none"/>
        </w:rPr>
        <w:fldChar w:fldCharType="separate"/>
      </w:r>
      <w:r>
        <w:rPr>
          <w:rFonts w:hint="eastAsia" w:ascii="宋体" w:hAnsi="宋体" w:eastAsia="宋体" w:cs="宋体"/>
          <w:highlight w:val="none"/>
        </w:rPr>
        <w:t>2</w:t>
      </w:r>
      <w:r>
        <w:rPr>
          <w:rFonts w:hint="eastAsia" w:ascii="宋体" w:hAnsi="宋体" w:eastAsia="宋体" w:cs="宋体"/>
          <w:highlight w:val="none"/>
          <w:lang w:val="en-US" w:eastAsia="zh-CN"/>
        </w:rPr>
        <w:t>1</w:t>
      </w:r>
      <w:r>
        <w:rPr>
          <w:rFonts w:hint="eastAsia" w:ascii="宋体" w:hAnsi="宋体" w:eastAsia="宋体" w:cs="宋体"/>
          <w:highlight w:val="none"/>
        </w:rPr>
        <w:fldChar w:fldCharType="end"/>
      </w:r>
      <w:r>
        <w:rPr>
          <w:rFonts w:hint="eastAsia" w:ascii="宋体" w:hAnsi="宋体" w:eastAsia="宋体" w:cs="宋体"/>
          <w:color w:val="auto"/>
          <w:szCs w:val="24"/>
          <w:highlight w:val="none"/>
        </w:rPr>
        <w:fldChar w:fldCharType="end"/>
      </w:r>
    </w:p>
    <w:p w14:paraId="77AE7C9C">
      <w:pPr>
        <w:pStyle w:val="19"/>
        <w:keepNext w:val="0"/>
        <w:keepLines w:val="0"/>
        <w:pageBreakBefore w:val="0"/>
        <w:tabs>
          <w:tab w:val="right" w:leader="dot" w:pos="8306"/>
        </w:tabs>
        <w:kinsoku/>
        <w:wordWrap/>
        <w:overflowPunct/>
        <w:topLinePunct w:val="0"/>
        <w:bidi w:val="0"/>
        <w:spacing w:line="600" w:lineRule="exact"/>
        <w:jc w:val="center"/>
        <w:textAlignment w:val="auto"/>
        <w:rPr>
          <w:rFonts w:hint="eastAsia" w:ascii="宋体" w:hAnsi="宋体" w:eastAsia="宋体" w:cs="宋体"/>
          <w:highlight w:val="none"/>
          <w:lang w:val="en-US" w:eastAsia="zh-CN"/>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_Toc30824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第四章  评标方法和标准（综合评分法）</w:t>
      </w:r>
      <w:r>
        <w:rPr>
          <w:rFonts w:hint="eastAsia" w:ascii="宋体" w:hAnsi="宋体" w:eastAsia="宋体" w:cs="宋体"/>
          <w:highlight w:val="none"/>
        </w:rPr>
        <w:tab/>
      </w:r>
      <w:r>
        <w:rPr>
          <w:rFonts w:hint="eastAsia" w:ascii="宋体" w:hAnsi="宋体" w:eastAsia="宋体" w:cs="宋体"/>
          <w:highlight w:val="none"/>
          <w:lang w:val="en-US" w:eastAsia="zh-CN"/>
        </w:rPr>
        <w:t>3</w:t>
      </w:r>
      <w:r>
        <w:rPr>
          <w:rFonts w:hint="eastAsia" w:ascii="宋体" w:hAnsi="宋体" w:eastAsia="宋体" w:cs="宋体"/>
          <w:color w:val="auto"/>
          <w:szCs w:val="24"/>
          <w:highlight w:val="none"/>
        </w:rPr>
        <w:fldChar w:fldCharType="end"/>
      </w:r>
      <w:r>
        <w:rPr>
          <w:rFonts w:hint="eastAsia" w:ascii="宋体" w:hAnsi="宋体" w:eastAsia="宋体" w:cs="宋体"/>
          <w:highlight w:val="none"/>
          <w:lang w:val="en-US" w:eastAsia="zh-CN"/>
        </w:rPr>
        <w:t>1</w:t>
      </w:r>
    </w:p>
    <w:p w14:paraId="30A558BC">
      <w:pPr>
        <w:pStyle w:val="19"/>
        <w:keepNext w:val="0"/>
        <w:keepLines w:val="0"/>
        <w:pageBreakBefore w:val="0"/>
        <w:tabs>
          <w:tab w:val="right" w:leader="dot" w:pos="8306"/>
        </w:tabs>
        <w:kinsoku/>
        <w:wordWrap/>
        <w:overflowPunct/>
        <w:topLinePunct w:val="0"/>
        <w:bidi w:val="0"/>
        <w:spacing w:line="600" w:lineRule="exact"/>
        <w:jc w:val="center"/>
        <w:textAlignment w:val="auto"/>
        <w:rPr>
          <w:rFonts w:hint="eastAsia" w:ascii="宋体" w:hAnsi="宋体" w:eastAsia="宋体" w:cs="宋体"/>
          <w:color w:val="auto"/>
          <w:szCs w:val="24"/>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_Toc20405 </w:instrText>
      </w:r>
      <w:r>
        <w:rPr>
          <w:rFonts w:hint="eastAsia" w:ascii="宋体" w:hAnsi="宋体" w:eastAsia="宋体" w:cs="宋体"/>
          <w:highlight w:val="none"/>
        </w:rPr>
        <w:fldChar w:fldCharType="separate"/>
      </w:r>
      <w:r>
        <w:rPr>
          <w:rFonts w:hint="eastAsia" w:ascii="宋体" w:hAnsi="宋体" w:eastAsia="宋体" w:cs="宋体"/>
          <w:highlight w:val="none"/>
        </w:rPr>
        <w:t>第五章  政府采购合同</w:t>
      </w:r>
      <w:r>
        <w:rPr>
          <w:rFonts w:hint="eastAsia" w:ascii="宋体" w:hAnsi="宋体" w:eastAsia="宋体" w:cs="宋体"/>
          <w:highlight w:val="none"/>
        </w:rPr>
        <w:tab/>
      </w:r>
      <w:r>
        <w:rPr>
          <w:rFonts w:hint="eastAsia" w:ascii="宋体" w:hAnsi="宋体" w:eastAsia="宋体" w:cs="宋体"/>
          <w:highlight w:val="none"/>
          <w:lang w:val="en-US" w:eastAsia="zh-CN"/>
        </w:rPr>
        <w:t>4</w:t>
      </w:r>
      <w:r>
        <w:rPr>
          <w:rFonts w:hint="eastAsia" w:ascii="宋体" w:hAnsi="宋体" w:eastAsia="宋体" w:cs="宋体"/>
          <w:highlight w:val="none"/>
        </w:rPr>
        <w:fldChar w:fldCharType="end"/>
      </w:r>
      <w:r>
        <w:rPr>
          <w:rFonts w:hint="eastAsia" w:ascii="宋体" w:hAnsi="宋体" w:eastAsia="宋体" w:cs="宋体"/>
          <w:highlight w:val="none"/>
          <w:lang w:val="en-US" w:eastAsia="zh-CN"/>
        </w:rPr>
        <w:t>4</w:t>
      </w:r>
    </w:p>
    <w:p w14:paraId="0E12B256">
      <w:pPr>
        <w:pStyle w:val="19"/>
        <w:keepNext w:val="0"/>
        <w:keepLines w:val="0"/>
        <w:pageBreakBefore w:val="0"/>
        <w:tabs>
          <w:tab w:val="right" w:leader="dot" w:pos="8306"/>
        </w:tabs>
        <w:kinsoku/>
        <w:wordWrap/>
        <w:overflowPunct/>
        <w:topLinePunct w:val="0"/>
        <w:bidi w:val="0"/>
        <w:spacing w:line="600" w:lineRule="exact"/>
        <w:jc w:val="center"/>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_Toc13555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第六章  投标文件格式</w:t>
      </w:r>
      <w:r>
        <w:rPr>
          <w:rFonts w:hint="eastAsia" w:ascii="宋体" w:hAnsi="宋体" w:eastAsia="宋体" w:cs="宋体"/>
          <w:highlight w:val="none"/>
        </w:rPr>
        <w:tab/>
      </w:r>
      <w:r>
        <w:rPr>
          <w:rFonts w:hint="eastAsia" w:ascii="宋体" w:hAnsi="宋体" w:eastAsia="宋体" w:cs="宋体"/>
          <w:highlight w:val="none"/>
          <w:lang w:val="en-US" w:eastAsia="zh-CN"/>
        </w:rPr>
        <w:t>5</w:t>
      </w:r>
      <w:r>
        <w:rPr>
          <w:rFonts w:hint="eastAsia" w:ascii="宋体" w:hAnsi="宋体" w:eastAsia="宋体" w:cs="宋体"/>
          <w:color w:val="auto"/>
          <w:szCs w:val="24"/>
          <w:highlight w:val="none"/>
        </w:rPr>
        <w:fldChar w:fldCharType="end"/>
      </w:r>
      <w:r>
        <w:rPr>
          <w:rFonts w:hint="eastAsia" w:ascii="宋体" w:hAnsi="宋体" w:eastAsia="宋体" w:cs="宋体"/>
          <w:highlight w:val="none"/>
          <w:lang w:val="en-US" w:eastAsia="zh-CN"/>
        </w:rPr>
        <w:t>3</w:t>
      </w:r>
    </w:p>
    <w:p w14:paraId="72573798">
      <w:pPr>
        <w:pStyle w:val="19"/>
        <w:keepNext w:val="0"/>
        <w:keepLines w:val="0"/>
        <w:pageBreakBefore w:val="0"/>
        <w:tabs>
          <w:tab w:val="right" w:leader="dot" w:pos="8306"/>
        </w:tabs>
        <w:kinsoku/>
        <w:wordWrap/>
        <w:overflowPunct/>
        <w:topLinePunct w:val="0"/>
        <w:bidi w:val="0"/>
        <w:spacing w:line="600" w:lineRule="exact"/>
        <w:jc w:val="center"/>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_Toc20819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w:t>
      </w:r>
      <w:r>
        <w:rPr>
          <w:rFonts w:hint="eastAsia" w:ascii="宋体" w:hAnsi="宋体" w:eastAsia="宋体" w:cs="宋体"/>
          <w:highlight w:val="none"/>
          <w:lang w:val="en-US" w:eastAsia="zh-CN"/>
        </w:rPr>
        <w:t>七</w:t>
      </w:r>
      <w:r>
        <w:rPr>
          <w:rFonts w:hint="eastAsia" w:ascii="宋体" w:hAnsi="宋体" w:eastAsia="宋体" w:cs="宋体"/>
          <w:highlight w:val="none"/>
        </w:rPr>
        <w:t>章</w:t>
      </w:r>
      <w:r>
        <w:rPr>
          <w:rFonts w:hint="eastAsia" w:ascii="宋体" w:hAnsi="宋体" w:eastAsia="宋体" w:cs="宋体"/>
          <w:bCs/>
          <w:highlight w:val="none"/>
        </w:rPr>
        <w:t xml:space="preserve">  政府采购</w:t>
      </w:r>
      <w:r>
        <w:rPr>
          <w:rFonts w:hint="eastAsia" w:ascii="宋体" w:hAnsi="宋体" w:eastAsia="宋体" w:cs="宋体"/>
          <w:highlight w:val="none"/>
        </w:rPr>
        <w:t>供应</w:t>
      </w:r>
      <w:r>
        <w:rPr>
          <w:rFonts w:hint="eastAsia" w:ascii="宋体" w:hAnsi="宋体" w:eastAsia="宋体" w:cs="宋体"/>
          <w:bCs/>
          <w:highlight w:val="none"/>
        </w:rPr>
        <w:t>商询问函和质疑函范本</w:t>
      </w:r>
      <w:r>
        <w:rPr>
          <w:rFonts w:hint="eastAsia" w:ascii="宋体" w:hAnsi="宋体" w:eastAsia="宋体" w:cs="宋体"/>
          <w:highlight w:val="none"/>
        </w:rPr>
        <w:tab/>
      </w:r>
      <w:r>
        <w:rPr>
          <w:rFonts w:hint="eastAsia" w:ascii="宋体" w:hAnsi="宋体" w:eastAsia="宋体" w:cs="宋体"/>
          <w:highlight w:val="none"/>
          <w:lang w:val="en-US" w:eastAsia="zh-CN"/>
        </w:rPr>
        <w:t>7</w:t>
      </w:r>
      <w:r>
        <w:rPr>
          <w:rFonts w:hint="eastAsia" w:ascii="宋体" w:hAnsi="宋体" w:eastAsia="宋体" w:cs="宋体"/>
          <w:color w:val="auto"/>
          <w:szCs w:val="24"/>
          <w:highlight w:val="none"/>
        </w:rPr>
        <w:fldChar w:fldCharType="end"/>
      </w:r>
      <w:r>
        <w:rPr>
          <w:rFonts w:hint="eastAsia" w:ascii="宋体" w:hAnsi="宋体" w:eastAsia="宋体" w:cs="宋体"/>
          <w:highlight w:val="none"/>
          <w:lang w:val="en-US" w:eastAsia="zh-CN"/>
        </w:rPr>
        <w:t>0</w:t>
      </w:r>
    </w:p>
    <w:p w14:paraId="149D39C4">
      <w:pPr>
        <w:keepNext w:val="0"/>
        <w:keepLines w:val="0"/>
        <w:pageBreakBefore w:val="0"/>
        <w:kinsoku/>
        <w:wordWrap/>
        <w:overflowPunct/>
        <w:topLinePunct w:val="0"/>
        <w:bidi w:val="0"/>
        <w:spacing w:line="600" w:lineRule="exact"/>
        <w:jc w:val="center"/>
        <w:textAlignment w:val="auto"/>
        <w:rPr>
          <w:rFonts w:hint="eastAsia" w:ascii="宋体" w:hAnsi="宋体" w:eastAsia="宋体" w:cs="宋体"/>
          <w:b/>
          <w:color w:val="auto"/>
          <w:sz w:val="32"/>
          <w:highlight w:val="none"/>
        </w:rPr>
      </w:pPr>
      <w:r>
        <w:rPr>
          <w:rFonts w:hint="eastAsia" w:ascii="宋体" w:hAnsi="宋体" w:eastAsia="宋体" w:cs="宋体"/>
          <w:color w:val="auto"/>
          <w:szCs w:val="24"/>
          <w:highlight w:val="none"/>
        </w:rPr>
        <w:fldChar w:fldCharType="end"/>
      </w:r>
    </w:p>
    <w:p w14:paraId="707BE807">
      <w:pPr>
        <w:spacing w:line="360" w:lineRule="auto"/>
        <w:rPr>
          <w:rFonts w:hint="eastAsia" w:ascii="宋体" w:hAnsi="宋体" w:eastAsia="宋体" w:cs="宋体"/>
          <w:b/>
          <w:color w:val="auto"/>
          <w:sz w:val="32"/>
          <w:highlight w:val="none"/>
        </w:rPr>
      </w:pPr>
    </w:p>
    <w:p w14:paraId="2755E942">
      <w:pPr>
        <w:spacing w:line="360" w:lineRule="auto"/>
        <w:jc w:val="center"/>
        <w:outlineLvl w:val="1"/>
        <w:rPr>
          <w:rFonts w:hint="eastAsia" w:ascii="宋体" w:hAnsi="宋体" w:eastAsia="宋体" w:cs="宋体"/>
          <w:b/>
          <w:color w:val="auto"/>
          <w:sz w:val="28"/>
          <w:highlight w:val="none"/>
        </w:rPr>
        <w:sectPr>
          <w:headerReference r:id="rId3" w:type="default"/>
          <w:footerReference r:id="rId4" w:type="default"/>
          <w:pgSz w:w="11906" w:h="16838"/>
          <w:pgMar w:top="1134" w:right="1134" w:bottom="1134" w:left="1134" w:header="851" w:footer="992" w:gutter="0"/>
          <w:cols w:space="425" w:num="1"/>
          <w:docGrid w:type="lines" w:linePitch="312" w:charSpace="0"/>
        </w:sectPr>
      </w:pPr>
    </w:p>
    <w:p w14:paraId="7435938E">
      <w:pPr>
        <w:keepNext w:val="0"/>
        <w:keepLines w:val="0"/>
        <w:pageBreakBefore w:val="0"/>
        <w:widowControl w:val="0"/>
        <w:kinsoku/>
        <w:overflowPunct/>
        <w:topLinePunct w:val="0"/>
        <w:autoSpaceDE/>
        <w:autoSpaceDN/>
        <w:bidi w:val="0"/>
        <w:adjustRightInd/>
        <w:snapToGrid/>
        <w:spacing w:line="420" w:lineRule="exact"/>
        <w:jc w:val="center"/>
        <w:textAlignment w:val="auto"/>
        <w:outlineLvl w:val="0"/>
        <w:rPr>
          <w:rFonts w:hint="eastAsia" w:ascii="宋体" w:hAnsi="宋体" w:eastAsia="宋体" w:cs="宋体"/>
          <w:b/>
          <w:color w:val="auto"/>
          <w:sz w:val="28"/>
          <w:highlight w:val="none"/>
        </w:rPr>
      </w:pPr>
      <w:bookmarkStart w:id="1" w:name="_Toc32331"/>
      <w:r>
        <w:rPr>
          <w:rFonts w:hint="eastAsia" w:ascii="宋体" w:hAnsi="宋体" w:eastAsia="宋体" w:cs="宋体"/>
          <w:b/>
          <w:color w:val="auto"/>
          <w:sz w:val="28"/>
          <w:highlight w:val="none"/>
        </w:rPr>
        <w:t>第一章  投标邀请</w:t>
      </w:r>
      <w:bookmarkEnd w:id="1"/>
    </w:p>
    <w:p w14:paraId="78ED147C">
      <w:pPr>
        <w:keepNext w:val="0"/>
        <w:keepLines w:val="0"/>
        <w:pageBreakBefore w:val="0"/>
        <w:widowControl w:val="0"/>
        <w:kinsoku/>
        <w:overflowPunct/>
        <w:topLinePunct w:val="0"/>
        <w:autoSpaceDE/>
        <w:autoSpaceDN/>
        <w:bidi w:val="0"/>
        <w:adjustRightInd/>
        <w:snapToGrid/>
        <w:spacing w:line="420" w:lineRule="exact"/>
        <w:ind w:firstLine="435"/>
        <w:textAlignment w:val="auto"/>
        <w:outlineLvl w:val="9"/>
        <w:rPr>
          <w:rFonts w:hint="eastAsia" w:ascii="宋体" w:hAnsi="宋体" w:eastAsia="宋体" w:cs="宋体"/>
          <w:color w:val="auto"/>
          <w:sz w:val="24"/>
          <w:highlight w:val="none"/>
          <w:lang w:eastAsia="zh-CN"/>
        </w:rPr>
      </w:pPr>
      <w:bookmarkStart w:id="2" w:name="_Toc1381"/>
      <w:bookmarkStart w:id="3" w:name="_Toc31518"/>
      <w:r>
        <w:rPr>
          <w:rFonts w:hint="eastAsia" w:ascii="宋体" w:hAnsi="宋体" w:eastAsia="宋体" w:cs="宋体"/>
          <w:color w:val="auto"/>
          <w:sz w:val="24"/>
          <w:highlight w:val="none"/>
          <w:lang w:eastAsia="zh-CN"/>
        </w:rPr>
        <w:t>项目概况</w:t>
      </w:r>
    </w:p>
    <w:p w14:paraId="5337A3A2">
      <w:pPr>
        <w:keepNext w:val="0"/>
        <w:keepLines w:val="0"/>
        <w:pageBreakBefore w:val="0"/>
        <w:widowControl w:val="0"/>
        <w:kinsoku/>
        <w:overflowPunct/>
        <w:topLinePunct w:val="0"/>
        <w:autoSpaceDE/>
        <w:autoSpaceDN/>
        <w:bidi w:val="0"/>
        <w:adjustRightInd/>
        <w:snapToGrid/>
        <w:spacing w:line="420" w:lineRule="exact"/>
        <w:ind w:firstLine="435"/>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安徽省滁州市中级人民法院物业管理服务项目的潜在投标人应在滁州市公共资源交易中心网（http://ggzy.chuzhou.gov.cn/）获取招标文件，并于2024年</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eastAsia="zh-CN"/>
        </w:rPr>
        <w:t>月</w:t>
      </w:r>
      <w:r>
        <w:rPr>
          <w:rFonts w:hint="eastAsia" w:ascii="宋体" w:hAnsi="宋体" w:eastAsia="宋体" w:cs="宋体"/>
          <w:color w:val="auto"/>
          <w:sz w:val="24"/>
          <w:highlight w:val="none"/>
          <w:lang w:val="en-US" w:eastAsia="zh-CN"/>
        </w:rPr>
        <w:t>29</w:t>
      </w:r>
      <w:r>
        <w:rPr>
          <w:rFonts w:hint="eastAsia" w:ascii="宋体" w:hAnsi="宋体" w:eastAsia="宋体" w:cs="宋体"/>
          <w:color w:val="auto"/>
          <w:sz w:val="24"/>
          <w:highlight w:val="none"/>
          <w:lang w:eastAsia="zh-CN"/>
        </w:rPr>
        <w:t>日8点00分（北京时间）前递交投标文件。</w:t>
      </w:r>
    </w:p>
    <w:p w14:paraId="288BB5B1">
      <w:pPr>
        <w:keepNext w:val="0"/>
        <w:keepLines w:val="0"/>
        <w:pageBreakBefore w:val="0"/>
        <w:widowControl w:val="0"/>
        <w:kinsoku/>
        <w:overflowPunct/>
        <w:topLinePunct w:val="0"/>
        <w:autoSpaceDE/>
        <w:autoSpaceDN/>
        <w:bidi w:val="0"/>
        <w:adjustRightInd/>
        <w:snapToGrid/>
        <w:spacing w:line="420" w:lineRule="exact"/>
        <w:ind w:firstLine="437"/>
        <w:textAlignment w:val="auto"/>
        <w:outlineLvl w:val="1"/>
        <w:rPr>
          <w:rFonts w:hint="eastAsia" w:ascii="宋体" w:hAnsi="宋体" w:eastAsia="宋体" w:cs="宋体"/>
          <w:b/>
          <w:bCs/>
          <w:color w:val="auto"/>
          <w:sz w:val="24"/>
          <w:szCs w:val="18"/>
          <w:highlight w:val="none"/>
        </w:rPr>
      </w:pPr>
      <w:r>
        <w:rPr>
          <w:rFonts w:hint="eastAsia" w:ascii="宋体" w:hAnsi="宋体" w:eastAsia="宋体" w:cs="宋体"/>
          <w:b/>
          <w:bCs/>
          <w:color w:val="auto"/>
          <w:sz w:val="24"/>
          <w:szCs w:val="18"/>
          <w:highlight w:val="none"/>
        </w:rPr>
        <w:t>一、</w:t>
      </w:r>
      <w:bookmarkEnd w:id="2"/>
      <w:r>
        <w:rPr>
          <w:rFonts w:hint="eastAsia" w:ascii="宋体" w:hAnsi="宋体" w:eastAsia="宋体" w:cs="宋体"/>
          <w:b/>
          <w:bCs/>
          <w:color w:val="auto"/>
          <w:sz w:val="24"/>
          <w:szCs w:val="18"/>
          <w:highlight w:val="none"/>
        </w:rPr>
        <w:t>项目基本情况</w:t>
      </w:r>
      <w:bookmarkEnd w:id="3"/>
    </w:p>
    <w:p w14:paraId="7ADB117F">
      <w:pPr>
        <w:keepNext w:val="0"/>
        <w:keepLines w:val="0"/>
        <w:pageBreakBefore w:val="0"/>
        <w:widowControl w:val="0"/>
        <w:kinsoku/>
        <w:overflowPunct/>
        <w:topLinePunct w:val="0"/>
        <w:autoSpaceDE/>
        <w:autoSpaceDN/>
        <w:bidi w:val="0"/>
        <w:adjustRightInd/>
        <w:snapToGrid/>
        <w:spacing w:line="420" w:lineRule="exact"/>
        <w:ind w:firstLine="435"/>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项目编号：czsjcg202406-094</w:t>
      </w:r>
    </w:p>
    <w:p w14:paraId="419A069E">
      <w:pPr>
        <w:keepNext w:val="0"/>
        <w:keepLines w:val="0"/>
        <w:pageBreakBefore w:val="0"/>
        <w:widowControl w:val="0"/>
        <w:kinsoku/>
        <w:overflowPunct/>
        <w:topLinePunct w:val="0"/>
        <w:autoSpaceDE/>
        <w:autoSpaceDN/>
        <w:bidi w:val="0"/>
        <w:adjustRightInd/>
        <w:snapToGrid/>
        <w:spacing w:line="420" w:lineRule="exact"/>
        <w:ind w:firstLine="435"/>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项目名称：安徽省滁州市中级人民法院物业管理服务项目</w:t>
      </w:r>
    </w:p>
    <w:p w14:paraId="15CA0B44">
      <w:pPr>
        <w:keepNext w:val="0"/>
        <w:keepLines w:val="0"/>
        <w:pageBreakBefore w:val="0"/>
        <w:widowControl w:val="0"/>
        <w:kinsoku/>
        <w:overflowPunct/>
        <w:topLinePunct w:val="0"/>
        <w:autoSpaceDE/>
        <w:autoSpaceDN/>
        <w:bidi w:val="0"/>
        <w:adjustRightInd/>
        <w:snapToGrid/>
        <w:spacing w:line="420" w:lineRule="exact"/>
        <w:ind w:firstLine="435"/>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预算金额：</w:t>
      </w:r>
      <w:r>
        <w:rPr>
          <w:rFonts w:hint="eastAsia" w:ascii="宋体" w:hAnsi="宋体" w:eastAsia="宋体" w:cs="宋体"/>
          <w:color w:val="auto"/>
          <w:sz w:val="24"/>
          <w:highlight w:val="none"/>
          <w:lang w:val="en-US" w:eastAsia="zh-CN"/>
        </w:rPr>
        <w:t>每年900000</w:t>
      </w:r>
      <w:r>
        <w:rPr>
          <w:rFonts w:hint="eastAsia" w:ascii="宋体" w:hAnsi="宋体" w:eastAsia="宋体" w:cs="宋体"/>
          <w:color w:val="auto"/>
          <w:sz w:val="24"/>
          <w:highlight w:val="none"/>
          <w:lang w:eastAsia="zh-CN"/>
        </w:rPr>
        <w:t>元；三年</w:t>
      </w:r>
      <w:r>
        <w:rPr>
          <w:rFonts w:hint="eastAsia" w:ascii="宋体" w:hAnsi="宋体" w:eastAsia="宋体" w:cs="宋体"/>
          <w:color w:val="auto"/>
          <w:sz w:val="24"/>
          <w:highlight w:val="none"/>
          <w:lang w:val="en-US" w:eastAsia="zh-CN"/>
        </w:rPr>
        <w:t>2700000</w:t>
      </w:r>
      <w:r>
        <w:rPr>
          <w:rFonts w:hint="eastAsia" w:ascii="宋体" w:hAnsi="宋体" w:eastAsia="宋体" w:cs="宋体"/>
          <w:color w:val="auto"/>
          <w:sz w:val="24"/>
          <w:highlight w:val="none"/>
          <w:lang w:eastAsia="zh-CN"/>
        </w:rPr>
        <w:t>元</w:t>
      </w:r>
    </w:p>
    <w:p w14:paraId="4A92CD00">
      <w:pPr>
        <w:keepNext w:val="0"/>
        <w:keepLines w:val="0"/>
        <w:pageBreakBefore w:val="0"/>
        <w:widowControl w:val="0"/>
        <w:kinsoku/>
        <w:overflowPunct/>
        <w:topLinePunct w:val="0"/>
        <w:autoSpaceDE/>
        <w:autoSpaceDN/>
        <w:bidi w:val="0"/>
        <w:adjustRightInd/>
        <w:snapToGrid/>
        <w:spacing w:line="420" w:lineRule="exact"/>
        <w:ind w:firstLine="435"/>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最高限价：</w:t>
      </w:r>
      <w:r>
        <w:rPr>
          <w:rFonts w:hint="eastAsia" w:ascii="宋体" w:hAnsi="宋体" w:eastAsia="宋体" w:cs="宋体"/>
          <w:color w:val="auto"/>
          <w:sz w:val="24"/>
          <w:highlight w:val="none"/>
          <w:lang w:val="en-US" w:eastAsia="zh-CN"/>
        </w:rPr>
        <w:t>每年900000</w:t>
      </w:r>
      <w:r>
        <w:rPr>
          <w:rFonts w:hint="eastAsia" w:ascii="宋体" w:hAnsi="宋体" w:eastAsia="宋体" w:cs="宋体"/>
          <w:color w:val="auto"/>
          <w:sz w:val="24"/>
          <w:highlight w:val="none"/>
          <w:lang w:eastAsia="zh-CN"/>
        </w:rPr>
        <w:t>元；三年</w:t>
      </w:r>
      <w:r>
        <w:rPr>
          <w:rFonts w:hint="eastAsia" w:ascii="宋体" w:hAnsi="宋体" w:eastAsia="宋体" w:cs="宋体"/>
          <w:color w:val="auto"/>
          <w:sz w:val="24"/>
          <w:highlight w:val="none"/>
          <w:lang w:val="en-US" w:eastAsia="zh-CN"/>
        </w:rPr>
        <w:t>2700000</w:t>
      </w:r>
      <w:r>
        <w:rPr>
          <w:rFonts w:hint="eastAsia" w:ascii="宋体" w:hAnsi="宋体" w:eastAsia="宋体" w:cs="宋体"/>
          <w:color w:val="auto"/>
          <w:sz w:val="24"/>
          <w:highlight w:val="none"/>
          <w:lang w:eastAsia="zh-CN"/>
        </w:rPr>
        <w:t>元；投标报价不得高于最高限价，否则按无效投标处理。</w:t>
      </w:r>
    </w:p>
    <w:p w14:paraId="7FC55845">
      <w:pPr>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采购需求：包含安全保护、秩序维护、信件（快递）收发、会务服务、办公楼及法庭保洁、公共场所（含院内）卫生保洁、水电等日常维护等。项目概况以现场实物为准。</w:t>
      </w:r>
    </w:p>
    <w:p w14:paraId="00306929">
      <w:pPr>
        <w:keepNext w:val="0"/>
        <w:keepLines w:val="0"/>
        <w:pageBreakBefore w:val="0"/>
        <w:widowControl w:val="0"/>
        <w:kinsoku/>
        <w:overflowPunct/>
        <w:topLinePunct w:val="0"/>
        <w:autoSpaceDE/>
        <w:autoSpaceDN/>
        <w:bidi w:val="0"/>
        <w:adjustRightInd/>
        <w:snapToGrid/>
        <w:spacing w:line="420" w:lineRule="exact"/>
        <w:ind w:firstLine="435"/>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合同履行期限：服务期</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lang w:eastAsia="zh-CN"/>
        </w:rPr>
        <w:t>年，合同一年一签。</w:t>
      </w:r>
    </w:p>
    <w:p w14:paraId="426143D6">
      <w:pPr>
        <w:keepNext w:val="0"/>
        <w:keepLines w:val="0"/>
        <w:pageBreakBefore w:val="0"/>
        <w:widowControl w:val="0"/>
        <w:kinsoku/>
        <w:overflowPunct/>
        <w:topLinePunct w:val="0"/>
        <w:autoSpaceDE/>
        <w:autoSpaceDN/>
        <w:bidi w:val="0"/>
        <w:adjustRightInd/>
        <w:snapToGrid/>
        <w:spacing w:line="420" w:lineRule="exact"/>
        <w:ind w:firstLine="435"/>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本项目</w:t>
      </w:r>
      <w:r>
        <w:rPr>
          <w:rFonts w:hint="eastAsia" w:ascii="宋体" w:hAnsi="宋体" w:eastAsia="宋体" w:cs="宋体"/>
          <w:color w:val="auto"/>
          <w:sz w:val="24"/>
          <w:highlight w:val="none"/>
          <w:lang w:val="en-US" w:eastAsia="zh-CN"/>
        </w:rPr>
        <w:t>不</w:t>
      </w:r>
      <w:r>
        <w:rPr>
          <w:rFonts w:hint="eastAsia" w:ascii="宋体" w:hAnsi="宋体" w:eastAsia="宋体" w:cs="宋体"/>
          <w:color w:val="auto"/>
          <w:sz w:val="24"/>
          <w:highlight w:val="none"/>
          <w:lang w:eastAsia="zh-CN"/>
        </w:rPr>
        <w:t>接受联合体投标。</w:t>
      </w:r>
    </w:p>
    <w:p w14:paraId="1A4B0D66">
      <w:pPr>
        <w:keepNext w:val="0"/>
        <w:keepLines w:val="0"/>
        <w:pageBreakBefore w:val="0"/>
        <w:widowControl w:val="0"/>
        <w:kinsoku/>
        <w:overflowPunct/>
        <w:topLinePunct w:val="0"/>
        <w:autoSpaceDE/>
        <w:autoSpaceDN/>
        <w:bidi w:val="0"/>
        <w:adjustRightInd/>
        <w:snapToGrid/>
        <w:spacing w:line="420" w:lineRule="exact"/>
        <w:ind w:firstLine="437"/>
        <w:textAlignment w:val="auto"/>
        <w:outlineLvl w:val="1"/>
        <w:rPr>
          <w:rFonts w:hint="eastAsia" w:ascii="宋体" w:hAnsi="宋体" w:eastAsia="宋体" w:cs="宋体"/>
          <w:b/>
          <w:bCs/>
          <w:color w:val="auto"/>
          <w:sz w:val="24"/>
          <w:szCs w:val="18"/>
          <w:highlight w:val="none"/>
        </w:rPr>
      </w:pPr>
      <w:bookmarkStart w:id="4" w:name="_Toc13530"/>
      <w:bookmarkStart w:id="5" w:name="_Toc9204"/>
      <w:r>
        <w:rPr>
          <w:rFonts w:hint="eastAsia" w:ascii="宋体" w:hAnsi="宋体" w:eastAsia="宋体" w:cs="宋体"/>
          <w:b/>
          <w:bCs/>
          <w:color w:val="auto"/>
          <w:sz w:val="24"/>
          <w:szCs w:val="18"/>
          <w:highlight w:val="none"/>
        </w:rPr>
        <w:t>二、</w:t>
      </w:r>
      <w:bookmarkEnd w:id="4"/>
      <w:r>
        <w:rPr>
          <w:rFonts w:hint="eastAsia" w:ascii="宋体" w:hAnsi="宋体" w:eastAsia="宋体" w:cs="宋体"/>
          <w:b/>
          <w:bCs/>
          <w:color w:val="auto"/>
          <w:sz w:val="24"/>
          <w:szCs w:val="18"/>
          <w:highlight w:val="none"/>
        </w:rPr>
        <w:t>申请人的资格要求</w:t>
      </w:r>
      <w:bookmarkEnd w:id="5"/>
    </w:p>
    <w:p w14:paraId="0C41AD8F">
      <w:pPr>
        <w:keepNext w:val="0"/>
        <w:keepLines w:val="0"/>
        <w:pageBreakBefore w:val="0"/>
        <w:widowControl w:val="0"/>
        <w:kinsoku/>
        <w:overflowPunct/>
        <w:topLinePunct w:val="0"/>
        <w:autoSpaceDE/>
        <w:autoSpaceDN/>
        <w:bidi w:val="0"/>
        <w:adjustRightInd/>
        <w:snapToGrid/>
        <w:spacing w:line="420" w:lineRule="exact"/>
        <w:ind w:firstLine="435"/>
        <w:textAlignment w:val="auto"/>
        <w:outlineLvl w:val="9"/>
        <w:rPr>
          <w:rFonts w:hint="eastAsia" w:ascii="宋体" w:hAnsi="宋体" w:eastAsia="宋体" w:cs="宋体"/>
          <w:color w:val="auto"/>
          <w:sz w:val="24"/>
          <w:highlight w:val="none"/>
        </w:rPr>
      </w:pPr>
      <w:bookmarkStart w:id="6" w:name="_Toc30110"/>
      <w:r>
        <w:rPr>
          <w:rFonts w:hint="eastAsia" w:ascii="宋体" w:hAnsi="宋体" w:eastAsia="宋体" w:cs="宋体"/>
          <w:color w:val="auto"/>
          <w:sz w:val="24"/>
          <w:highlight w:val="none"/>
        </w:rPr>
        <w:t>1.满足《中华人民共和国政府采购法》第二十二条规定；</w:t>
      </w:r>
    </w:p>
    <w:p w14:paraId="2587F7E2">
      <w:pPr>
        <w:keepNext w:val="0"/>
        <w:keepLines w:val="0"/>
        <w:pageBreakBefore w:val="0"/>
        <w:widowControl w:val="0"/>
        <w:kinsoku/>
        <w:overflowPunct/>
        <w:topLinePunct w:val="0"/>
        <w:autoSpaceDE/>
        <w:autoSpaceDN/>
        <w:bidi w:val="0"/>
        <w:adjustRightInd/>
        <w:snapToGrid/>
        <w:spacing w:line="420" w:lineRule="exact"/>
        <w:ind w:firstLine="435"/>
        <w:textAlignment w:val="auto"/>
        <w:outlineLvl w:val="9"/>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2.落实政府采购政策需满足的资格要求：</w:t>
      </w:r>
      <w:r>
        <w:rPr>
          <w:rFonts w:hint="eastAsia" w:ascii="宋体" w:hAnsi="宋体" w:eastAsia="宋体" w:cs="宋体"/>
          <w:color w:val="auto"/>
          <w:sz w:val="24"/>
          <w:highlight w:val="none"/>
          <w:lang w:val="en-US" w:eastAsia="zh-CN"/>
        </w:rPr>
        <w:t>按照财政部、工业和信息化部制定的《政府采购促进中小企业发展管理办法》，本项目为专门面向中小企业采购项目。企业划型标准按照《关于印发中小企业划型标准规定的通知》（工信部联企业〔2011〕300号）规定执行；</w:t>
      </w:r>
    </w:p>
    <w:p w14:paraId="01FD0D4B">
      <w:pPr>
        <w:keepNext w:val="0"/>
        <w:keepLines w:val="0"/>
        <w:pageBreakBefore w:val="0"/>
        <w:widowControl w:val="0"/>
        <w:kinsoku/>
        <w:overflowPunct/>
        <w:topLinePunct w:val="0"/>
        <w:autoSpaceDE/>
        <w:autoSpaceDN/>
        <w:bidi w:val="0"/>
        <w:adjustRightInd/>
        <w:snapToGrid/>
        <w:spacing w:line="420" w:lineRule="exact"/>
        <w:ind w:firstLine="435"/>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3.本项目的特定资格要求：/。</w:t>
      </w:r>
    </w:p>
    <w:p w14:paraId="004E0496">
      <w:pPr>
        <w:keepNext w:val="0"/>
        <w:keepLines w:val="0"/>
        <w:pageBreakBefore w:val="0"/>
        <w:widowControl w:val="0"/>
        <w:kinsoku/>
        <w:overflowPunct/>
        <w:topLinePunct w:val="0"/>
        <w:autoSpaceDE/>
        <w:autoSpaceDN/>
        <w:bidi w:val="0"/>
        <w:adjustRightInd/>
        <w:snapToGrid/>
        <w:spacing w:line="420" w:lineRule="exact"/>
        <w:ind w:firstLine="435"/>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4.信誉要求：投标人不得存在以下情形：</w:t>
      </w:r>
    </w:p>
    <w:p w14:paraId="4A5D25CA">
      <w:pPr>
        <w:keepNext w:val="0"/>
        <w:keepLines w:val="0"/>
        <w:pageBreakBefore w:val="0"/>
        <w:widowControl w:val="0"/>
        <w:kinsoku/>
        <w:overflowPunct/>
        <w:topLinePunct w:val="0"/>
        <w:autoSpaceDE/>
        <w:autoSpaceDN/>
        <w:bidi w:val="0"/>
        <w:adjustRightInd/>
        <w:snapToGrid/>
        <w:spacing w:line="420" w:lineRule="exact"/>
        <w:ind w:firstLine="435"/>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①投标人被人民法院列入失信被执行人的；</w:t>
      </w:r>
    </w:p>
    <w:p w14:paraId="5136BB03">
      <w:pPr>
        <w:keepNext w:val="0"/>
        <w:keepLines w:val="0"/>
        <w:pageBreakBefore w:val="0"/>
        <w:widowControl w:val="0"/>
        <w:kinsoku/>
        <w:overflowPunct/>
        <w:topLinePunct w:val="0"/>
        <w:autoSpaceDE/>
        <w:autoSpaceDN/>
        <w:bidi w:val="0"/>
        <w:adjustRightInd/>
        <w:snapToGrid/>
        <w:spacing w:line="420" w:lineRule="exact"/>
        <w:ind w:firstLine="435"/>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②投标人或其法定代表人或拟派项目经理（项目负责人）前三年有行贿犯罪行为的；</w:t>
      </w:r>
    </w:p>
    <w:p w14:paraId="30E1FBB6">
      <w:pPr>
        <w:keepNext w:val="0"/>
        <w:keepLines w:val="0"/>
        <w:pageBreakBefore w:val="0"/>
        <w:widowControl w:val="0"/>
        <w:kinsoku/>
        <w:overflowPunct/>
        <w:topLinePunct w:val="0"/>
        <w:autoSpaceDE/>
        <w:autoSpaceDN/>
        <w:bidi w:val="0"/>
        <w:adjustRightInd/>
        <w:snapToGrid/>
        <w:spacing w:line="420" w:lineRule="exact"/>
        <w:ind w:firstLine="435"/>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③投标人被市场监督管理部门列入经营异常名录或者严重违法企业名单，且未被移除的；</w:t>
      </w:r>
    </w:p>
    <w:p w14:paraId="3D63DD86">
      <w:pPr>
        <w:keepNext w:val="0"/>
        <w:keepLines w:val="0"/>
        <w:pageBreakBefore w:val="0"/>
        <w:widowControl w:val="0"/>
        <w:kinsoku/>
        <w:overflowPunct/>
        <w:topLinePunct w:val="0"/>
        <w:autoSpaceDE/>
        <w:autoSpaceDN/>
        <w:bidi w:val="0"/>
        <w:adjustRightInd/>
        <w:snapToGrid/>
        <w:spacing w:line="420" w:lineRule="exact"/>
        <w:ind w:firstLine="435"/>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④投标人被税务部门列入重大税收违法案件当事人的；</w:t>
      </w:r>
    </w:p>
    <w:p w14:paraId="5408BF12">
      <w:pPr>
        <w:keepNext w:val="0"/>
        <w:keepLines w:val="0"/>
        <w:pageBreakBefore w:val="0"/>
        <w:widowControl w:val="0"/>
        <w:kinsoku/>
        <w:overflowPunct/>
        <w:topLinePunct w:val="0"/>
        <w:autoSpaceDE/>
        <w:autoSpaceDN/>
        <w:bidi w:val="0"/>
        <w:adjustRightInd/>
        <w:snapToGrid/>
        <w:spacing w:line="420" w:lineRule="exact"/>
        <w:ind w:firstLine="435"/>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⑤投标人被政府采购监管部门列入政府采购严重违法失信行为记录名单的；</w:t>
      </w:r>
    </w:p>
    <w:p w14:paraId="0709905F">
      <w:pPr>
        <w:keepNext w:val="0"/>
        <w:keepLines w:val="0"/>
        <w:pageBreakBefore w:val="0"/>
        <w:widowControl w:val="0"/>
        <w:kinsoku/>
        <w:overflowPunct/>
        <w:topLinePunct w:val="0"/>
        <w:autoSpaceDE/>
        <w:autoSpaceDN/>
        <w:bidi w:val="0"/>
        <w:adjustRightInd/>
        <w:snapToGrid/>
        <w:spacing w:line="420" w:lineRule="exact"/>
        <w:ind w:firstLine="435"/>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⑥在“信用中国”网站上披露仍在公示期的严重失信行为的。</w:t>
      </w:r>
    </w:p>
    <w:p w14:paraId="4476BCC9">
      <w:pPr>
        <w:keepNext w:val="0"/>
        <w:keepLines w:val="0"/>
        <w:pageBreakBefore w:val="0"/>
        <w:widowControl w:val="0"/>
        <w:kinsoku/>
        <w:wordWrap/>
        <w:overflowPunct/>
        <w:topLinePunct w:val="0"/>
        <w:autoSpaceDE/>
        <w:autoSpaceDN/>
        <w:bidi w:val="0"/>
        <w:adjustRightInd/>
        <w:snapToGrid/>
        <w:spacing w:line="420" w:lineRule="exact"/>
        <w:ind w:firstLine="435"/>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5.投标人所属分公司、办事处等分支机构存在第4款信誉要求①-⑥项情形之一的，接受投标人参加本项目。</w:t>
      </w:r>
    </w:p>
    <w:p w14:paraId="7CDF5B57">
      <w:pPr>
        <w:keepNext w:val="0"/>
        <w:keepLines w:val="0"/>
        <w:pageBreakBefore w:val="0"/>
        <w:widowControl w:val="0"/>
        <w:kinsoku/>
        <w:overflowPunct/>
        <w:topLinePunct w:val="0"/>
        <w:autoSpaceDE/>
        <w:autoSpaceDN/>
        <w:bidi w:val="0"/>
        <w:adjustRightInd/>
        <w:snapToGrid/>
        <w:spacing w:line="420" w:lineRule="exact"/>
        <w:ind w:firstLine="435"/>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备注：第4、5条按照“关于联合惩戒失信行为加强信用查询管理的通知”查询或承诺。</w:t>
      </w:r>
    </w:p>
    <w:p w14:paraId="66CB53A0">
      <w:pPr>
        <w:keepNext w:val="0"/>
        <w:keepLines w:val="0"/>
        <w:pageBreakBefore w:val="0"/>
        <w:widowControl w:val="0"/>
        <w:kinsoku/>
        <w:overflowPunct/>
        <w:topLinePunct w:val="0"/>
        <w:autoSpaceDE/>
        <w:autoSpaceDN/>
        <w:bidi w:val="0"/>
        <w:adjustRightInd/>
        <w:snapToGrid/>
        <w:spacing w:line="420" w:lineRule="exact"/>
        <w:ind w:firstLine="437"/>
        <w:textAlignment w:val="auto"/>
        <w:outlineLvl w:val="1"/>
        <w:rPr>
          <w:rFonts w:hint="eastAsia" w:ascii="宋体" w:hAnsi="宋体" w:eastAsia="宋体" w:cs="宋体"/>
          <w:b/>
          <w:bCs/>
          <w:color w:val="auto"/>
          <w:sz w:val="24"/>
          <w:szCs w:val="18"/>
          <w:highlight w:val="none"/>
        </w:rPr>
      </w:pPr>
      <w:bookmarkStart w:id="7" w:name="_Toc21681"/>
      <w:r>
        <w:rPr>
          <w:rFonts w:hint="eastAsia" w:ascii="宋体" w:hAnsi="宋体" w:eastAsia="宋体" w:cs="宋体"/>
          <w:b/>
          <w:bCs/>
          <w:color w:val="auto"/>
          <w:sz w:val="24"/>
          <w:szCs w:val="18"/>
          <w:highlight w:val="none"/>
        </w:rPr>
        <w:t>三、</w:t>
      </w:r>
      <w:bookmarkEnd w:id="6"/>
      <w:r>
        <w:rPr>
          <w:rFonts w:hint="eastAsia" w:ascii="宋体" w:hAnsi="宋体" w:eastAsia="宋体" w:cs="宋体"/>
          <w:b/>
          <w:bCs/>
          <w:color w:val="auto"/>
          <w:sz w:val="24"/>
          <w:szCs w:val="18"/>
          <w:highlight w:val="none"/>
        </w:rPr>
        <w:t>获取招标文件</w:t>
      </w:r>
      <w:bookmarkEnd w:id="7"/>
    </w:p>
    <w:p w14:paraId="6426D2F7">
      <w:pPr>
        <w:keepNext w:val="0"/>
        <w:keepLines w:val="0"/>
        <w:pageBreakBefore w:val="0"/>
        <w:widowControl w:val="0"/>
        <w:kinsoku/>
        <w:overflowPunct/>
        <w:topLinePunct w:val="0"/>
        <w:autoSpaceDE/>
        <w:autoSpaceDN/>
        <w:bidi w:val="0"/>
        <w:adjustRightInd/>
        <w:snapToGrid/>
        <w:spacing w:line="420" w:lineRule="exact"/>
        <w:ind w:firstLine="480" w:firstLineChars="200"/>
        <w:textAlignment w:val="auto"/>
        <w:rPr>
          <w:rFonts w:hint="eastAsia" w:ascii="宋体" w:hAnsi="宋体" w:eastAsia="宋体" w:cs="宋体"/>
          <w:i/>
          <w:iCs/>
          <w:sz w:val="24"/>
          <w:szCs w:val="24"/>
          <w:highlight w:val="none"/>
        </w:rPr>
      </w:pPr>
      <w:bookmarkStart w:id="8" w:name="_Toc7957"/>
      <w:r>
        <w:rPr>
          <w:rFonts w:hint="eastAsia" w:ascii="宋体" w:hAnsi="宋体" w:eastAsia="宋体" w:cs="宋体"/>
          <w:sz w:val="24"/>
          <w:szCs w:val="24"/>
          <w:highlight w:val="none"/>
        </w:rPr>
        <w:t>时间：</w:t>
      </w:r>
      <w:r>
        <w:rPr>
          <w:rFonts w:hint="eastAsia" w:ascii="宋体" w:hAnsi="宋体" w:eastAsia="宋体" w:cs="宋体"/>
          <w:sz w:val="24"/>
          <w:szCs w:val="24"/>
          <w:highlight w:val="none"/>
          <w:u w:val="single"/>
          <w:lang w:val="en-US" w:eastAsia="zh-CN"/>
        </w:rPr>
        <w:t>2024</w:t>
      </w:r>
      <w:r>
        <w:rPr>
          <w:rFonts w:hint="eastAsia" w:ascii="宋体" w:hAnsi="宋体" w:eastAsia="宋体" w:cs="宋体"/>
          <w:sz w:val="24"/>
          <w:szCs w:val="24"/>
          <w:highlight w:val="none"/>
          <w:u w:val="none"/>
        </w:rPr>
        <w:t>年</w:t>
      </w:r>
      <w:r>
        <w:rPr>
          <w:rFonts w:hint="eastAsia" w:ascii="宋体" w:hAnsi="宋体" w:eastAsia="宋体" w:cs="宋体"/>
          <w:sz w:val="24"/>
          <w:szCs w:val="24"/>
          <w:highlight w:val="none"/>
          <w:u w:val="single"/>
          <w:lang w:val="en-US" w:eastAsia="zh-CN"/>
        </w:rPr>
        <w:t>6</w:t>
      </w:r>
      <w:r>
        <w:rPr>
          <w:rFonts w:hint="eastAsia" w:ascii="宋体" w:hAnsi="宋体" w:eastAsia="宋体" w:cs="宋体"/>
          <w:sz w:val="24"/>
          <w:szCs w:val="24"/>
          <w:highlight w:val="none"/>
          <w:u w:val="none"/>
        </w:rPr>
        <w:t>月</w:t>
      </w:r>
      <w:r>
        <w:rPr>
          <w:rFonts w:hint="eastAsia" w:ascii="宋体" w:hAnsi="宋体" w:eastAsia="宋体" w:cs="宋体"/>
          <w:sz w:val="24"/>
          <w:szCs w:val="24"/>
          <w:highlight w:val="none"/>
          <w:u w:val="single"/>
          <w:lang w:val="en-US" w:eastAsia="zh-CN"/>
        </w:rPr>
        <w:t>25</w:t>
      </w:r>
      <w:r>
        <w:rPr>
          <w:rFonts w:hint="eastAsia" w:ascii="宋体" w:hAnsi="宋体" w:eastAsia="宋体" w:cs="宋体"/>
          <w:sz w:val="24"/>
          <w:szCs w:val="24"/>
          <w:highlight w:val="none"/>
          <w:u w:val="none"/>
        </w:rPr>
        <w:t>日</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lang w:val="en-US" w:eastAsia="zh-CN"/>
        </w:rPr>
        <w:t>2024</w:t>
      </w:r>
      <w:r>
        <w:rPr>
          <w:rFonts w:hint="eastAsia" w:ascii="宋体" w:hAnsi="宋体" w:eastAsia="宋体" w:cs="宋体"/>
          <w:sz w:val="24"/>
          <w:szCs w:val="24"/>
          <w:highlight w:val="none"/>
          <w:u w:val="none"/>
        </w:rPr>
        <w:t>年</w:t>
      </w:r>
      <w:r>
        <w:rPr>
          <w:rFonts w:hint="eastAsia" w:ascii="宋体" w:hAnsi="宋体" w:eastAsia="宋体" w:cs="宋体"/>
          <w:sz w:val="24"/>
          <w:szCs w:val="24"/>
          <w:highlight w:val="none"/>
          <w:u w:val="single"/>
          <w:lang w:val="en-US" w:eastAsia="zh-CN"/>
        </w:rPr>
        <w:t>9</w:t>
      </w:r>
      <w:r>
        <w:rPr>
          <w:rFonts w:hint="eastAsia" w:ascii="宋体" w:hAnsi="宋体" w:eastAsia="宋体" w:cs="宋体"/>
          <w:sz w:val="24"/>
          <w:szCs w:val="24"/>
          <w:highlight w:val="none"/>
          <w:u w:val="none"/>
        </w:rPr>
        <w:t>月</w:t>
      </w:r>
      <w:r>
        <w:rPr>
          <w:rFonts w:hint="eastAsia" w:ascii="宋体" w:hAnsi="宋体" w:eastAsia="宋体" w:cs="宋体"/>
          <w:sz w:val="24"/>
          <w:szCs w:val="24"/>
          <w:highlight w:val="none"/>
          <w:u w:val="single"/>
          <w:lang w:val="en-US" w:eastAsia="zh-CN"/>
        </w:rPr>
        <w:t>29</w:t>
      </w:r>
      <w:r>
        <w:rPr>
          <w:rFonts w:hint="eastAsia" w:ascii="宋体" w:hAnsi="宋体" w:eastAsia="宋体" w:cs="宋体"/>
          <w:sz w:val="24"/>
          <w:szCs w:val="24"/>
          <w:highlight w:val="none"/>
          <w:u w:val="none"/>
        </w:rPr>
        <w:t>日</w:t>
      </w:r>
      <w:r>
        <w:rPr>
          <w:rFonts w:hint="eastAsia" w:ascii="宋体" w:hAnsi="宋体" w:eastAsia="宋体" w:cs="宋体"/>
          <w:iCs/>
          <w:sz w:val="24"/>
          <w:szCs w:val="24"/>
          <w:highlight w:val="none"/>
          <w:u w:val="none"/>
        </w:rPr>
        <w:t>（</w:t>
      </w:r>
      <w:r>
        <w:rPr>
          <w:rFonts w:hint="eastAsia" w:ascii="宋体" w:hAnsi="宋体" w:eastAsia="宋体" w:cs="宋体"/>
          <w:i/>
          <w:sz w:val="24"/>
          <w:szCs w:val="24"/>
          <w:highlight w:val="none"/>
          <w:u w:val="none"/>
        </w:rPr>
        <w:t>提供期限自本公告发布之日起不得少于5个工作日</w:t>
      </w:r>
      <w:r>
        <w:rPr>
          <w:rFonts w:hint="eastAsia" w:ascii="宋体" w:hAnsi="宋体" w:eastAsia="宋体" w:cs="宋体"/>
          <w:iCs/>
          <w:sz w:val="24"/>
          <w:szCs w:val="24"/>
          <w:highlight w:val="none"/>
          <w:u w:val="none"/>
        </w:rPr>
        <w:t>）</w:t>
      </w:r>
    </w:p>
    <w:p w14:paraId="6B3F76EA">
      <w:pPr>
        <w:keepNext w:val="0"/>
        <w:keepLines w:val="0"/>
        <w:pageBreakBefore w:val="0"/>
        <w:widowControl w:val="0"/>
        <w:kinsoku/>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18"/>
          <w:highlight w:val="none"/>
          <w:u w:val="single"/>
        </w:rPr>
      </w:pPr>
      <w:r>
        <w:rPr>
          <w:rFonts w:hint="eastAsia" w:ascii="宋体" w:hAnsi="宋体" w:eastAsia="宋体" w:cs="宋体"/>
          <w:sz w:val="24"/>
          <w:szCs w:val="24"/>
          <w:highlight w:val="none"/>
        </w:rPr>
        <w:t>地点：</w:t>
      </w:r>
      <w:r>
        <w:rPr>
          <w:rFonts w:hint="eastAsia" w:ascii="宋体" w:hAnsi="宋体" w:eastAsia="宋体" w:cs="宋体"/>
          <w:color w:val="auto"/>
          <w:sz w:val="24"/>
          <w:szCs w:val="18"/>
          <w:highlight w:val="none"/>
          <w:u w:val="single"/>
          <w:lang w:val="en-US" w:eastAsia="zh-CN"/>
        </w:rPr>
        <w:t>滁州市公共资源交易中心网</w:t>
      </w:r>
    </w:p>
    <w:p w14:paraId="4D1A5028">
      <w:pPr>
        <w:keepNext w:val="0"/>
        <w:keepLines w:val="0"/>
        <w:pageBreakBefore w:val="0"/>
        <w:widowControl w:val="0"/>
        <w:kinsoku/>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18"/>
          <w:highlight w:val="none"/>
          <w:u w:val="single"/>
          <w:lang w:val="en-US" w:eastAsia="zh-CN"/>
        </w:rPr>
      </w:pPr>
      <w:r>
        <w:rPr>
          <w:rFonts w:hint="eastAsia" w:ascii="宋体" w:hAnsi="宋体" w:eastAsia="宋体" w:cs="宋体"/>
          <w:sz w:val="24"/>
          <w:szCs w:val="24"/>
          <w:highlight w:val="none"/>
        </w:rPr>
        <w:t>方式：</w:t>
      </w:r>
      <w:r>
        <w:rPr>
          <w:rFonts w:hint="eastAsia" w:ascii="宋体" w:hAnsi="宋体" w:eastAsia="宋体" w:cs="宋体"/>
          <w:color w:val="auto"/>
          <w:sz w:val="24"/>
          <w:szCs w:val="18"/>
          <w:highlight w:val="none"/>
          <w:u w:val="single"/>
          <w:lang w:val="en-US" w:eastAsia="zh-CN"/>
        </w:rPr>
        <w:t>网上下载</w:t>
      </w:r>
    </w:p>
    <w:p w14:paraId="6AB2051B">
      <w:pPr>
        <w:keepNext w:val="0"/>
        <w:keepLines w:val="0"/>
        <w:pageBreakBefore w:val="0"/>
        <w:widowControl w:val="0"/>
        <w:kinsoku/>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color w:val="auto"/>
          <w:sz w:val="24"/>
          <w:szCs w:val="18"/>
          <w:highlight w:val="none"/>
          <w:u w:val="none"/>
          <w:lang w:val="en-US" w:eastAsia="zh-CN"/>
        </w:rPr>
        <w:t>售价：</w:t>
      </w:r>
      <w:r>
        <w:rPr>
          <w:rFonts w:hint="eastAsia" w:ascii="宋体" w:hAnsi="宋体" w:eastAsia="宋体" w:cs="宋体"/>
          <w:color w:val="auto"/>
          <w:sz w:val="24"/>
          <w:szCs w:val="18"/>
          <w:highlight w:val="none"/>
          <w:u w:val="single"/>
          <w:lang w:val="en-US" w:eastAsia="zh-CN"/>
        </w:rPr>
        <w:t>0元</w:t>
      </w:r>
    </w:p>
    <w:p w14:paraId="5819626C">
      <w:pPr>
        <w:keepNext w:val="0"/>
        <w:keepLines w:val="0"/>
        <w:pageBreakBefore w:val="0"/>
        <w:widowControl w:val="0"/>
        <w:kinsoku/>
        <w:wordWrap/>
        <w:overflowPunct/>
        <w:topLinePunct w:val="0"/>
        <w:autoSpaceDE/>
        <w:autoSpaceDN/>
        <w:bidi w:val="0"/>
        <w:adjustRightInd/>
        <w:snapToGrid/>
        <w:spacing w:line="420" w:lineRule="exact"/>
        <w:ind w:firstLine="437"/>
        <w:textAlignment w:val="auto"/>
        <w:outlineLvl w:val="1"/>
        <w:rPr>
          <w:rFonts w:hint="eastAsia" w:ascii="宋体" w:hAnsi="宋体" w:eastAsia="宋体" w:cs="宋体"/>
          <w:b/>
          <w:bCs/>
          <w:color w:val="auto"/>
          <w:sz w:val="24"/>
          <w:szCs w:val="18"/>
          <w:highlight w:val="none"/>
        </w:rPr>
      </w:pPr>
      <w:bookmarkStart w:id="9" w:name="_Toc25902"/>
      <w:r>
        <w:rPr>
          <w:rFonts w:hint="eastAsia" w:ascii="宋体" w:hAnsi="宋体" w:eastAsia="宋体" w:cs="宋体"/>
          <w:b/>
          <w:bCs/>
          <w:color w:val="auto"/>
          <w:sz w:val="24"/>
          <w:szCs w:val="18"/>
          <w:highlight w:val="none"/>
        </w:rPr>
        <w:t>四、</w:t>
      </w:r>
      <w:bookmarkEnd w:id="8"/>
      <w:r>
        <w:rPr>
          <w:rFonts w:hint="eastAsia" w:ascii="宋体" w:hAnsi="宋体" w:eastAsia="宋体" w:cs="宋体"/>
          <w:b/>
          <w:bCs/>
          <w:color w:val="auto"/>
          <w:sz w:val="24"/>
          <w:szCs w:val="18"/>
          <w:highlight w:val="none"/>
        </w:rPr>
        <w:t>提交投标文件截止时间、开标时间和地点</w:t>
      </w:r>
      <w:bookmarkEnd w:id="9"/>
    </w:p>
    <w:p w14:paraId="0D235ED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Cs/>
          <w:sz w:val="24"/>
          <w:szCs w:val="24"/>
          <w:highlight w:val="none"/>
          <w:u w:val="none"/>
        </w:rPr>
      </w:pPr>
      <w:bookmarkStart w:id="10" w:name="_Toc5082"/>
      <w:r>
        <w:rPr>
          <w:rFonts w:hint="eastAsia" w:ascii="宋体" w:hAnsi="宋体" w:eastAsia="宋体" w:cs="宋体"/>
          <w:bCs/>
          <w:sz w:val="24"/>
          <w:szCs w:val="24"/>
          <w:highlight w:val="none"/>
          <w:u w:val="single"/>
          <w:lang w:val="en-US" w:eastAsia="zh-CN"/>
        </w:rPr>
        <w:t>2024</w:t>
      </w:r>
      <w:r>
        <w:rPr>
          <w:rFonts w:hint="eastAsia" w:ascii="宋体" w:hAnsi="宋体" w:eastAsia="宋体" w:cs="宋体"/>
          <w:bCs/>
          <w:sz w:val="24"/>
          <w:szCs w:val="24"/>
          <w:highlight w:val="none"/>
          <w:u w:val="none"/>
        </w:rPr>
        <w:t>年</w:t>
      </w:r>
      <w:r>
        <w:rPr>
          <w:rFonts w:hint="eastAsia" w:ascii="宋体" w:hAnsi="宋体" w:eastAsia="宋体" w:cs="宋体"/>
          <w:bCs/>
          <w:sz w:val="24"/>
          <w:szCs w:val="24"/>
          <w:highlight w:val="none"/>
          <w:u w:val="single"/>
          <w:lang w:val="en-US" w:eastAsia="zh-CN"/>
        </w:rPr>
        <w:t>9</w:t>
      </w:r>
      <w:r>
        <w:rPr>
          <w:rFonts w:hint="eastAsia" w:ascii="宋体" w:hAnsi="宋体" w:eastAsia="宋体" w:cs="宋体"/>
          <w:bCs/>
          <w:sz w:val="24"/>
          <w:szCs w:val="24"/>
          <w:highlight w:val="none"/>
          <w:u w:val="none"/>
        </w:rPr>
        <w:t>月</w:t>
      </w:r>
      <w:r>
        <w:rPr>
          <w:rFonts w:hint="eastAsia" w:ascii="宋体" w:hAnsi="宋体" w:eastAsia="宋体" w:cs="宋体"/>
          <w:bCs/>
          <w:sz w:val="24"/>
          <w:szCs w:val="24"/>
          <w:highlight w:val="none"/>
          <w:u w:val="single"/>
          <w:lang w:val="en-US" w:eastAsia="zh-CN"/>
        </w:rPr>
        <w:t>29</w:t>
      </w:r>
      <w:bookmarkStart w:id="221" w:name="_GoBack"/>
      <w:bookmarkEnd w:id="221"/>
      <w:r>
        <w:rPr>
          <w:rFonts w:hint="eastAsia" w:ascii="宋体" w:hAnsi="宋体" w:eastAsia="宋体" w:cs="宋体"/>
          <w:bCs/>
          <w:sz w:val="24"/>
          <w:szCs w:val="24"/>
          <w:highlight w:val="none"/>
          <w:u w:val="none"/>
        </w:rPr>
        <w:t>日</w:t>
      </w:r>
      <w:r>
        <w:rPr>
          <w:rFonts w:hint="eastAsia" w:ascii="宋体" w:hAnsi="宋体" w:eastAsia="宋体" w:cs="宋体"/>
          <w:bCs/>
          <w:sz w:val="24"/>
          <w:szCs w:val="24"/>
          <w:highlight w:val="none"/>
          <w:u w:val="single"/>
          <w:lang w:val="en-US" w:eastAsia="zh-CN"/>
        </w:rPr>
        <w:t>8</w:t>
      </w:r>
      <w:r>
        <w:rPr>
          <w:rFonts w:hint="eastAsia" w:ascii="宋体" w:hAnsi="宋体" w:eastAsia="宋体" w:cs="宋体"/>
          <w:bCs/>
          <w:sz w:val="24"/>
          <w:szCs w:val="24"/>
          <w:highlight w:val="none"/>
          <w:u w:val="none"/>
        </w:rPr>
        <w:t>点</w:t>
      </w:r>
      <w:r>
        <w:rPr>
          <w:rFonts w:hint="eastAsia" w:ascii="宋体" w:hAnsi="宋体" w:eastAsia="宋体" w:cs="宋体"/>
          <w:bCs/>
          <w:sz w:val="24"/>
          <w:szCs w:val="24"/>
          <w:highlight w:val="none"/>
          <w:u w:val="single"/>
          <w:lang w:val="en-US" w:eastAsia="zh-CN"/>
        </w:rPr>
        <w:t>00</w:t>
      </w:r>
      <w:r>
        <w:rPr>
          <w:rFonts w:hint="eastAsia" w:ascii="宋体" w:hAnsi="宋体" w:eastAsia="宋体" w:cs="宋体"/>
          <w:bCs/>
          <w:sz w:val="24"/>
          <w:szCs w:val="24"/>
          <w:highlight w:val="none"/>
          <w:u w:val="none"/>
        </w:rPr>
        <w:t>分</w:t>
      </w:r>
      <w:r>
        <w:rPr>
          <w:rFonts w:hint="eastAsia" w:ascii="宋体" w:hAnsi="宋体" w:eastAsia="宋体" w:cs="宋体"/>
          <w:bCs/>
          <w:i/>
          <w:iCs/>
          <w:sz w:val="24"/>
          <w:szCs w:val="24"/>
          <w:highlight w:val="none"/>
        </w:rPr>
        <w:t>（北京时间）</w:t>
      </w:r>
      <w:r>
        <w:rPr>
          <w:rFonts w:hint="eastAsia" w:ascii="宋体" w:hAnsi="宋体" w:eastAsia="宋体" w:cs="宋体"/>
          <w:i/>
          <w:iCs/>
          <w:sz w:val="24"/>
          <w:szCs w:val="24"/>
          <w:highlight w:val="none"/>
          <w:u w:val="none"/>
        </w:rPr>
        <w:t>（</w:t>
      </w:r>
      <w:r>
        <w:rPr>
          <w:rFonts w:hint="eastAsia" w:ascii="宋体" w:hAnsi="宋体" w:eastAsia="宋体" w:cs="宋体"/>
          <w:i/>
          <w:sz w:val="24"/>
          <w:szCs w:val="24"/>
          <w:highlight w:val="none"/>
          <w:u w:val="none"/>
        </w:rPr>
        <w:t>自招标文件开始发出之日起至投标人提交投标文件截止之日止，不得少于20日</w:t>
      </w:r>
      <w:r>
        <w:rPr>
          <w:rFonts w:hint="eastAsia" w:ascii="宋体" w:hAnsi="宋体" w:eastAsia="宋体" w:cs="宋体"/>
          <w:iCs/>
          <w:sz w:val="24"/>
          <w:szCs w:val="24"/>
          <w:highlight w:val="none"/>
          <w:u w:val="none"/>
        </w:rPr>
        <w:t>）</w:t>
      </w:r>
    </w:p>
    <w:p w14:paraId="2DDA4671">
      <w:pPr>
        <w:keepNext w:val="0"/>
        <w:keepLines w:val="0"/>
        <w:pageBreakBefore w:val="0"/>
        <w:widowControl w:val="0"/>
        <w:kinsoku/>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地点：滁州市公共资源交易中心网</w:t>
      </w:r>
    </w:p>
    <w:p w14:paraId="078D5BDF">
      <w:pPr>
        <w:keepNext w:val="0"/>
        <w:keepLines w:val="0"/>
        <w:pageBreakBefore w:val="0"/>
        <w:widowControl w:val="0"/>
        <w:kinsoku/>
        <w:wordWrap/>
        <w:overflowPunct/>
        <w:topLinePunct w:val="0"/>
        <w:autoSpaceDE/>
        <w:autoSpaceDN/>
        <w:bidi w:val="0"/>
        <w:adjustRightInd/>
        <w:snapToGrid/>
        <w:spacing w:line="420" w:lineRule="exact"/>
        <w:ind w:firstLine="437"/>
        <w:textAlignment w:val="auto"/>
        <w:outlineLvl w:val="1"/>
        <w:rPr>
          <w:rFonts w:hint="eastAsia" w:ascii="宋体" w:hAnsi="宋体" w:eastAsia="宋体" w:cs="宋体"/>
          <w:b/>
          <w:bCs/>
          <w:color w:val="auto"/>
          <w:sz w:val="24"/>
          <w:szCs w:val="18"/>
          <w:highlight w:val="none"/>
        </w:rPr>
      </w:pPr>
      <w:bookmarkStart w:id="11" w:name="_Toc7753"/>
      <w:r>
        <w:rPr>
          <w:rFonts w:hint="eastAsia" w:ascii="宋体" w:hAnsi="宋体" w:eastAsia="宋体" w:cs="宋体"/>
          <w:b/>
          <w:bCs/>
          <w:color w:val="auto"/>
          <w:sz w:val="24"/>
          <w:szCs w:val="18"/>
          <w:highlight w:val="none"/>
        </w:rPr>
        <w:t>五、</w:t>
      </w:r>
      <w:bookmarkEnd w:id="10"/>
      <w:r>
        <w:rPr>
          <w:rFonts w:hint="eastAsia" w:ascii="宋体" w:hAnsi="宋体" w:eastAsia="宋体" w:cs="宋体"/>
          <w:b/>
          <w:bCs/>
          <w:color w:val="auto"/>
          <w:sz w:val="24"/>
          <w:szCs w:val="18"/>
          <w:highlight w:val="none"/>
        </w:rPr>
        <w:t>公告期限</w:t>
      </w:r>
      <w:bookmarkEnd w:id="11"/>
    </w:p>
    <w:p w14:paraId="3533B9A1">
      <w:pPr>
        <w:keepNext w:val="0"/>
        <w:keepLines w:val="0"/>
        <w:pageBreakBefore w:val="0"/>
        <w:widowControl w:val="0"/>
        <w:kinsoku/>
        <w:wordWrap/>
        <w:overflowPunct/>
        <w:topLinePunct w:val="0"/>
        <w:autoSpaceDE/>
        <w:autoSpaceDN/>
        <w:bidi w:val="0"/>
        <w:adjustRightInd/>
        <w:snapToGrid/>
        <w:spacing w:line="420" w:lineRule="exact"/>
        <w:ind w:firstLine="437"/>
        <w:textAlignment w:val="auto"/>
        <w:outlineLvl w:val="9"/>
        <w:rPr>
          <w:rFonts w:hint="eastAsia" w:ascii="宋体" w:hAnsi="宋体" w:eastAsia="宋体" w:cs="宋体"/>
          <w:b w:val="0"/>
          <w:bCs w:val="0"/>
          <w:color w:val="auto"/>
          <w:sz w:val="24"/>
          <w:szCs w:val="18"/>
          <w:highlight w:val="none"/>
        </w:rPr>
      </w:pPr>
      <w:bookmarkStart w:id="12" w:name="_Toc1215"/>
      <w:r>
        <w:rPr>
          <w:rFonts w:hint="eastAsia" w:ascii="宋体" w:hAnsi="宋体" w:eastAsia="宋体" w:cs="宋体"/>
          <w:b w:val="0"/>
          <w:bCs w:val="0"/>
          <w:color w:val="auto"/>
          <w:sz w:val="24"/>
          <w:szCs w:val="18"/>
          <w:highlight w:val="none"/>
        </w:rPr>
        <w:t>自本公告发布之日起5个工作日。</w:t>
      </w:r>
    </w:p>
    <w:p w14:paraId="44F3C5CA">
      <w:pPr>
        <w:keepNext w:val="0"/>
        <w:keepLines w:val="0"/>
        <w:pageBreakBefore w:val="0"/>
        <w:widowControl w:val="0"/>
        <w:kinsoku/>
        <w:wordWrap/>
        <w:overflowPunct/>
        <w:topLinePunct w:val="0"/>
        <w:autoSpaceDE/>
        <w:autoSpaceDN/>
        <w:bidi w:val="0"/>
        <w:adjustRightInd/>
        <w:snapToGrid/>
        <w:spacing w:line="420" w:lineRule="exact"/>
        <w:ind w:firstLine="437"/>
        <w:textAlignment w:val="auto"/>
        <w:outlineLvl w:val="1"/>
        <w:rPr>
          <w:rFonts w:hint="eastAsia" w:ascii="宋体" w:hAnsi="宋体" w:eastAsia="宋体" w:cs="宋体"/>
          <w:b/>
          <w:bCs/>
          <w:color w:val="auto"/>
          <w:sz w:val="24"/>
          <w:szCs w:val="18"/>
          <w:highlight w:val="none"/>
          <w:lang w:val="en-US" w:eastAsia="zh-CN"/>
        </w:rPr>
      </w:pPr>
      <w:bookmarkStart w:id="13" w:name="_Toc31539"/>
      <w:bookmarkStart w:id="14" w:name="_Toc35393795"/>
      <w:bookmarkStart w:id="15" w:name="_Toc35393626"/>
      <w:r>
        <w:rPr>
          <w:rFonts w:hint="eastAsia" w:ascii="宋体" w:hAnsi="宋体" w:eastAsia="宋体" w:cs="宋体"/>
          <w:b/>
          <w:bCs/>
          <w:color w:val="auto"/>
          <w:sz w:val="24"/>
          <w:szCs w:val="18"/>
          <w:highlight w:val="none"/>
        </w:rPr>
        <w:t>六、</w:t>
      </w:r>
      <w:bookmarkEnd w:id="13"/>
      <w:bookmarkEnd w:id="14"/>
      <w:bookmarkEnd w:id="15"/>
      <w:r>
        <w:rPr>
          <w:rFonts w:hint="eastAsia" w:ascii="宋体" w:hAnsi="宋体" w:eastAsia="宋体" w:cs="宋体"/>
          <w:b/>
          <w:bCs/>
          <w:color w:val="auto"/>
          <w:sz w:val="24"/>
          <w:szCs w:val="18"/>
          <w:highlight w:val="none"/>
          <w:lang w:val="en-US" w:eastAsia="zh-CN"/>
        </w:rPr>
        <w:t>投标保证金金额及缴纳账户</w:t>
      </w:r>
    </w:p>
    <w:p w14:paraId="785DC86B">
      <w:pPr>
        <w:keepNext w:val="0"/>
        <w:keepLines w:val="0"/>
        <w:pageBreakBefore w:val="0"/>
        <w:widowControl w:val="0"/>
        <w:kinsoku/>
        <w:wordWrap/>
        <w:overflowPunct/>
        <w:topLinePunct w:val="0"/>
        <w:autoSpaceDE/>
        <w:autoSpaceDN/>
        <w:bidi w:val="0"/>
        <w:adjustRightInd/>
        <w:snapToGrid/>
        <w:spacing w:line="420" w:lineRule="exact"/>
        <w:ind w:firstLine="437"/>
        <w:textAlignment w:val="auto"/>
        <w:outlineLvl w:val="9"/>
        <w:rPr>
          <w:rFonts w:hint="eastAsia" w:ascii="宋体" w:hAnsi="宋体" w:eastAsia="宋体" w:cs="宋体"/>
          <w:b w:val="0"/>
          <w:bCs w:val="0"/>
          <w:color w:val="auto"/>
          <w:sz w:val="24"/>
          <w:szCs w:val="18"/>
          <w:highlight w:val="none"/>
        </w:rPr>
      </w:pPr>
      <w:r>
        <w:rPr>
          <w:rFonts w:hint="eastAsia" w:ascii="宋体" w:hAnsi="宋体" w:eastAsia="宋体" w:cs="宋体"/>
          <w:b w:val="0"/>
          <w:bCs w:val="0"/>
          <w:color w:val="auto"/>
          <w:sz w:val="24"/>
          <w:szCs w:val="18"/>
          <w:highlight w:val="none"/>
        </w:rPr>
        <w:t>是否要求投标人提交投标保证金：不要求。</w:t>
      </w:r>
    </w:p>
    <w:p w14:paraId="5A9D6689">
      <w:pPr>
        <w:keepNext w:val="0"/>
        <w:keepLines w:val="0"/>
        <w:pageBreakBefore w:val="0"/>
        <w:widowControl w:val="0"/>
        <w:kinsoku/>
        <w:wordWrap/>
        <w:overflowPunct/>
        <w:topLinePunct w:val="0"/>
        <w:autoSpaceDE/>
        <w:autoSpaceDN/>
        <w:bidi w:val="0"/>
        <w:adjustRightInd/>
        <w:snapToGrid/>
        <w:spacing w:line="420" w:lineRule="exact"/>
        <w:ind w:firstLine="437"/>
        <w:textAlignment w:val="auto"/>
        <w:outlineLvl w:val="1"/>
        <w:rPr>
          <w:rFonts w:hint="eastAsia" w:ascii="宋体" w:hAnsi="宋体" w:eastAsia="宋体" w:cs="宋体"/>
          <w:b/>
          <w:bCs/>
          <w:color w:val="auto"/>
          <w:sz w:val="24"/>
          <w:szCs w:val="18"/>
          <w:highlight w:val="none"/>
        </w:rPr>
      </w:pPr>
      <w:r>
        <w:rPr>
          <w:rFonts w:hint="eastAsia" w:ascii="宋体" w:hAnsi="宋体" w:eastAsia="宋体" w:cs="宋体"/>
          <w:b/>
          <w:bCs/>
          <w:color w:val="auto"/>
          <w:sz w:val="24"/>
          <w:szCs w:val="18"/>
          <w:highlight w:val="none"/>
          <w:lang w:val="en-US" w:eastAsia="zh-CN"/>
        </w:rPr>
        <w:t>七</w:t>
      </w:r>
      <w:r>
        <w:rPr>
          <w:rFonts w:hint="eastAsia" w:ascii="宋体" w:hAnsi="宋体" w:eastAsia="宋体" w:cs="宋体"/>
          <w:b/>
          <w:bCs/>
          <w:color w:val="auto"/>
          <w:sz w:val="24"/>
          <w:szCs w:val="18"/>
          <w:highlight w:val="none"/>
        </w:rPr>
        <w:t>、其他补充事宜</w:t>
      </w:r>
    </w:p>
    <w:p w14:paraId="6469E004">
      <w:pPr>
        <w:keepNext w:val="0"/>
        <w:keepLines w:val="0"/>
        <w:pageBreakBefore w:val="0"/>
        <w:widowControl w:val="0"/>
        <w:kinsoku/>
        <w:wordWrap w:val="0"/>
        <w:overflowPunct/>
        <w:topLinePunct w:val="0"/>
        <w:autoSpaceDE/>
        <w:autoSpaceDN/>
        <w:bidi w:val="0"/>
        <w:adjustRightInd/>
        <w:snapToGrid/>
        <w:spacing w:line="420" w:lineRule="exact"/>
        <w:ind w:firstLine="437"/>
        <w:textAlignment w:val="auto"/>
        <w:outlineLvl w:val="9"/>
        <w:rPr>
          <w:rFonts w:hint="eastAsia" w:ascii="宋体" w:hAnsi="宋体" w:eastAsia="宋体" w:cs="宋体"/>
          <w:color w:val="auto"/>
          <w:sz w:val="24"/>
          <w:szCs w:val="18"/>
          <w:highlight w:val="none"/>
          <w:u w:val="none"/>
        </w:rPr>
      </w:pPr>
      <w:r>
        <w:rPr>
          <w:rFonts w:hint="eastAsia" w:ascii="宋体" w:hAnsi="宋体" w:eastAsia="宋体" w:cs="宋体"/>
          <w:color w:val="auto"/>
          <w:sz w:val="24"/>
          <w:szCs w:val="18"/>
          <w:highlight w:val="none"/>
          <w:u w:val="none"/>
          <w:lang w:val="en-US" w:eastAsia="zh-CN"/>
        </w:rPr>
        <w:t>1.</w:t>
      </w:r>
      <w:r>
        <w:rPr>
          <w:rFonts w:hint="eastAsia" w:ascii="宋体" w:hAnsi="宋体" w:eastAsia="宋体" w:cs="宋体"/>
          <w:color w:val="auto"/>
          <w:sz w:val="24"/>
          <w:szCs w:val="18"/>
          <w:highlight w:val="none"/>
          <w:u w:val="none"/>
        </w:rPr>
        <w:t>本项目只接受在安徽省公共资源交易市场主体库（http://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w:t>
      </w:r>
      <w:r>
        <w:rPr>
          <w:rFonts w:hint="eastAsia" w:ascii="宋体" w:hAnsi="宋体" w:eastAsia="宋体" w:cs="宋体"/>
          <w:color w:val="auto"/>
          <w:sz w:val="24"/>
          <w:szCs w:val="18"/>
          <w:highlight w:val="none"/>
          <w:u w:val="none"/>
          <w:lang w:val="en-US" w:eastAsia="zh-CN"/>
        </w:rPr>
        <w:t>录</w:t>
      </w:r>
      <w:r>
        <w:rPr>
          <w:rFonts w:hint="eastAsia" w:ascii="宋体" w:hAnsi="宋体" w:eastAsia="宋体" w:cs="宋体"/>
          <w:color w:val="auto"/>
          <w:sz w:val="24"/>
          <w:szCs w:val="18"/>
          <w:highlight w:val="none"/>
          <w:u w:val="none"/>
        </w:rPr>
        <w:t>滁州市公共资源交易中心网&gt;服务指南&gt;办事指南中的“CA数字证书和电子签章”及“市场主体登记”。相关服务电话：1.安徽省公共资源交易市场主体库使用相关问题（系统登录、信息登记、录入及提交、数字证书关联等）：010-86483801转5-2 ；2. CA数字证书有关问题：安徽CA客服400-880-4959、0550-3019013（工作日），CFCA客服025-66085508 、0550-3801669（工作日）；3.市场主体招标环节和投标环节系统使用问题：400-998-0000（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3E6AD1A1">
      <w:pPr>
        <w:keepNext w:val="0"/>
        <w:keepLines w:val="0"/>
        <w:pageBreakBefore w:val="0"/>
        <w:widowControl w:val="0"/>
        <w:kinsoku/>
        <w:wordWrap/>
        <w:overflowPunct/>
        <w:topLinePunct w:val="0"/>
        <w:autoSpaceDE/>
        <w:autoSpaceDN/>
        <w:bidi w:val="0"/>
        <w:adjustRightInd/>
        <w:snapToGrid/>
        <w:spacing w:line="420" w:lineRule="exact"/>
        <w:ind w:firstLine="437"/>
        <w:textAlignment w:val="auto"/>
        <w:outlineLvl w:val="9"/>
        <w:rPr>
          <w:rFonts w:hint="eastAsia" w:ascii="宋体" w:hAnsi="宋体" w:eastAsia="宋体" w:cs="宋体"/>
          <w:color w:val="auto"/>
          <w:sz w:val="24"/>
          <w:szCs w:val="18"/>
          <w:highlight w:val="none"/>
          <w:u w:val="none"/>
        </w:rPr>
      </w:pPr>
      <w:r>
        <w:rPr>
          <w:rFonts w:hint="eastAsia" w:ascii="宋体" w:hAnsi="宋体" w:eastAsia="宋体" w:cs="宋体"/>
          <w:color w:val="auto"/>
          <w:sz w:val="24"/>
          <w:szCs w:val="18"/>
          <w:highlight w:val="none"/>
          <w:u w:val="none"/>
          <w:lang w:val="en-US" w:eastAsia="zh-CN"/>
        </w:rPr>
        <w:t>2.</w:t>
      </w:r>
      <w:r>
        <w:rPr>
          <w:rFonts w:hint="eastAsia" w:ascii="宋体" w:hAnsi="宋体" w:eastAsia="宋体" w:cs="宋体"/>
          <w:color w:val="auto"/>
          <w:sz w:val="24"/>
          <w:szCs w:val="18"/>
          <w:highlight w:val="none"/>
          <w:u w:val="none"/>
        </w:rPr>
        <w:t>请投标人登录滁州市公共资源交易中心网站查看参加本项目的程序（具体操作步骤和程序请参见服务指南&lt;交易须知&gt;投标人填写投标信息、下载文件及网上提问操作手册）。</w:t>
      </w:r>
    </w:p>
    <w:p w14:paraId="787F4836">
      <w:pPr>
        <w:keepNext w:val="0"/>
        <w:keepLines w:val="0"/>
        <w:pageBreakBefore w:val="0"/>
        <w:widowControl w:val="0"/>
        <w:kinsoku/>
        <w:wordWrap/>
        <w:overflowPunct/>
        <w:topLinePunct w:val="0"/>
        <w:autoSpaceDE/>
        <w:autoSpaceDN/>
        <w:bidi w:val="0"/>
        <w:adjustRightInd/>
        <w:snapToGrid/>
        <w:spacing w:line="420" w:lineRule="exact"/>
        <w:ind w:firstLine="437"/>
        <w:textAlignment w:val="auto"/>
        <w:outlineLvl w:val="9"/>
        <w:rPr>
          <w:rFonts w:hint="eastAsia" w:ascii="宋体" w:hAnsi="宋体" w:eastAsia="宋体" w:cs="宋体"/>
          <w:color w:val="auto"/>
          <w:sz w:val="24"/>
          <w:szCs w:val="18"/>
          <w:highlight w:val="none"/>
          <w:u w:val="none"/>
        </w:rPr>
      </w:pPr>
      <w:r>
        <w:rPr>
          <w:rFonts w:hint="eastAsia" w:ascii="宋体" w:hAnsi="宋体" w:eastAsia="宋体" w:cs="宋体"/>
          <w:color w:val="auto"/>
          <w:sz w:val="24"/>
          <w:szCs w:val="18"/>
          <w:highlight w:val="none"/>
          <w:u w:val="none"/>
          <w:lang w:val="en-US" w:eastAsia="zh-CN"/>
        </w:rPr>
        <w:t>3.</w:t>
      </w:r>
      <w:r>
        <w:rPr>
          <w:rFonts w:hint="eastAsia" w:ascii="宋体" w:hAnsi="宋体" w:eastAsia="宋体" w:cs="宋体"/>
          <w:color w:val="auto"/>
          <w:sz w:val="24"/>
          <w:szCs w:val="18"/>
          <w:highlight w:val="none"/>
          <w:u w:val="none"/>
        </w:rPr>
        <w:t>本项目采用不见面开标（远程解密)方式，开标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以本项目网上招投标系统解密倒计时为准，至完成投标文件解密时间，不得超过60分钟，否则投标文件将被拒绝。</w:t>
      </w:r>
    </w:p>
    <w:p w14:paraId="589C84CB">
      <w:pPr>
        <w:keepNext w:val="0"/>
        <w:keepLines w:val="0"/>
        <w:pageBreakBefore w:val="0"/>
        <w:widowControl w:val="0"/>
        <w:kinsoku/>
        <w:wordWrap/>
        <w:overflowPunct/>
        <w:topLinePunct w:val="0"/>
        <w:autoSpaceDE/>
        <w:autoSpaceDN/>
        <w:bidi w:val="0"/>
        <w:adjustRightInd/>
        <w:snapToGrid/>
        <w:spacing w:line="420" w:lineRule="exact"/>
        <w:ind w:firstLine="437"/>
        <w:textAlignment w:val="auto"/>
        <w:outlineLvl w:val="9"/>
        <w:rPr>
          <w:rFonts w:hint="eastAsia" w:ascii="宋体" w:hAnsi="宋体" w:eastAsia="宋体" w:cs="宋体"/>
          <w:color w:val="auto"/>
          <w:sz w:val="24"/>
          <w:szCs w:val="18"/>
          <w:highlight w:val="none"/>
          <w:u w:val="none"/>
          <w:lang w:val="en-US" w:eastAsia="zh-CN"/>
        </w:rPr>
      </w:pPr>
      <w:r>
        <w:rPr>
          <w:rFonts w:hint="eastAsia" w:ascii="宋体" w:hAnsi="宋体" w:eastAsia="宋体" w:cs="宋体"/>
          <w:color w:val="auto"/>
          <w:sz w:val="24"/>
          <w:szCs w:val="18"/>
          <w:highlight w:val="none"/>
          <w:u w:val="none"/>
          <w:lang w:val="en-US" w:eastAsia="zh-CN"/>
        </w:rPr>
        <w:t>4.</w:t>
      </w:r>
      <w:r>
        <w:rPr>
          <w:rFonts w:hint="eastAsia" w:ascii="宋体" w:hAnsi="宋体" w:eastAsia="宋体" w:cs="宋体"/>
          <w:color w:val="auto"/>
          <w:sz w:val="24"/>
          <w:szCs w:val="18"/>
          <w:highlight w:val="none"/>
          <w:u w:val="none"/>
        </w:rPr>
        <w:t>投标人接到远程解密指令后，须在规定时间内解密。因投标人自身原因导致投标文件在规定时间内未能解密、解密失败或解密超时，投标文件无效；因采购代理机构原因或网上平台发生故障，导致无法按时完成投标文件解密的，经采购代理机构申请后可延迟解密时间。</w:t>
      </w:r>
    </w:p>
    <w:bookmarkEnd w:id="12"/>
    <w:p w14:paraId="5FC2AF31">
      <w:pPr>
        <w:keepNext w:val="0"/>
        <w:keepLines w:val="0"/>
        <w:pageBreakBefore w:val="0"/>
        <w:widowControl w:val="0"/>
        <w:kinsoku/>
        <w:overflowPunct/>
        <w:topLinePunct w:val="0"/>
        <w:autoSpaceDE/>
        <w:autoSpaceDN/>
        <w:bidi w:val="0"/>
        <w:adjustRightInd/>
        <w:snapToGrid/>
        <w:spacing w:line="420" w:lineRule="exact"/>
        <w:ind w:firstLine="437"/>
        <w:textAlignment w:val="auto"/>
        <w:outlineLvl w:val="1"/>
        <w:rPr>
          <w:rFonts w:hint="eastAsia" w:ascii="宋体" w:hAnsi="宋体" w:eastAsia="宋体" w:cs="宋体"/>
          <w:b/>
          <w:bCs/>
          <w:color w:val="auto"/>
          <w:sz w:val="24"/>
          <w:szCs w:val="18"/>
          <w:highlight w:val="none"/>
        </w:rPr>
      </w:pPr>
      <w:bookmarkStart w:id="16" w:name="_Toc7265"/>
      <w:bookmarkStart w:id="17" w:name="_Toc13296"/>
      <w:r>
        <w:rPr>
          <w:rFonts w:hint="eastAsia" w:ascii="宋体" w:hAnsi="宋体" w:eastAsia="宋体" w:cs="宋体"/>
          <w:b/>
          <w:bCs/>
          <w:color w:val="auto"/>
          <w:sz w:val="24"/>
          <w:szCs w:val="18"/>
          <w:highlight w:val="none"/>
        </w:rPr>
        <w:t>七、</w:t>
      </w:r>
      <w:bookmarkEnd w:id="16"/>
      <w:r>
        <w:rPr>
          <w:rFonts w:hint="eastAsia" w:ascii="宋体" w:hAnsi="宋体" w:eastAsia="宋体" w:cs="宋体"/>
          <w:b/>
          <w:bCs/>
          <w:color w:val="auto"/>
          <w:sz w:val="24"/>
          <w:szCs w:val="18"/>
          <w:highlight w:val="none"/>
        </w:rPr>
        <w:t>对本次招标提出询问，请按以下方式联系</w:t>
      </w:r>
      <w:bookmarkEnd w:id="17"/>
    </w:p>
    <w:p w14:paraId="72CC0CA9">
      <w:pPr>
        <w:keepNext w:val="0"/>
        <w:keepLines w:val="0"/>
        <w:pageBreakBefore w:val="0"/>
        <w:widowControl w:val="0"/>
        <w:kinsoku/>
        <w:overflowPunct/>
        <w:topLinePunct w:val="0"/>
        <w:autoSpaceDE/>
        <w:autoSpaceDN/>
        <w:bidi w:val="0"/>
        <w:adjustRightInd/>
        <w:snapToGrid/>
        <w:spacing w:line="420" w:lineRule="exact"/>
        <w:ind w:firstLine="437"/>
        <w:textAlignment w:val="auto"/>
        <w:outlineLvl w:val="2"/>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rPr>
        <w:t>1.采购人</w:t>
      </w:r>
      <w:r>
        <w:rPr>
          <w:rFonts w:hint="eastAsia" w:ascii="宋体" w:hAnsi="宋体" w:eastAsia="宋体" w:cs="宋体"/>
          <w:color w:val="auto"/>
          <w:sz w:val="24"/>
          <w:szCs w:val="18"/>
          <w:highlight w:val="none"/>
          <w:lang w:val="en-US" w:eastAsia="zh-CN"/>
        </w:rPr>
        <w:t>信息</w:t>
      </w:r>
    </w:p>
    <w:p w14:paraId="2BF2E04F">
      <w:pPr>
        <w:keepNext w:val="0"/>
        <w:keepLines w:val="0"/>
        <w:pageBreakBefore w:val="0"/>
        <w:widowControl w:val="0"/>
        <w:kinsoku/>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24"/>
          <w:highlight w:val="none"/>
          <w:lang w:val="en-US" w:eastAsia="zh-CN"/>
        </w:rPr>
        <w:t>名  称</w:t>
      </w:r>
      <w:r>
        <w:rPr>
          <w:rFonts w:hint="eastAsia" w:ascii="宋体" w:hAnsi="宋体" w:eastAsia="宋体" w:cs="宋体"/>
          <w:color w:val="auto"/>
          <w:sz w:val="24"/>
          <w:szCs w:val="18"/>
          <w:highlight w:val="none"/>
        </w:rPr>
        <w:t>：</w:t>
      </w:r>
      <w:r>
        <w:rPr>
          <w:rFonts w:hint="eastAsia" w:ascii="宋体" w:hAnsi="宋体" w:eastAsia="宋体" w:cs="宋体"/>
          <w:color w:val="auto"/>
          <w:sz w:val="24"/>
          <w:szCs w:val="18"/>
          <w:highlight w:val="none"/>
          <w:u w:val="single"/>
          <w:lang w:val="en-US" w:eastAsia="zh-CN"/>
        </w:rPr>
        <w:t>安徽省滁州市中级人民法院</w:t>
      </w:r>
    </w:p>
    <w:p w14:paraId="0623A87B">
      <w:pPr>
        <w:keepNext w:val="0"/>
        <w:keepLines w:val="0"/>
        <w:pageBreakBefore w:val="0"/>
        <w:widowControl w:val="0"/>
        <w:kinsoku/>
        <w:overflowPunct/>
        <w:topLinePunct w:val="0"/>
        <w:autoSpaceDE/>
        <w:autoSpaceDN/>
        <w:bidi w:val="0"/>
        <w:adjustRightInd/>
        <w:snapToGrid/>
        <w:spacing w:line="420" w:lineRule="exact"/>
        <w:ind w:firstLine="435"/>
        <w:textAlignment w:val="auto"/>
        <w:rPr>
          <w:rFonts w:hint="eastAsia" w:ascii="宋体" w:hAnsi="宋体" w:eastAsia="宋体" w:cs="宋体"/>
          <w:b w:val="0"/>
          <w:bCs w:val="0"/>
          <w:color w:val="auto"/>
          <w:sz w:val="24"/>
          <w:szCs w:val="18"/>
          <w:highlight w:val="none"/>
          <w:u w:val="single"/>
          <w:lang w:val="en-US" w:eastAsia="zh-CN"/>
        </w:rPr>
      </w:pPr>
      <w:r>
        <w:rPr>
          <w:rFonts w:hint="eastAsia" w:ascii="宋体" w:hAnsi="宋体" w:eastAsia="宋体" w:cs="宋体"/>
          <w:color w:val="auto"/>
          <w:sz w:val="24"/>
          <w:szCs w:val="18"/>
          <w:highlight w:val="none"/>
        </w:rPr>
        <w:t>地  址：</w:t>
      </w:r>
      <w:r>
        <w:rPr>
          <w:rFonts w:hint="eastAsia" w:ascii="宋体" w:hAnsi="宋体" w:eastAsia="宋体" w:cs="宋体"/>
          <w:b w:val="0"/>
          <w:bCs w:val="0"/>
          <w:color w:val="auto"/>
          <w:sz w:val="24"/>
          <w:szCs w:val="18"/>
          <w:highlight w:val="none"/>
          <w:u w:val="single"/>
          <w:lang w:val="en-US" w:eastAsia="zh-CN"/>
        </w:rPr>
        <w:t>安徽省滁州市会峰西路97号</w:t>
      </w:r>
    </w:p>
    <w:p w14:paraId="1BB6D422">
      <w:pPr>
        <w:keepNext w:val="0"/>
        <w:keepLines w:val="0"/>
        <w:pageBreakBefore w:val="0"/>
        <w:widowControl w:val="0"/>
        <w:kinsoku/>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lang w:val="en-US" w:eastAsia="zh-CN"/>
        </w:rPr>
        <w:t>联系人：</w:t>
      </w:r>
      <w:r>
        <w:rPr>
          <w:rFonts w:hint="eastAsia" w:ascii="宋体" w:hAnsi="宋体" w:eastAsia="宋体" w:cs="宋体"/>
          <w:b w:val="0"/>
          <w:bCs w:val="0"/>
          <w:color w:val="auto"/>
          <w:sz w:val="24"/>
          <w:szCs w:val="18"/>
          <w:highlight w:val="none"/>
          <w:u w:val="single"/>
          <w:lang w:val="en-US" w:eastAsia="zh-CN"/>
        </w:rPr>
        <w:t>陶虎</w:t>
      </w:r>
      <w:r>
        <w:rPr>
          <w:rFonts w:hint="eastAsia" w:ascii="宋体" w:hAnsi="宋体" w:eastAsia="宋体" w:cs="宋体"/>
          <w:color w:val="auto"/>
          <w:sz w:val="24"/>
          <w:szCs w:val="18"/>
          <w:highlight w:val="none"/>
          <w:lang w:val="en-US" w:eastAsia="zh-CN"/>
        </w:rPr>
        <w:t xml:space="preserve"> </w:t>
      </w:r>
    </w:p>
    <w:p w14:paraId="625A2AE2">
      <w:pPr>
        <w:keepNext w:val="0"/>
        <w:keepLines w:val="0"/>
        <w:pageBreakBefore w:val="0"/>
        <w:widowControl w:val="0"/>
        <w:kinsoku/>
        <w:overflowPunct/>
        <w:topLinePunct w:val="0"/>
        <w:autoSpaceDE/>
        <w:autoSpaceDN/>
        <w:bidi w:val="0"/>
        <w:adjustRightInd/>
        <w:snapToGrid/>
        <w:spacing w:line="420" w:lineRule="exact"/>
        <w:ind w:firstLine="435"/>
        <w:textAlignment w:val="auto"/>
        <w:rPr>
          <w:rFonts w:hint="eastAsia" w:ascii="宋体" w:hAnsi="宋体" w:eastAsia="宋体" w:cs="宋体"/>
          <w:b w:val="0"/>
          <w:bCs w:val="0"/>
          <w:color w:val="auto"/>
          <w:sz w:val="24"/>
          <w:szCs w:val="18"/>
          <w:highlight w:val="none"/>
          <w:u w:val="single"/>
          <w:lang w:val="en-US" w:eastAsia="zh-CN"/>
        </w:rPr>
      </w:pPr>
      <w:r>
        <w:rPr>
          <w:rFonts w:hint="eastAsia" w:ascii="宋体" w:hAnsi="宋体" w:eastAsia="宋体" w:cs="宋体"/>
          <w:color w:val="auto"/>
          <w:sz w:val="24"/>
          <w:szCs w:val="18"/>
          <w:highlight w:val="none"/>
        </w:rPr>
        <w:t>联系</w:t>
      </w:r>
      <w:r>
        <w:rPr>
          <w:rFonts w:hint="eastAsia" w:ascii="宋体" w:hAnsi="宋体" w:eastAsia="宋体" w:cs="宋体"/>
          <w:color w:val="auto"/>
          <w:sz w:val="24"/>
          <w:szCs w:val="18"/>
          <w:highlight w:val="none"/>
          <w:lang w:val="en-US" w:eastAsia="zh-CN"/>
        </w:rPr>
        <w:t>方式</w:t>
      </w:r>
      <w:r>
        <w:rPr>
          <w:rFonts w:hint="eastAsia" w:ascii="宋体" w:hAnsi="宋体" w:eastAsia="宋体" w:cs="宋体"/>
          <w:color w:val="auto"/>
          <w:sz w:val="24"/>
          <w:szCs w:val="18"/>
          <w:highlight w:val="none"/>
        </w:rPr>
        <w:t>：</w:t>
      </w:r>
      <w:r>
        <w:rPr>
          <w:rFonts w:hint="eastAsia" w:ascii="宋体" w:hAnsi="宋体" w:eastAsia="宋体" w:cs="宋体"/>
          <w:b w:val="0"/>
          <w:bCs w:val="0"/>
          <w:color w:val="auto"/>
          <w:sz w:val="24"/>
          <w:szCs w:val="18"/>
          <w:highlight w:val="none"/>
          <w:u w:val="single"/>
          <w:lang w:val="en-US" w:eastAsia="zh-CN"/>
        </w:rPr>
        <w:t>18019818877</w:t>
      </w:r>
    </w:p>
    <w:p w14:paraId="49FAEF99">
      <w:pPr>
        <w:keepNext w:val="0"/>
        <w:keepLines w:val="0"/>
        <w:pageBreakBefore w:val="0"/>
        <w:widowControl w:val="0"/>
        <w:kinsoku/>
        <w:overflowPunct/>
        <w:topLinePunct w:val="0"/>
        <w:autoSpaceDE/>
        <w:autoSpaceDN/>
        <w:bidi w:val="0"/>
        <w:adjustRightInd/>
        <w:snapToGrid/>
        <w:spacing w:line="420" w:lineRule="exact"/>
        <w:ind w:firstLine="437"/>
        <w:textAlignment w:val="auto"/>
        <w:outlineLvl w:val="2"/>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rPr>
        <w:t>2.采购代理机构</w:t>
      </w:r>
      <w:r>
        <w:rPr>
          <w:rFonts w:hint="eastAsia" w:ascii="宋体" w:hAnsi="宋体" w:eastAsia="宋体" w:cs="宋体"/>
          <w:color w:val="auto"/>
          <w:sz w:val="24"/>
          <w:szCs w:val="18"/>
          <w:highlight w:val="none"/>
          <w:lang w:val="en-US" w:eastAsia="zh-CN"/>
        </w:rPr>
        <w:t>信息</w:t>
      </w:r>
    </w:p>
    <w:p w14:paraId="01C999C7">
      <w:pPr>
        <w:keepNext w:val="0"/>
        <w:keepLines w:val="0"/>
        <w:pageBreakBefore w:val="0"/>
        <w:widowControl w:val="0"/>
        <w:kinsoku/>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24"/>
          <w:highlight w:val="none"/>
          <w:lang w:val="en-US" w:eastAsia="zh-CN"/>
        </w:rPr>
        <w:t>名  称</w:t>
      </w:r>
      <w:r>
        <w:rPr>
          <w:rFonts w:hint="eastAsia" w:ascii="宋体" w:hAnsi="宋体" w:eastAsia="宋体" w:cs="宋体"/>
          <w:color w:val="auto"/>
          <w:sz w:val="24"/>
          <w:szCs w:val="18"/>
          <w:highlight w:val="none"/>
        </w:rPr>
        <w:t>：</w:t>
      </w:r>
      <w:r>
        <w:rPr>
          <w:rFonts w:hint="eastAsia" w:ascii="宋体" w:hAnsi="宋体" w:eastAsia="宋体" w:cs="宋体"/>
          <w:color w:val="auto"/>
          <w:sz w:val="24"/>
          <w:szCs w:val="18"/>
          <w:highlight w:val="none"/>
          <w:u w:val="single"/>
          <w:lang w:val="en-US" w:eastAsia="zh-CN"/>
        </w:rPr>
        <w:t>滁州市政府采购中心</w:t>
      </w:r>
    </w:p>
    <w:p w14:paraId="01900DAA">
      <w:pPr>
        <w:keepNext w:val="0"/>
        <w:keepLines w:val="0"/>
        <w:pageBreakBefore w:val="0"/>
        <w:widowControl w:val="0"/>
        <w:kinsoku/>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18"/>
          <w:highlight w:val="none"/>
          <w:u w:val="single"/>
        </w:rPr>
      </w:pPr>
      <w:r>
        <w:rPr>
          <w:rFonts w:hint="eastAsia" w:ascii="宋体" w:hAnsi="宋体" w:eastAsia="宋体" w:cs="宋体"/>
          <w:color w:val="auto"/>
          <w:sz w:val="24"/>
          <w:szCs w:val="18"/>
          <w:highlight w:val="none"/>
        </w:rPr>
        <w:t>地  址：</w:t>
      </w:r>
      <w:r>
        <w:rPr>
          <w:rFonts w:hint="eastAsia" w:ascii="宋体" w:hAnsi="宋体" w:eastAsia="宋体" w:cs="宋体"/>
          <w:color w:val="auto"/>
          <w:sz w:val="24"/>
          <w:szCs w:val="18"/>
          <w:highlight w:val="none"/>
          <w:u w:val="single"/>
          <w:lang w:val="en-US" w:eastAsia="zh-CN"/>
        </w:rPr>
        <w:t>滁州市龙蟠大道109号房产商务大厦2楼</w:t>
      </w:r>
    </w:p>
    <w:p w14:paraId="0B70EB11">
      <w:pPr>
        <w:keepNext w:val="0"/>
        <w:keepLines w:val="0"/>
        <w:pageBreakBefore w:val="0"/>
        <w:widowControl w:val="0"/>
        <w:kinsoku/>
        <w:overflowPunct/>
        <w:topLinePunct w:val="0"/>
        <w:autoSpaceDE/>
        <w:autoSpaceDN/>
        <w:bidi w:val="0"/>
        <w:adjustRightInd/>
        <w:snapToGrid/>
        <w:spacing w:line="420" w:lineRule="exact"/>
        <w:ind w:firstLine="435"/>
        <w:textAlignment w:val="auto"/>
        <w:rPr>
          <w:rFonts w:hint="eastAsia" w:ascii="宋体" w:hAnsi="宋体" w:eastAsia="宋体" w:cs="宋体"/>
          <w:highlight w:val="none"/>
        </w:rPr>
      </w:pPr>
      <w:r>
        <w:rPr>
          <w:rFonts w:hint="eastAsia" w:ascii="宋体" w:hAnsi="宋体" w:eastAsia="宋体" w:cs="宋体"/>
          <w:color w:val="auto"/>
          <w:sz w:val="24"/>
          <w:szCs w:val="18"/>
          <w:highlight w:val="none"/>
          <w:lang w:val="en-US" w:eastAsia="zh-CN"/>
        </w:rPr>
        <w:t>联系人：</w:t>
      </w:r>
      <w:r>
        <w:rPr>
          <w:rFonts w:hint="eastAsia" w:ascii="宋体" w:hAnsi="宋体" w:eastAsia="宋体" w:cs="宋体"/>
          <w:color w:val="auto"/>
          <w:sz w:val="24"/>
          <w:szCs w:val="18"/>
          <w:highlight w:val="none"/>
          <w:u w:val="single"/>
          <w:lang w:val="en-US" w:eastAsia="zh-CN"/>
        </w:rPr>
        <w:t>周蓓蕾</w:t>
      </w:r>
    </w:p>
    <w:p w14:paraId="6D127DCD">
      <w:pPr>
        <w:keepNext w:val="0"/>
        <w:keepLines w:val="0"/>
        <w:pageBreakBefore w:val="0"/>
        <w:widowControl w:val="0"/>
        <w:kinsoku/>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联系</w:t>
      </w:r>
      <w:r>
        <w:rPr>
          <w:rFonts w:hint="eastAsia" w:ascii="宋体" w:hAnsi="宋体" w:eastAsia="宋体" w:cs="宋体"/>
          <w:color w:val="auto"/>
          <w:sz w:val="24"/>
          <w:szCs w:val="18"/>
          <w:highlight w:val="none"/>
          <w:lang w:val="en-US" w:eastAsia="zh-CN"/>
        </w:rPr>
        <w:t>方式</w:t>
      </w:r>
      <w:r>
        <w:rPr>
          <w:rFonts w:hint="eastAsia" w:ascii="宋体" w:hAnsi="宋体" w:eastAsia="宋体" w:cs="宋体"/>
          <w:color w:val="auto"/>
          <w:sz w:val="24"/>
          <w:szCs w:val="18"/>
          <w:highlight w:val="none"/>
        </w:rPr>
        <w:t>：</w:t>
      </w:r>
      <w:r>
        <w:rPr>
          <w:rFonts w:hint="eastAsia" w:ascii="宋体" w:hAnsi="宋体" w:eastAsia="宋体" w:cs="宋体"/>
          <w:color w:val="auto"/>
          <w:sz w:val="24"/>
          <w:szCs w:val="18"/>
          <w:highlight w:val="none"/>
          <w:u w:val="single"/>
          <w:lang w:val="en-US" w:eastAsia="zh-CN"/>
        </w:rPr>
        <w:t>0550-3519519、18005505728</w:t>
      </w:r>
    </w:p>
    <w:p w14:paraId="0F62CCAD">
      <w:pPr>
        <w:keepNext w:val="0"/>
        <w:keepLines w:val="0"/>
        <w:pageBreakBefore w:val="0"/>
        <w:widowControl w:val="0"/>
        <w:kinsoku/>
        <w:overflowPunct/>
        <w:topLinePunct w:val="0"/>
        <w:autoSpaceDE/>
        <w:autoSpaceDN/>
        <w:bidi w:val="0"/>
        <w:adjustRightInd/>
        <w:snapToGrid/>
        <w:spacing w:line="420" w:lineRule="exact"/>
        <w:ind w:firstLine="437"/>
        <w:textAlignment w:val="auto"/>
        <w:outlineLvl w:val="2"/>
        <w:rPr>
          <w:rFonts w:hint="eastAsia" w:ascii="宋体" w:hAnsi="宋体" w:eastAsia="宋体" w:cs="宋体"/>
          <w:b/>
          <w:color w:val="auto"/>
          <w:sz w:val="24"/>
          <w:szCs w:val="18"/>
          <w:highlight w:val="none"/>
          <w:lang w:val="en-US" w:eastAsia="zh-CN"/>
        </w:rPr>
      </w:pPr>
      <w:r>
        <w:rPr>
          <w:rFonts w:hint="eastAsia" w:ascii="宋体" w:hAnsi="宋体" w:eastAsia="宋体" w:cs="宋体"/>
          <w:b w:val="0"/>
          <w:bCs/>
          <w:color w:val="auto"/>
          <w:sz w:val="24"/>
          <w:szCs w:val="18"/>
          <w:highlight w:val="none"/>
          <w:lang w:val="en-US" w:eastAsia="zh-CN"/>
        </w:rPr>
        <w:t>3</w:t>
      </w:r>
      <w:r>
        <w:rPr>
          <w:rFonts w:hint="eastAsia" w:ascii="宋体" w:hAnsi="宋体" w:eastAsia="宋体" w:cs="宋体"/>
          <w:b/>
          <w:color w:val="auto"/>
          <w:sz w:val="24"/>
          <w:szCs w:val="18"/>
          <w:highlight w:val="none"/>
        </w:rPr>
        <w:t>.</w:t>
      </w:r>
      <w:r>
        <w:rPr>
          <w:rFonts w:hint="eastAsia" w:ascii="宋体" w:hAnsi="宋体" w:eastAsia="宋体" w:cs="宋体"/>
          <w:color w:val="auto"/>
          <w:sz w:val="24"/>
          <w:szCs w:val="18"/>
          <w:highlight w:val="none"/>
        </w:rPr>
        <w:t>政府采购监督管理部门</w:t>
      </w:r>
      <w:r>
        <w:rPr>
          <w:rFonts w:hint="eastAsia" w:ascii="宋体" w:hAnsi="宋体" w:eastAsia="宋体" w:cs="宋体"/>
          <w:color w:val="auto"/>
          <w:sz w:val="24"/>
          <w:szCs w:val="18"/>
          <w:highlight w:val="none"/>
          <w:lang w:val="en-US" w:eastAsia="zh-CN"/>
        </w:rPr>
        <w:t>信息</w:t>
      </w:r>
    </w:p>
    <w:p w14:paraId="69514FE5">
      <w:pPr>
        <w:keepNext w:val="0"/>
        <w:keepLines w:val="0"/>
        <w:pageBreakBefore w:val="0"/>
        <w:widowControl w:val="0"/>
        <w:kinsoku/>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24"/>
          <w:highlight w:val="none"/>
          <w:lang w:val="en-US" w:eastAsia="zh-CN"/>
        </w:rPr>
        <w:t>名  称</w:t>
      </w:r>
      <w:r>
        <w:rPr>
          <w:rFonts w:hint="eastAsia" w:ascii="宋体" w:hAnsi="宋体" w:eastAsia="宋体" w:cs="宋体"/>
          <w:color w:val="auto"/>
          <w:sz w:val="24"/>
          <w:szCs w:val="18"/>
          <w:highlight w:val="none"/>
        </w:rPr>
        <w:t>：</w:t>
      </w:r>
      <w:r>
        <w:rPr>
          <w:rFonts w:hint="eastAsia" w:ascii="宋体" w:hAnsi="宋体" w:eastAsia="宋体" w:cs="宋体"/>
          <w:color w:val="auto"/>
          <w:sz w:val="24"/>
          <w:szCs w:val="18"/>
          <w:highlight w:val="none"/>
          <w:u w:val="single"/>
          <w:lang w:val="en-US" w:eastAsia="zh-CN"/>
        </w:rPr>
        <w:t>滁州市公共资源交易监督管理局</w:t>
      </w:r>
    </w:p>
    <w:p w14:paraId="036B3899">
      <w:pPr>
        <w:keepNext w:val="0"/>
        <w:keepLines w:val="0"/>
        <w:pageBreakBefore w:val="0"/>
        <w:widowControl w:val="0"/>
        <w:kinsoku/>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地  址：</w:t>
      </w:r>
      <w:r>
        <w:rPr>
          <w:rFonts w:hint="eastAsia" w:ascii="宋体" w:hAnsi="宋体" w:eastAsia="宋体" w:cs="宋体"/>
          <w:color w:val="auto"/>
          <w:sz w:val="24"/>
          <w:szCs w:val="18"/>
          <w:highlight w:val="none"/>
          <w:u w:val="single"/>
          <w:lang w:eastAsia="zh-CN"/>
        </w:rPr>
        <w:t>滁州市龙蟠大道109号房产大厦三楼</w:t>
      </w:r>
    </w:p>
    <w:p w14:paraId="7312DE68">
      <w:pPr>
        <w:keepNext w:val="0"/>
        <w:keepLines w:val="0"/>
        <w:pageBreakBefore w:val="0"/>
        <w:widowControl w:val="0"/>
        <w:kinsoku/>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18"/>
          <w:highlight w:val="none"/>
          <w:u w:val="single"/>
        </w:rPr>
      </w:pPr>
      <w:r>
        <w:rPr>
          <w:rFonts w:hint="eastAsia" w:ascii="宋体" w:hAnsi="宋体" w:eastAsia="宋体" w:cs="宋体"/>
          <w:color w:val="auto"/>
          <w:sz w:val="24"/>
          <w:szCs w:val="18"/>
          <w:highlight w:val="none"/>
        </w:rPr>
        <w:t>联系</w:t>
      </w:r>
      <w:r>
        <w:rPr>
          <w:rFonts w:hint="eastAsia" w:ascii="宋体" w:hAnsi="宋体" w:eastAsia="宋体" w:cs="宋体"/>
          <w:color w:val="auto"/>
          <w:sz w:val="24"/>
          <w:szCs w:val="18"/>
          <w:highlight w:val="none"/>
          <w:lang w:val="en-US" w:eastAsia="zh-CN"/>
        </w:rPr>
        <w:t>方式</w:t>
      </w:r>
      <w:r>
        <w:rPr>
          <w:rFonts w:hint="eastAsia" w:ascii="宋体" w:hAnsi="宋体" w:eastAsia="宋体" w:cs="宋体"/>
          <w:color w:val="auto"/>
          <w:sz w:val="24"/>
          <w:szCs w:val="18"/>
          <w:highlight w:val="none"/>
        </w:rPr>
        <w:t>：</w:t>
      </w:r>
      <w:r>
        <w:rPr>
          <w:rFonts w:hint="eastAsia" w:ascii="宋体" w:hAnsi="宋体" w:eastAsia="宋体" w:cs="宋体"/>
          <w:color w:val="auto"/>
          <w:sz w:val="24"/>
          <w:szCs w:val="18"/>
          <w:highlight w:val="none"/>
          <w:u w:val="single"/>
        </w:rPr>
        <w:t>0550-3801656</w:t>
      </w:r>
    </w:p>
    <w:p w14:paraId="5D86365F">
      <w:pPr>
        <w:widowControl/>
        <w:jc w:val="left"/>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br w:type="page"/>
      </w:r>
    </w:p>
    <w:p w14:paraId="38AE4246">
      <w:pPr>
        <w:spacing w:line="360" w:lineRule="auto"/>
        <w:jc w:val="center"/>
        <w:outlineLvl w:val="0"/>
        <w:rPr>
          <w:rFonts w:hint="eastAsia" w:ascii="宋体" w:hAnsi="宋体" w:eastAsia="宋体" w:cs="宋体"/>
          <w:b/>
          <w:color w:val="auto"/>
          <w:sz w:val="28"/>
          <w:highlight w:val="none"/>
        </w:rPr>
      </w:pPr>
      <w:bookmarkStart w:id="18" w:name="_Toc8888"/>
      <w:r>
        <w:rPr>
          <w:rFonts w:hint="eastAsia" w:ascii="宋体" w:hAnsi="宋体" w:eastAsia="宋体" w:cs="宋体"/>
          <w:b/>
          <w:color w:val="auto"/>
          <w:sz w:val="28"/>
          <w:highlight w:val="none"/>
        </w:rPr>
        <w:t>第二章  投标人须知</w:t>
      </w:r>
      <w:bookmarkEnd w:id="18"/>
    </w:p>
    <w:p w14:paraId="03AC870B">
      <w:pPr>
        <w:spacing w:line="360" w:lineRule="auto"/>
        <w:jc w:val="center"/>
        <w:outlineLvl w:val="1"/>
        <w:rPr>
          <w:rFonts w:hint="eastAsia" w:ascii="宋体" w:hAnsi="宋体" w:eastAsia="宋体" w:cs="宋体"/>
          <w:b/>
          <w:color w:val="auto"/>
          <w:sz w:val="24"/>
          <w:highlight w:val="none"/>
        </w:rPr>
      </w:pPr>
      <w:bookmarkStart w:id="19" w:name="_Toc13589"/>
      <w:bookmarkStart w:id="20" w:name="_Toc7178"/>
      <w:r>
        <w:rPr>
          <w:rFonts w:hint="eastAsia" w:ascii="宋体" w:hAnsi="宋体" w:eastAsia="宋体" w:cs="宋体"/>
          <w:b/>
          <w:color w:val="auto"/>
          <w:sz w:val="24"/>
          <w:highlight w:val="none"/>
        </w:rPr>
        <w:t>一、投标人须知前附表</w:t>
      </w:r>
      <w:bookmarkEnd w:id="19"/>
      <w:bookmarkEnd w:id="20"/>
    </w:p>
    <w:p w14:paraId="31A32CEE">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b/>
          <w:bCs/>
          <w:color w:val="auto"/>
          <w:sz w:val="24"/>
          <w:szCs w:val="18"/>
          <w:highlight w:val="none"/>
        </w:rPr>
        <w:t>注：</w:t>
      </w:r>
      <w:r>
        <w:rPr>
          <w:rFonts w:hint="eastAsia" w:ascii="宋体" w:hAnsi="宋体" w:eastAsia="宋体" w:cs="宋体"/>
          <w:color w:val="auto"/>
          <w:sz w:val="24"/>
          <w:szCs w:val="18"/>
          <w:highlight w:val="none"/>
        </w:rPr>
        <w:t>本表是本项目的具体要求，是对投标人须知的具体补充和修改，如有不一致，以本表为准。</w:t>
      </w:r>
    </w:p>
    <w:tbl>
      <w:tblPr>
        <w:tblStyle w:val="27"/>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184"/>
        <w:gridCol w:w="6149"/>
      </w:tblGrid>
      <w:tr w14:paraId="001DA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1D9AFE60">
            <w:pPr>
              <w:pStyle w:val="45"/>
              <w:keepNext w:val="0"/>
              <w:keepLines w:val="0"/>
              <w:pageBreakBefore w:val="0"/>
              <w:widowControl w:val="0"/>
              <w:kinsoku/>
              <w:wordWrap/>
              <w:overflowPunct/>
              <w:topLinePunct w:val="0"/>
              <w:autoSpaceDE/>
              <w:autoSpaceDN/>
              <w:bidi w:val="0"/>
              <w:spacing w:before="0" w:beforeAutospacing="0" w:after="0" w:afterAutospacing="0" w:line="440" w:lineRule="exact"/>
              <w:textAlignment w:val="auto"/>
              <w:rPr>
                <w:rFonts w:hint="eastAsia" w:ascii="宋体" w:hAnsi="宋体" w:eastAsia="宋体" w:cs="宋体"/>
                <w:bCs w:val="0"/>
                <w:color w:val="auto"/>
                <w:kern w:val="2"/>
                <w:sz w:val="24"/>
                <w:szCs w:val="20"/>
                <w:highlight w:val="none"/>
              </w:rPr>
            </w:pPr>
            <w:r>
              <w:rPr>
                <w:rFonts w:hint="eastAsia" w:ascii="宋体" w:hAnsi="宋体" w:eastAsia="宋体" w:cs="宋体"/>
                <w:bCs w:val="0"/>
                <w:color w:val="auto"/>
                <w:kern w:val="2"/>
                <w:sz w:val="24"/>
                <w:szCs w:val="20"/>
                <w:highlight w:val="none"/>
              </w:rPr>
              <w:t>条款号</w:t>
            </w:r>
          </w:p>
        </w:tc>
        <w:tc>
          <w:tcPr>
            <w:tcW w:w="2184" w:type="dxa"/>
            <w:vAlign w:val="center"/>
          </w:tcPr>
          <w:p w14:paraId="6BF081AD">
            <w:pPr>
              <w:pStyle w:val="45"/>
              <w:keepNext w:val="0"/>
              <w:keepLines w:val="0"/>
              <w:pageBreakBefore w:val="0"/>
              <w:widowControl w:val="0"/>
              <w:kinsoku/>
              <w:wordWrap/>
              <w:overflowPunct/>
              <w:topLinePunct w:val="0"/>
              <w:autoSpaceDE/>
              <w:autoSpaceDN/>
              <w:bidi w:val="0"/>
              <w:spacing w:before="0" w:beforeAutospacing="0" w:after="0" w:afterAutospacing="0" w:line="440" w:lineRule="exact"/>
              <w:textAlignment w:val="auto"/>
              <w:rPr>
                <w:rFonts w:hint="eastAsia" w:ascii="宋体" w:hAnsi="宋体" w:eastAsia="宋体" w:cs="宋体"/>
                <w:bCs w:val="0"/>
                <w:color w:val="auto"/>
                <w:kern w:val="2"/>
                <w:sz w:val="24"/>
                <w:szCs w:val="20"/>
                <w:highlight w:val="none"/>
              </w:rPr>
            </w:pPr>
            <w:r>
              <w:rPr>
                <w:rFonts w:hint="eastAsia" w:ascii="宋体" w:hAnsi="宋体" w:eastAsia="宋体" w:cs="宋体"/>
                <w:bCs w:val="0"/>
                <w:color w:val="auto"/>
                <w:kern w:val="2"/>
                <w:sz w:val="24"/>
                <w:szCs w:val="20"/>
                <w:highlight w:val="none"/>
              </w:rPr>
              <w:t>条款名称</w:t>
            </w:r>
          </w:p>
        </w:tc>
        <w:tc>
          <w:tcPr>
            <w:tcW w:w="6149" w:type="dxa"/>
            <w:vAlign w:val="center"/>
          </w:tcPr>
          <w:p w14:paraId="286CC145">
            <w:pPr>
              <w:pStyle w:val="45"/>
              <w:keepNext w:val="0"/>
              <w:keepLines w:val="0"/>
              <w:pageBreakBefore w:val="0"/>
              <w:widowControl w:val="0"/>
              <w:kinsoku/>
              <w:wordWrap/>
              <w:overflowPunct/>
              <w:topLinePunct w:val="0"/>
              <w:autoSpaceDE/>
              <w:autoSpaceDN/>
              <w:bidi w:val="0"/>
              <w:spacing w:before="0" w:beforeAutospacing="0" w:after="0" w:afterAutospacing="0" w:line="440" w:lineRule="exact"/>
              <w:textAlignment w:val="auto"/>
              <w:rPr>
                <w:rFonts w:hint="eastAsia" w:ascii="宋体" w:hAnsi="宋体" w:eastAsia="宋体" w:cs="宋体"/>
                <w:bCs w:val="0"/>
                <w:color w:val="auto"/>
                <w:kern w:val="2"/>
                <w:sz w:val="24"/>
                <w:szCs w:val="20"/>
                <w:highlight w:val="none"/>
              </w:rPr>
            </w:pPr>
            <w:r>
              <w:rPr>
                <w:rFonts w:hint="eastAsia" w:ascii="宋体" w:hAnsi="宋体" w:eastAsia="宋体" w:cs="宋体"/>
                <w:bCs w:val="0"/>
                <w:color w:val="auto"/>
                <w:kern w:val="2"/>
                <w:sz w:val="24"/>
                <w:szCs w:val="20"/>
                <w:highlight w:val="none"/>
              </w:rPr>
              <w:t>内容、说明与要求</w:t>
            </w:r>
          </w:p>
        </w:tc>
      </w:tr>
      <w:tr w14:paraId="25961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0E36900A">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lang w:eastAsia="zh-CN"/>
              </w:rPr>
            </w:pPr>
            <w:r>
              <w:rPr>
                <w:rFonts w:hint="eastAsia" w:ascii="宋体" w:hAnsi="宋体" w:eastAsia="宋体" w:cs="宋体"/>
                <w:bCs/>
                <w:color w:val="auto"/>
                <w:kern w:val="2"/>
                <w:highlight w:val="none"/>
                <w:lang w:val="en-US" w:eastAsia="zh-CN"/>
              </w:rPr>
              <w:t>5</w:t>
            </w:r>
            <w:r>
              <w:rPr>
                <w:rFonts w:hint="eastAsia" w:ascii="宋体" w:hAnsi="宋体" w:eastAsia="宋体" w:cs="宋体"/>
                <w:bCs/>
                <w:color w:val="auto"/>
                <w:kern w:val="2"/>
                <w:highlight w:val="none"/>
              </w:rPr>
              <w:t>.</w:t>
            </w:r>
            <w:r>
              <w:rPr>
                <w:rFonts w:hint="eastAsia" w:ascii="宋体" w:hAnsi="宋体" w:eastAsia="宋体" w:cs="宋体"/>
                <w:bCs/>
                <w:color w:val="auto"/>
                <w:kern w:val="2"/>
                <w:highlight w:val="none"/>
                <w:lang w:val="en-US" w:eastAsia="zh-CN"/>
              </w:rPr>
              <w:t>2</w:t>
            </w:r>
          </w:p>
        </w:tc>
        <w:tc>
          <w:tcPr>
            <w:tcW w:w="2184" w:type="dxa"/>
            <w:vAlign w:val="center"/>
          </w:tcPr>
          <w:p w14:paraId="37C97F85">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highlight w:val="none"/>
                <w:lang w:eastAsia="zh-CN"/>
              </w:rPr>
            </w:pPr>
            <w:r>
              <w:rPr>
                <w:rFonts w:hint="eastAsia" w:ascii="宋体" w:hAnsi="宋体" w:eastAsia="宋体" w:cs="宋体"/>
                <w:b w:val="0"/>
                <w:bCs/>
                <w:color w:val="auto"/>
                <w:kern w:val="2"/>
                <w:sz w:val="24"/>
                <w:szCs w:val="22"/>
                <w:highlight w:val="none"/>
                <w:lang w:val="en-US" w:eastAsia="zh-CN" w:bidi="ar-SA"/>
              </w:rPr>
              <w:t>现场考察或标前答疑会</w:t>
            </w:r>
          </w:p>
        </w:tc>
        <w:tc>
          <w:tcPr>
            <w:tcW w:w="6149" w:type="dxa"/>
            <w:vAlign w:val="center"/>
          </w:tcPr>
          <w:p w14:paraId="3F34508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highlight w:val="none"/>
              </w:rPr>
              <w:t>不组织</w:t>
            </w:r>
            <w:r>
              <w:rPr>
                <w:rFonts w:hint="eastAsia" w:ascii="宋体" w:hAnsi="宋体" w:eastAsia="宋体" w:cs="宋体"/>
                <w:color w:val="auto"/>
                <w:sz w:val="24"/>
                <w:highlight w:val="none"/>
                <w:lang w:val="en-US" w:eastAsia="zh-CN"/>
              </w:rPr>
              <w:t>或不召开</w:t>
            </w:r>
          </w:p>
          <w:p w14:paraId="3574DD6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color w:val="auto"/>
                <w:sz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统一组织</w:t>
            </w:r>
            <w:r>
              <w:rPr>
                <w:rFonts w:hint="eastAsia" w:ascii="宋体" w:hAnsi="宋体" w:eastAsia="宋体" w:cs="宋体"/>
                <w:bCs/>
                <w:color w:val="auto"/>
                <w:sz w:val="24"/>
                <w:highlight w:val="none"/>
                <w:lang w:val="en-US" w:eastAsia="zh-CN"/>
              </w:rPr>
              <w:t>或统一召开</w:t>
            </w:r>
          </w:p>
          <w:p w14:paraId="72DDF8E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时间：</w:t>
            </w:r>
            <w:r>
              <w:rPr>
                <w:rFonts w:hint="eastAsia" w:ascii="宋体" w:hAnsi="宋体" w:eastAsia="宋体" w:cs="宋体"/>
                <w:bCs/>
                <w:color w:val="auto"/>
                <w:sz w:val="24"/>
                <w:highlight w:val="none"/>
                <w:u w:val="single"/>
                <w:lang w:val="en-US" w:eastAsia="zh-CN"/>
              </w:rPr>
              <w:t>/</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lang w:val="en-US" w:eastAsia="zh-CN"/>
              </w:rPr>
              <w:t>/</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lang w:val="en-US" w:eastAsia="zh-CN"/>
              </w:rPr>
              <w:t>/</w:t>
            </w:r>
            <w:r>
              <w:rPr>
                <w:rFonts w:hint="eastAsia" w:ascii="宋体" w:hAnsi="宋体" w:eastAsia="宋体" w:cs="宋体"/>
                <w:bCs/>
                <w:color w:val="auto"/>
                <w:sz w:val="24"/>
                <w:highlight w:val="none"/>
              </w:rPr>
              <w:t>日</w:t>
            </w:r>
            <w:r>
              <w:rPr>
                <w:rFonts w:hint="eastAsia" w:ascii="宋体" w:hAnsi="宋体" w:eastAsia="宋体" w:cs="宋体"/>
                <w:bCs/>
                <w:color w:val="auto"/>
                <w:sz w:val="24"/>
                <w:highlight w:val="none"/>
                <w:u w:val="single"/>
                <w:lang w:val="en-US" w:eastAsia="zh-CN"/>
              </w:rPr>
              <w:t>/</w:t>
            </w:r>
            <w:r>
              <w:rPr>
                <w:rFonts w:hint="eastAsia" w:ascii="宋体" w:hAnsi="宋体" w:eastAsia="宋体" w:cs="宋体"/>
                <w:bCs/>
                <w:color w:val="auto"/>
                <w:sz w:val="24"/>
                <w:highlight w:val="none"/>
              </w:rPr>
              <w:t>时</w:t>
            </w:r>
            <w:r>
              <w:rPr>
                <w:rFonts w:hint="eastAsia" w:ascii="宋体" w:hAnsi="宋体" w:eastAsia="宋体" w:cs="宋体"/>
                <w:bCs/>
                <w:color w:val="auto"/>
                <w:sz w:val="24"/>
                <w:highlight w:val="none"/>
                <w:u w:val="single"/>
                <w:lang w:val="en-US" w:eastAsia="zh-CN"/>
              </w:rPr>
              <w:t>/</w:t>
            </w:r>
            <w:r>
              <w:rPr>
                <w:rFonts w:hint="eastAsia" w:ascii="宋体" w:hAnsi="宋体" w:eastAsia="宋体" w:cs="宋体"/>
                <w:bCs/>
                <w:color w:val="auto"/>
                <w:sz w:val="24"/>
                <w:highlight w:val="none"/>
              </w:rPr>
              <w:t>分</w:t>
            </w:r>
          </w:p>
          <w:p w14:paraId="30D7856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地点：</w:t>
            </w:r>
            <w:r>
              <w:rPr>
                <w:rFonts w:hint="eastAsia" w:ascii="宋体" w:hAnsi="宋体" w:eastAsia="宋体" w:cs="宋体"/>
                <w:bCs/>
                <w:color w:val="auto"/>
                <w:sz w:val="24"/>
                <w:highlight w:val="none"/>
                <w:u w:val="single"/>
                <w:lang w:val="en-US" w:eastAsia="zh-CN"/>
              </w:rPr>
              <w:t>/</w:t>
            </w:r>
          </w:p>
          <w:p w14:paraId="4111148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联系人及联系电话：</w:t>
            </w:r>
            <w:r>
              <w:rPr>
                <w:rFonts w:hint="eastAsia" w:ascii="宋体" w:hAnsi="宋体" w:eastAsia="宋体" w:cs="宋体"/>
                <w:bCs/>
                <w:color w:val="auto"/>
                <w:sz w:val="24"/>
                <w:highlight w:val="none"/>
                <w:u w:val="single"/>
                <w:lang w:val="en-US" w:eastAsia="zh-CN"/>
              </w:rPr>
              <w:t>/</w:t>
            </w:r>
          </w:p>
          <w:p w14:paraId="680B28A4">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Cs w:val="0"/>
                <w:color w:val="auto"/>
                <w:sz w:val="24"/>
                <w:highlight w:val="none"/>
                <w:lang w:eastAsia="zh-CN"/>
              </w:rPr>
              <w:t>注：</w:t>
            </w:r>
            <w:r>
              <w:rPr>
                <w:rFonts w:hint="eastAsia" w:ascii="宋体" w:hAnsi="宋体" w:eastAsia="宋体" w:cs="宋体"/>
                <w:bCs w:val="0"/>
                <w:color w:val="auto"/>
                <w:sz w:val="24"/>
                <w:highlight w:val="none"/>
              </w:rPr>
              <w:t>如投标人未参加采购人统一组织的现场考察</w:t>
            </w:r>
            <w:r>
              <w:rPr>
                <w:rFonts w:hint="eastAsia" w:ascii="宋体" w:hAnsi="宋体" w:eastAsia="宋体" w:cs="宋体"/>
                <w:bCs w:val="0"/>
                <w:color w:val="auto"/>
                <w:sz w:val="24"/>
                <w:highlight w:val="none"/>
                <w:lang w:val="en-US" w:eastAsia="zh-CN"/>
              </w:rPr>
              <w:t>或采购人统一召开的标前答疑会</w:t>
            </w:r>
            <w:r>
              <w:rPr>
                <w:rFonts w:hint="eastAsia" w:ascii="宋体" w:hAnsi="宋体" w:eastAsia="宋体" w:cs="宋体"/>
                <w:bCs w:val="0"/>
                <w:color w:val="auto"/>
                <w:sz w:val="24"/>
                <w:highlight w:val="none"/>
              </w:rPr>
              <w:t>，视同放弃现场考察</w:t>
            </w:r>
            <w:r>
              <w:rPr>
                <w:rFonts w:hint="eastAsia" w:ascii="宋体" w:hAnsi="宋体" w:eastAsia="宋体" w:cs="宋体"/>
                <w:bCs w:val="0"/>
                <w:color w:val="auto"/>
                <w:sz w:val="24"/>
                <w:highlight w:val="none"/>
                <w:lang w:val="en-US" w:eastAsia="zh-CN"/>
              </w:rPr>
              <w:t>或标前答疑会</w:t>
            </w:r>
            <w:r>
              <w:rPr>
                <w:rFonts w:hint="eastAsia" w:ascii="宋体" w:hAnsi="宋体" w:eastAsia="宋体" w:cs="宋体"/>
                <w:bCs w:val="0"/>
                <w:color w:val="auto"/>
                <w:sz w:val="24"/>
                <w:highlight w:val="none"/>
              </w:rPr>
              <w:t>，由此引起的一切责任由投标人自行承担。</w:t>
            </w:r>
          </w:p>
        </w:tc>
      </w:tr>
      <w:tr w14:paraId="73CA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02339084">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6</w:t>
            </w:r>
            <w:r>
              <w:rPr>
                <w:rFonts w:hint="eastAsia" w:ascii="宋体" w:hAnsi="宋体" w:eastAsia="宋体" w:cs="宋体"/>
                <w:bCs/>
                <w:color w:val="auto"/>
                <w:kern w:val="2"/>
                <w:highlight w:val="none"/>
              </w:rPr>
              <w:t>.1</w:t>
            </w:r>
          </w:p>
        </w:tc>
        <w:tc>
          <w:tcPr>
            <w:tcW w:w="2184" w:type="dxa"/>
            <w:vAlign w:val="center"/>
          </w:tcPr>
          <w:p w14:paraId="3E5DCF75">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lef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网上询问截止时间</w:t>
            </w:r>
          </w:p>
        </w:tc>
        <w:tc>
          <w:tcPr>
            <w:tcW w:w="6149" w:type="dxa"/>
            <w:vAlign w:val="center"/>
          </w:tcPr>
          <w:p w14:paraId="753A5DE5">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u w:val="single"/>
                <w:lang w:val="en-US" w:eastAsia="zh-CN"/>
              </w:rPr>
              <w:t>2024</w:t>
            </w:r>
            <w:r>
              <w:rPr>
                <w:rFonts w:hint="eastAsia" w:ascii="宋体" w:hAnsi="宋体" w:eastAsia="宋体" w:cs="宋体"/>
                <w:b w:val="0"/>
                <w:color w:val="auto"/>
                <w:sz w:val="24"/>
                <w:highlight w:val="none"/>
              </w:rPr>
              <w:t>年</w:t>
            </w:r>
            <w:r>
              <w:rPr>
                <w:rFonts w:hint="eastAsia" w:ascii="宋体" w:hAnsi="宋体" w:eastAsia="宋体" w:cs="宋体"/>
                <w:b w:val="0"/>
                <w:color w:val="auto"/>
                <w:sz w:val="24"/>
                <w:highlight w:val="none"/>
                <w:u w:val="single"/>
                <w:lang w:val="en-US" w:eastAsia="zh-CN"/>
              </w:rPr>
              <w:t>7</w:t>
            </w:r>
            <w:r>
              <w:rPr>
                <w:rFonts w:hint="eastAsia" w:ascii="宋体" w:hAnsi="宋体" w:eastAsia="宋体" w:cs="宋体"/>
                <w:b w:val="0"/>
                <w:color w:val="auto"/>
                <w:sz w:val="24"/>
                <w:highlight w:val="none"/>
              </w:rPr>
              <w:t>月</w:t>
            </w:r>
            <w:r>
              <w:rPr>
                <w:rFonts w:hint="eastAsia" w:ascii="宋体" w:hAnsi="宋体" w:eastAsia="宋体" w:cs="宋体"/>
                <w:b w:val="0"/>
                <w:color w:val="auto"/>
                <w:sz w:val="24"/>
                <w:highlight w:val="none"/>
                <w:u w:val="single"/>
                <w:lang w:val="en-US" w:eastAsia="zh-CN"/>
              </w:rPr>
              <w:t>2</w:t>
            </w:r>
            <w:r>
              <w:rPr>
                <w:rFonts w:hint="eastAsia" w:ascii="宋体" w:hAnsi="宋体" w:eastAsia="宋体" w:cs="宋体"/>
                <w:b w:val="0"/>
                <w:color w:val="auto"/>
                <w:sz w:val="24"/>
                <w:highlight w:val="none"/>
              </w:rPr>
              <w:t>日</w:t>
            </w:r>
            <w:r>
              <w:rPr>
                <w:rFonts w:hint="eastAsia" w:ascii="宋体" w:hAnsi="宋体" w:eastAsia="宋体" w:cs="宋体"/>
                <w:b w:val="0"/>
                <w:color w:val="auto"/>
                <w:sz w:val="24"/>
                <w:highlight w:val="none"/>
                <w:u w:val="single"/>
                <w:lang w:val="en-US" w:eastAsia="zh-CN"/>
              </w:rPr>
              <w:t>17</w:t>
            </w:r>
            <w:r>
              <w:rPr>
                <w:rFonts w:hint="eastAsia" w:ascii="宋体" w:hAnsi="宋体" w:eastAsia="宋体" w:cs="宋体"/>
                <w:b w:val="0"/>
                <w:color w:val="auto"/>
                <w:sz w:val="24"/>
                <w:highlight w:val="none"/>
              </w:rPr>
              <w:t>时</w:t>
            </w:r>
            <w:r>
              <w:rPr>
                <w:rFonts w:hint="eastAsia" w:ascii="宋体" w:hAnsi="宋体" w:eastAsia="宋体" w:cs="宋体"/>
                <w:b w:val="0"/>
                <w:color w:val="auto"/>
                <w:sz w:val="24"/>
                <w:highlight w:val="none"/>
                <w:u w:val="single"/>
                <w:lang w:val="en-US" w:eastAsia="zh-CN"/>
              </w:rPr>
              <w:t>30</w:t>
            </w:r>
            <w:r>
              <w:rPr>
                <w:rFonts w:hint="eastAsia" w:ascii="宋体" w:hAnsi="宋体" w:eastAsia="宋体" w:cs="宋体"/>
                <w:b w:val="0"/>
                <w:color w:val="auto"/>
                <w:sz w:val="24"/>
                <w:highlight w:val="none"/>
              </w:rPr>
              <w:t>分</w:t>
            </w:r>
          </w:p>
        </w:tc>
      </w:tr>
      <w:tr w14:paraId="22827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4192A322">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7</w:t>
            </w:r>
            <w:r>
              <w:rPr>
                <w:rFonts w:hint="eastAsia" w:ascii="宋体" w:hAnsi="宋体" w:eastAsia="宋体" w:cs="宋体"/>
                <w:bCs/>
                <w:color w:val="auto"/>
                <w:kern w:val="2"/>
                <w:highlight w:val="none"/>
              </w:rPr>
              <w:t>.1</w:t>
            </w:r>
          </w:p>
        </w:tc>
        <w:tc>
          <w:tcPr>
            <w:tcW w:w="2184" w:type="dxa"/>
            <w:vAlign w:val="center"/>
          </w:tcPr>
          <w:p w14:paraId="1A7B8ECF">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lef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包别划分</w:t>
            </w:r>
          </w:p>
        </w:tc>
        <w:tc>
          <w:tcPr>
            <w:tcW w:w="6149" w:type="dxa"/>
            <w:vAlign w:val="center"/>
          </w:tcPr>
          <w:p w14:paraId="2600F503">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color w:val="auto"/>
                <w:sz w:val="24"/>
                <w:highlight w:val="none"/>
              </w:rPr>
              <w:t>不分包     □分为</w:t>
            </w:r>
            <w:r>
              <w:rPr>
                <w:rFonts w:hint="eastAsia" w:ascii="宋体" w:hAnsi="宋体" w:eastAsia="宋体" w:cs="宋体"/>
                <w:b w:val="0"/>
                <w:color w:val="auto"/>
                <w:sz w:val="24"/>
                <w:highlight w:val="none"/>
                <w:u w:val="single"/>
                <w:lang w:val="en-US" w:eastAsia="zh-CN"/>
              </w:rPr>
              <w:t>/</w:t>
            </w:r>
            <w:r>
              <w:rPr>
                <w:rFonts w:hint="eastAsia" w:ascii="宋体" w:hAnsi="宋体" w:eastAsia="宋体" w:cs="宋体"/>
                <w:b w:val="0"/>
                <w:color w:val="auto"/>
                <w:sz w:val="24"/>
                <w:highlight w:val="none"/>
              </w:rPr>
              <w:t>个包</w:t>
            </w:r>
          </w:p>
          <w:p w14:paraId="20AF6446">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u w:val="single"/>
              </w:rPr>
            </w:pPr>
            <w:r>
              <w:rPr>
                <w:rFonts w:hint="eastAsia" w:ascii="宋体" w:hAnsi="宋体" w:eastAsia="宋体" w:cs="宋体"/>
                <w:b w:val="0"/>
                <w:color w:val="auto"/>
                <w:sz w:val="24"/>
                <w:highlight w:val="none"/>
              </w:rPr>
              <w:t>投标人对多个包进行投标的中标包数规定：</w:t>
            </w:r>
            <w:r>
              <w:rPr>
                <w:rFonts w:hint="eastAsia" w:ascii="宋体" w:hAnsi="宋体" w:eastAsia="宋体" w:cs="宋体"/>
                <w:b w:val="0"/>
                <w:color w:val="auto"/>
                <w:sz w:val="24"/>
                <w:highlight w:val="none"/>
                <w:u w:val="single"/>
                <w:lang w:val="en-US" w:eastAsia="zh-CN"/>
              </w:rPr>
              <w:t>/</w:t>
            </w:r>
            <w:r>
              <w:rPr>
                <w:rFonts w:hint="eastAsia" w:ascii="宋体" w:hAnsi="宋体" w:eastAsia="宋体" w:cs="宋体"/>
                <w:b w:val="0"/>
                <w:bCs w:val="0"/>
                <w:color w:val="auto"/>
                <w:sz w:val="24"/>
                <w:szCs w:val="18"/>
                <w:highlight w:val="none"/>
                <w:u w:val="single"/>
              </w:rPr>
              <w:t xml:space="preserve"> </w:t>
            </w:r>
          </w:p>
        </w:tc>
      </w:tr>
      <w:tr w14:paraId="3E89E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0FF17731">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r>
              <w:rPr>
                <w:rFonts w:hint="eastAsia" w:ascii="宋体" w:hAnsi="宋体" w:eastAsia="宋体" w:cs="宋体"/>
                <w:bCs/>
                <w:color w:val="auto"/>
                <w:kern w:val="2"/>
                <w:highlight w:val="none"/>
                <w:lang w:val="en-US" w:eastAsia="zh-CN"/>
              </w:rPr>
              <w:t>0</w:t>
            </w:r>
            <w:r>
              <w:rPr>
                <w:rFonts w:hint="eastAsia" w:ascii="宋体" w:hAnsi="宋体" w:eastAsia="宋体" w:cs="宋体"/>
                <w:bCs/>
                <w:color w:val="auto"/>
                <w:kern w:val="2"/>
                <w:highlight w:val="none"/>
              </w:rPr>
              <w:t>.1</w:t>
            </w:r>
          </w:p>
        </w:tc>
        <w:tc>
          <w:tcPr>
            <w:tcW w:w="2184" w:type="dxa"/>
            <w:vAlign w:val="center"/>
          </w:tcPr>
          <w:p w14:paraId="3829D52B">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lef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投标保证金</w:t>
            </w:r>
          </w:p>
        </w:tc>
        <w:tc>
          <w:tcPr>
            <w:tcW w:w="6149" w:type="dxa"/>
            <w:vAlign w:val="center"/>
          </w:tcPr>
          <w:p w14:paraId="7546FB17">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不收取</w:t>
            </w:r>
          </w:p>
        </w:tc>
      </w:tr>
      <w:tr w14:paraId="1F88D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46300149">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r>
              <w:rPr>
                <w:rFonts w:hint="eastAsia" w:ascii="宋体" w:hAnsi="宋体" w:eastAsia="宋体" w:cs="宋体"/>
                <w:bCs/>
                <w:color w:val="auto"/>
                <w:kern w:val="2"/>
                <w:highlight w:val="none"/>
                <w:lang w:val="en-US" w:eastAsia="zh-CN"/>
              </w:rPr>
              <w:t>1</w:t>
            </w:r>
            <w:r>
              <w:rPr>
                <w:rFonts w:hint="eastAsia" w:ascii="宋体" w:hAnsi="宋体" w:eastAsia="宋体" w:cs="宋体"/>
                <w:bCs/>
                <w:color w:val="auto"/>
                <w:kern w:val="2"/>
                <w:highlight w:val="none"/>
              </w:rPr>
              <w:t>.1</w:t>
            </w:r>
          </w:p>
        </w:tc>
        <w:tc>
          <w:tcPr>
            <w:tcW w:w="2184" w:type="dxa"/>
            <w:vAlign w:val="center"/>
          </w:tcPr>
          <w:p w14:paraId="0F092B85">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投标有效期</w:t>
            </w:r>
          </w:p>
        </w:tc>
        <w:tc>
          <w:tcPr>
            <w:tcW w:w="6149" w:type="dxa"/>
            <w:vAlign w:val="center"/>
          </w:tcPr>
          <w:p w14:paraId="183BE164">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u w:val="single"/>
                <w:lang w:val="en-US" w:eastAsia="zh-CN"/>
              </w:rPr>
              <w:t>90</w:t>
            </w:r>
            <w:r>
              <w:rPr>
                <w:rFonts w:hint="eastAsia" w:ascii="宋体" w:hAnsi="宋体" w:eastAsia="宋体" w:cs="宋体"/>
                <w:b w:val="0"/>
                <w:color w:val="auto"/>
                <w:sz w:val="24"/>
                <w:highlight w:val="none"/>
              </w:rPr>
              <w:t>日历日</w:t>
            </w:r>
          </w:p>
        </w:tc>
      </w:tr>
      <w:tr w14:paraId="4AD50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40490281">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lang w:eastAsia="zh-CN"/>
              </w:rPr>
            </w:pPr>
            <w:r>
              <w:rPr>
                <w:rFonts w:hint="eastAsia" w:ascii="宋体" w:hAnsi="宋体" w:eastAsia="宋体" w:cs="宋体"/>
                <w:bCs/>
                <w:color w:val="auto"/>
                <w:kern w:val="2"/>
                <w:highlight w:val="none"/>
              </w:rPr>
              <w:t>1</w:t>
            </w:r>
            <w:r>
              <w:rPr>
                <w:rFonts w:hint="eastAsia" w:ascii="宋体" w:hAnsi="宋体" w:eastAsia="宋体" w:cs="宋体"/>
                <w:bCs/>
                <w:color w:val="auto"/>
                <w:kern w:val="2"/>
                <w:highlight w:val="none"/>
                <w:lang w:val="en-US" w:eastAsia="zh-CN"/>
              </w:rPr>
              <w:t>3</w:t>
            </w:r>
            <w:r>
              <w:rPr>
                <w:rFonts w:hint="eastAsia" w:ascii="宋体" w:hAnsi="宋体" w:eastAsia="宋体" w:cs="宋体"/>
                <w:bCs/>
                <w:color w:val="auto"/>
                <w:kern w:val="2"/>
                <w:highlight w:val="none"/>
              </w:rPr>
              <w:t>.</w:t>
            </w:r>
            <w:r>
              <w:rPr>
                <w:rFonts w:hint="eastAsia" w:ascii="宋体" w:hAnsi="宋体" w:eastAsia="宋体" w:cs="宋体"/>
                <w:bCs/>
                <w:color w:val="auto"/>
                <w:kern w:val="2"/>
                <w:highlight w:val="none"/>
                <w:lang w:val="en-US" w:eastAsia="zh-CN"/>
              </w:rPr>
              <w:t>1</w:t>
            </w:r>
          </w:p>
        </w:tc>
        <w:tc>
          <w:tcPr>
            <w:tcW w:w="2184" w:type="dxa"/>
            <w:vAlign w:val="center"/>
          </w:tcPr>
          <w:p w14:paraId="1948DDD3">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投标文件解密时间</w:t>
            </w:r>
          </w:p>
        </w:tc>
        <w:tc>
          <w:tcPr>
            <w:tcW w:w="6149" w:type="dxa"/>
            <w:vAlign w:val="center"/>
          </w:tcPr>
          <w:p w14:paraId="6DAF5AE8">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Cs/>
                <w:color w:val="auto"/>
                <w:kern w:val="0"/>
                <w:sz w:val="24"/>
                <w:szCs w:val="28"/>
                <w:highlight w:val="none"/>
                <w:lang w:val="en-US" w:eastAsia="zh-CN"/>
              </w:rPr>
            </w:pPr>
            <w:r>
              <w:rPr>
                <w:rFonts w:hint="eastAsia" w:ascii="宋体" w:hAnsi="宋体" w:eastAsia="宋体" w:cs="宋体"/>
                <w:b w:val="0"/>
                <w:color w:val="auto"/>
                <w:sz w:val="24"/>
                <w:highlight w:val="none"/>
                <w:u w:val="none"/>
              </w:rPr>
              <w:t>投标截止时间后</w:t>
            </w:r>
            <w:r>
              <w:rPr>
                <w:rFonts w:hint="eastAsia" w:ascii="宋体" w:hAnsi="宋体" w:eastAsia="宋体" w:cs="宋体"/>
                <w:b w:val="0"/>
                <w:color w:val="auto"/>
                <w:sz w:val="24"/>
                <w:highlight w:val="none"/>
                <w:u w:val="single"/>
                <w:lang w:val="en-US" w:eastAsia="zh-CN"/>
              </w:rPr>
              <w:t>60</w:t>
            </w:r>
            <w:r>
              <w:rPr>
                <w:rFonts w:hint="eastAsia" w:ascii="宋体" w:hAnsi="宋体" w:eastAsia="宋体" w:cs="宋体"/>
                <w:b w:val="0"/>
                <w:color w:val="auto"/>
                <w:sz w:val="24"/>
                <w:highlight w:val="none"/>
                <w:u w:val="none"/>
              </w:rPr>
              <w:t>分钟内（以本项目网上招投标系统解密倒计时为准）。</w:t>
            </w:r>
          </w:p>
        </w:tc>
      </w:tr>
      <w:tr w14:paraId="2F1E4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1C77CDAC">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r>
              <w:rPr>
                <w:rFonts w:hint="eastAsia" w:ascii="宋体" w:hAnsi="宋体" w:eastAsia="宋体" w:cs="宋体"/>
                <w:bCs/>
                <w:color w:val="auto"/>
                <w:kern w:val="2"/>
                <w:highlight w:val="none"/>
                <w:lang w:val="en-US" w:eastAsia="zh-CN"/>
              </w:rPr>
              <w:t>4</w:t>
            </w:r>
            <w:r>
              <w:rPr>
                <w:rFonts w:hint="eastAsia" w:ascii="宋体" w:hAnsi="宋体" w:eastAsia="宋体" w:cs="宋体"/>
                <w:bCs/>
                <w:color w:val="auto"/>
                <w:kern w:val="2"/>
                <w:highlight w:val="none"/>
              </w:rPr>
              <w:t>.1</w:t>
            </w:r>
          </w:p>
        </w:tc>
        <w:tc>
          <w:tcPr>
            <w:tcW w:w="2184" w:type="dxa"/>
            <w:vAlign w:val="center"/>
          </w:tcPr>
          <w:p w14:paraId="054D5C00">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资格审查</w:t>
            </w:r>
          </w:p>
        </w:tc>
        <w:tc>
          <w:tcPr>
            <w:tcW w:w="6149" w:type="dxa"/>
            <w:vAlign w:val="center"/>
          </w:tcPr>
          <w:p w14:paraId="2169DAAE">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highlight w:val="none"/>
              </w:rPr>
              <w:t>采购人审查</w:t>
            </w:r>
          </w:p>
          <w:p w14:paraId="3171364D">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u w:val="singl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highlight w:val="none"/>
              </w:rPr>
              <w:t>采购人出具委托函委托采购代理机构进行审查</w:t>
            </w:r>
          </w:p>
        </w:tc>
      </w:tr>
      <w:tr w14:paraId="2DA74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343163C8">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17</w:t>
            </w:r>
            <w:r>
              <w:rPr>
                <w:rFonts w:hint="eastAsia" w:ascii="宋体" w:hAnsi="宋体" w:eastAsia="宋体" w:cs="宋体"/>
                <w:bCs/>
                <w:color w:val="auto"/>
                <w:kern w:val="2"/>
                <w:highlight w:val="none"/>
              </w:rPr>
              <w:t>.2</w:t>
            </w:r>
          </w:p>
        </w:tc>
        <w:tc>
          <w:tcPr>
            <w:tcW w:w="2184" w:type="dxa"/>
            <w:vAlign w:val="center"/>
          </w:tcPr>
          <w:p w14:paraId="3D113011">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评标方法</w:t>
            </w:r>
          </w:p>
        </w:tc>
        <w:tc>
          <w:tcPr>
            <w:tcW w:w="6149" w:type="dxa"/>
            <w:vAlign w:val="center"/>
          </w:tcPr>
          <w:p w14:paraId="6E9B16E1">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u w:val="single"/>
              </w:rPr>
            </w:pPr>
            <w:r>
              <w:rPr>
                <w:rFonts w:hint="eastAsia" w:ascii="宋体" w:hAnsi="宋体" w:eastAsia="宋体" w:cs="宋体"/>
                <w:b w:val="0"/>
                <w:bCs w:val="0"/>
                <w:color w:val="auto"/>
                <w:sz w:val="24"/>
                <w:szCs w:val="24"/>
                <w:highlight w:val="none"/>
              </w:rPr>
              <w:t>□</w:t>
            </w:r>
            <w:r>
              <w:rPr>
                <w:rFonts w:hint="eastAsia" w:ascii="宋体" w:hAnsi="宋体" w:eastAsia="宋体" w:cs="宋体"/>
                <w:b w:val="0"/>
                <w:color w:val="auto"/>
                <w:sz w:val="24"/>
                <w:highlight w:val="none"/>
                <w:u w:val="none"/>
              </w:rPr>
              <w:t>最低评标价法</w:t>
            </w:r>
          </w:p>
          <w:p w14:paraId="7AAE9B13">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color w:val="auto"/>
                <w:sz w:val="24"/>
                <w:highlight w:val="none"/>
                <w:u w:val="none"/>
              </w:rPr>
              <w:t>综合评分法</w:t>
            </w:r>
          </w:p>
        </w:tc>
      </w:tr>
      <w:tr w14:paraId="4862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65FDDADA">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17</w:t>
            </w:r>
            <w:r>
              <w:rPr>
                <w:rFonts w:hint="eastAsia" w:ascii="宋体" w:hAnsi="宋体" w:eastAsia="宋体" w:cs="宋体"/>
                <w:bCs/>
                <w:color w:val="auto"/>
                <w:kern w:val="2"/>
                <w:highlight w:val="none"/>
              </w:rPr>
              <w:t>.3</w:t>
            </w:r>
          </w:p>
        </w:tc>
        <w:tc>
          <w:tcPr>
            <w:tcW w:w="2184" w:type="dxa"/>
            <w:vAlign w:val="center"/>
          </w:tcPr>
          <w:p w14:paraId="251669D7">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i/>
                <w:color w:val="auto"/>
                <w:sz w:val="24"/>
                <w:highlight w:val="none"/>
              </w:rPr>
            </w:pPr>
            <w:r>
              <w:rPr>
                <w:rFonts w:hint="eastAsia" w:ascii="宋体" w:hAnsi="宋体" w:eastAsia="宋体" w:cs="宋体"/>
                <w:b w:val="0"/>
                <w:color w:val="auto"/>
                <w:sz w:val="24"/>
                <w:highlight w:val="none"/>
              </w:rPr>
              <w:t>报价扣除（非专门面向中小企业采购项目适用）</w:t>
            </w:r>
          </w:p>
        </w:tc>
        <w:tc>
          <w:tcPr>
            <w:tcW w:w="6149" w:type="dxa"/>
            <w:vAlign w:val="center"/>
          </w:tcPr>
          <w:p w14:paraId="558688A5">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（1）小型和微型企业价格扣除：</w:t>
            </w:r>
            <w:r>
              <w:rPr>
                <w:rFonts w:hint="eastAsia" w:ascii="宋体" w:hAnsi="宋体" w:eastAsia="宋体" w:cs="宋体"/>
                <w:bCs/>
                <w:color w:val="auto"/>
                <w:sz w:val="24"/>
                <w:highlight w:val="none"/>
                <w:u w:val="single"/>
                <w:lang w:val="en-US" w:eastAsia="zh-CN"/>
              </w:rPr>
              <w:t>/</w:t>
            </w:r>
            <w:r>
              <w:rPr>
                <w:rFonts w:hint="eastAsia" w:ascii="宋体" w:hAnsi="宋体" w:eastAsia="宋体" w:cs="宋体"/>
                <w:b w:val="0"/>
                <w:color w:val="auto"/>
                <w:sz w:val="24"/>
                <w:highlight w:val="none"/>
              </w:rPr>
              <w:t>。</w:t>
            </w:r>
          </w:p>
          <w:p w14:paraId="01C66E76">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（2）监狱企业价格扣除：</w:t>
            </w:r>
            <w:r>
              <w:rPr>
                <w:rFonts w:hint="eastAsia" w:ascii="宋体" w:hAnsi="宋体" w:eastAsia="宋体" w:cs="宋体"/>
                <w:b w:val="0"/>
                <w:color w:val="auto"/>
                <w:sz w:val="24"/>
                <w:highlight w:val="none"/>
                <w:u w:val="none"/>
              </w:rPr>
              <w:t>同小型和微型企业</w:t>
            </w:r>
            <w:r>
              <w:rPr>
                <w:rFonts w:hint="eastAsia" w:ascii="宋体" w:hAnsi="宋体" w:eastAsia="宋体" w:cs="宋体"/>
                <w:b w:val="0"/>
                <w:color w:val="auto"/>
                <w:sz w:val="24"/>
                <w:highlight w:val="none"/>
              </w:rPr>
              <w:t>。</w:t>
            </w:r>
          </w:p>
          <w:p w14:paraId="4A784398">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（3）残疾人福利性单位价格扣除：</w:t>
            </w:r>
            <w:r>
              <w:rPr>
                <w:rFonts w:hint="eastAsia" w:ascii="宋体" w:hAnsi="宋体" w:eastAsia="宋体" w:cs="宋体"/>
                <w:b w:val="0"/>
                <w:color w:val="auto"/>
                <w:sz w:val="24"/>
                <w:highlight w:val="none"/>
                <w:u w:val="none"/>
              </w:rPr>
              <w:t>同小型和微型企业</w:t>
            </w:r>
            <w:r>
              <w:rPr>
                <w:rFonts w:hint="eastAsia" w:ascii="宋体" w:hAnsi="宋体" w:eastAsia="宋体" w:cs="宋体"/>
                <w:b w:val="0"/>
                <w:color w:val="auto"/>
                <w:sz w:val="24"/>
                <w:highlight w:val="none"/>
              </w:rPr>
              <w:t>。</w:t>
            </w:r>
          </w:p>
          <w:p w14:paraId="42437FD3">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（4）符合条件的联合体价格扣除：</w:t>
            </w:r>
            <w:r>
              <w:rPr>
                <w:rFonts w:hint="eastAsia" w:ascii="宋体" w:hAnsi="宋体" w:eastAsia="宋体" w:cs="宋体"/>
                <w:bCs/>
                <w:color w:val="auto"/>
                <w:sz w:val="24"/>
                <w:highlight w:val="none"/>
                <w:u w:val="single"/>
                <w:lang w:val="en-US" w:eastAsia="zh-CN"/>
              </w:rPr>
              <w:t>/</w:t>
            </w:r>
            <w:r>
              <w:rPr>
                <w:rFonts w:hint="eastAsia" w:ascii="宋体" w:hAnsi="宋体" w:eastAsia="宋体" w:cs="宋体"/>
                <w:b w:val="0"/>
                <w:color w:val="auto"/>
                <w:sz w:val="24"/>
                <w:highlight w:val="none"/>
              </w:rPr>
              <w:t>。</w:t>
            </w:r>
          </w:p>
          <w:p w14:paraId="5922D56D">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（5）符合条件的向小微企业分包的大中型企业价格扣除：</w:t>
            </w:r>
            <w:r>
              <w:rPr>
                <w:rFonts w:hint="eastAsia" w:ascii="宋体" w:hAnsi="宋体" w:eastAsia="宋体" w:cs="宋体"/>
                <w:bCs/>
                <w:color w:val="auto"/>
                <w:sz w:val="24"/>
                <w:highlight w:val="none"/>
                <w:u w:val="single"/>
                <w:lang w:val="en-US" w:eastAsia="zh-CN"/>
              </w:rPr>
              <w:t>/</w:t>
            </w:r>
            <w:r>
              <w:rPr>
                <w:rFonts w:hint="eastAsia" w:ascii="宋体" w:hAnsi="宋体" w:eastAsia="宋体" w:cs="宋体"/>
                <w:b w:val="0"/>
                <w:color w:val="auto"/>
                <w:sz w:val="24"/>
                <w:highlight w:val="none"/>
              </w:rPr>
              <w:t>。</w:t>
            </w:r>
          </w:p>
        </w:tc>
      </w:tr>
      <w:tr w14:paraId="57FC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35DB4ADF">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r>
              <w:rPr>
                <w:rFonts w:hint="eastAsia" w:ascii="宋体" w:hAnsi="宋体" w:eastAsia="宋体" w:cs="宋体"/>
                <w:bCs/>
                <w:color w:val="auto"/>
                <w:kern w:val="2"/>
                <w:highlight w:val="none"/>
                <w:lang w:val="en-US" w:eastAsia="zh-CN"/>
              </w:rPr>
              <w:t>1</w:t>
            </w:r>
            <w:r>
              <w:rPr>
                <w:rFonts w:hint="eastAsia" w:ascii="宋体" w:hAnsi="宋体" w:eastAsia="宋体" w:cs="宋体"/>
                <w:bCs/>
                <w:color w:val="auto"/>
                <w:kern w:val="2"/>
                <w:highlight w:val="none"/>
              </w:rPr>
              <w:t>.1</w:t>
            </w:r>
          </w:p>
        </w:tc>
        <w:tc>
          <w:tcPr>
            <w:tcW w:w="2184" w:type="dxa"/>
            <w:vAlign w:val="center"/>
          </w:tcPr>
          <w:p w14:paraId="5BA6E37F">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评标委员会推荐中标候选人的数量</w:t>
            </w:r>
          </w:p>
        </w:tc>
        <w:tc>
          <w:tcPr>
            <w:tcW w:w="6149" w:type="dxa"/>
            <w:vAlign w:val="center"/>
          </w:tcPr>
          <w:p w14:paraId="38E9771B">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评标委员会推荐3名中标候选人。</w:t>
            </w:r>
          </w:p>
        </w:tc>
      </w:tr>
      <w:tr w14:paraId="1E102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2213B7A5">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r>
              <w:rPr>
                <w:rFonts w:hint="eastAsia" w:ascii="宋体" w:hAnsi="宋体" w:eastAsia="宋体" w:cs="宋体"/>
                <w:bCs/>
                <w:color w:val="auto"/>
                <w:kern w:val="2"/>
                <w:highlight w:val="none"/>
                <w:lang w:val="en-US" w:eastAsia="zh-CN"/>
              </w:rPr>
              <w:t>1</w:t>
            </w:r>
            <w:r>
              <w:rPr>
                <w:rFonts w:hint="eastAsia" w:ascii="宋体" w:hAnsi="宋体" w:eastAsia="宋体" w:cs="宋体"/>
                <w:bCs/>
                <w:color w:val="auto"/>
                <w:kern w:val="2"/>
                <w:highlight w:val="none"/>
              </w:rPr>
              <w:t>.2</w:t>
            </w:r>
          </w:p>
        </w:tc>
        <w:tc>
          <w:tcPr>
            <w:tcW w:w="2184" w:type="dxa"/>
            <w:vAlign w:val="center"/>
          </w:tcPr>
          <w:p w14:paraId="14BF06CF">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确定中标人</w:t>
            </w:r>
          </w:p>
        </w:tc>
        <w:tc>
          <w:tcPr>
            <w:tcW w:w="6149" w:type="dxa"/>
            <w:vAlign w:val="center"/>
          </w:tcPr>
          <w:p w14:paraId="1150AEB5">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kern w:val="0"/>
                <w:sz w:val="24"/>
                <w:szCs w:val="24"/>
                <w:highlight w:val="none"/>
              </w:rPr>
              <w:t>采购人委托评标委员会确定</w:t>
            </w:r>
          </w:p>
          <w:p w14:paraId="3078F479">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bCs w:val="0"/>
                <w:color w:val="auto"/>
                <w:kern w:val="2"/>
                <w:sz w:val="24"/>
                <w:szCs w:val="24"/>
                <w:highlight w:val="none"/>
                <w:lang w:eastAsia="zh-CN"/>
              </w:rPr>
              <w:t>☑</w:t>
            </w:r>
            <w:r>
              <w:rPr>
                <w:rFonts w:hint="eastAsia" w:ascii="宋体" w:hAnsi="宋体" w:eastAsia="宋体" w:cs="宋体"/>
                <w:b w:val="0"/>
                <w:bCs w:val="0"/>
                <w:color w:val="auto"/>
                <w:kern w:val="2"/>
                <w:sz w:val="24"/>
                <w:szCs w:val="24"/>
                <w:highlight w:val="none"/>
              </w:rPr>
              <w:t>采购人确定</w:t>
            </w:r>
          </w:p>
        </w:tc>
      </w:tr>
      <w:tr w14:paraId="598C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1645E593">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r>
              <w:rPr>
                <w:rFonts w:hint="eastAsia" w:ascii="宋体" w:hAnsi="宋体" w:eastAsia="宋体" w:cs="宋体"/>
                <w:bCs/>
                <w:color w:val="auto"/>
                <w:kern w:val="2"/>
                <w:highlight w:val="none"/>
                <w:lang w:val="en-US" w:eastAsia="zh-CN"/>
              </w:rPr>
              <w:t>3</w:t>
            </w:r>
            <w:r>
              <w:rPr>
                <w:rFonts w:hint="eastAsia" w:ascii="宋体" w:hAnsi="宋体" w:eastAsia="宋体" w:cs="宋体"/>
                <w:bCs/>
                <w:color w:val="auto"/>
                <w:kern w:val="2"/>
                <w:highlight w:val="none"/>
              </w:rPr>
              <w:t>.3</w:t>
            </w:r>
          </w:p>
        </w:tc>
        <w:tc>
          <w:tcPr>
            <w:tcW w:w="2184" w:type="dxa"/>
            <w:vAlign w:val="center"/>
          </w:tcPr>
          <w:p w14:paraId="0BC0C84B">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随中标结果公告同时</w:t>
            </w:r>
            <w:r>
              <w:rPr>
                <w:rFonts w:hint="eastAsia" w:ascii="宋体" w:hAnsi="宋体" w:eastAsia="宋体" w:cs="宋体"/>
                <w:b w:val="0"/>
                <w:color w:val="auto"/>
                <w:sz w:val="24"/>
                <w:highlight w:val="none"/>
                <w:lang w:val="en-US" w:eastAsia="zh-CN"/>
              </w:rPr>
              <w:t>公告</w:t>
            </w:r>
            <w:r>
              <w:rPr>
                <w:rFonts w:hint="eastAsia" w:ascii="宋体" w:hAnsi="宋体" w:eastAsia="宋体" w:cs="宋体"/>
                <w:b w:val="0"/>
                <w:color w:val="auto"/>
                <w:sz w:val="24"/>
                <w:highlight w:val="none"/>
              </w:rPr>
              <w:t>的内容</w:t>
            </w:r>
          </w:p>
        </w:tc>
        <w:tc>
          <w:tcPr>
            <w:tcW w:w="6149" w:type="dxa"/>
            <w:vAlign w:val="center"/>
          </w:tcPr>
          <w:p w14:paraId="365C31B0">
            <w:pPr>
              <w:pStyle w:val="45"/>
              <w:keepNext w:val="0"/>
              <w:keepLines w:val="0"/>
              <w:pageBreakBefore w:val="0"/>
              <w:widowControl w:val="0"/>
              <w:numPr>
                <w:ilvl w:val="0"/>
                <w:numId w:val="1"/>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u w:val="none"/>
              </w:rPr>
            </w:pPr>
            <w:r>
              <w:rPr>
                <w:rFonts w:hint="eastAsia" w:ascii="宋体" w:hAnsi="宋体" w:eastAsia="宋体" w:cs="宋体"/>
                <w:b w:val="0"/>
                <w:color w:val="auto"/>
                <w:sz w:val="24"/>
                <w:highlight w:val="none"/>
                <w:u w:val="none"/>
              </w:rPr>
              <w:t>中小企业声明函；</w:t>
            </w:r>
          </w:p>
          <w:p w14:paraId="38159028">
            <w:pPr>
              <w:pStyle w:val="45"/>
              <w:keepNext w:val="0"/>
              <w:keepLines w:val="0"/>
              <w:pageBreakBefore w:val="0"/>
              <w:widowControl w:val="0"/>
              <w:numPr>
                <w:ilvl w:val="0"/>
                <w:numId w:val="0"/>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i/>
                <w:color w:val="auto"/>
                <w:sz w:val="24"/>
                <w:highlight w:val="none"/>
                <w:u w:val="none"/>
              </w:rPr>
            </w:pPr>
            <w:r>
              <w:rPr>
                <w:rFonts w:hint="eastAsia" w:ascii="宋体" w:hAnsi="宋体" w:eastAsia="宋体" w:cs="宋体"/>
                <w:b w:val="0"/>
                <w:color w:val="auto"/>
                <w:sz w:val="24"/>
                <w:highlight w:val="none"/>
                <w:u w:val="none"/>
              </w:rPr>
              <w:t>（</w:t>
            </w:r>
            <w:r>
              <w:rPr>
                <w:rFonts w:hint="eastAsia" w:ascii="宋体" w:hAnsi="宋体" w:eastAsia="宋体" w:cs="宋体"/>
                <w:b w:val="0"/>
                <w:color w:val="auto"/>
                <w:sz w:val="24"/>
                <w:highlight w:val="none"/>
                <w:u w:val="none"/>
                <w:lang w:val="en-US" w:eastAsia="zh-CN"/>
              </w:rPr>
              <w:t>2</w:t>
            </w:r>
            <w:r>
              <w:rPr>
                <w:rFonts w:hint="eastAsia" w:ascii="宋体" w:hAnsi="宋体" w:eastAsia="宋体" w:cs="宋体"/>
                <w:b w:val="0"/>
                <w:color w:val="auto"/>
                <w:sz w:val="24"/>
                <w:highlight w:val="none"/>
                <w:u w:val="none"/>
              </w:rPr>
              <w:t>）残疾人福利性单位声明函；</w:t>
            </w:r>
            <w:r>
              <w:rPr>
                <w:rFonts w:hint="eastAsia" w:ascii="宋体" w:hAnsi="宋体" w:eastAsia="宋体" w:cs="宋体"/>
                <w:b w:val="0"/>
                <w:i/>
                <w:iCs/>
                <w:color w:val="auto"/>
                <w:sz w:val="24"/>
                <w:highlight w:val="none"/>
                <w:u w:val="none"/>
              </w:rPr>
              <w:t>（如有）</w:t>
            </w:r>
          </w:p>
          <w:p w14:paraId="5A1497F3">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color w:val="auto"/>
                <w:sz w:val="24"/>
                <w:highlight w:val="none"/>
                <w:u w:val="none"/>
                <w:lang w:eastAsia="zh-CN"/>
              </w:rPr>
              <w:t>（</w:t>
            </w:r>
            <w:r>
              <w:rPr>
                <w:rFonts w:hint="eastAsia" w:ascii="宋体" w:hAnsi="宋体" w:eastAsia="宋体" w:cs="宋体"/>
                <w:b w:val="0"/>
                <w:color w:val="auto"/>
                <w:sz w:val="24"/>
                <w:highlight w:val="none"/>
                <w:u w:val="none"/>
                <w:lang w:val="en-US" w:eastAsia="zh-CN"/>
              </w:rPr>
              <w:t>3</w:t>
            </w:r>
            <w:r>
              <w:rPr>
                <w:rFonts w:hint="eastAsia" w:ascii="宋体" w:hAnsi="宋体" w:eastAsia="宋体" w:cs="宋体"/>
                <w:b w:val="0"/>
                <w:color w:val="auto"/>
                <w:sz w:val="24"/>
                <w:highlight w:val="none"/>
                <w:u w:val="none"/>
                <w:lang w:eastAsia="zh-CN"/>
              </w:rPr>
              <w:t>）</w:t>
            </w:r>
            <w:r>
              <w:rPr>
                <w:rFonts w:hint="eastAsia" w:ascii="宋体" w:hAnsi="宋体" w:eastAsia="宋体" w:cs="宋体"/>
                <w:b w:val="0"/>
                <w:color w:val="auto"/>
                <w:sz w:val="24"/>
                <w:highlight w:val="none"/>
                <w:u w:val="none"/>
              </w:rPr>
              <w:t>中标</w:t>
            </w:r>
            <w:r>
              <w:rPr>
                <w:rFonts w:hint="eastAsia" w:ascii="宋体" w:hAnsi="宋体" w:eastAsia="宋体" w:cs="宋体"/>
                <w:b w:val="0"/>
                <w:color w:val="auto"/>
                <w:sz w:val="24"/>
                <w:highlight w:val="none"/>
                <w:u w:val="none"/>
                <w:lang w:eastAsia="zh-CN"/>
              </w:rPr>
              <w:t>（</w:t>
            </w:r>
            <w:r>
              <w:rPr>
                <w:rFonts w:hint="eastAsia" w:ascii="宋体" w:hAnsi="宋体" w:eastAsia="宋体" w:cs="宋体"/>
                <w:b w:val="0"/>
                <w:color w:val="auto"/>
                <w:sz w:val="24"/>
                <w:highlight w:val="none"/>
                <w:u w:val="none"/>
              </w:rPr>
              <w:t>成交</w:t>
            </w:r>
            <w:r>
              <w:rPr>
                <w:rFonts w:hint="eastAsia" w:ascii="宋体" w:hAnsi="宋体" w:eastAsia="宋体" w:cs="宋体"/>
                <w:b w:val="0"/>
                <w:color w:val="auto"/>
                <w:sz w:val="24"/>
                <w:highlight w:val="none"/>
                <w:u w:val="none"/>
                <w:lang w:eastAsia="zh-CN"/>
              </w:rPr>
              <w:t>）</w:t>
            </w:r>
            <w:r>
              <w:rPr>
                <w:rFonts w:hint="eastAsia" w:ascii="宋体" w:hAnsi="宋体" w:eastAsia="宋体" w:cs="宋体"/>
                <w:b w:val="0"/>
                <w:color w:val="auto"/>
                <w:sz w:val="24"/>
                <w:highlight w:val="none"/>
                <w:u w:val="none"/>
              </w:rPr>
              <w:t>供应商的评审总得分</w:t>
            </w:r>
            <w:r>
              <w:rPr>
                <w:rFonts w:hint="eastAsia" w:ascii="宋体" w:hAnsi="宋体" w:eastAsia="宋体" w:cs="宋体"/>
                <w:b w:val="0"/>
                <w:color w:val="auto"/>
                <w:sz w:val="24"/>
                <w:highlight w:val="none"/>
                <w:u w:val="none"/>
                <w:lang w:eastAsia="zh-CN"/>
              </w:rPr>
              <w:t>。</w:t>
            </w:r>
          </w:p>
        </w:tc>
      </w:tr>
      <w:tr w14:paraId="016C0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332BB764">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r>
              <w:rPr>
                <w:rFonts w:hint="eastAsia" w:ascii="宋体" w:hAnsi="宋体" w:eastAsia="宋体" w:cs="宋体"/>
                <w:bCs/>
                <w:color w:val="auto"/>
                <w:kern w:val="2"/>
                <w:highlight w:val="none"/>
                <w:lang w:val="en-US" w:eastAsia="zh-CN"/>
              </w:rPr>
              <w:t>4</w:t>
            </w:r>
            <w:r>
              <w:rPr>
                <w:rFonts w:hint="eastAsia" w:ascii="宋体" w:hAnsi="宋体" w:eastAsia="宋体" w:cs="宋体"/>
                <w:bCs/>
                <w:color w:val="auto"/>
                <w:kern w:val="2"/>
                <w:highlight w:val="none"/>
              </w:rPr>
              <w:t>.1</w:t>
            </w:r>
          </w:p>
        </w:tc>
        <w:tc>
          <w:tcPr>
            <w:tcW w:w="2184" w:type="dxa"/>
            <w:vAlign w:val="center"/>
          </w:tcPr>
          <w:p w14:paraId="22659761">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中标通知书发出的形式</w:t>
            </w:r>
          </w:p>
        </w:tc>
        <w:tc>
          <w:tcPr>
            <w:tcW w:w="6149" w:type="dxa"/>
            <w:vAlign w:val="center"/>
          </w:tcPr>
          <w:p w14:paraId="773664A8">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□书面     </w:t>
            </w:r>
            <w:r>
              <w:rPr>
                <w:rFonts w:hint="eastAsia" w:ascii="宋体" w:hAnsi="宋体" w:eastAsia="宋体" w:cs="宋体"/>
                <w:b w:val="0"/>
                <w:bCs w:val="0"/>
                <w:color w:val="auto"/>
                <w:sz w:val="24"/>
                <w:szCs w:val="24"/>
                <w:highlight w:val="none"/>
              </w:rPr>
              <w:sym w:font="Wingdings" w:char="00FE"/>
            </w:r>
            <w:r>
              <w:rPr>
                <w:rFonts w:hint="eastAsia" w:ascii="宋体" w:hAnsi="宋体" w:eastAsia="宋体" w:cs="宋体"/>
                <w:b w:val="0"/>
                <w:bCs w:val="0"/>
                <w:color w:val="auto"/>
                <w:sz w:val="24"/>
                <w:szCs w:val="24"/>
                <w:highlight w:val="none"/>
              </w:rPr>
              <w:t>数据电文</w:t>
            </w:r>
          </w:p>
        </w:tc>
      </w:tr>
      <w:tr w14:paraId="06EAD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29383230">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25</w:t>
            </w:r>
            <w:r>
              <w:rPr>
                <w:rFonts w:hint="eastAsia" w:ascii="宋体" w:hAnsi="宋体" w:eastAsia="宋体" w:cs="宋体"/>
                <w:bCs/>
                <w:color w:val="auto"/>
                <w:kern w:val="2"/>
                <w:highlight w:val="none"/>
              </w:rPr>
              <w:t>.1</w:t>
            </w:r>
          </w:p>
        </w:tc>
        <w:tc>
          <w:tcPr>
            <w:tcW w:w="2184" w:type="dxa"/>
            <w:vAlign w:val="center"/>
          </w:tcPr>
          <w:p w14:paraId="7421EC63">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告知招标结果的形式</w:t>
            </w:r>
          </w:p>
        </w:tc>
        <w:tc>
          <w:tcPr>
            <w:tcW w:w="6149" w:type="dxa"/>
            <w:vAlign w:val="center"/>
          </w:tcPr>
          <w:p w14:paraId="2D0EBB7D">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kern w:val="0"/>
                <w:sz w:val="24"/>
                <w:szCs w:val="24"/>
                <w:highlight w:val="none"/>
              </w:rPr>
              <w:sym w:font="Wingdings" w:char="00FE"/>
            </w:r>
            <w:r>
              <w:rPr>
                <w:rFonts w:hint="eastAsia" w:ascii="宋体" w:hAnsi="宋体" w:eastAsia="宋体" w:cs="宋体"/>
                <w:color w:val="auto"/>
                <w:kern w:val="0"/>
                <w:sz w:val="24"/>
                <w:szCs w:val="24"/>
                <w:highlight w:val="none"/>
              </w:rPr>
              <w:t>投标人自行登录电子</w:t>
            </w:r>
            <w:r>
              <w:rPr>
                <w:rFonts w:hint="eastAsia" w:ascii="宋体" w:hAnsi="宋体" w:eastAsia="宋体" w:cs="宋体"/>
                <w:b w:val="0"/>
                <w:bCs w:val="0"/>
                <w:color w:val="auto"/>
                <w:sz w:val="24"/>
                <w:szCs w:val="24"/>
                <w:highlight w:val="none"/>
                <w:lang w:val="en-US" w:eastAsia="zh-CN"/>
              </w:rPr>
              <w:t>交易</w:t>
            </w:r>
            <w:r>
              <w:rPr>
                <w:rFonts w:hint="eastAsia" w:ascii="宋体" w:hAnsi="宋体" w:eastAsia="宋体" w:cs="宋体"/>
                <w:color w:val="auto"/>
                <w:kern w:val="0"/>
                <w:sz w:val="24"/>
                <w:szCs w:val="24"/>
                <w:highlight w:val="none"/>
              </w:rPr>
              <w:t>系统查看</w:t>
            </w:r>
          </w:p>
          <w:p w14:paraId="4493E468">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rPr>
              <w:t>□评标现场告知</w:t>
            </w:r>
          </w:p>
        </w:tc>
      </w:tr>
      <w:tr w14:paraId="413AE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517A5780">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26</w:t>
            </w:r>
            <w:r>
              <w:rPr>
                <w:rFonts w:hint="eastAsia" w:ascii="宋体" w:hAnsi="宋体" w:eastAsia="宋体" w:cs="宋体"/>
                <w:bCs/>
                <w:color w:val="auto"/>
                <w:kern w:val="2"/>
                <w:highlight w:val="none"/>
              </w:rPr>
              <w:t>.1</w:t>
            </w:r>
          </w:p>
        </w:tc>
        <w:tc>
          <w:tcPr>
            <w:tcW w:w="2184" w:type="dxa"/>
            <w:vAlign w:val="center"/>
          </w:tcPr>
          <w:p w14:paraId="743FB895">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履约保证金</w:t>
            </w:r>
          </w:p>
        </w:tc>
        <w:tc>
          <w:tcPr>
            <w:tcW w:w="6149" w:type="dxa"/>
          </w:tcPr>
          <w:p w14:paraId="56A1078C">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（1）金额：</w:t>
            </w:r>
          </w:p>
          <w:p w14:paraId="25F2893F">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lang w:eastAsia="zh-CN"/>
              </w:rPr>
              <w:t>☑</w:t>
            </w:r>
            <w:r>
              <w:rPr>
                <w:rFonts w:hint="eastAsia" w:ascii="宋体" w:hAnsi="宋体" w:eastAsia="宋体" w:cs="宋体"/>
                <w:bCs/>
                <w:color w:val="auto"/>
                <w:kern w:val="0"/>
                <w:sz w:val="24"/>
                <w:szCs w:val="28"/>
                <w:highlight w:val="none"/>
              </w:rPr>
              <w:t>免收</w:t>
            </w:r>
          </w:p>
          <w:p w14:paraId="7A4CBD28">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□合同价的</w:t>
            </w:r>
            <w:r>
              <w:rPr>
                <w:rFonts w:hint="eastAsia" w:ascii="宋体" w:hAnsi="宋体" w:eastAsia="宋体" w:cs="宋体"/>
                <w:bCs/>
                <w:color w:val="auto"/>
                <w:sz w:val="24"/>
                <w:highlight w:val="none"/>
                <w:u w:val="single"/>
                <w:lang w:val="en-US" w:eastAsia="zh-CN"/>
              </w:rPr>
              <w:t>/</w:t>
            </w:r>
            <w:r>
              <w:rPr>
                <w:rFonts w:hint="eastAsia" w:ascii="宋体" w:hAnsi="宋体" w:eastAsia="宋体" w:cs="宋体"/>
                <w:bCs/>
                <w:color w:val="auto"/>
                <w:kern w:val="0"/>
                <w:sz w:val="24"/>
                <w:szCs w:val="28"/>
                <w:highlight w:val="none"/>
              </w:rPr>
              <w:t>%</w:t>
            </w:r>
          </w:p>
          <w:p w14:paraId="5C49B705">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□定额收取：人民币</w:t>
            </w:r>
            <w:r>
              <w:rPr>
                <w:rFonts w:hint="eastAsia" w:ascii="宋体" w:hAnsi="宋体" w:eastAsia="宋体" w:cs="宋体"/>
                <w:bCs/>
                <w:color w:val="auto"/>
                <w:sz w:val="24"/>
                <w:highlight w:val="none"/>
                <w:u w:val="single"/>
                <w:lang w:val="en-US" w:eastAsia="zh-CN"/>
              </w:rPr>
              <w:t>/</w:t>
            </w:r>
            <w:r>
              <w:rPr>
                <w:rFonts w:hint="eastAsia" w:ascii="宋体" w:hAnsi="宋体" w:eastAsia="宋体" w:cs="宋体"/>
                <w:bCs/>
                <w:color w:val="auto"/>
                <w:kern w:val="0"/>
                <w:sz w:val="24"/>
                <w:szCs w:val="28"/>
                <w:highlight w:val="none"/>
              </w:rPr>
              <w:t>元</w:t>
            </w:r>
          </w:p>
          <w:p w14:paraId="33B0D508">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（2）支付方式：</w:t>
            </w:r>
          </w:p>
          <w:p w14:paraId="12091823">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bCs/>
                <w:color w:val="auto"/>
                <w:kern w:val="0"/>
                <w:sz w:val="24"/>
                <w:szCs w:val="28"/>
                <w:highlight w:val="none"/>
              </w:rPr>
              <w:t xml:space="preserve">转账/电汇 </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bCs/>
                <w:color w:val="auto"/>
                <w:kern w:val="0"/>
                <w:sz w:val="24"/>
                <w:szCs w:val="28"/>
                <w:highlight w:val="none"/>
              </w:rPr>
              <w:t xml:space="preserve">支票 </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bCs/>
                <w:color w:val="auto"/>
                <w:kern w:val="0"/>
                <w:sz w:val="24"/>
                <w:szCs w:val="28"/>
                <w:highlight w:val="none"/>
              </w:rPr>
              <w:t xml:space="preserve">汇票 </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bCs/>
                <w:color w:val="auto"/>
                <w:kern w:val="0"/>
                <w:sz w:val="24"/>
                <w:szCs w:val="28"/>
                <w:highlight w:val="none"/>
              </w:rPr>
              <w:t xml:space="preserve">本票 </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bCs/>
                <w:color w:val="auto"/>
                <w:kern w:val="0"/>
                <w:sz w:val="24"/>
                <w:szCs w:val="28"/>
                <w:highlight w:val="none"/>
              </w:rPr>
              <w:t xml:space="preserve">保险 </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bCs/>
                <w:color w:val="auto"/>
                <w:kern w:val="0"/>
                <w:sz w:val="24"/>
                <w:szCs w:val="28"/>
                <w:highlight w:val="none"/>
              </w:rPr>
              <w:t>保函</w:t>
            </w:r>
          </w:p>
          <w:p w14:paraId="5C499AFC">
            <w:pPr>
              <w:keepNext w:val="0"/>
              <w:keepLines w:val="0"/>
              <w:pageBreakBefore w:val="0"/>
              <w:widowControl w:val="0"/>
              <w:numPr>
                <w:ilvl w:val="0"/>
                <w:numId w:val="0"/>
              </w:numPr>
              <w:kinsoku/>
              <w:wordWrap/>
              <w:overflowPunct/>
              <w:topLinePunct w:val="0"/>
              <w:autoSpaceDE/>
              <w:autoSpaceDN/>
              <w:bidi w:val="0"/>
              <w:spacing w:line="440" w:lineRule="exact"/>
              <w:textAlignment w:val="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lang w:eastAsia="zh-CN"/>
              </w:rPr>
              <w:t>（</w:t>
            </w:r>
            <w:r>
              <w:rPr>
                <w:rFonts w:hint="eastAsia" w:ascii="宋体" w:hAnsi="宋体" w:eastAsia="宋体" w:cs="宋体"/>
                <w:bCs/>
                <w:color w:val="auto"/>
                <w:kern w:val="0"/>
                <w:sz w:val="24"/>
                <w:szCs w:val="28"/>
                <w:highlight w:val="none"/>
                <w:lang w:val="en-US" w:eastAsia="zh-CN"/>
              </w:rPr>
              <w:t>3</w:t>
            </w:r>
            <w:r>
              <w:rPr>
                <w:rFonts w:hint="eastAsia" w:ascii="宋体" w:hAnsi="宋体" w:eastAsia="宋体" w:cs="宋体"/>
                <w:bCs/>
                <w:color w:val="auto"/>
                <w:kern w:val="0"/>
                <w:sz w:val="24"/>
                <w:szCs w:val="28"/>
                <w:highlight w:val="none"/>
                <w:lang w:eastAsia="zh-CN"/>
              </w:rPr>
              <w:t>）</w:t>
            </w:r>
            <w:r>
              <w:rPr>
                <w:rFonts w:hint="eastAsia" w:ascii="宋体" w:hAnsi="宋体" w:eastAsia="宋体" w:cs="宋体"/>
                <w:bCs/>
                <w:color w:val="auto"/>
                <w:kern w:val="0"/>
                <w:sz w:val="24"/>
                <w:szCs w:val="28"/>
                <w:highlight w:val="none"/>
              </w:rPr>
              <w:t>收取单位：</w:t>
            </w:r>
            <w:r>
              <w:rPr>
                <w:rFonts w:hint="eastAsia" w:ascii="宋体" w:hAnsi="宋体" w:eastAsia="宋体" w:cs="宋体"/>
                <w:bCs/>
                <w:color w:val="auto"/>
                <w:sz w:val="24"/>
                <w:highlight w:val="none"/>
                <w:u w:val="single"/>
                <w:lang w:val="en-US" w:eastAsia="zh-CN"/>
              </w:rPr>
              <w:t>/</w:t>
            </w:r>
            <w:r>
              <w:rPr>
                <w:rFonts w:hint="eastAsia" w:ascii="宋体" w:hAnsi="宋体" w:eastAsia="宋体" w:cs="宋体"/>
                <w:bCs/>
                <w:color w:val="auto"/>
                <w:kern w:val="0"/>
                <w:sz w:val="24"/>
                <w:szCs w:val="28"/>
                <w:highlight w:val="none"/>
              </w:rPr>
              <w:t xml:space="preserve">              </w:t>
            </w:r>
          </w:p>
          <w:p w14:paraId="640C744E">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lang w:val="en-US" w:eastAsia="zh-CN"/>
              </w:rPr>
              <w:t>（4）收取账号：</w:t>
            </w:r>
            <w:r>
              <w:rPr>
                <w:rFonts w:hint="eastAsia" w:ascii="宋体" w:hAnsi="宋体" w:eastAsia="宋体" w:cs="宋体"/>
                <w:bCs/>
                <w:color w:val="auto"/>
                <w:sz w:val="24"/>
                <w:highlight w:val="none"/>
                <w:u w:val="single"/>
                <w:lang w:val="en-US" w:eastAsia="zh-CN"/>
              </w:rPr>
              <w:t>/</w:t>
            </w:r>
          </w:p>
          <w:p w14:paraId="203D7732">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4"/>
                <w:highlight w:val="none"/>
              </w:rPr>
            </w:pPr>
            <w:r>
              <w:rPr>
                <w:rFonts w:hint="eastAsia" w:ascii="宋体" w:hAnsi="宋体" w:eastAsia="宋体" w:cs="宋体"/>
                <w:bCs/>
                <w:color w:val="auto"/>
                <w:kern w:val="0"/>
                <w:sz w:val="24"/>
                <w:szCs w:val="28"/>
                <w:highlight w:val="none"/>
              </w:rPr>
              <w:t>（</w:t>
            </w:r>
            <w:r>
              <w:rPr>
                <w:rFonts w:hint="eastAsia" w:ascii="宋体" w:hAnsi="宋体" w:eastAsia="宋体" w:cs="宋体"/>
                <w:bCs/>
                <w:color w:val="auto"/>
                <w:kern w:val="0"/>
                <w:sz w:val="24"/>
                <w:szCs w:val="28"/>
                <w:highlight w:val="none"/>
                <w:lang w:val="en-US" w:eastAsia="zh-CN"/>
              </w:rPr>
              <w:t>5</w:t>
            </w:r>
            <w:r>
              <w:rPr>
                <w:rFonts w:hint="eastAsia" w:ascii="宋体" w:hAnsi="宋体" w:eastAsia="宋体" w:cs="宋体"/>
                <w:bCs/>
                <w:color w:val="auto"/>
                <w:kern w:val="0"/>
                <w:sz w:val="24"/>
                <w:szCs w:val="28"/>
                <w:highlight w:val="none"/>
              </w:rPr>
              <w:t>）</w:t>
            </w:r>
            <w:r>
              <w:rPr>
                <w:rFonts w:hint="eastAsia" w:ascii="宋体" w:hAnsi="宋体" w:eastAsia="宋体" w:cs="宋体"/>
                <w:color w:val="auto"/>
                <w:sz w:val="24"/>
                <w:highlight w:val="none"/>
              </w:rPr>
              <w:t>退还时间：</w:t>
            </w:r>
            <w:r>
              <w:rPr>
                <w:rFonts w:hint="eastAsia" w:ascii="宋体" w:hAnsi="宋体" w:eastAsia="宋体" w:cs="宋体"/>
                <w:bCs/>
                <w:color w:val="auto"/>
                <w:sz w:val="24"/>
                <w:highlight w:val="none"/>
                <w:u w:val="single"/>
                <w:lang w:val="en-US" w:eastAsia="zh-CN"/>
              </w:rPr>
              <w:t>/</w:t>
            </w:r>
          </w:p>
          <w:p w14:paraId="291252DC">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注意事项：</w:t>
            </w:r>
          </w:p>
          <w:p w14:paraId="63E3BAF8">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（1）以上各类机构出具的以担保函、保证保险承担责任的方式均须满足无条件见索即付条件。</w:t>
            </w:r>
          </w:p>
          <w:p w14:paraId="402713A9">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（2）以担保函、保证保险形式缴纳履约保证金的，受益人和收取单位须为采购人。</w:t>
            </w:r>
          </w:p>
        </w:tc>
      </w:tr>
      <w:tr w14:paraId="23F5F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4C8B19F7">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27</w:t>
            </w:r>
            <w:r>
              <w:rPr>
                <w:rFonts w:hint="eastAsia" w:ascii="宋体" w:hAnsi="宋体" w:eastAsia="宋体" w:cs="宋体"/>
                <w:bCs/>
                <w:color w:val="auto"/>
                <w:kern w:val="2"/>
                <w:highlight w:val="none"/>
              </w:rPr>
              <w:t>.1</w:t>
            </w:r>
          </w:p>
        </w:tc>
        <w:tc>
          <w:tcPr>
            <w:tcW w:w="2184" w:type="dxa"/>
            <w:vAlign w:val="center"/>
          </w:tcPr>
          <w:p w14:paraId="63CD63CC">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lang w:val="en-US" w:eastAsia="zh-CN"/>
              </w:rPr>
              <w:t>签订合同和合同公告时间</w:t>
            </w:r>
          </w:p>
        </w:tc>
        <w:tc>
          <w:tcPr>
            <w:tcW w:w="6149" w:type="dxa"/>
          </w:tcPr>
          <w:p w14:paraId="40EE248F">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（1）采购人与中标人应当自发出中标通知书之日起7个工作日内签订合同，采购合同签订之日起2个工作日内完成政府采购合同公开。</w:t>
            </w:r>
          </w:p>
          <w:p w14:paraId="35F4FAE8">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b/>
                <w:bCs/>
                <w:color w:val="auto"/>
                <w:kern w:val="0"/>
                <w:sz w:val="24"/>
                <w:szCs w:val="24"/>
                <w:highlight w:val="none"/>
                <w:lang w:val="en-US"/>
              </w:rPr>
            </w:pPr>
            <w:r>
              <w:rPr>
                <w:rFonts w:hint="eastAsia" w:ascii="宋体" w:hAnsi="宋体" w:eastAsia="宋体" w:cs="宋体"/>
                <w:sz w:val="24"/>
                <w:szCs w:val="24"/>
                <w:highlight w:val="none"/>
              </w:rPr>
              <w:t>（2）采购人与中标人不得擅自变更合同，依照政府采购法确需变更政府采购合同内容的，采购人应当自合同变更之日起2个工作日内在安徽省政府采购网</w:t>
            </w:r>
            <w:r>
              <w:rPr>
                <w:rFonts w:hint="eastAsia" w:ascii="宋体" w:hAnsi="宋体" w:eastAsia="宋体" w:cs="宋体"/>
                <w:b w:val="0"/>
                <w:bCs w:val="0"/>
                <w:color w:val="auto"/>
                <w:sz w:val="24"/>
                <w:szCs w:val="24"/>
                <w:highlight w:val="none"/>
                <w:lang w:val="en-US" w:eastAsia="zh-CN"/>
              </w:rPr>
              <w:t>和滁州市公共资源交易中心网</w:t>
            </w:r>
            <w:r>
              <w:rPr>
                <w:rFonts w:hint="eastAsia" w:ascii="宋体" w:hAnsi="宋体" w:eastAsia="宋体" w:cs="宋体"/>
                <w:sz w:val="24"/>
                <w:szCs w:val="24"/>
                <w:highlight w:val="none"/>
              </w:rPr>
              <w:t>发布政府采购合同变更公告，但涉及国家秘密、商业秘密的信息和其他依法不得公开的信息除外。</w:t>
            </w:r>
          </w:p>
        </w:tc>
      </w:tr>
      <w:tr w14:paraId="05A1F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55044B2F">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28</w:t>
            </w:r>
            <w:r>
              <w:rPr>
                <w:rFonts w:hint="eastAsia" w:ascii="宋体" w:hAnsi="宋体" w:eastAsia="宋体" w:cs="宋体"/>
                <w:bCs/>
                <w:color w:val="auto"/>
                <w:kern w:val="2"/>
                <w:highlight w:val="none"/>
              </w:rPr>
              <w:t>.1</w:t>
            </w:r>
          </w:p>
        </w:tc>
        <w:tc>
          <w:tcPr>
            <w:tcW w:w="2184" w:type="dxa"/>
            <w:vAlign w:val="center"/>
          </w:tcPr>
          <w:p w14:paraId="6C4C497C">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lang w:eastAsia="zh-CN"/>
              </w:rPr>
            </w:pPr>
            <w:r>
              <w:rPr>
                <w:rFonts w:hint="eastAsia" w:ascii="宋体" w:hAnsi="宋体" w:eastAsia="宋体" w:cs="宋体"/>
                <w:b w:val="0"/>
                <w:color w:val="auto"/>
                <w:sz w:val="24"/>
                <w:highlight w:val="none"/>
                <w:lang w:val="en-US" w:eastAsia="zh-CN"/>
              </w:rPr>
              <w:t>代理费用</w:t>
            </w:r>
          </w:p>
        </w:tc>
        <w:tc>
          <w:tcPr>
            <w:tcW w:w="6149" w:type="dxa"/>
            <w:vAlign w:val="center"/>
          </w:tcPr>
          <w:p w14:paraId="6FD56348">
            <w:pPr>
              <w:keepNext w:val="0"/>
              <w:keepLines w:val="0"/>
              <w:pageBreakBefore w:val="0"/>
              <w:widowControl w:val="0"/>
              <w:kinsoku/>
              <w:wordWrap/>
              <w:overflowPunct/>
              <w:topLinePunct w:val="0"/>
              <w:autoSpaceDE/>
              <w:autoSpaceDN/>
              <w:bidi w:val="0"/>
              <w:adjustRightInd/>
              <w:snapToGrid/>
              <w:spacing w:before="39" w:line="440" w:lineRule="exact"/>
              <w:textAlignment w:val="auto"/>
              <w:rPr>
                <w:rFonts w:hint="eastAsia" w:ascii="宋体" w:hAnsi="宋体" w:eastAsia="宋体" w:cs="宋体"/>
                <w:sz w:val="24"/>
                <w:szCs w:val="24"/>
                <w:highlight w:val="none"/>
              </w:rPr>
            </w:pPr>
            <w:r>
              <w:rPr>
                <w:rFonts w:hint="eastAsia" w:ascii="宋体" w:hAnsi="宋体" w:eastAsia="宋体" w:cs="宋体"/>
                <w:bCs/>
                <w:color w:val="auto"/>
                <w:kern w:val="0"/>
                <w:sz w:val="24"/>
                <w:szCs w:val="28"/>
                <w:highlight w:val="none"/>
                <w:lang w:eastAsia="zh-CN"/>
              </w:rPr>
              <w:t>（</w:t>
            </w:r>
            <w:r>
              <w:rPr>
                <w:rFonts w:hint="eastAsia" w:ascii="宋体" w:hAnsi="宋体" w:eastAsia="宋体" w:cs="宋体"/>
                <w:bCs/>
                <w:color w:val="auto"/>
                <w:kern w:val="0"/>
                <w:sz w:val="24"/>
                <w:szCs w:val="28"/>
                <w:highlight w:val="none"/>
                <w:lang w:val="en-US" w:eastAsia="zh-CN"/>
              </w:rPr>
              <w:t>1</w:t>
            </w:r>
            <w:r>
              <w:rPr>
                <w:rFonts w:hint="eastAsia" w:ascii="宋体" w:hAnsi="宋体" w:eastAsia="宋体" w:cs="宋体"/>
                <w:bCs/>
                <w:color w:val="auto"/>
                <w:kern w:val="0"/>
                <w:sz w:val="24"/>
                <w:szCs w:val="28"/>
                <w:highlight w:val="none"/>
                <w:lang w:eastAsia="zh-CN"/>
              </w:rPr>
              <w:t>）</w:t>
            </w:r>
            <w:r>
              <w:rPr>
                <w:rFonts w:hint="eastAsia" w:ascii="宋体" w:hAnsi="宋体" w:eastAsia="宋体" w:cs="宋体"/>
                <w:bCs/>
                <w:color w:val="auto"/>
                <w:kern w:val="0"/>
                <w:sz w:val="24"/>
                <w:szCs w:val="28"/>
                <w:highlight w:val="none"/>
              </w:rPr>
              <w:t>收费对象</w:t>
            </w:r>
            <w:r>
              <w:rPr>
                <w:rFonts w:hint="eastAsia" w:ascii="宋体" w:hAnsi="宋体" w:eastAsia="宋体" w:cs="宋体"/>
                <w:spacing w:val="-12"/>
                <w:sz w:val="24"/>
                <w:szCs w:val="24"/>
                <w:highlight w:val="none"/>
              </w:rPr>
              <w:t>：</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spacing w:val="14"/>
                <w:sz w:val="24"/>
                <w:szCs w:val="24"/>
                <w:highlight w:val="none"/>
              </w:rPr>
              <w:t>采购人</w:t>
            </w:r>
            <w:r>
              <w:rPr>
                <w:rFonts w:hint="eastAsia" w:ascii="宋体" w:hAnsi="宋体" w:eastAsia="宋体" w:cs="宋体"/>
                <w:spacing w:val="14"/>
                <w:sz w:val="24"/>
                <w:szCs w:val="24"/>
                <w:highlight w:val="none"/>
                <w:lang w:val="en-US" w:eastAsia="zh-CN"/>
              </w:rPr>
              <w:t xml:space="preserve">   </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spacing w:val="14"/>
                <w:sz w:val="24"/>
                <w:szCs w:val="24"/>
                <w:highlight w:val="none"/>
              </w:rPr>
              <w:t>中标人</w:t>
            </w:r>
          </w:p>
          <w:p w14:paraId="23C8ECDD">
            <w:pPr>
              <w:keepNext w:val="0"/>
              <w:keepLines w:val="0"/>
              <w:pageBreakBefore w:val="0"/>
              <w:widowControl w:val="0"/>
              <w:kinsoku/>
              <w:wordWrap/>
              <w:overflowPunct/>
              <w:topLinePunct w:val="0"/>
              <w:autoSpaceDE/>
              <w:autoSpaceDN/>
              <w:bidi w:val="0"/>
              <w:adjustRightInd/>
              <w:snapToGrid/>
              <w:spacing w:before="24" w:line="440" w:lineRule="exact"/>
              <w:textAlignment w:val="auto"/>
              <w:rPr>
                <w:rFonts w:hint="eastAsia" w:ascii="宋体" w:hAnsi="宋体" w:eastAsia="宋体" w:cs="宋体"/>
                <w:bCs/>
                <w:color w:val="auto"/>
                <w:kern w:val="0"/>
                <w:sz w:val="24"/>
                <w:szCs w:val="28"/>
                <w:highlight w:val="none"/>
                <w:lang w:eastAsia="zh-CN"/>
              </w:rPr>
            </w:pPr>
            <w:r>
              <w:rPr>
                <w:rFonts w:hint="eastAsia" w:ascii="宋体" w:hAnsi="宋体" w:eastAsia="宋体" w:cs="宋体"/>
                <w:bCs/>
                <w:color w:val="auto"/>
                <w:kern w:val="0"/>
                <w:sz w:val="24"/>
                <w:szCs w:val="28"/>
                <w:highlight w:val="none"/>
              </w:rPr>
              <w:t>（2）收取方式</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color="auto"/>
                <w:lang w:val="en-US" w:eastAsia="zh-CN"/>
              </w:rPr>
              <w:t>/</w:t>
            </w:r>
          </w:p>
          <w:p w14:paraId="0D0B79C9">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bCs w:val="0"/>
                <w:color w:val="auto"/>
                <w:kern w:val="0"/>
                <w:sz w:val="24"/>
                <w:szCs w:val="28"/>
                <w:highlight w:val="none"/>
              </w:rPr>
              <w:t>（3）</w:t>
            </w:r>
            <w:r>
              <w:rPr>
                <w:rFonts w:hint="eastAsia" w:ascii="宋体" w:hAnsi="宋体" w:eastAsia="宋体" w:cs="宋体"/>
                <w:b w:val="0"/>
                <w:bCs/>
                <w:color w:val="auto"/>
                <w:kern w:val="0"/>
                <w:sz w:val="24"/>
                <w:szCs w:val="28"/>
                <w:highlight w:val="none"/>
                <w:lang w:val="en-US" w:eastAsia="zh-CN" w:bidi="ar-SA"/>
              </w:rPr>
              <w:t>收费标准：</w:t>
            </w:r>
            <w:r>
              <w:rPr>
                <w:rFonts w:hint="eastAsia" w:ascii="宋体" w:hAnsi="宋体" w:eastAsia="宋体" w:cs="宋体"/>
                <w:b w:val="0"/>
                <w:bCs w:val="0"/>
                <w:kern w:val="2"/>
                <w:sz w:val="24"/>
                <w:szCs w:val="24"/>
                <w:highlight w:val="none"/>
                <w:u w:val="single" w:color="auto"/>
                <w:lang w:val="en-US" w:eastAsia="zh-CN" w:bidi="ar-SA"/>
              </w:rPr>
              <w:t>按照《滁州市公共资源交易代理机构及从业人员管理暂行办法》滁公管〔2022〕5号，以及补充文件滁公管综〔2023〕19号《关于进一步明确代理费计取标准的通知》标准，以最高限价（控制价）计算</w:t>
            </w:r>
          </w:p>
        </w:tc>
      </w:tr>
      <w:tr w14:paraId="6F689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4512A75D">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lang w:eastAsia="zh-CN"/>
              </w:rPr>
            </w:pPr>
            <w:r>
              <w:rPr>
                <w:rFonts w:hint="eastAsia" w:ascii="宋体" w:hAnsi="宋体" w:eastAsia="宋体" w:cs="宋体"/>
                <w:bCs/>
                <w:color w:val="auto"/>
                <w:kern w:val="2"/>
                <w:highlight w:val="none"/>
              </w:rPr>
              <w:t>3</w:t>
            </w:r>
            <w:r>
              <w:rPr>
                <w:rFonts w:hint="eastAsia" w:ascii="宋体" w:hAnsi="宋体" w:eastAsia="宋体" w:cs="宋体"/>
                <w:bCs/>
                <w:color w:val="auto"/>
                <w:kern w:val="2"/>
                <w:highlight w:val="none"/>
                <w:lang w:val="en-US" w:eastAsia="zh-CN"/>
              </w:rPr>
              <w:t>1</w:t>
            </w:r>
            <w:r>
              <w:rPr>
                <w:rFonts w:hint="eastAsia" w:ascii="宋体" w:hAnsi="宋体" w:eastAsia="宋体" w:cs="宋体"/>
                <w:bCs/>
                <w:color w:val="auto"/>
                <w:kern w:val="2"/>
                <w:highlight w:val="none"/>
              </w:rPr>
              <w:t>.</w:t>
            </w:r>
            <w:r>
              <w:rPr>
                <w:rFonts w:hint="eastAsia" w:ascii="宋体" w:hAnsi="宋体" w:eastAsia="宋体" w:cs="宋体"/>
                <w:bCs/>
                <w:color w:val="auto"/>
                <w:kern w:val="2"/>
                <w:highlight w:val="none"/>
                <w:lang w:val="en-US" w:eastAsia="zh-CN"/>
              </w:rPr>
              <w:t>3</w:t>
            </w:r>
          </w:p>
        </w:tc>
        <w:tc>
          <w:tcPr>
            <w:tcW w:w="2184" w:type="dxa"/>
            <w:vAlign w:val="center"/>
          </w:tcPr>
          <w:p w14:paraId="7B360A5D">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质疑函递交方式、接收部门、联系电话和通讯地址</w:t>
            </w:r>
          </w:p>
        </w:tc>
        <w:tc>
          <w:tcPr>
            <w:tcW w:w="6149" w:type="dxa"/>
            <w:vAlign w:val="center"/>
          </w:tcPr>
          <w:p w14:paraId="53519BAD">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sz w:val="24"/>
                <w:highlight w:val="none"/>
              </w:rPr>
            </w:pPr>
            <w:r>
              <w:rPr>
                <w:rFonts w:hint="eastAsia" w:ascii="宋体" w:hAnsi="宋体" w:eastAsia="宋体" w:cs="宋体"/>
                <w:b w:val="0"/>
                <w:color w:val="auto"/>
                <w:sz w:val="24"/>
                <w:highlight w:val="none"/>
              </w:rPr>
              <w:t>递交</w:t>
            </w:r>
            <w:r>
              <w:rPr>
                <w:rFonts w:hint="eastAsia" w:ascii="宋体" w:hAnsi="宋体" w:eastAsia="宋体" w:cs="宋体"/>
                <w:b w:val="0"/>
                <w:bCs/>
                <w:color w:val="auto"/>
                <w:sz w:val="24"/>
                <w:highlight w:val="none"/>
              </w:rPr>
              <w:t>方式：</w:t>
            </w:r>
            <w:r>
              <w:rPr>
                <w:rFonts w:hint="eastAsia" w:ascii="宋体" w:hAnsi="宋体" w:eastAsia="宋体" w:cs="宋体"/>
                <w:b w:val="0"/>
                <w:bCs/>
                <w:color w:val="auto"/>
                <w:kern w:val="0"/>
                <w:sz w:val="24"/>
                <w:szCs w:val="28"/>
                <w:highlight w:val="none"/>
                <w:u w:val="single"/>
              </w:rPr>
              <w:t>供应商可以通过书面形式提出，也可以通过线上提出质疑【通过线上向滁州市公共资源交易中心网电子交易系统提出质疑（具体操作步骤和程序请参见服务指南&gt;交易须知&gt;在线异议、质疑和投诉操作手册）】。一份质疑函只能针对一个项目提出质疑，且针对同一采购程序环节的质疑应当一次性提出</w:t>
            </w:r>
          </w:p>
          <w:p w14:paraId="4A5A1BA2">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sz w:val="24"/>
                <w:szCs w:val="18"/>
                <w:highlight w:val="none"/>
                <w:lang w:val="en-US" w:eastAsia="zh-CN"/>
              </w:rPr>
            </w:pPr>
            <w:r>
              <w:rPr>
                <w:rFonts w:hint="eastAsia" w:ascii="宋体" w:hAnsi="宋体" w:eastAsia="宋体" w:cs="宋体"/>
                <w:b w:val="0"/>
                <w:bCs/>
                <w:color w:val="auto"/>
                <w:sz w:val="24"/>
                <w:highlight w:val="none"/>
              </w:rPr>
              <w:t>接收部门：</w:t>
            </w:r>
            <w:r>
              <w:rPr>
                <w:rFonts w:hint="eastAsia" w:ascii="宋体" w:hAnsi="宋体" w:eastAsia="宋体" w:cs="宋体"/>
                <w:b w:val="0"/>
                <w:bCs/>
                <w:color w:val="auto"/>
                <w:kern w:val="0"/>
                <w:sz w:val="24"/>
                <w:szCs w:val="28"/>
                <w:highlight w:val="none"/>
                <w:u w:val="single"/>
                <w:lang w:val="en-US" w:eastAsia="zh-CN"/>
              </w:rPr>
              <w:t>安徽省滁州市中级人民法院、滁州市政府采购中心</w:t>
            </w:r>
          </w:p>
          <w:p w14:paraId="350B9BEF">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sz w:val="24"/>
                <w:szCs w:val="18"/>
                <w:highlight w:val="none"/>
              </w:rPr>
            </w:pPr>
            <w:r>
              <w:rPr>
                <w:rFonts w:hint="eastAsia" w:ascii="宋体" w:hAnsi="宋体" w:eastAsia="宋体" w:cs="宋体"/>
                <w:b w:val="0"/>
                <w:bCs/>
                <w:color w:val="auto"/>
                <w:sz w:val="24"/>
                <w:highlight w:val="none"/>
              </w:rPr>
              <w:t>联系电话：</w:t>
            </w:r>
            <w:r>
              <w:rPr>
                <w:rFonts w:hint="eastAsia" w:ascii="宋体" w:hAnsi="宋体" w:eastAsia="宋体" w:cs="宋体"/>
                <w:b w:val="0"/>
                <w:bCs/>
                <w:color w:val="auto"/>
                <w:kern w:val="0"/>
                <w:sz w:val="24"/>
                <w:szCs w:val="28"/>
                <w:highlight w:val="none"/>
                <w:u w:val="single"/>
                <w:lang w:val="en-US" w:eastAsia="zh-CN"/>
              </w:rPr>
              <w:t>18019818877、0550-3519519、18005505728</w:t>
            </w:r>
          </w:p>
          <w:p w14:paraId="783AD0D4">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bCs/>
                <w:color w:val="auto"/>
                <w:sz w:val="24"/>
                <w:highlight w:val="none"/>
              </w:rPr>
              <w:t>通讯地址：</w:t>
            </w:r>
            <w:r>
              <w:rPr>
                <w:rFonts w:hint="eastAsia" w:ascii="宋体" w:hAnsi="宋体" w:eastAsia="宋体" w:cs="宋体"/>
                <w:b w:val="0"/>
                <w:bCs w:val="0"/>
                <w:color w:val="auto"/>
                <w:sz w:val="24"/>
                <w:szCs w:val="18"/>
                <w:highlight w:val="none"/>
                <w:u w:val="single"/>
                <w:lang w:val="en-US" w:eastAsia="zh-CN"/>
              </w:rPr>
              <w:t>安徽省滁州市会峰西路97号、滁州市龙蟠大道109号房产商务大厦2楼</w:t>
            </w:r>
          </w:p>
        </w:tc>
      </w:tr>
      <w:tr w14:paraId="2B5F4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153C4BD0">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lang w:val="en-US" w:eastAsia="zh-CN"/>
              </w:rPr>
            </w:pPr>
            <w:r>
              <w:rPr>
                <w:rFonts w:hint="eastAsia" w:ascii="宋体" w:hAnsi="宋体" w:eastAsia="宋体" w:cs="宋体"/>
                <w:bCs/>
                <w:color w:val="auto"/>
                <w:kern w:val="2"/>
                <w:highlight w:val="none"/>
                <w:lang w:val="en-US" w:eastAsia="zh-CN"/>
              </w:rPr>
              <w:t>33</w:t>
            </w:r>
          </w:p>
        </w:tc>
        <w:tc>
          <w:tcPr>
            <w:tcW w:w="2184" w:type="dxa"/>
            <w:vAlign w:val="center"/>
          </w:tcPr>
          <w:p w14:paraId="6E709308">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其他内容</w:t>
            </w:r>
          </w:p>
        </w:tc>
        <w:tc>
          <w:tcPr>
            <w:tcW w:w="6149" w:type="dxa"/>
            <w:vAlign w:val="center"/>
          </w:tcPr>
          <w:p w14:paraId="166DD53A">
            <w:pPr>
              <w:pStyle w:val="45"/>
              <w:keepNext w:val="0"/>
              <w:keepLines w:val="0"/>
              <w:pageBreakBefore w:val="0"/>
              <w:widowControl w:val="0"/>
              <w:numPr>
                <w:ilvl w:val="0"/>
                <w:numId w:val="0"/>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1、解释权：</w:t>
            </w:r>
          </w:p>
          <w:p w14:paraId="69AADD05">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（1）构成本招标文件的各个组成文件应互为解释，互为说明；</w:t>
            </w:r>
          </w:p>
          <w:p w14:paraId="54F416AB">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（2）同一组成文件中就同一事项的规定或约定不一致的，以编排顺序在后者为准；</w:t>
            </w:r>
          </w:p>
          <w:p w14:paraId="73FE3235">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（3）如有不明确或不一致，构成合同文件组成内容的，以合同文件约定内容为准，且以专用合同条款约定的合同文件优先顺序解释；</w:t>
            </w:r>
          </w:p>
          <w:p w14:paraId="031526E8">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（4）除招标文件中有特别规定外，仅适用于招标投标阶段的规定，按招标公告、投标邀请、投标人须知、评标方法和标准、投标文件格式的先后顺序解释；</w:t>
            </w:r>
          </w:p>
          <w:p w14:paraId="2FCEC46B">
            <w:pPr>
              <w:pStyle w:val="45"/>
              <w:keepNext w:val="0"/>
              <w:keepLines w:val="0"/>
              <w:pageBreakBefore w:val="0"/>
              <w:widowControl w:val="0"/>
              <w:numPr>
                <w:ilvl w:val="0"/>
                <w:numId w:val="0"/>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（5）按本款前述规定仍不能形成结论的，由采购人负责解释。</w:t>
            </w:r>
          </w:p>
          <w:p w14:paraId="621BFC4F">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“政采贷”融资指引：有融资需求的</w:t>
            </w:r>
            <w:r>
              <w:rPr>
                <w:rFonts w:hint="eastAsia" w:ascii="宋体" w:hAnsi="宋体" w:eastAsia="宋体" w:cs="宋体"/>
                <w:color w:val="auto"/>
                <w:sz w:val="24"/>
                <w:szCs w:val="24"/>
                <w:highlight w:val="none"/>
              </w:rPr>
              <w:t>中标人</w:t>
            </w:r>
            <w:r>
              <w:rPr>
                <w:rFonts w:hint="eastAsia" w:ascii="宋体" w:hAnsi="宋体" w:eastAsia="宋体" w:cs="宋体"/>
                <w:bCs/>
                <w:color w:val="auto"/>
                <w:sz w:val="24"/>
                <w:szCs w:val="24"/>
                <w:highlight w:val="none"/>
              </w:rPr>
              <w:t>在取得政府采购中标或成交通知书后，可访问安徽省政府采购网“政采贷”栏目，查看和联系第三方平台或者金融机构，商洽融资事项，确定融资意向。中标人签署政府采购中标（成交）合同后，登录“徽采云”金融服务模块，选择意向产品进行申请，并填写相关信息，“徽采云”金融服务模块将中标人融资申请信息推送第三方平台、意向金融机构。</w:t>
            </w:r>
          </w:p>
          <w:p w14:paraId="2B6C6C1A">
            <w:pPr>
              <w:pStyle w:val="45"/>
              <w:keepNext w:val="0"/>
              <w:keepLines w:val="0"/>
              <w:pageBreakBefore w:val="0"/>
              <w:widowControl w:val="0"/>
              <w:numPr>
                <w:ilvl w:val="0"/>
                <w:numId w:val="0"/>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3、电子保函指引：中标人可访问安徽省政府采购网“融资/保函”栏目，申请办理电子保函（包括：履约保函、预付款保函）。</w:t>
            </w:r>
          </w:p>
          <w:p w14:paraId="2253FFAC">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4、</w:t>
            </w:r>
            <w:r>
              <w:rPr>
                <w:rFonts w:hint="eastAsia" w:ascii="宋体" w:hAnsi="宋体" w:eastAsia="宋体" w:cs="宋体"/>
                <w:b w:val="0"/>
                <w:bCs/>
                <w:color w:val="auto"/>
                <w:kern w:val="2"/>
                <w:sz w:val="24"/>
                <w:szCs w:val="24"/>
                <w:highlight w:val="none"/>
                <w:lang w:val="en-US" w:eastAsia="zh-CN" w:bidi="ar"/>
              </w:rPr>
              <w:t>部分可提供线下政采贷的金融机构：</w:t>
            </w:r>
          </w:p>
          <w:p w14:paraId="41932F69">
            <w:pPr>
              <w:pStyle w:val="45"/>
              <w:keepNext w:val="0"/>
              <w:keepLines w:val="0"/>
              <w:pageBreakBefore w:val="0"/>
              <w:widowControl w:val="0"/>
              <w:numPr>
                <w:ilvl w:val="0"/>
                <w:numId w:val="0"/>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市本级</w:t>
            </w:r>
          </w:p>
          <w:p w14:paraId="2D17641B">
            <w:pPr>
              <w:pStyle w:val="45"/>
              <w:keepNext w:val="0"/>
              <w:keepLines w:val="0"/>
              <w:pageBreakBefore w:val="0"/>
              <w:widowControl w:val="0"/>
              <w:numPr>
                <w:ilvl w:val="0"/>
                <w:numId w:val="0"/>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金融机构名称：兴业银行滁州分行</w:t>
            </w:r>
          </w:p>
          <w:p w14:paraId="65F21491">
            <w:pPr>
              <w:pStyle w:val="45"/>
              <w:keepNext w:val="0"/>
              <w:keepLines w:val="0"/>
              <w:pageBreakBefore w:val="0"/>
              <w:widowControl w:val="0"/>
              <w:numPr>
                <w:ilvl w:val="0"/>
                <w:numId w:val="0"/>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安徽省滁州市琅琊区丰乐大道1090号</w:t>
            </w:r>
          </w:p>
          <w:p w14:paraId="79844CA1">
            <w:pPr>
              <w:pStyle w:val="45"/>
              <w:keepNext w:val="0"/>
              <w:keepLines w:val="0"/>
              <w:pageBreakBefore w:val="0"/>
              <w:widowControl w:val="0"/>
              <w:numPr>
                <w:ilvl w:val="0"/>
                <w:numId w:val="0"/>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伏庚：17755080811</w:t>
            </w:r>
          </w:p>
          <w:p w14:paraId="141679CD">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5、系统中提供的表格与招标文件中不一致时，以招标文件中提供的表格格式为准。</w:t>
            </w:r>
          </w:p>
          <w:p w14:paraId="1C48EC81">
            <w:pPr>
              <w:pStyle w:val="45"/>
              <w:keepNext w:val="0"/>
              <w:keepLines w:val="0"/>
              <w:pageBreakBefore w:val="0"/>
              <w:widowControl w:val="0"/>
              <w:numPr>
                <w:ilvl w:val="0"/>
                <w:numId w:val="0"/>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6、特别提示：</w:t>
            </w:r>
          </w:p>
          <w:p w14:paraId="25F6BD3E">
            <w:pPr>
              <w:pStyle w:val="45"/>
              <w:keepNext w:val="0"/>
              <w:keepLines w:val="0"/>
              <w:pageBreakBefore w:val="0"/>
              <w:widowControl w:val="0"/>
              <w:numPr>
                <w:ilvl w:val="0"/>
                <w:numId w:val="0"/>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（1）投标人应填写投标信息并下载招标文件，否则无法上传投标文件。</w:t>
            </w:r>
          </w:p>
          <w:p w14:paraId="45A581AA">
            <w:pPr>
              <w:pStyle w:val="45"/>
              <w:keepNext w:val="0"/>
              <w:keepLines w:val="0"/>
              <w:pageBreakBefore w:val="0"/>
              <w:widowControl w:val="0"/>
              <w:numPr>
                <w:ilvl w:val="0"/>
                <w:numId w:val="0"/>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注：投标人如为联合体的，牵头人必须完善投标人信息，并在上传投标文件环节添加联合体投标信息。</w:t>
            </w:r>
          </w:p>
          <w:p w14:paraId="28A4F412">
            <w:pPr>
              <w:pStyle w:val="45"/>
              <w:keepNext w:val="0"/>
              <w:keepLines w:val="0"/>
              <w:pageBreakBefore w:val="0"/>
              <w:widowControl w:val="0"/>
              <w:numPr>
                <w:ilvl w:val="0"/>
                <w:numId w:val="0"/>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2）本项目采用电子招标投标，请投标人在滁州市公共资源交易中心网&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4009980000。</w:t>
            </w:r>
          </w:p>
          <w:p w14:paraId="7AFAE5E9">
            <w:pPr>
              <w:pStyle w:val="45"/>
              <w:keepNext w:val="0"/>
              <w:keepLines w:val="0"/>
              <w:pageBreakBefore w:val="0"/>
              <w:widowControl w:val="0"/>
              <w:numPr>
                <w:ilvl w:val="0"/>
                <w:numId w:val="0"/>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（3）如果过程中出现招标文件更改，应以最后发布的招标答疑澄清文件中的模板制作本项目最新投标文件。</w:t>
            </w:r>
          </w:p>
          <w:p w14:paraId="2CD91980">
            <w:pPr>
              <w:pStyle w:val="45"/>
              <w:keepNext w:val="0"/>
              <w:keepLines w:val="0"/>
              <w:pageBreakBefore w:val="0"/>
              <w:widowControl w:val="0"/>
              <w:numPr>
                <w:ilvl w:val="0"/>
                <w:numId w:val="0"/>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 xml:space="preserve">（4）投标人应当用本单位CA数字证书制作投标文件，制作成功后进行投标文件上传。 </w:t>
            </w:r>
          </w:p>
          <w:p w14:paraId="735E17DC">
            <w:pPr>
              <w:pStyle w:val="45"/>
              <w:keepNext w:val="0"/>
              <w:keepLines w:val="0"/>
              <w:pageBreakBefore w:val="0"/>
              <w:widowControl w:val="0"/>
              <w:numPr>
                <w:ilvl w:val="0"/>
                <w:numId w:val="0"/>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5）投标人须用CA数字证书盖章和加密投标文件，建议使用主锁。（如未办理CA数字证书请及时办理，网上办理和窗口办理均可。查看办理所需资料请登录滁州市公共资源交易中心网&gt;服务指南&gt;办事指南&gt;CA数字证书和电子签章。因未及时办理CA数字证书手续导致无法投标的，责任自负。</w:t>
            </w:r>
          </w:p>
          <w:p w14:paraId="26CDE167">
            <w:pPr>
              <w:pStyle w:val="45"/>
              <w:keepNext w:val="0"/>
              <w:keepLines w:val="0"/>
              <w:pageBreakBefore w:val="0"/>
              <w:widowControl w:val="0"/>
              <w:numPr>
                <w:ilvl w:val="0"/>
                <w:numId w:val="0"/>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（6）请投标人注意加密投标文件CA数字证书的有效期，不在有效期的CA数字证书无法解密投标文件。</w:t>
            </w:r>
          </w:p>
          <w:p w14:paraId="600ADCEA">
            <w:pPr>
              <w:pStyle w:val="45"/>
              <w:keepNext w:val="0"/>
              <w:keepLines w:val="0"/>
              <w:pageBreakBefore w:val="0"/>
              <w:widowControl w:val="0"/>
              <w:numPr>
                <w:ilvl w:val="0"/>
                <w:numId w:val="0"/>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（7）投标人投标MAC地址或投标人联系人或联系电话相同的，由评标委员会否决其投标，并报告监管部门作不良行为处理和进一步调查。</w:t>
            </w:r>
          </w:p>
          <w:p w14:paraId="74BADCA6">
            <w:pPr>
              <w:pStyle w:val="45"/>
              <w:keepNext w:val="0"/>
              <w:keepLines w:val="0"/>
              <w:pageBreakBefore w:val="0"/>
              <w:widowControl w:val="0"/>
              <w:numPr>
                <w:ilvl w:val="0"/>
                <w:numId w:val="0"/>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（8）投标人单方面出现其他投标人材料的，由评标委员会否决其投标。</w:t>
            </w:r>
          </w:p>
          <w:p w14:paraId="3D14FEBE">
            <w:pPr>
              <w:pStyle w:val="45"/>
              <w:keepNext w:val="0"/>
              <w:keepLines w:val="0"/>
              <w:pageBreakBefore w:val="0"/>
              <w:widowControl w:val="0"/>
              <w:numPr>
                <w:ilvl w:val="0"/>
                <w:numId w:val="0"/>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9）评标时查询投标文件制作机器码、文件创建标识码及造价软件加密锁号。若存在投标文件制作机器码或创建标识码或造价软件加密锁号信息与其他投标人雷同的，由评标委员会否决其投标，依法依规予以处理。</w:t>
            </w:r>
          </w:p>
          <w:p w14:paraId="49F09874">
            <w:pPr>
              <w:pStyle w:val="45"/>
              <w:keepNext w:val="0"/>
              <w:keepLines w:val="0"/>
              <w:pageBreakBefore w:val="0"/>
              <w:widowControl w:val="0"/>
              <w:numPr>
                <w:ilvl w:val="0"/>
                <w:numId w:val="0"/>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10）电子加密投标文件上传到系统后，需要投标企业和招标代理公司到开标截止时间后共同解锁，不存在商务报价等投标信息通过系统泄密的风险；投标截止时间前，已上传的投标文件也可以撤回修改。集中到开标截止时间前上传电子加密投标文件，可能出现由于投标企业制作电子投标文件不熟练、网络拥堵等不可预知的情况而且无法及时解决，丧失投标机会，请各投标企业提前制作、上传电子加密投标文件，否则由于无法及时上传电子加密投标文件而废标或无效投标的情况，责任自负！</w:t>
            </w:r>
          </w:p>
          <w:p w14:paraId="3A13EEE6">
            <w:pPr>
              <w:pStyle w:val="45"/>
              <w:keepNext w:val="0"/>
              <w:keepLines w:val="0"/>
              <w:pageBreakBefore w:val="0"/>
              <w:widowControl w:val="0"/>
              <w:numPr>
                <w:ilvl w:val="0"/>
                <w:numId w:val="0"/>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7、评标过程中的澄清、说明或补正：</w:t>
            </w:r>
          </w:p>
          <w:p w14:paraId="57974D84">
            <w:pPr>
              <w:pStyle w:val="45"/>
              <w:keepNext w:val="0"/>
              <w:keepLines w:val="0"/>
              <w:pageBreakBefore w:val="0"/>
              <w:widowControl w:val="0"/>
              <w:numPr>
                <w:ilvl w:val="0"/>
                <w:numId w:val="0"/>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（1）评标委员会通过网上招投标系统将需要澄清、说明或补正的内容以询标函的形式发送给投标人，投标人应安排专人登录网上招投标系统并保持在线状态，以便及时接收评标委员会可能发出的询标函。</w:t>
            </w:r>
          </w:p>
          <w:p w14:paraId="650AE58A">
            <w:pPr>
              <w:pStyle w:val="45"/>
              <w:keepNext w:val="0"/>
              <w:keepLines w:val="0"/>
              <w:pageBreakBefore w:val="0"/>
              <w:widowControl w:val="0"/>
              <w:numPr>
                <w:ilvl w:val="0"/>
                <w:numId w:val="0"/>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2）因投标人未登录网上招投标系统导致无法及时接收询标函（远程网上询标）或未在规定时间内按评标委员会要求进行澄清、说明或补正内容的视同投标人放弃澄清、说明或补正内容的权利，评标委员会可按对投标人不利的解释进行判定。</w:t>
            </w:r>
          </w:p>
          <w:p w14:paraId="4AFEC2D3">
            <w:pPr>
              <w:pStyle w:val="45"/>
              <w:keepNext w:val="0"/>
              <w:keepLines w:val="0"/>
              <w:pageBreakBefore w:val="0"/>
              <w:widowControl w:val="0"/>
              <w:numPr>
                <w:ilvl w:val="0"/>
                <w:numId w:val="0"/>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8、同义词语：</w:t>
            </w:r>
          </w:p>
          <w:p w14:paraId="40AC2813">
            <w:pPr>
              <w:pStyle w:val="45"/>
              <w:keepNext w:val="0"/>
              <w:keepLines w:val="0"/>
              <w:pageBreakBefore w:val="0"/>
              <w:widowControl w:val="0"/>
              <w:numPr>
                <w:ilvl w:val="0"/>
                <w:numId w:val="0"/>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招标文件第六章  投标文件格式、附件1“关于联合惩戒失信行为 加强信用查询管理的通知”等章节中 “招标人”、“供应商”，等同于“采购人”、“投标人”。</w:t>
            </w:r>
          </w:p>
          <w:p w14:paraId="29689C27">
            <w:pPr>
              <w:pStyle w:val="45"/>
              <w:keepNext w:val="0"/>
              <w:keepLines w:val="0"/>
              <w:pageBreakBefore w:val="0"/>
              <w:widowControl w:val="0"/>
              <w:numPr>
                <w:ilvl w:val="0"/>
                <w:numId w:val="0"/>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9、落实政府采购支持节能产品、环境标志产品政策。</w:t>
            </w:r>
          </w:p>
        </w:tc>
      </w:tr>
    </w:tbl>
    <w:p w14:paraId="18357AFF">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8"/>
          <w:highlight w:val="none"/>
        </w:rPr>
        <w:br w:type="page"/>
      </w:r>
      <w:bookmarkStart w:id="21" w:name="_Toc24882"/>
      <w:bookmarkStart w:id="22" w:name="_Toc9427"/>
      <w:r>
        <w:rPr>
          <w:rFonts w:hint="eastAsia" w:ascii="宋体" w:hAnsi="宋体" w:eastAsia="宋体" w:cs="宋体"/>
          <w:b/>
          <w:color w:val="auto"/>
          <w:sz w:val="24"/>
          <w:highlight w:val="none"/>
        </w:rPr>
        <w:t>二、投标人须知正文</w:t>
      </w:r>
      <w:bookmarkEnd w:id="21"/>
      <w:bookmarkEnd w:id="22"/>
    </w:p>
    <w:p w14:paraId="241F1767">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1.采购人、采购代理机构及投标人</w:t>
      </w:r>
    </w:p>
    <w:p w14:paraId="76252DF7">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.1采购人：是指依法开展政府采购活动的国家机关、事业单位、团体组织。</w:t>
      </w:r>
    </w:p>
    <w:p w14:paraId="23600BAD">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.2采购代理机构：是指集中采购机构或从事采购代理业务的社会中介机构。</w:t>
      </w:r>
    </w:p>
    <w:p w14:paraId="42174762">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.3政府采购监督管理部门：各级人民政府指定的有关部门依法履行与政府采购活动有关的监督管理职责。</w:t>
      </w:r>
    </w:p>
    <w:p w14:paraId="7A4B6CB6">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.4投标人：是指向采购人提供货物、工程或者服务的法人、</w:t>
      </w:r>
      <w:r>
        <w:rPr>
          <w:rFonts w:hint="eastAsia" w:ascii="宋体" w:hAnsi="宋体" w:eastAsia="宋体" w:cs="宋体"/>
          <w:color w:val="auto"/>
          <w:sz w:val="24"/>
          <w:highlight w:val="none"/>
          <w:lang w:val="en-US" w:eastAsia="zh-CN"/>
        </w:rPr>
        <w:t>其他</w:t>
      </w:r>
      <w:r>
        <w:rPr>
          <w:rFonts w:hint="eastAsia" w:ascii="宋体" w:hAnsi="宋体" w:eastAsia="宋体" w:cs="宋体"/>
          <w:color w:val="auto"/>
          <w:sz w:val="24"/>
          <w:highlight w:val="none"/>
        </w:rPr>
        <w:t>组织或者自然人。分支机构不得参加政府采购活动，但银行、保险、石油石化、电力、电信等特殊行业除外。本项目的投标人须满足以下条件：</w:t>
      </w:r>
    </w:p>
    <w:p w14:paraId="5E580AD1">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具备《中华人民共和国政府采购法》第二十二条关于供应商条件的规定，遵守本项目采购人本级和上级财政部门政府采购的有关规定。</w:t>
      </w:r>
    </w:p>
    <w:p w14:paraId="59A72009">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以采购代理机构认可的方式获得了本项目的招标文件。</w:t>
      </w:r>
    </w:p>
    <w:p w14:paraId="41BCD00B">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若</w:t>
      </w:r>
      <w:r>
        <w:rPr>
          <w:rFonts w:hint="eastAsia" w:ascii="宋体" w:hAnsi="宋体" w:eastAsia="宋体" w:cs="宋体"/>
          <w:color w:val="auto"/>
          <w:sz w:val="24"/>
          <w:highlight w:val="none"/>
          <w:lang w:eastAsia="zh-CN"/>
        </w:rPr>
        <w:t>采购需求</w:t>
      </w:r>
      <w:r>
        <w:rPr>
          <w:rFonts w:hint="eastAsia" w:ascii="宋体" w:hAnsi="宋体" w:eastAsia="宋体" w:cs="宋体"/>
          <w:color w:val="auto"/>
          <w:sz w:val="24"/>
          <w:highlight w:val="none"/>
        </w:rPr>
        <w:t>中写明允许采购进口产品，投标人应保证所投产品可履行合法报通关手续进入中国关境内。</w:t>
      </w:r>
    </w:p>
    <w:p w14:paraId="78C25BBA">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w:t>
      </w:r>
      <w:r>
        <w:rPr>
          <w:rFonts w:hint="eastAsia" w:ascii="宋体" w:hAnsi="宋体" w:eastAsia="宋体" w:cs="宋体"/>
          <w:color w:val="auto"/>
          <w:sz w:val="24"/>
          <w:highlight w:val="none"/>
          <w:lang w:eastAsia="zh-CN"/>
        </w:rPr>
        <w:t>采购需求</w:t>
      </w:r>
      <w:r>
        <w:rPr>
          <w:rFonts w:hint="eastAsia" w:ascii="宋体" w:hAnsi="宋体" w:eastAsia="宋体" w:cs="宋体"/>
          <w:color w:val="auto"/>
          <w:sz w:val="24"/>
          <w:highlight w:val="none"/>
        </w:rPr>
        <w:t>中未写明允许采购进口产品，如投标人所投产品为进口产品，其投标将被认定为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76417804">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5若招标公告中允许联合体投标，对联合体规定如下：</w:t>
      </w:r>
    </w:p>
    <w:p w14:paraId="401846C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5.1两个以上供应商可以组成一个投标联合体，以一个投标人的身份投标。</w:t>
      </w:r>
      <w:r>
        <w:rPr>
          <w:rFonts w:hint="eastAsia" w:ascii="宋体" w:hAnsi="宋体" w:eastAsia="宋体" w:cs="宋体"/>
          <w:b w:val="0"/>
          <w:color w:val="auto"/>
          <w:sz w:val="24"/>
          <w:highlight w:val="none"/>
        </w:rPr>
        <w:t>联合体投标的，招标文件获取手续由联合体中任一成员单位办理均可。</w:t>
      </w:r>
    </w:p>
    <w:p w14:paraId="36A7366A">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5.2联合体各方均应符合《中华人民共和国政府采购法》第二十二条规定的条件。</w:t>
      </w:r>
    </w:p>
    <w:p w14:paraId="4A21FA3F">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5.3采购人根据采购项目对投标人的特殊要求，联合体中至少应当有一方符合相关规定。</w:t>
      </w:r>
    </w:p>
    <w:p w14:paraId="1D937846">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5.4联合体各方应签订联合协议，明确约定联合体各方承担的工作和相应的责任，并将联合协议作为投标文件的一部分提交。</w:t>
      </w:r>
    </w:p>
    <w:p w14:paraId="777EA35D">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5.5大中型企业、其他自然人、法人或者非法人组织与小型、微型企业组成联合体共同参加投标，联合协议中应写明小型、微型企业的协议合同金额占到联合协议投标总金额的比例。</w:t>
      </w:r>
    </w:p>
    <w:p w14:paraId="3999CAA9">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5.6联合体中有同类资质的供应商按照联合体分工承担相同工作的，应当按照资质等级较低的供应商确定资质等级。</w:t>
      </w:r>
    </w:p>
    <w:p w14:paraId="7C0BA361">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5.7以联合体形式参加政府采购活动的，联合体各方不得再单独参加或者与其他供应商另外组成联合体参加本项目投标，否则相关投标将被认定为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0AF93157">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5.8对联合体投标的其他资格要求见</w:t>
      </w:r>
      <w:r>
        <w:rPr>
          <w:rFonts w:hint="eastAsia" w:ascii="宋体" w:hAnsi="宋体" w:eastAsia="宋体" w:cs="宋体"/>
          <w:color w:val="auto"/>
          <w:sz w:val="24"/>
          <w:highlight w:val="none"/>
          <w:lang w:val="en-US" w:eastAsia="zh-CN"/>
        </w:rPr>
        <w:t>申请人的</w:t>
      </w:r>
      <w:r>
        <w:rPr>
          <w:rFonts w:hint="eastAsia" w:ascii="宋体" w:hAnsi="宋体" w:eastAsia="宋体" w:cs="宋体"/>
          <w:color w:val="auto"/>
          <w:sz w:val="24"/>
          <w:highlight w:val="none"/>
        </w:rPr>
        <w:t>资格</w:t>
      </w:r>
      <w:r>
        <w:rPr>
          <w:rFonts w:hint="eastAsia" w:ascii="宋体" w:hAnsi="宋体" w:eastAsia="宋体" w:cs="宋体"/>
          <w:color w:val="auto"/>
          <w:sz w:val="24"/>
          <w:highlight w:val="none"/>
          <w:lang w:val="en-US" w:eastAsia="zh-CN"/>
        </w:rPr>
        <w:t>要求</w:t>
      </w:r>
      <w:r>
        <w:rPr>
          <w:rFonts w:hint="eastAsia" w:ascii="宋体" w:hAnsi="宋体" w:eastAsia="宋体" w:cs="宋体"/>
          <w:color w:val="auto"/>
          <w:sz w:val="24"/>
          <w:highlight w:val="none"/>
        </w:rPr>
        <w:t>。</w:t>
      </w:r>
    </w:p>
    <w:p w14:paraId="3AEFEE89">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2.资金落实情况</w:t>
      </w:r>
    </w:p>
    <w:p w14:paraId="22868CE0">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.1本项目的采购人已获得足以支付本次招标后所签订的合同项下的资金。</w:t>
      </w:r>
    </w:p>
    <w:p w14:paraId="28FEF6A2">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3.投标费用</w:t>
      </w:r>
    </w:p>
    <w:p w14:paraId="41E4F56D">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不论投标的结果如何，投标人应承担所有与准备和参加投标有关的费用。</w:t>
      </w:r>
    </w:p>
    <w:p w14:paraId="68EBB8C7">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4.适用法律</w:t>
      </w:r>
    </w:p>
    <w:p w14:paraId="38CECB4A">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本项目采购人、采购代理机构、投标人、评标委员会的相关行为均受《中华人民共和国政府采购法》、《中</w:t>
      </w:r>
      <w:r>
        <w:rPr>
          <w:rFonts w:hint="eastAsia" w:ascii="宋体" w:hAnsi="宋体" w:eastAsia="宋体" w:cs="宋体"/>
          <w:color w:val="auto"/>
          <w:sz w:val="24"/>
          <w:szCs w:val="22"/>
          <w:highlight w:val="none"/>
        </w:rPr>
        <w:t>华人民共和国政府采购法实施条例》</w:t>
      </w:r>
      <w:r>
        <w:rPr>
          <w:rFonts w:hint="eastAsia" w:ascii="宋体" w:hAnsi="宋体" w:eastAsia="宋体" w:cs="宋体"/>
          <w:color w:val="auto"/>
          <w:sz w:val="24"/>
          <w:szCs w:val="22"/>
          <w:highlight w:val="none"/>
          <w:lang w:val="en-US" w:eastAsia="zh-CN"/>
        </w:rPr>
        <w:t>及</w:t>
      </w:r>
      <w:r>
        <w:rPr>
          <w:rFonts w:hint="eastAsia" w:ascii="宋体" w:hAnsi="宋体" w:eastAsia="宋体" w:cs="宋体"/>
          <w:color w:val="auto"/>
          <w:sz w:val="24"/>
          <w:szCs w:val="22"/>
          <w:highlight w:val="none"/>
        </w:rPr>
        <w:t>本项目本级和上级财政部门、政府采购监督管理部门的政府采购有关规定的约束，其权利受到上述法律法规的保护。</w:t>
      </w:r>
    </w:p>
    <w:p w14:paraId="49C0342A">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.招标文件构成</w:t>
      </w:r>
    </w:p>
    <w:p w14:paraId="753314D2">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.1招标文件包括下列内容：</w:t>
      </w:r>
    </w:p>
    <w:p w14:paraId="5597A482">
      <w:pPr>
        <w:keepNext w:val="0"/>
        <w:keepLines w:val="0"/>
        <w:pageBreakBefore w:val="0"/>
        <w:widowControl w:val="0"/>
        <w:kinsoku/>
        <w:wordWrap/>
        <w:overflowPunct/>
        <w:topLinePunct w:val="0"/>
        <w:autoSpaceDE/>
        <w:autoSpaceDN/>
        <w:bidi w:val="0"/>
        <w:adjustRightInd/>
        <w:snapToGrid/>
        <w:spacing w:line="440" w:lineRule="exact"/>
        <w:ind w:firstLine="840" w:firstLineChars="35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第一章  投标邀请</w:t>
      </w:r>
    </w:p>
    <w:p w14:paraId="28228030">
      <w:pPr>
        <w:keepNext w:val="0"/>
        <w:keepLines w:val="0"/>
        <w:pageBreakBefore w:val="0"/>
        <w:widowControl w:val="0"/>
        <w:kinsoku/>
        <w:wordWrap/>
        <w:overflowPunct/>
        <w:topLinePunct w:val="0"/>
        <w:autoSpaceDE/>
        <w:autoSpaceDN/>
        <w:bidi w:val="0"/>
        <w:adjustRightInd/>
        <w:snapToGrid/>
        <w:spacing w:line="440" w:lineRule="exact"/>
        <w:ind w:firstLine="840" w:firstLineChars="35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第二章  投标人须知</w:t>
      </w:r>
    </w:p>
    <w:p w14:paraId="56727027">
      <w:pPr>
        <w:keepNext w:val="0"/>
        <w:keepLines w:val="0"/>
        <w:pageBreakBefore w:val="0"/>
        <w:widowControl w:val="0"/>
        <w:kinsoku/>
        <w:wordWrap/>
        <w:overflowPunct/>
        <w:topLinePunct w:val="0"/>
        <w:autoSpaceDE/>
        <w:autoSpaceDN/>
        <w:bidi w:val="0"/>
        <w:adjustRightInd/>
        <w:snapToGrid/>
        <w:spacing w:line="440" w:lineRule="exact"/>
        <w:ind w:firstLine="840" w:firstLineChars="35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第三章  采购需求</w:t>
      </w:r>
    </w:p>
    <w:p w14:paraId="6818AFEF">
      <w:pPr>
        <w:keepNext w:val="0"/>
        <w:keepLines w:val="0"/>
        <w:pageBreakBefore w:val="0"/>
        <w:widowControl w:val="0"/>
        <w:kinsoku/>
        <w:wordWrap/>
        <w:overflowPunct/>
        <w:topLinePunct w:val="0"/>
        <w:autoSpaceDE/>
        <w:autoSpaceDN/>
        <w:bidi w:val="0"/>
        <w:adjustRightInd/>
        <w:snapToGrid/>
        <w:spacing w:line="440" w:lineRule="exact"/>
        <w:ind w:firstLine="840" w:firstLineChars="35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第四章  评标方法和标准</w:t>
      </w:r>
    </w:p>
    <w:p w14:paraId="33BF6175">
      <w:pPr>
        <w:keepNext w:val="0"/>
        <w:keepLines w:val="0"/>
        <w:pageBreakBefore w:val="0"/>
        <w:widowControl w:val="0"/>
        <w:kinsoku/>
        <w:wordWrap/>
        <w:overflowPunct/>
        <w:topLinePunct w:val="0"/>
        <w:autoSpaceDE/>
        <w:autoSpaceDN/>
        <w:bidi w:val="0"/>
        <w:adjustRightInd/>
        <w:snapToGrid/>
        <w:spacing w:line="440" w:lineRule="exact"/>
        <w:ind w:firstLine="840" w:firstLineChars="35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第五章  政府采购合同</w:t>
      </w:r>
    </w:p>
    <w:p w14:paraId="1B0AC9FD">
      <w:pPr>
        <w:keepNext w:val="0"/>
        <w:keepLines w:val="0"/>
        <w:pageBreakBefore w:val="0"/>
        <w:widowControl w:val="0"/>
        <w:kinsoku/>
        <w:wordWrap/>
        <w:overflowPunct/>
        <w:topLinePunct w:val="0"/>
        <w:autoSpaceDE/>
        <w:autoSpaceDN/>
        <w:bidi w:val="0"/>
        <w:adjustRightInd/>
        <w:snapToGrid/>
        <w:spacing w:line="440" w:lineRule="exact"/>
        <w:ind w:firstLine="840" w:firstLineChars="35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第六章  投标文件格式</w:t>
      </w:r>
    </w:p>
    <w:p w14:paraId="6DC9CBDA">
      <w:pPr>
        <w:keepNext w:val="0"/>
        <w:keepLines w:val="0"/>
        <w:pageBreakBefore w:val="0"/>
        <w:widowControl w:val="0"/>
        <w:kinsoku/>
        <w:wordWrap/>
        <w:overflowPunct/>
        <w:topLinePunct w:val="0"/>
        <w:autoSpaceDE/>
        <w:autoSpaceDN/>
        <w:bidi w:val="0"/>
        <w:adjustRightInd/>
        <w:snapToGrid/>
        <w:spacing w:line="440" w:lineRule="exact"/>
        <w:ind w:firstLine="840" w:firstLineChars="35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lang w:val="en-US" w:eastAsia="zh-CN"/>
        </w:rPr>
        <w:t>七</w:t>
      </w:r>
      <w:r>
        <w:rPr>
          <w:rFonts w:hint="eastAsia" w:ascii="宋体" w:hAnsi="宋体" w:eastAsia="宋体" w:cs="宋体"/>
          <w:color w:val="auto"/>
          <w:sz w:val="24"/>
          <w:highlight w:val="none"/>
        </w:rPr>
        <w:t>章  政府采购询问函和质疑函范本</w:t>
      </w:r>
    </w:p>
    <w:p w14:paraId="4B2DB256">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现场考察</w:t>
      </w:r>
      <w:r>
        <w:rPr>
          <w:rFonts w:hint="eastAsia" w:ascii="宋体" w:hAnsi="宋体" w:eastAsia="宋体" w:cs="宋体"/>
          <w:color w:val="auto"/>
          <w:sz w:val="24"/>
          <w:highlight w:val="none"/>
          <w:lang w:eastAsia="zh-CN"/>
        </w:rPr>
        <w:t>（</w:t>
      </w:r>
      <w:r>
        <w:rPr>
          <w:rFonts w:hint="eastAsia" w:ascii="宋体" w:hAnsi="宋体" w:eastAsia="宋体" w:cs="宋体"/>
          <w:b w:val="0"/>
          <w:bCs/>
          <w:color w:val="auto"/>
          <w:kern w:val="2"/>
          <w:sz w:val="24"/>
          <w:szCs w:val="22"/>
          <w:highlight w:val="none"/>
          <w:lang w:val="en-US" w:eastAsia="zh-CN" w:bidi="ar-SA"/>
        </w:rPr>
        <w:t>标前答疑会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及相关事项见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3A8AAA3D">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投标人应认真阅读招标文件所有的事项、格式、条款和技术规范等。</w:t>
      </w:r>
    </w:p>
    <w:p w14:paraId="05531483">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.招标文件的澄清与修改</w:t>
      </w:r>
    </w:p>
    <w:p w14:paraId="7E80780E">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.1投标人如对招标文件内容有疑问，</w:t>
      </w:r>
      <w:r>
        <w:rPr>
          <w:rFonts w:hint="eastAsia" w:ascii="宋体" w:hAnsi="宋体" w:eastAsia="宋体" w:cs="宋体"/>
          <w:color w:val="auto"/>
          <w:sz w:val="24"/>
          <w:highlight w:val="none"/>
          <w:lang w:val="en-US" w:eastAsia="zh-CN"/>
        </w:rPr>
        <w:t>可</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规定的网上询问截止时间前提交给采购代理机构。</w:t>
      </w:r>
    </w:p>
    <w:p w14:paraId="5A432131">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.2采购人可主动地或在</w:t>
      </w:r>
      <w:r>
        <w:rPr>
          <w:rFonts w:hint="eastAsia" w:ascii="宋体" w:hAnsi="宋体" w:eastAsia="宋体" w:cs="宋体"/>
          <w:color w:val="auto"/>
          <w:sz w:val="24"/>
          <w:highlight w:val="none"/>
          <w:lang w:val="en-US" w:eastAsia="zh-CN"/>
        </w:rPr>
        <w:t>答复</w:t>
      </w:r>
      <w:r>
        <w:rPr>
          <w:rFonts w:hint="eastAsia" w:ascii="宋体" w:hAnsi="宋体" w:eastAsia="宋体" w:cs="宋体"/>
          <w:color w:val="auto"/>
          <w:sz w:val="24"/>
          <w:highlight w:val="none"/>
        </w:rPr>
        <w:t>投标人提出的</w:t>
      </w:r>
      <w:r>
        <w:rPr>
          <w:rFonts w:hint="eastAsia" w:ascii="宋体" w:hAnsi="宋体" w:eastAsia="宋体" w:cs="宋体"/>
          <w:color w:val="auto"/>
          <w:sz w:val="24"/>
          <w:highlight w:val="none"/>
          <w:lang w:val="en-US" w:eastAsia="zh-CN"/>
        </w:rPr>
        <w:t>询问</w:t>
      </w:r>
      <w:r>
        <w:rPr>
          <w:rFonts w:hint="eastAsia" w:ascii="宋体" w:hAnsi="宋体" w:eastAsia="宋体" w:cs="宋体"/>
          <w:color w:val="auto"/>
          <w:sz w:val="24"/>
          <w:highlight w:val="none"/>
        </w:rPr>
        <w:t>时对招标文件进行澄清与修改。采购代理机构将在安徽省政府采购网和滁州市公共资源交易中心网以发布更正公告的方式，澄清或修改招标文件，更正公告的内容作为招标文件的组成部分，对投标人起约束作用。投标人应主动上网查询。采购代理机构不承担投标人未及时关注相关信息引发的相关责任。</w:t>
      </w:r>
    </w:p>
    <w:p w14:paraId="169A6833">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72195144">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i/>
          <w:iCs/>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.4对于没有提出疑问又参与了本项目投标的投标人将被视为完全认同本招标文件（含更正公告的内容）</w:t>
      </w:r>
      <w:r>
        <w:rPr>
          <w:rFonts w:hint="eastAsia" w:ascii="宋体" w:hAnsi="宋体" w:eastAsia="宋体" w:cs="宋体"/>
          <w:i/>
          <w:color w:val="auto"/>
          <w:sz w:val="24"/>
          <w:highlight w:val="none"/>
        </w:rPr>
        <w:t>。</w:t>
      </w:r>
    </w:p>
    <w:p w14:paraId="63181EAD">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rPr>
        <w:t>.投标范围及投标文件中标准和计量单位的使用</w:t>
      </w:r>
    </w:p>
    <w:p w14:paraId="17F26F89">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.1项目有分包的，投标人可对招标文件其中某一个或几个分包进行投标，除非在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中另有规定。</w:t>
      </w:r>
    </w:p>
    <w:p w14:paraId="403D47C7">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.2投标人应当对所投分包招标文件中“采购需求”所列的所有内容进行投标，如仅响应所投包别中的部分内容，其所投包别的投标将被认定为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66985513">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bookmarkStart w:id="23" w:name="_Hlk16458980"/>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.3无论招标文件中是否要求，投标人所投货物</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服务</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工程</w:t>
      </w:r>
      <w:r>
        <w:rPr>
          <w:rFonts w:hint="eastAsia" w:ascii="宋体" w:hAnsi="宋体" w:eastAsia="宋体" w:cs="宋体"/>
          <w:color w:val="auto"/>
          <w:sz w:val="24"/>
          <w:highlight w:val="none"/>
          <w:lang w:eastAsia="zh-CN"/>
        </w:rPr>
        <w:t>（</w:t>
      </w:r>
      <w:r>
        <w:rPr>
          <w:rFonts w:hint="eastAsia" w:ascii="宋体" w:hAnsi="宋体" w:eastAsia="宋体" w:cs="宋体"/>
          <w:i w:val="0"/>
          <w:iCs w:val="0"/>
          <w:color w:val="auto"/>
          <w:sz w:val="24"/>
          <w:highlight w:val="none"/>
          <w:u w:val="none"/>
          <w:lang w:val="en-US" w:eastAsia="zh-CN"/>
        </w:rPr>
        <w:t>如有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均应符合国家强制性标准。</w:t>
      </w:r>
    </w:p>
    <w:bookmarkEnd w:id="23"/>
    <w:p w14:paraId="56F6D820">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4投标人与采购代理机构之间与投标有关的所有往来通知、函件和投标文件均用中文表述。投标人随投标文件提供的证明文件和资料可以为其它语言，但必须附中文译文。翻译的中文资料与外文资料出现差异时，以中文为准。</w:t>
      </w:r>
    </w:p>
    <w:p w14:paraId="3742FAF3">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.5除招标文件中有特殊要求外，投标文件中所使用的计量单位，应采用中华人民共和国法定计量单位。</w:t>
      </w:r>
    </w:p>
    <w:p w14:paraId="230A9149">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rPr>
        <w:t>.投标文件构成</w:t>
      </w:r>
    </w:p>
    <w:p w14:paraId="60C9F960">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.1投标人应完整地按招标文件提供的投标文件格式及要求编写投标文件，具体内容详见本项目投标文件格式的相关内容。</w:t>
      </w:r>
    </w:p>
    <w:p w14:paraId="1D7CA14A">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8.2</w:t>
      </w:r>
      <w:r>
        <w:rPr>
          <w:rFonts w:hint="eastAsia" w:ascii="宋体" w:hAnsi="宋体" w:eastAsia="宋体" w:cs="宋体"/>
          <w:color w:val="auto"/>
          <w:sz w:val="24"/>
          <w:highlight w:val="none"/>
        </w:rPr>
        <w:t>投标人应提交招标文件要求的证明文件，证明其投标内容符合招标文件规定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该证明文件是投标文件的一部分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证明文件</w:t>
      </w:r>
      <w:r>
        <w:rPr>
          <w:rFonts w:hint="eastAsia" w:ascii="宋体" w:hAnsi="宋体" w:eastAsia="宋体" w:cs="宋体"/>
          <w:color w:val="auto"/>
          <w:sz w:val="24"/>
          <w:highlight w:val="none"/>
          <w:lang w:val="en-US" w:eastAsia="zh-CN"/>
        </w:rPr>
        <w:t>形式</w:t>
      </w:r>
      <w:r>
        <w:rPr>
          <w:rFonts w:hint="eastAsia" w:ascii="宋体" w:hAnsi="宋体" w:eastAsia="宋体" w:cs="宋体"/>
          <w:color w:val="auto"/>
          <w:sz w:val="24"/>
          <w:highlight w:val="none"/>
        </w:rPr>
        <w:t>可以是文字资料、图纸和数据</w:t>
      </w:r>
      <w:bookmarkStart w:id="24" w:name="_Hlk11703583"/>
      <w:r>
        <w:rPr>
          <w:rFonts w:hint="eastAsia" w:ascii="宋体" w:hAnsi="宋体" w:eastAsia="宋体" w:cs="宋体"/>
          <w:color w:val="auto"/>
          <w:sz w:val="24"/>
          <w:highlight w:val="none"/>
          <w:lang w:val="en-US" w:eastAsia="zh-CN"/>
        </w:rPr>
        <w:t>等。</w:t>
      </w:r>
    </w:p>
    <w:bookmarkEnd w:id="24"/>
    <w:p w14:paraId="7AFDED68">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8.3</w:t>
      </w:r>
      <w:r>
        <w:rPr>
          <w:rFonts w:hint="eastAsia" w:ascii="宋体" w:hAnsi="宋体" w:eastAsia="宋体" w:cs="宋体"/>
          <w:color w:val="auto"/>
          <w:sz w:val="24"/>
          <w:highlight w:val="none"/>
        </w:rPr>
        <w:t>为保证公平公正，除非另有规定或说明，投标人对同一项目投标时，不得同时提供备选投标方案。</w:t>
      </w:r>
    </w:p>
    <w:p w14:paraId="2D6EE4AE">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9</w:t>
      </w:r>
      <w:r>
        <w:rPr>
          <w:rFonts w:hint="eastAsia" w:ascii="宋体" w:hAnsi="宋体" w:eastAsia="宋体" w:cs="宋体"/>
          <w:b/>
          <w:color w:val="auto"/>
          <w:sz w:val="24"/>
          <w:highlight w:val="none"/>
        </w:rPr>
        <w:t>.投标报价</w:t>
      </w:r>
    </w:p>
    <w:p w14:paraId="3EAE680B">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12.1投标人的报价应当包括满足本次招标全部采购需求。</w:t>
      </w:r>
      <w:r>
        <w:rPr>
          <w:rFonts w:hint="eastAsia" w:ascii="宋体" w:hAnsi="宋体" w:eastAsia="宋体" w:cs="宋体"/>
          <w:color w:val="auto"/>
          <w:sz w:val="24"/>
          <w:highlight w:val="none"/>
          <w:lang w:val="en-US" w:eastAsia="zh-CN"/>
        </w:rPr>
        <w:t>除招标文件另有规定外，</w:t>
      </w:r>
      <w:r>
        <w:rPr>
          <w:rFonts w:hint="eastAsia" w:ascii="宋体" w:hAnsi="宋体" w:eastAsia="宋体" w:cs="宋体"/>
          <w:color w:val="auto"/>
          <w:sz w:val="24"/>
          <w:highlight w:val="none"/>
        </w:rPr>
        <w:t>所有投标均应以人民币报价。投标人的投标报价应遵守《中华人民共和国价格法》。</w:t>
      </w:r>
    </w:p>
    <w:p w14:paraId="5E19029B">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.2投标人报价超过招标文件规定的预算金额或者分项、分包最高限价，其投标将被认定为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2F08E083">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投标报价在合同履行过程中是固定不变的，不得以任何理由予以变更。任何包含价格调整要求的投标，其投标将被认定为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192BBF3C">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5A91B14F">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采购人不接受具有附加条件的报价。</w:t>
      </w:r>
    </w:p>
    <w:p w14:paraId="6FE67ABC">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.投标保证金</w:t>
      </w:r>
    </w:p>
    <w:p w14:paraId="024494D6">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.1本项目不收取投标保证金。</w:t>
      </w:r>
    </w:p>
    <w:p w14:paraId="775A09A3">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.投标有效期</w:t>
      </w:r>
    </w:p>
    <w:p w14:paraId="53907312">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.1投标有效期为从投标截止之日算起的日历天数，投标有效期详见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58EC998B">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.2在投标有效期内，投标人的投标保持有效，投标人不得要求撤销或修改其投标文件。投标有效期不满足要求的投标，其投标将被认定为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35FA3994">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3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6ECD4FD2">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.投标文件的递交、修改与撤回</w:t>
      </w:r>
    </w:p>
    <w:p w14:paraId="37B2B0BC">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.1投标人应当在</w:t>
      </w:r>
      <w:r>
        <w:rPr>
          <w:rFonts w:hint="eastAsia" w:ascii="宋体" w:hAnsi="宋体" w:eastAsia="宋体" w:cs="宋体"/>
          <w:color w:val="auto"/>
          <w:sz w:val="24"/>
          <w:highlight w:val="none"/>
          <w:lang w:val="en-US" w:eastAsia="zh-CN"/>
        </w:rPr>
        <w:t>招标公告</w:t>
      </w:r>
      <w:r>
        <w:rPr>
          <w:rFonts w:hint="eastAsia" w:ascii="宋体" w:hAnsi="宋体" w:eastAsia="宋体" w:cs="宋体"/>
          <w:color w:val="auto"/>
          <w:sz w:val="24"/>
          <w:highlight w:val="none"/>
        </w:rPr>
        <w:t>规定的投标截止时间前，将加密的投标文件在电子交易系统上传。</w:t>
      </w:r>
    </w:p>
    <w:p w14:paraId="602CC908">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22A7CCE3">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.开标</w:t>
      </w:r>
    </w:p>
    <w:p w14:paraId="0DCE8362">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开标时，</w:t>
      </w:r>
      <w:r>
        <w:rPr>
          <w:rFonts w:hint="eastAsia" w:ascii="宋体" w:hAnsi="宋体" w:eastAsia="宋体" w:cs="宋体"/>
          <w:sz w:val="24"/>
          <w:szCs w:val="24"/>
          <w:highlight w:val="none"/>
        </w:rPr>
        <w:t>各投标人应在</w:t>
      </w:r>
      <w:r>
        <w:rPr>
          <w:rFonts w:hint="eastAsia" w:ascii="宋体" w:hAnsi="宋体" w:eastAsia="宋体" w:cs="宋体"/>
          <w:sz w:val="24"/>
          <w:szCs w:val="24"/>
          <w:highlight w:val="none"/>
          <w:u w:val="single"/>
        </w:rPr>
        <w:t>投标人须知前附表</w:t>
      </w:r>
      <w:r>
        <w:rPr>
          <w:rFonts w:hint="eastAsia" w:ascii="宋体" w:hAnsi="宋体" w:eastAsia="宋体" w:cs="宋体"/>
          <w:sz w:val="24"/>
          <w:szCs w:val="24"/>
          <w:highlight w:val="none"/>
        </w:rPr>
        <w:t>规定的解密时间前</w:t>
      </w:r>
      <w:r>
        <w:rPr>
          <w:rFonts w:hint="eastAsia" w:ascii="宋体" w:hAnsi="宋体" w:eastAsia="宋体" w:cs="宋体"/>
          <w:color w:val="auto"/>
          <w:sz w:val="24"/>
          <w:highlight w:val="none"/>
        </w:rPr>
        <w:t>对</w:t>
      </w:r>
      <w:r>
        <w:rPr>
          <w:rFonts w:hint="eastAsia" w:ascii="宋体" w:hAnsi="宋体" w:eastAsia="宋体" w:cs="宋体"/>
          <w:color w:val="auto"/>
          <w:sz w:val="24"/>
          <w:szCs w:val="24"/>
          <w:highlight w:val="none"/>
          <w:lang w:val="en-US" w:eastAsia="zh-CN"/>
        </w:rPr>
        <w:t>其</w:t>
      </w:r>
      <w:r>
        <w:rPr>
          <w:rFonts w:hint="eastAsia" w:ascii="宋体" w:hAnsi="宋体" w:eastAsia="宋体" w:cs="宋体"/>
          <w:color w:val="auto"/>
          <w:sz w:val="24"/>
          <w:highlight w:val="none"/>
        </w:rPr>
        <w:t>投标文件进行解密。</w:t>
      </w:r>
    </w:p>
    <w:p w14:paraId="78B7DFD4">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开标时，采购代理机构将通过网上开标系统公布开标结果，公布内容包括投标人名称、投标价格及招标文件规定的内容。</w:t>
      </w:r>
    </w:p>
    <w:p w14:paraId="3BA21307">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采购人或采购代理机构将对开标过程进行记录，并存档备查。</w:t>
      </w:r>
    </w:p>
    <w:p w14:paraId="1AEA61DF">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8"/>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投标人代表对开标过程和开标记录有疑义，以及认为采购人、采购代理机构相关工作人员有需要回避的情形的，应当场提出询问或者回避申请。</w:t>
      </w:r>
    </w:p>
    <w:p w14:paraId="1FF0943F">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.资格审查及组建评标委员会</w:t>
      </w:r>
    </w:p>
    <w:p w14:paraId="62D9B04B">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.1采购人或采购代理机构依据法律法规和招标文件中规定的内容，对投标人资格进行审查，未通过资格审查的投标人不进入评标。</w:t>
      </w:r>
    </w:p>
    <w:p w14:paraId="308CFFA0">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szCs w:val="24"/>
          <w:highlight w:val="none"/>
        </w:rPr>
      </w:pPr>
      <w:bookmarkStart w:id="25" w:name="_Hlk24663244"/>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.2采购人或采购代理机构将在投标截止时间后至评审结束前通过“信用中国”网站(www.creditchina.gov.cn)、中国政府采购网(www.ccgp.gov.cn)查询相关投标人信用记录，并对</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310446F3">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以联合体形式参加投标的，联合体成员存在以上不良信用记录的，联合体投标将被认定为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71935FEC">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25"/>
    <w:p w14:paraId="609C85B8">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.3按照《中华人民共和国政府采购法》、《中华人民共和国政府采购法实施条例》及本项目本级和上级财政部门、政府采购监督管理部门的有关规定依法组建的评标委员会，负责本项目评标工作。</w:t>
      </w:r>
    </w:p>
    <w:p w14:paraId="44A49329">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15</w:t>
      </w:r>
      <w:r>
        <w:rPr>
          <w:rFonts w:hint="eastAsia" w:ascii="宋体" w:hAnsi="宋体" w:eastAsia="宋体" w:cs="宋体"/>
          <w:b/>
          <w:color w:val="auto"/>
          <w:sz w:val="24"/>
          <w:highlight w:val="none"/>
        </w:rPr>
        <w:t>.投标文件符合性审查与澄清</w:t>
      </w:r>
    </w:p>
    <w:p w14:paraId="28A9BE7A">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.1符合性审查是指依据招标文件的规定，从投标文件的有效性和完整性对招标文件的响应程度进行审查，以确定是否对招标文件的实质性要求做出响应。</w:t>
      </w:r>
    </w:p>
    <w:p w14:paraId="48890518">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投标文件的澄清</w:t>
      </w:r>
    </w:p>
    <w:p w14:paraId="45634818">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为有助于投标文件的审查、评价和比较，在评标期间，评标委员会将以书面方式（询标）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w:t>
      </w:r>
    </w:p>
    <w:p w14:paraId="4C46C3FC">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r>
        <w:rPr>
          <w:rFonts w:hint="eastAsia" w:ascii="宋体" w:hAnsi="宋体" w:eastAsia="宋体" w:cs="宋体"/>
          <w:b/>
          <w:bCs/>
          <w:color w:val="auto"/>
          <w:sz w:val="24"/>
          <w:highlight w:val="none"/>
        </w:rPr>
        <w:t>本项目采用远程开标，具体操作方法详见服务指南&gt;交易须知&gt;开标大厅远程解密、质疑(异议)及回复以及评标过程中询标流程操作手册。</w:t>
      </w:r>
    </w:p>
    <w:p w14:paraId="5025E994">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15.</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.2投标人的澄清、说明或补正将作为投标文件的一部分。</w:t>
      </w:r>
    </w:p>
    <w:p w14:paraId="4AFDB604">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15.</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.3评标委员会对投标人提交的澄清、说明或补正有疑问的，可以要求投标人进一步澄清、说明或补正，直至满足评标委员会的要求。</w:t>
      </w:r>
    </w:p>
    <w:p w14:paraId="5812FB73">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15.</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投标文件报价出现前后不一致的，按照下列规定修正：</w:t>
      </w:r>
    </w:p>
    <w:p w14:paraId="01DD1511">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（1）投标文件中开标一览表内容与投标文件中相应内容不一致的，以开标一览表为准；</w:t>
      </w:r>
    </w:p>
    <w:p w14:paraId="2101E17C">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（2）大写金额和小写金额不一致的，以大写金额为准；</w:t>
      </w:r>
    </w:p>
    <w:p w14:paraId="53DCA80D">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（3）单价金额小数点或者百分比有明显错位的，以开标一览表的总价为准，并修改单价；</w:t>
      </w:r>
    </w:p>
    <w:p w14:paraId="225FAABF">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（4）总价金额与按单价汇总金额不一致的，以单价金额计算结果为准。</w:t>
      </w:r>
    </w:p>
    <w:p w14:paraId="5C4C8C10">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同时出现两种以上不一致的，按照前款规定的顺序修正。修正后的报价按照第</w:t>
      </w:r>
      <w:r>
        <w:rPr>
          <w:rFonts w:hint="eastAsia" w:ascii="宋体" w:hAnsi="宋体" w:eastAsia="宋体" w:cs="宋体"/>
          <w:color w:val="auto"/>
          <w:sz w:val="24"/>
          <w:highlight w:val="none"/>
          <w:lang w:eastAsia="zh-CN"/>
        </w:rPr>
        <w:t>15.</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条的规定经投标人确认后产生约束力，无论投标人是接受或是拒绝调整后的价格，都应当由投标人在系统中确认。投标人拒绝对投标文件出现的错漏按上述原则进行修正、澄清、说明，其投标将被认定为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5B0A64B6">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对不同文字文本投标文件的解释发生异议的，以中文文本为准。</w:t>
      </w:r>
    </w:p>
    <w:p w14:paraId="2DA8AE7C">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16.</w:t>
      </w:r>
      <w:r>
        <w:rPr>
          <w:rFonts w:hint="eastAsia" w:ascii="宋体" w:hAnsi="宋体" w:eastAsia="宋体" w:cs="宋体"/>
          <w:b/>
          <w:color w:val="auto"/>
          <w:sz w:val="24"/>
          <w:highlight w:val="none"/>
        </w:rPr>
        <w:t>投标无效</w:t>
      </w:r>
    </w:p>
    <w:p w14:paraId="5200B0AD">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16.</w:t>
      </w:r>
      <w:r>
        <w:rPr>
          <w:rFonts w:hint="eastAsia" w:ascii="宋体" w:hAnsi="宋体" w:eastAsia="宋体" w:cs="宋体"/>
          <w:color w:val="auto"/>
          <w:sz w:val="24"/>
          <w:highlight w:val="none"/>
        </w:rPr>
        <w:t>1根据本招标文件的规定，评标委员会要审查每份投标文件是否实质上响应了招标文件的要求。投标人不得通过修正或撤销不符合要求的偏离，从而使其投标成为实质上响应的投标。</w:t>
      </w:r>
    </w:p>
    <w:p w14:paraId="56E61A33">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评标委员会决定投标的响应性只根据招标文件要求和投标文件内容。</w:t>
      </w:r>
    </w:p>
    <w:p w14:paraId="02E35A72">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无论何种原因，即使投标人投标时携带了证书材料的原件，但投标文件中未提供与之内容完全一致的扫描件的，评标委员会视同其未提供。</w:t>
      </w:r>
    </w:p>
    <w:p w14:paraId="686C3E99">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16.</w:t>
      </w:r>
      <w:r>
        <w:rPr>
          <w:rFonts w:hint="eastAsia" w:ascii="宋体" w:hAnsi="宋体" w:eastAsia="宋体" w:cs="宋体"/>
          <w:color w:val="auto"/>
          <w:sz w:val="24"/>
          <w:highlight w:val="none"/>
        </w:rPr>
        <w:t>2如发现下列情况之一的，其投标将被认定为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15D39642">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（1）投标文件未按照招标文件规定要求签署、盖章的；</w:t>
      </w:r>
    </w:p>
    <w:p w14:paraId="06C53D72">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（2）不具备招标文件中规定的资格要求的；</w:t>
      </w:r>
    </w:p>
    <w:p w14:paraId="76BCFB68">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（3）报价超过招标文件中规定的预算金额或者最高限价的；</w:t>
      </w:r>
    </w:p>
    <w:p w14:paraId="073FB601">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（4）投标文件含有采购人不能接受的附加条件的；</w:t>
      </w:r>
    </w:p>
    <w:p w14:paraId="18A8DCAA">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（5）法律、法规和招标文件规定的其他无效情形。</w:t>
      </w:r>
    </w:p>
    <w:p w14:paraId="65ED941F">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17.</w:t>
      </w:r>
      <w:r>
        <w:rPr>
          <w:rFonts w:hint="eastAsia" w:ascii="宋体" w:hAnsi="宋体" w:eastAsia="宋体" w:cs="宋体"/>
          <w:b/>
          <w:color w:val="auto"/>
          <w:sz w:val="24"/>
          <w:highlight w:val="none"/>
        </w:rPr>
        <w:t>比较与评价</w:t>
      </w:r>
    </w:p>
    <w:p w14:paraId="24904D9A">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17.</w:t>
      </w:r>
      <w:r>
        <w:rPr>
          <w:rFonts w:hint="eastAsia" w:ascii="宋体" w:hAnsi="宋体" w:eastAsia="宋体" w:cs="宋体"/>
          <w:color w:val="auto"/>
          <w:sz w:val="24"/>
          <w:highlight w:val="none"/>
        </w:rPr>
        <w:t>1经符合性审查合格的投标文件，评标委员会将根据招标文件确定的评标方法和标准，对其投标文件作进一步的比较与评价。</w:t>
      </w:r>
    </w:p>
    <w:p w14:paraId="00902DE2">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17.</w:t>
      </w:r>
      <w:r>
        <w:rPr>
          <w:rFonts w:hint="eastAsia" w:ascii="宋体" w:hAnsi="宋体" w:eastAsia="宋体" w:cs="宋体"/>
          <w:color w:val="auto"/>
          <w:sz w:val="24"/>
          <w:highlight w:val="none"/>
        </w:rPr>
        <w:t>2评标严格按照招标文件的要求和条件进行。根据实际情况，在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中规定采用下列一种评标方法，详细评标方法和标准见招标文件第四章：</w:t>
      </w:r>
    </w:p>
    <w:p w14:paraId="0DE78A14">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（1）最低评标价法，是指投标文件满足招标文件全部实质性要求，且投标报价最低的投标人为中标候选人的评标方法。</w:t>
      </w:r>
    </w:p>
    <w:p w14:paraId="701B91A6">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（2）综合评分法，是指投标文件满足招标文件全部实质性要求，且按照评审因素的量化指标评审得分最高的投标人为中标候选人的评标方法。</w:t>
      </w:r>
    </w:p>
    <w:p w14:paraId="391BDA1F">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17.</w:t>
      </w:r>
      <w:r>
        <w:rPr>
          <w:rFonts w:hint="eastAsia" w:ascii="宋体" w:hAnsi="宋体" w:eastAsia="宋体" w:cs="宋体"/>
          <w:color w:val="auto"/>
          <w:sz w:val="24"/>
          <w:highlight w:val="none"/>
        </w:rPr>
        <w:t>3根据《政府采购促进中小企业发展管理办法》（财库〔2020〕46号）、《三部门联合发布关于促进残疾人就业政府采购政策的通知》（财库〔2017〕141号）</w:t>
      </w:r>
      <w:r>
        <w:rPr>
          <w:rFonts w:hint="eastAsia" w:ascii="宋体" w:hAnsi="宋体" w:eastAsia="宋体" w:cs="宋体"/>
          <w:color w:val="auto"/>
          <w:sz w:val="24"/>
          <w:highlight w:val="none"/>
          <w:lang w:val="en-US" w:eastAsia="zh-CN"/>
        </w:rPr>
        <w:t>和</w:t>
      </w:r>
      <w:r>
        <w:rPr>
          <w:rFonts w:hint="eastAsia" w:ascii="宋体" w:hAnsi="宋体" w:eastAsia="宋体" w:cs="宋体"/>
          <w:color w:val="auto"/>
          <w:sz w:val="24"/>
          <w:highlight w:val="none"/>
        </w:rPr>
        <w:t>《财政部 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中规定的标准扣除后的价格参与评审。对于同时属于小微企业、监狱企业或残疾人福利性单位的，不重复进行投标报价扣除。</w:t>
      </w:r>
    </w:p>
    <w:p w14:paraId="2766AC9F">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接受大中型企业与小微企业组成联合体或者允许大中型企业向一家或者多家小微企业分包的，对于联合协议或者分包意向协议约定小微企业的合同份额占到合同总金额30%以上的，可给予联合体或者大中型企业的投标报价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中规定的标准扣除后的价格参与评审。组成联合体或者接受分包的小微企业与联合体内其他企业、分包企业之间存在直接控股、管理关系的，不享受价格扣除优惠政策。</w:t>
      </w:r>
    </w:p>
    <w:p w14:paraId="0B9DCEB5">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以联合体形式参加政府采购活动，联合体各方均为中小企业的，联合体视同中小企业。其中，联合体各方均为小微企业的，联合体视同小微企业。</w:t>
      </w:r>
    </w:p>
    <w:p w14:paraId="1C4D682E">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18</w:t>
      </w:r>
      <w:r>
        <w:rPr>
          <w:rFonts w:hint="eastAsia" w:ascii="宋体" w:hAnsi="宋体" w:eastAsia="宋体" w:cs="宋体"/>
          <w:b/>
          <w:color w:val="auto"/>
          <w:sz w:val="24"/>
          <w:highlight w:val="none"/>
        </w:rPr>
        <w:t>.废标、重新招标与变更采购方式</w:t>
      </w:r>
    </w:p>
    <w:p w14:paraId="4856DEF2">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rPr>
        <w:t>.1出现下列情形之一，将导致项目废标：</w:t>
      </w:r>
    </w:p>
    <w:p w14:paraId="7E4EC7B2">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（1）符合专业条件的供应商或者对招标文件做实质性响应的供应商不足规定数量的；</w:t>
      </w:r>
    </w:p>
    <w:p w14:paraId="0CE40D20">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（2）出现影响采购公正的违法、违规行为的；</w:t>
      </w:r>
    </w:p>
    <w:p w14:paraId="63BE99F4">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（3）投标人的报价均超过了采购预算，采购人不能支付的；</w:t>
      </w:r>
    </w:p>
    <w:p w14:paraId="29DCFE15">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（4）因重大变故，采购任务取消的。</w:t>
      </w:r>
    </w:p>
    <w:p w14:paraId="4B9823C6">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rPr>
        <w:t>.2公开招标数额标准以上的采购项目，投标截止后投标人不足3家或者通过资格审查或符合性审查的投标人不足3家的，除采购任务取消情形外，按照以下方式处理：</w:t>
      </w:r>
    </w:p>
    <w:p w14:paraId="2E9A6F87">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（1）招标文件存在不合理条款或者招标程序不符合规定的，采购人、采购代理机构改正后依法重新招标；</w:t>
      </w:r>
    </w:p>
    <w:p w14:paraId="68F33CE7">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（2）招标文件没有不合理条款、招标程序符合规定，需要采用其他采购方式采购的，采购人应当依法报</w:t>
      </w:r>
      <w:r>
        <w:rPr>
          <w:rFonts w:hint="eastAsia" w:ascii="宋体" w:hAnsi="宋体" w:eastAsia="宋体" w:cs="宋体"/>
          <w:b w:val="0"/>
          <w:bCs w:val="0"/>
          <w:color w:val="000000"/>
          <w:kern w:val="2"/>
          <w:sz w:val="24"/>
          <w:szCs w:val="24"/>
          <w:highlight w:val="none"/>
          <w:u w:val="none"/>
          <w:lang w:val="en-US" w:eastAsia="zh-CN" w:bidi="ar-SA"/>
        </w:rPr>
        <w:t>政府采购监督管理部门</w:t>
      </w:r>
      <w:r>
        <w:rPr>
          <w:rFonts w:hint="eastAsia" w:ascii="宋体" w:hAnsi="宋体" w:eastAsia="宋体" w:cs="宋体"/>
          <w:color w:val="auto"/>
          <w:sz w:val="24"/>
          <w:highlight w:val="none"/>
        </w:rPr>
        <w:t>批准。</w:t>
      </w:r>
    </w:p>
    <w:p w14:paraId="146CCCEA">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19</w:t>
      </w:r>
      <w:r>
        <w:rPr>
          <w:rFonts w:hint="eastAsia" w:ascii="宋体" w:hAnsi="宋体" w:eastAsia="宋体" w:cs="宋体"/>
          <w:b/>
          <w:color w:val="auto"/>
          <w:sz w:val="24"/>
          <w:highlight w:val="none"/>
        </w:rPr>
        <w:t>.保密要求</w:t>
      </w:r>
    </w:p>
    <w:p w14:paraId="3E59B899">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19</w:t>
      </w:r>
      <w:r>
        <w:rPr>
          <w:rFonts w:hint="eastAsia" w:ascii="宋体" w:hAnsi="宋体" w:eastAsia="宋体" w:cs="宋体"/>
          <w:color w:val="auto"/>
          <w:sz w:val="24"/>
          <w:highlight w:val="none"/>
        </w:rPr>
        <w:t>.1评标将在严格保密的情况下进行。</w:t>
      </w:r>
    </w:p>
    <w:p w14:paraId="4D1A834E">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19</w:t>
      </w:r>
      <w:r>
        <w:rPr>
          <w:rFonts w:hint="eastAsia" w:ascii="宋体" w:hAnsi="宋体" w:eastAsia="宋体" w:cs="宋体"/>
          <w:color w:val="auto"/>
          <w:sz w:val="24"/>
          <w:highlight w:val="none"/>
        </w:rPr>
        <w:t>.2有关人员应当遵守评标工作纪律，不得泄露评标文件、评标情况和评标中获悉的国家秘密、商业秘密。</w:t>
      </w:r>
    </w:p>
    <w:p w14:paraId="44BC12C3">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.中标候选人的确定原则及标准</w:t>
      </w:r>
    </w:p>
    <w:p w14:paraId="386EC01E">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20.1</w:t>
      </w:r>
      <w:r>
        <w:rPr>
          <w:rFonts w:hint="eastAsia" w:ascii="宋体" w:hAnsi="宋体" w:eastAsia="宋体" w:cs="宋体"/>
          <w:color w:val="auto"/>
          <w:sz w:val="24"/>
          <w:highlight w:val="none"/>
        </w:rPr>
        <w:t>评标委员会依据本项目招标文件所约定的评标方法，对实质上响应招标文件的投标人按下列方法进行排序，确定中标候选人：</w:t>
      </w:r>
    </w:p>
    <w:p w14:paraId="3DCAC740">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出现两家或两家以上相同者，采取评标委员会随机抽取的方式确定中标候选顺序。</w:t>
      </w:r>
    </w:p>
    <w:p w14:paraId="598D4158">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highlight w:val="none"/>
          <w:lang w:val="en-US" w:eastAsia="zh-CN"/>
        </w:rPr>
      </w:pPr>
      <w:r>
        <w:rPr>
          <w:rFonts w:hint="eastAsia" w:ascii="宋体" w:hAnsi="宋体" w:eastAsia="宋体" w:cs="宋体"/>
          <w:color w:val="auto"/>
          <w:sz w:val="24"/>
          <w:highlight w:val="none"/>
        </w:rPr>
        <w:t>（2）采用综合评分法的，评标结果按评审后得分由高到低顺序排列。得分相同的，按投标报价由低到高顺序排列。得分与投标报价均相同的，则采取评标委员会随机抽取的方式确定中标候选顺序。</w:t>
      </w:r>
    </w:p>
    <w:p w14:paraId="2B4DB041">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.确定中标候选人和中标人</w:t>
      </w:r>
    </w:p>
    <w:p w14:paraId="13AC6908">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.1评标委员会将根据评标标准，按</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中规定数量推荐中标候选人。</w:t>
      </w:r>
    </w:p>
    <w:p w14:paraId="114EACB2">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.2按</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中规定，由评标委员会或采购人确定中标人。</w:t>
      </w:r>
    </w:p>
    <w:p w14:paraId="0B334D6B">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.3因重大变故采购任务取消时，采购人有权拒绝任何投标人中标，且对受影响的投标人不承担任何责任。</w:t>
      </w:r>
    </w:p>
    <w:p w14:paraId="042319F1">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.编写评标报告</w:t>
      </w:r>
    </w:p>
    <w:p w14:paraId="795FB89F">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16C24E6C">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.中标结果公告</w:t>
      </w:r>
    </w:p>
    <w:p w14:paraId="30C2237E">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.1除</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由评标委员会直接确定中标人外，在评标结束后2个工作日内，采购代理机构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4F690B05">
      <w:pPr>
        <w:keepNext w:val="0"/>
        <w:keepLines w:val="0"/>
        <w:pageBreakBefore w:val="0"/>
        <w:widowControl w:val="0"/>
        <w:kinsoku/>
        <w:wordWrap w:val="0"/>
        <w:overflowPunct/>
        <w:topLinePunct w:val="0"/>
        <w:autoSpaceDE/>
        <w:autoSpaceDN/>
        <w:bidi w:val="0"/>
        <w:adjustRightInd/>
        <w:snapToGrid/>
        <w:spacing w:line="440" w:lineRule="exact"/>
        <w:ind w:firstLine="437"/>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2</w:t>
      </w:r>
      <w:r>
        <w:rPr>
          <w:rFonts w:hint="eastAsia" w:ascii="宋体" w:hAnsi="宋体" w:eastAsia="宋体" w:cs="宋体"/>
          <w:color w:val="auto"/>
          <w:sz w:val="24"/>
          <w:szCs w:val="18"/>
          <w:highlight w:val="none"/>
          <w:lang w:val="en-US" w:eastAsia="zh-CN"/>
        </w:rPr>
        <w:t>3</w:t>
      </w:r>
      <w:r>
        <w:rPr>
          <w:rFonts w:hint="eastAsia" w:ascii="宋体" w:hAnsi="宋体" w:eastAsia="宋体" w:cs="宋体"/>
          <w:color w:val="auto"/>
          <w:sz w:val="24"/>
          <w:szCs w:val="18"/>
          <w:highlight w:val="none"/>
        </w:rPr>
        <w:t>.2自中标人确定之日起2个工作日内，采购代理机构将在滁州市公共资源交易网（http://ggzy.chuzhou.gov.cn/）</w:t>
      </w:r>
      <w:r>
        <w:rPr>
          <w:rFonts w:hint="eastAsia" w:ascii="宋体" w:hAnsi="宋体" w:eastAsia="宋体" w:cs="宋体"/>
          <w:color w:val="auto"/>
          <w:sz w:val="24"/>
          <w:szCs w:val="18"/>
          <w:highlight w:val="none"/>
          <w:lang w:eastAsia="zh-CN"/>
        </w:rPr>
        <w:t>、</w:t>
      </w:r>
      <w:r>
        <w:rPr>
          <w:rFonts w:hint="eastAsia" w:ascii="宋体" w:hAnsi="宋体" w:eastAsia="宋体" w:cs="宋体"/>
          <w:color w:val="auto"/>
          <w:sz w:val="24"/>
          <w:szCs w:val="18"/>
          <w:highlight w:val="none"/>
        </w:rPr>
        <w:t>安徽省政府采购网（www.ccgp-anhui.gov.cn）上发布中标结果公告。</w:t>
      </w:r>
    </w:p>
    <w:p w14:paraId="7DB2DB22">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.3中标结果公告内容应当包括采购人及其委托的采购代理机构的名称、地址、联系方式，项目名称和项目编号，中标人名称、地址和中标金额，主要中标标的的名称、</w:t>
      </w:r>
      <w:r>
        <w:rPr>
          <w:rFonts w:hint="eastAsia" w:ascii="宋体" w:hAnsi="宋体" w:eastAsia="宋体" w:cs="宋体"/>
          <w:color w:val="auto"/>
          <w:sz w:val="24"/>
          <w:highlight w:val="none"/>
          <w:lang w:val="en-US" w:eastAsia="zh-CN"/>
        </w:rPr>
        <w:t>服务范围</w:t>
      </w:r>
      <w:r>
        <w:rPr>
          <w:rFonts w:hint="eastAsia" w:ascii="宋体" w:hAnsi="宋体" w:eastAsia="宋体" w:cs="宋体"/>
          <w:color w:val="auto"/>
          <w:sz w:val="24"/>
          <w:highlight w:val="none"/>
        </w:rPr>
        <w:t>、服务要求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服务时间、服务标准</w:t>
      </w:r>
      <w:r>
        <w:rPr>
          <w:rFonts w:hint="eastAsia" w:ascii="宋体" w:hAnsi="宋体" w:eastAsia="宋体" w:cs="宋体"/>
          <w:color w:val="auto"/>
          <w:sz w:val="24"/>
          <w:highlight w:val="none"/>
        </w:rPr>
        <w:t>，中标公告期限、评审专家名单以及</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中约定进行公告的内容。中标公告期限为1个工作日。</w:t>
      </w:r>
    </w:p>
    <w:p w14:paraId="3082F5E7">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.中标通知书</w:t>
      </w:r>
    </w:p>
    <w:p w14:paraId="4F1B8B9C">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.1采购代理机构发布中标结果公告</w:t>
      </w:r>
      <w:r>
        <w:rPr>
          <w:rFonts w:hint="eastAsia" w:ascii="宋体" w:hAnsi="宋体" w:eastAsia="宋体" w:cs="宋体"/>
          <w:iCs/>
          <w:color w:val="auto"/>
          <w:sz w:val="24"/>
          <w:highlight w:val="none"/>
        </w:rPr>
        <w:t>的</w:t>
      </w:r>
      <w:r>
        <w:rPr>
          <w:rFonts w:hint="eastAsia" w:ascii="宋体" w:hAnsi="宋体" w:eastAsia="宋体" w:cs="宋体"/>
          <w:color w:val="auto"/>
          <w:sz w:val="24"/>
          <w:highlight w:val="none"/>
        </w:rPr>
        <w:t>同时以</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规定的形式向中标人发出中标通知书。中标通知书须加盖采购人、采购代理机构公章并经公共资源交易中心加盖见证章后，方可发出。</w:t>
      </w:r>
    </w:p>
    <w:p w14:paraId="57DE9371">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.2中标通知书对采购人和中标人具有同等法律效力。中标通知书发出以后，采购人改变中标结果或者中标人放弃中标，应当承担相应的法律责任。</w:t>
      </w:r>
    </w:p>
    <w:p w14:paraId="2070BEB9">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.3中标通知书是合同的组成部分。</w:t>
      </w:r>
    </w:p>
    <w:p w14:paraId="4D0D80B8">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25</w:t>
      </w:r>
      <w:r>
        <w:rPr>
          <w:rFonts w:hint="eastAsia" w:ascii="宋体" w:hAnsi="宋体" w:eastAsia="宋体" w:cs="宋体"/>
          <w:b/>
          <w:color w:val="auto"/>
          <w:sz w:val="24"/>
          <w:highlight w:val="none"/>
        </w:rPr>
        <w:t>.告知招标结果</w:t>
      </w:r>
    </w:p>
    <w:p w14:paraId="019B7E37">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.1在公告中标结果的同时，采购代理机构同时以</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规定的形式告知未通过资格审查的投标人未通过的原因；采用综合评分法评审的，还将告知未中标人本人的评审得分和排序。</w:t>
      </w:r>
    </w:p>
    <w:p w14:paraId="101613C7">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26</w:t>
      </w:r>
      <w:r>
        <w:rPr>
          <w:rFonts w:hint="eastAsia" w:ascii="宋体" w:hAnsi="宋体" w:eastAsia="宋体" w:cs="宋体"/>
          <w:b/>
          <w:color w:val="auto"/>
          <w:sz w:val="24"/>
          <w:highlight w:val="none"/>
        </w:rPr>
        <w:t>.履约保证金</w:t>
      </w:r>
    </w:p>
    <w:p w14:paraId="64A4B583">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.1中标人应按照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规定缴纳履约保证金。</w:t>
      </w:r>
    </w:p>
    <w:p w14:paraId="05A6EBBF">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.2如果中标人没有按照上述履约保证金的规定执行，将视为放弃中标资格。在此情况下，采购人可确定下一中标候选人为中标人，也可以重新开展采购活动。</w:t>
      </w:r>
    </w:p>
    <w:p w14:paraId="4027F809">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27</w:t>
      </w:r>
      <w:r>
        <w:rPr>
          <w:rFonts w:hint="eastAsia" w:ascii="宋体" w:hAnsi="宋体" w:eastAsia="宋体" w:cs="宋体"/>
          <w:b/>
          <w:color w:val="auto"/>
          <w:sz w:val="24"/>
          <w:highlight w:val="none"/>
        </w:rPr>
        <w:t>.签订合同</w:t>
      </w:r>
    </w:p>
    <w:p w14:paraId="182A9A19">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.1</w:t>
      </w:r>
      <w:r>
        <w:rPr>
          <w:rFonts w:hint="eastAsia" w:ascii="宋体" w:hAnsi="宋体" w:eastAsia="宋体" w:cs="宋体"/>
          <w:color w:val="auto"/>
          <w:sz w:val="24"/>
          <w:szCs w:val="24"/>
          <w:highlight w:val="none"/>
          <w:u w:val="none"/>
          <w:lang w:val="en-US" w:eastAsia="zh-CN"/>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3ADC9580">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.2招标文件、中标人的投标文件及其澄清文件等，均为签订合同的依据。</w:t>
      </w:r>
    </w:p>
    <w:p w14:paraId="31CABF70">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3中标人拒绝与采购人签订合同的，采购人可以按照评审报告推荐的中标候选人名单排序，确定下一中标候选人为中标人，也可以重新开展政府采购活动。</w:t>
      </w:r>
    </w:p>
    <w:p w14:paraId="3245C8A9">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依据《政府采购促进中小企业发展管理办法》（财库〔2020〕46号）规定享受扶持政策获得政府采购合同的，小微企业不得将合同分包给大中型企业，中型企业不得将合同分包给大型企业。</w:t>
      </w:r>
    </w:p>
    <w:p w14:paraId="093CE820">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28</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代理费用</w:t>
      </w:r>
    </w:p>
    <w:p w14:paraId="2FCA9365">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28</w:t>
      </w:r>
      <w:r>
        <w:rPr>
          <w:rFonts w:hint="eastAsia" w:ascii="宋体" w:hAnsi="宋体" w:eastAsia="宋体" w:cs="宋体"/>
          <w:color w:val="auto"/>
          <w:sz w:val="24"/>
          <w:highlight w:val="none"/>
        </w:rPr>
        <w:t>.1本项目</w:t>
      </w:r>
      <w:r>
        <w:rPr>
          <w:rFonts w:hint="eastAsia" w:ascii="宋体" w:hAnsi="宋体" w:eastAsia="宋体" w:cs="宋体"/>
          <w:color w:val="auto"/>
          <w:sz w:val="24"/>
          <w:highlight w:val="none"/>
          <w:lang w:val="en-US" w:eastAsia="zh-CN"/>
        </w:rPr>
        <w:t>代理费用</w:t>
      </w:r>
      <w:r>
        <w:rPr>
          <w:rFonts w:hint="eastAsia" w:ascii="宋体" w:hAnsi="宋体" w:eastAsia="宋体" w:cs="宋体"/>
          <w:color w:val="auto"/>
          <w:sz w:val="24"/>
          <w:highlight w:val="none"/>
        </w:rPr>
        <w:t>的收取按</w:t>
      </w:r>
      <w:r>
        <w:rPr>
          <w:rFonts w:hint="eastAsia" w:ascii="宋体" w:hAnsi="宋体" w:eastAsia="宋体" w:cs="宋体"/>
          <w:color w:val="auto"/>
          <w:sz w:val="24"/>
          <w:highlight w:val="none"/>
          <w:u w:val="single"/>
        </w:rPr>
        <w:t>投标人须知前附表的</w:t>
      </w:r>
      <w:r>
        <w:rPr>
          <w:rFonts w:hint="eastAsia" w:ascii="宋体" w:hAnsi="宋体" w:eastAsia="宋体" w:cs="宋体"/>
          <w:color w:val="auto"/>
          <w:sz w:val="24"/>
          <w:highlight w:val="none"/>
        </w:rPr>
        <w:t>规定执行。</w:t>
      </w:r>
    </w:p>
    <w:p w14:paraId="0433CD63">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bookmarkStart w:id="26" w:name="_Toc2583661"/>
      <w:bookmarkStart w:id="27" w:name="_Toc518923100"/>
      <w:r>
        <w:rPr>
          <w:rFonts w:hint="eastAsia" w:ascii="宋体" w:hAnsi="宋体" w:eastAsia="宋体" w:cs="宋体"/>
          <w:b/>
          <w:color w:val="auto"/>
          <w:sz w:val="24"/>
          <w:highlight w:val="none"/>
          <w:lang w:eastAsia="zh-CN"/>
        </w:rPr>
        <w:t>29.</w:t>
      </w:r>
      <w:r>
        <w:rPr>
          <w:rFonts w:hint="eastAsia" w:ascii="宋体" w:hAnsi="宋体" w:eastAsia="宋体" w:cs="宋体"/>
          <w:b/>
          <w:color w:val="auto"/>
          <w:sz w:val="24"/>
          <w:highlight w:val="none"/>
        </w:rPr>
        <w:t>廉洁自律规定</w:t>
      </w:r>
      <w:bookmarkEnd w:id="26"/>
      <w:bookmarkEnd w:id="27"/>
    </w:p>
    <w:p w14:paraId="386E6513">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29.</w:t>
      </w:r>
      <w:r>
        <w:rPr>
          <w:rFonts w:hint="eastAsia" w:ascii="宋体" w:hAnsi="宋体" w:eastAsia="宋体" w:cs="宋体"/>
          <w:color w:val="auto"/>
          <w:sz w:val="24"/>
          <w:highlight w:val="none"/>
        </w:rPr>
        <w:t>1采购代理机构工作人员不得以不正当手段获取政府采购代理业务，不得与采购人、供应商恶意串通。</w:t>
      </w:r>
    </w:p>
    <w:p w14:paraId="21E099FB">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29.</w:t>
      </w:r>
      <w:r>
        <w:rPr>
          <w:rFonts w:hint="eastAsia" w:ascii="宋体" w:hAnsi="宋体" w:eastAsia="宋体" w:cs="宋体"/>
          <w:color w:val="auto"/>
          <w:sz w:val="24"/>
          <w:highlight w:val="none"/>
        </w:rPr>
        <w:t>2采购代理机构工作人员不得接受采购人或者供应商组织的宴请、旅游、娱乐，不得收受礼品、现金、有价证券等，不得向采购人或者供应商报销应当由个人承担的费用。</w:t>
      </w:r>
    </w:p>
    <w:p w14:paraId="6D45AC8F">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bookmarkStart w:id="28" w:name="_Toc518923101"/>
      <w:bookmarkStart w:id="29" w:name="_Toc2583662"/>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.人员回避</w:t>
      </w:r>
      <w:bookmarkEnd w:id="28"/>
      <w:bookmarkEnd w:id="29"/>
    </w:p>
    <w:p w14:paraId="565E0824">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投标人认为采购人员及其相关人员有法律法规所列与其他供应商有利害关系的，可以向采购人或采购代理机构书面提出回避申请，并说明理由。</w:t>
      </w:r>
    </w:p>
    <w:p w14:paraId="06177FFD">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.质疑的提出与接收</w:t>
      </w:r>
    </w:p>
    <w:p w14:paraId="166D231C">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.1投标人认为招标文件、招标过程和中标结果使自己的权益受到损害的，可以在知道或者应知其权益受到损害之日起七个工作日内，以书面形式向采购人或其委托的采购代理机构提出质疑。</w:t>
      </w:r>
    </w:p>
    <w:p w14:paraId="2B247A0B">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44DC979B">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采购代理机构质疑函接收部门、联系电话和通讯地址，见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77437175">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31.4采购人或采购代理机构在收到投标人的质疑函后，将审查质疑函的格式、内容以及所附的证明文件是否符合要求。如不符合，说明原因退回投标人；如符合要求，则接受该质疑函。投标人对评审过程、中标（成交）结果提出质疑的，采购人、采购代理机构可以组织原评标委员会协助答复质疑。处理质疑的时间，从实际接受投标人质疑函的时间开始计算。</w:t>
      </w:r>
    </w:p>
    <w:p w14:paraId="29475E68">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注：上述条款中所要求的书面形式包含通过电子交易系统递交方式。</w:t>
      </w:r>
    </w:p>
    <w:p w14:paraId="327E5F68">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32.投诉</w:t>
      </w:r>
    </w:p>
    <w:p w14:paraId="496F88D4">
      <w:pPr>
        <w:keepNext w:val="0"/>
        <w:keepLines w:val="0"/>
        <w:pageBreakBefore w:val="0"/>
        <w:widowControl w:val="0"/>
        <w:kinsoku/>
        <w:wordWrap w:val="0"/>
        <w:overflowPunct/>
        <w:topLinePunct w:val="0"/>
        <w:autoSpaceDE/>
        <w:autoSpaceDN/>
        <w:bidi w:val="0"/>
        <w:adjustRightInd/>
        <w:snapToGrid/>
        <w:spacing w:line="440" w:lineRule="exact"/>
        <w:ind w:firstLine="437"/>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32.1质疑投标人对采购人、采购代理机构的答复不满意，或者采购人、采购代理机构未在规定的时间内答复的，可以在答复期满后十五个工作日内按有关规定，以书面形式（http://ggzy.chuzhou.gov.cn/fwzn/011001/011001001/011001001003/20200727/7fb88e17-63dd-4f17-b17c-290526c6eda8.html）向同级政府采购监督管理部门提出投诉或者线上提交投诉材料（http://ggzy.chuzhou.gov.cn/fwzn/011001/011001001/011001001003/20200221/b079d9ca-90f2-4cce-aa7c-94a444e7ac91.html）。</w:t>
      </w:r>
    </w:p>
    <w:p w14:paraId="2E6D89E1">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32.2政府采购监督管理部门应当在收到投诉后30个工作日内，对投诉事项作出处理决定，并以书面形式通知投诉人和与投诉事项有关的当事人，并在安徽省政府采购网公告。政府采购监督管理部门处理投诉事项，需要检验、检测、鉴定、专家评审以及需要投诉人补正材料的，所需时间不计算在投诉处理期限内。</w:t>
      </w:r>
    </w:p>
    <w:p w14:paraId="7D35F15E">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32.3政府采购监督管理部门在处理投诉事项期间，可以视具体情况书面通知采购人暂停采购活动，但暂停时间最长不得超过30日。</w:t>
      </w:r>
    </w:p>
    <w:p w14:paraId="6FF118FC">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33</w:t>
      </w:r>
      <w:r>
        <w:rPr>
          <w:rFonts w:hint="eastAsia" w:ascii="宋体" w:hAnsi="宋体" w:eastAsia="宋体" w:cs="宋体"/>
          <w:b/>
          <w:color w:val="auto"/>
          <w:sz w:val="24"/>
          <w:highlight w:val="none"/>
        </w:rPr>
        <w:t>.需要补充的其他内容</w:t>
      </w:r>
    </w:p>
    <w:p w14:paraId="428EBB56">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需要补充的其他内容，见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29486744">
      <w:pPr>
        <w:widowControl/>
        <w:jc w:val="left"/>
        <w:rPr>
          <w:rFonts w:hint="eastAsia" w:ascii="宋体" w:hAnsi="宋体" w:eastAsia="宋体" w:cs="宋体"/>
          <w:b/>
          <w:color w:val="auto"/>
          <w:sz w:val="28"/>
          <w:highlight w:val="none"/>
        </w:rPr>
      </w:pPr>
      <w:r>
        <w:rPr>
          <w:rFonts w:hint="eastAsia" w:ascii="宋体" w:hAnsi="宋体" w:eastAsia="宋体" w:cs="宋体"/>
          <w:color w:val="auto"/>
          <w:sz w:val="24"/>
          <w:highlight w:val="none"/>
        </w:rPr>
        <w:br w:type="page"/>
      </w:r>
    </w:p>
    <w:p w14:paraId="54A0376C">
      <w:pPr>
        <w:numPr>
          <w:ilvl w:val="0"/>
          <w:numId w:val="2"/>
        </w:numPr>
        <w:spacing w:line="360" w:lineRule="auto"/>
        <w:jc w:val="center"/>
        <w:outlineLvl w:val="0"/>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 xml:space="preserve"> </w:t>
      </w:r>
      <w:bookmarkStart w:id="30" w:name="_Toc22605"/>
      <w:r>
        <w:rPr>
          <w:rFonts w:hint="eastAsia" w:ascii="宋体" w:hAnsi="宋体" w:eastAsia="宋体" w:cs="宋体"/>
          <w:b/>
          <w:color w:val="auto"/>
          <w:sz w:val="28"/>
          <w:highlight w:val="none"/>
        </w:rPr>
        <w:t>采购需求</w:t>
      </w:r>
      <w:bookmarkEnd w:id="30"/>
    </w:p>
    <w:p w14:paraId="2811621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前注：</w:t>
      </w:r>
    </w:p>
    <w:p w14:paraId="70773539">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本采购需求中提出的服务方案仅为参考，如无明确限制，投标人可以进行优化，提供满足采购人实际需要的更优（或者性能实质上不低于的）服务方案，且此方案须经评标委员会评审认可。</w:t>
      </w:r>
    </w:p>
    <w:p w14:paraId="636CC50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sz w:val="24"/>
          <w:szCs w:val="24"/>
          <w:highlight w:val="none"/>
        </w:rPr>
        <w:t>政府采购政策（包括但不限于下列具体政策要求</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w:t>
      </w:r>
    </w:p>
    <w:p w14:paraId="5F9BBFD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78D3FE9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318A41B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18"/>
          <w:highlight w:val="none"/>
          <w:lang w:eastAsia="zh-CN"/>
        </w:rPr>
      </w:pPr>
      <w:r>
        <w:rPr>
          <w:rFonts w:hint="eastAsia" w:ascii="宋体" w:hAnsi="宋体" w:eastAsia="宋体" w:cs="宋体"/>
          <w:color w:val="auto"/>
          <w:sz w:val="24"/>
          <w:szCs w:val="24"/>
          <w:highlight w:val="none"/>
        </w:rPr>
        <w:t>3.如采购人允许采用分包方式履行合同的，应当明确可以分包履行的相关内容。</w:t>
      </w:r>
    </w:p>
    <w:p w14:paraId="754DE687">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1"/>
        <w:rPr>
          <w:rFonts w:hint="eastAsia" w:ascii="宋体" w:hAnsi="宋体" w:eastAsia="宋体" w:cs="宋体"/>
          <w:b/>
          <w:color w:val="auto"/>
          <w:sz w:val="24"/>
          <w:szCs w:val="18"/>
          <w:highlight w:val="none"/>
        </w:rPr>
      </w:pPr>
      <w:bookmarkStart w:id="31" w:name="_Toc21798"/>
      <w:bookmarkStart w:id="32" w:name="_Toc4148"/>
      <w:bookmarkStart w:id="33" w:name="_Hlk23621890"/>
      <w:r>
        <w:rPr>
          <w:rFonts w:hint="eastAsia" w:ascii="宋体" w:hAnsi="宋体" w:eastAsia="宋体" w:cs="宋体"/>
          <w:b/>
          <w:color w:val="auto"/>
          <w:sz w:val="24"/>
          <w:szCs w:val="18"/>
          <w:highlight w:val="none"/>
        </w:rPr>
        <w:t>一、采购需求前附表</w:t>
      </w:r>
      <w:bookmarkEnd w:id="31"/>
      <w:bookmarkEnd w:id="32"/>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6D0D9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6369C8D">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
                <w:color w:val="auto"/>
                <w:kern w:val="2"/>
                <w:highlight w:val="none"/>
              </w:rPr>
            </w:pPr>
            <w:r>
              <w:rPr>
                <w:rFonts w:hint="eastAsia" w:ascii="宋体" w:hAnsi="宋体" w:eastAsia="宋体" w:cs="宋体"/>
                <w:b/>
                <w:color w:val="auto"/>
                <w:kern w:val="2"/>
                <w:highlight w:val="none"/>
              </w:rPr>
              <w:t>序号</w:t>
            </w:r>
          </w:p>
        </w:tc>
        <w:tc>
          <w:tcPr>
            <w:tcW w:w="1192" w:type="pct"/>
            <w:vAlign w:val="center"/>
          </w:tcPr>
          <w:p w14:paraId="69C66D4C">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条款名称</w:t>
            </w:r>
          </w:p>
        </w:tc>
        <w:tc>
          <w:tcPr>
            <w:tcW w:w="3217" w:type="pct"/>
            <w:vAlign w:val="center"/>
          </w:tcPr>
          <w:p w14:paraId="0DC676E2">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内容、说明与要求</w:t>
            </w:r>
          </w:p>
        </w:tc>
      </w:tr>
      <w:tr w14:paraId="32E14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5539F4F">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p>
        </w:tc>
        <w:tc>
          <w:tcPr>
            <w:tcW w:w="1192" w:type="pct"/>
            <w:vAlign w:val="center"/>
          </w:tcPr>
          <w:p w14:paraId="730B899E">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付款方式</w:t>
            </w:r>
          </w:p>
        </w:tc>
        <w:tc>
          <w:tcPr>
            <w:tcW w:w="3217" w:type="pct"/>
            <w:vAlign w:val="center"/>
          </w:tcPr>
          <w:p w14:paraId="0B58CE46">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color w:val="auto"/>
                <w:sz w:val="24"/>
                <w:highlight w:val="none"/>
                <w:u w:val="single"/>
              </w:rPr>
            </w:pPr>
            <w:r>
              <w:rPr>
                <w:rFonts w:hint="eastAsia" w:ascii="宋体" w:hAnsi="宋体" w:eastAsia="宋体" w:cs="宋体"/>
                <w:b w:val="0"/>
                <w:color w:val="auto"/>
                <w:sz w:val="24"/>
                <w:highlight w:val="none"/>
                <w:u w:val="single"/>
                <w:lang w:eastAsia="zh-CN"/>
              </w:rPr>
              <w:t>合同签订生效并具备实施条件后5个工作日内支付</w:t>
            </w:r>
            <w:r>
              <w:rPr>
                <w:rFonts w:hint="eastAsia" w:ascii="宋体" w:hAnsi="宋体" w:eastAsia="宋体" w:cs="宋体"/>
                <w:b w:val="0"/>
                <w:color w:val="auto"/>
                <w:sz w:val="24"/>
                <w:highlight w:val="none"/>
                <w:u w:val="single"/>
                <w:lang w:val="en-US" w:eastAsia="zh-CN"/>
              </w:rPr>
              <w:t>合同金额</w:t>
            </w:r>
            <w:r>
              <w:rPr>
                <w:rFonts w:hint="eastAsia" w:ascii="宋体" w:hAnsi="宋体" w:eastAsia="宋体" w:cs="宋体"/>
                <w:b w:val="0"/>
                <w:color w:val="auto"/>
                <w:sz w:val="24"/>
                <w:highlight w:val="none"/>
                <w:u w:val="single"/>
                <w:lang w:eastAsia="zh-CN"/>
              </w:rPr>
              <w:t>的40%作为预付款；考核合格后，采购人按季度支付费用（扣除预付款部分</w:t>
            </w:r>
            <w:r>
              <w:rPr>
                <w:rFonts w:hint="eastAsia" w:ascii="宋体" w:hAnsi="宋体" w:eastAsia="宋体" w:cs="宋体"/>
                <w:b w:val="0"/>
                <w:color w:val="auto"/>
                <w:sz w:val="24"/>
                <w:highlight w:val="none"/>
                <w:u w:val="single"/>
                <w:lang w:val="en-US" w:eastAsia="zh-CN"/>
              </w:rPr>
              <w:t>），</w:t>
            </w:r>
            <w:r>
              <w:rPr>
                <w:rFonts w:hint="eastAsia" w:ascii="宋体" w:hAnsi="宋体" w:eastAsia="宋体" w:cs="宋体"/>
                <w:b w:val="0"/>
                <w:color w:val="auto"/>
                <w:sz w:val="24"/>
                <w:highlight w:val="none"/>
                <w:u w:val="single"/>
                <w:lang w:eastAsia="zh-CN"/>
              </w:rPr>
              <w:t>考核不合格，采购人依据考核情况酌情扣减物业服务费且同步进行整改。若整改仍不合格的终止合同。</w:t>
            </w:r>
          </w:p>
        </w:tc>
      </w:tr>
      <w:tr w14:paraId="74C83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C3475BB">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p>
        </w:tc>
        <w:tc>
          <w:tcPr>
            <w:tcW w:w="1192" w:type="pct"/>
            <w:vAlign w:val="center"/>
          </w:tcPr>
          <w:p w14:paraId="585A23A0">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服务地点</w:t>
            </w:r>
          </w:p>
        </w:tc>
        <w:tc>
          <w:tcPr>
            <w:tcW w:w="3217" w:type="pct"/>
            <w:vAlign w:val="center"/>
          </w:tcPr>
          <w:p w14:paraId="191BAFA2">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u w:val="single"/>
                <w:lang w:val="en-US" w:eastAsia="zh-CN"/>
              </w:rPr>
              <w:t>采购人指定地点</w:t>
            </w:r>
          </w:p>
        </w:tc>
      </w:tr>
      <w:tr w14:paraId="46E54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A06BFF0">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3</w:t>
            </w:r>
          </w:p>
        </w:tc>
        <w:tc>
          <w:tcPr>
            <w:tcW w:w="1192" w:type="pct"/>
            <w:vAlign w:val="center"/>
          </w:tcPr>
          <w:p w14:paraId="2A9B99EB">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服务期限</w:t>
            </w:r>
          </w:p>
        </w:tc>
        <w:tc>
          <w:tcPr>
            <w:tcW w:w="3217" w:type="pct"/>
            <w:vAlign w:val="center"/>
          </w:tcPr>
          <w:p w14:paraId="530AD9DC">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color w:val="auto"/>
                <w:sz w:val="24"/>
                <w:highlight w:val="none"/>
                <w:u w:val="single"/>
              </w:rPr>
            </w:pPr>
            <w:r>
              <w:rPr>
                <w:rFonts w:hint="eastAsia" w:ascii="宋体" w:hAnsi="宋体" w:eastAsia="宋体" w:cs="宋体"/>
                <w:b w:val="0"/>
                <w:color w:val="auto"/>
                <w:sz w:val="24"/>
                <w:highlight w:val="none"/>
                <w:u w:val="single"/>
                <w:lang w:eastAsia="zh-CN"/>
              </w:rPr>
              <w:t>服务期</w:t>
            </w:r>
            <w:r>
              <w:rPr>
                <w:rFonts w:hint="eastAsia" w:ascii="宋体" w:hAnsi="宋体" w:eastAsia="宋体" w:cs="宋体"/>
                <w:b w:val="0"/>
                <w:color w:val="auto"/>
                <w:sz w:val="24"/>
                <w:highlight w:val="none"/>
                <w:u w:val="single"/>
                <w:lang w:val="en-US" w:eastAsia="zh-CN"/>
              </w:rPr>
              <w:t>三</w:t>
            </w:r>
            <w:r>
              <w:rPr>
                <w:rFonts w:hint="eastAsia" w:ascii="宋体" w:hAnsi="宋体" w:eastAsia="宋体" w:cs="宋体"/>
                <w:b w:val="0"/>
                <w:color w:val="auto"/>
                <w:sz w:val="24"/>
                <w:highlight w:val="none"/>
                <w:u w:val="single"/>
                <w:lang w:eastAsia="zh-CN"/>
              </w:rPr>
              <w:t>年</w:t>
            </w:r>
            <w:r>
              <w:rPr>
                <w:rFonts w:hint="eastAsia" w:ascii="宋体" w:hAnsi="宋体" w:eastAsia="宋体" w:cs="宋体"/>
                <w:b w:val="0"/>
                <w:color w:val="auto"/>
                <w:sz w:val="24"/>
                <w:highlight w:val="none"/>
                <w:u w:val="single"/>
              </w:rPr>
              <w:t>，合同一年一签。</w:t>
            </w:r>
          </w:p>
          <w:p w14:paraId="6FB47A7A">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u w:val="single"/>
              </w:rPr>
              <w:t>服务期限内招标人按照招标文件</w:t>
            </w:r>
            <w:r>
              <w:rPr>
                <w:rFonts w:hint="eastAsia" w:ascii="宋体" w:hAnsi="宋体" w:eastAsia="宋体" w:cs="宋体"/>
                <w:b w:val="0"/>
                <w:color w:val="auto"/>
                <w:sz w:val="24"/>
                <w:highlight w:val="none"/>
                <w:u w:val="single"/>
                <w:lang w:val="en-US" w:eastAsia="zh-CN"/>
              </w:rPr>
              <w:t>考核办法对</w:t>
            </w:r>
            <w:r>
              <w:rPr>
                <w:rFonts w:hint="eastAsia" w:ascii="宋体" w:hAnsi="宋体" w:eastAsia="宋体" w:cs="宋体"/>
                <w:b w:val="0"/>
                <w:color w:val="auto"/>
                <w:sz w:val="24"/>
                <w:highlight w:val="none"/>
                <w:u w:val="single"/>
              </w:rPr>
              <w:t>中标进行量化考核，考核不合格，采购人依据考核情况酌情扣减物业</w:t>
            </w:r>
            <w:r>
              <w:rPr>
                <w:rFonts w:hint="eastAsia" w:ascii="宋体" w:hAnsi="宋体" w:eastAsia="宋体" w:cs="宋体"/>
                <w:b w:val="0"/>
                <w:color w:val="auto"/>
                <w:sz w:val="24"/>
                <w:highlight w:val="none"/>
                <w:u w:val="single"/>
                <w:lang w:val="en-US" w:eastAsia="zh-CN"/>
              </w:rPr>
              <w:t>服务</w:t>
            </w:r>
            <w:r>
              <w:rPr>
                <w:rFonts w:hint="eastAsia" w:ascii="宋体" w:hAnsi="宋体" w:eastAsia="宋体" w:cs="宋体"/>
                <w:b w:val="0"/>
                <w:color w:val="auto"/>
                <w:sz w:val="24"/>
                <w:highlight w:val="none"/>
                <w:u w:val="single"/>
              </w:rPr>
              <w:t>费且同步进行整改。若整改</w:t>
            </w:r>
            <w:r>
              <w:rPr>
                <w:rFonts w:hint="eastAsia" w:ascii="宋体" w:hAnsi="宋体" w:eastAsia="宋体" w:cs="宋体"/>
                <w:b w:val="0"/>
                <w:color w:val="auto"/>
                <w:sz w:val="24"/>
                <w:highlight w:val="none"/>
                <w:u w:val="single"/>
                <w:lang w:val="en-US" w:eastAsia="zh-CN"/>
              </w:rPr>
              <w:t>仍</w:t>
            </w:r>
            <w:r>
              <w:rPr>
                <w:rFonts w:hint="eastAsia" w:ascii="宋体" w:hAnsi="宋体" w:eastAsia="宋体" w:cs="宋体"/>
                <w:b w:val="0"/>
                <w:color w:val="auto"/>
                <w:sz w:val="24"/>
                <w:highlight w:val="none"/>
                <w:u w:val="single"/>
              </w:rPr>
              <w:t>不合格</w:t>
            </w:r>
            <w:r>
              <w:rPr>
                <w:rFonts w:hint="eastAsia" w:ascii="宋体" w:hAnsi="宋体" w:eastAsia="宋体" w:cs="宋体"/>
                <w:b w:val="0"/>
                <w:color w:val="auto"/>
                <w:sz w:val="24"/>
                <w:highlight w:val="none"/>
                <w:u w:val="single"/>
                <w:lang w:val="en-US" w:eastAsia="zh-CN"/>
              </w:rPr>
              <w:t>的</w:t>
            </w:r>
            <w:r>
              <w:rPr>
                <w:rFonts w:hint="eastAsia" w:ascii="宋体" w:hAnsi="宋体" w:eastAsia="宋体" w:cs="宋体"/>
                <w:b w:val="0"/>
                <w:color w:val="auto"/>
                <w:sz w:val="24"/>
                <w:highlight w:val="none"/>
                <w:u w:val="single"/>
              </w:rPr>
              <w:t>终止合同。</w:t>
            </w:r>
          </w:p>
        </w:tc>
      </w:tr>
      <w:tr w14:paraId="1AB81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16738E0">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highlight w:val="none"/>
                <w:lang w:val="en-US" w:eastAsia="zh-CN"/>
              </w:rPr>
            </w:pPr>
            <w:r>
              <w:rPr>
                <w:rFonts w:hint="eastAsia" w:ascii="宋体" w:hAnsi="宋体" w:eastAsia="宋体" w:cs="宋体"/>
                <w:bCs/>
                <w:color w:val="auto"/>
                <w:kern w:val="2"/>
                <w:highlight w:val="none"/>
                <w:lang w:val="en-US" w:eastAsia="zh-CN"/>
              </w:rPr>
              <w:t>4</w:t>
            </w:r>
          </w:p>
        </w:tc>
        <w:tc>
          <w:tcPr>
            <w:tcW w:w="1192" w:type="pct"/>
            <w:vAlign w:val="center"/>
          </w:tcPr>
          <w:p w14:paraId="4DA3BF13">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本项目采购标的名称及所属行业</w:t>
            </w:r>
          </w:p>
        </w:tc>
        <w:tc>
          <w:tcPr>
            <w:tcW w:w="3217" w:type="pct"/>
            <w:vAlign w:val="center"/>
          </w:tcPr>
          <w:p w14:paraId="594BCBD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标的名称：</w:t>
            </w:r>
            <w:r>
              <w:rPr>
                <w:rFonts w:hint="eastAsia" w:ascii="宋体" w:hAnsi="宋体" w:eastAsia="宋体" w:cs="宋体"/>
                <w:color w:val="auto"/>
                <w:sz w:val="24"/>
                <w:highlight w:val="none"/>
                <w:lang w:eastAsia="zh-CN"/>
              </w:rPr>
              <w:t>安徽省滁州市中级人民法院物业管理服务项目</w:t>
            </w:r>
          </w:p>
          <w:p w14:paraId="05CD214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所属行业：</w:t>
            </w:r>
            <w:r>
              <w:rPr>
                <w:rFonts w:hint="eastAsia" w:ascii="宋体" w:hAnsi="宋体" w:eastAsia="宋体" w:cs="宋体"/>
                <w:color w:val="auto"/>
                <w:sz w:val="24"/>
                <w:highlight w:val="none"/>
                <w:lang w:val="en-US" w:eastAsia="zh-CN"/>
              </w:rPr>
              <w:t>物业管理</w:t>
            </w:r>
          </w:p>
        </w:tc>
      </w:tr>
    </w:tbl>
    <w:p w14:paraId="009D5D12">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1"/>
        <w:rPr>
          <w:rFonts w:hint="eastAsia" w:ascii="宋体" w:hAnsi="宋体" w:eastAsia="宋体" w:cs="宋体"/>
          <w:b/>
          <w:color w:val="auto"/>
          <w:sz w:val="24"/>
          <w:szCs w:val="18"/>
          <w:highlight w:val="none"/>
        </w:rPr>
      </w:pPr>
      <w:bookmarkStart w:id="34" w:name="_Toc8753"/>
      <w:bookmarkStart w:id="35" w:name="_Toc16543"/>
      <w:bookmarkStart w:id="36" w:name="_Hlk16461016"/>
      <w:r>
        <w:rPr>
          <w:rFonts w:hint="eastAsia" w:ascii="宋体" w:hAnsi="宋体" w:eastAsia="宋体" w:cs="宋体"/>
          <w:b/>
          <w:color w:val="auto"/>
          <w:sz w:val="24"/>
          <w:szCs w:val="18"/>
          <w:highlight w:val="none"/>
          <w:lang w:val="en-US" w:eastAsia="zh-CN"/>
        </w:rPr>
        <w:t>二、</w:t>
      </w:r>
      <w:r>
        <w:rPr>
          <w:rFonts w:hint="eastAsia" w:ascii="宋体" w:hAnsi="宋体" w:eastAsia="宋体" w:cs="宋体"/>
          <w:b/>
          <w:color w:val="auto"/>
          <w:sz w:val="24"/>
          <w:szCs w:val="18"/>
          <w:highlight w:val="none"/>
        </w:rPr>
        <w:t>项目概况</w:t>
      </w:r>
      <w:bookmarkEnd w:id="34"/>
      <w:bookmarkEnd w:id="35"/>
    </w:p>
    <w:bookmarkEnd w:id="33"/>
    <w:bookmarkEnd w:id="36"/>
    <w:p w14:paraId="5EDF7039">
      <w:pPr>
        <w:keepNext w:val="0"/>
        <w:keepLines w:val="0"/>
        <w:pageBreakBefore w:val="0"/>
        <w:wordWrap/>
        <w:overflowPunct/>
        <w:topLinePunct w:val="0"/>
        <w:autoSpaceDE w:val="0"/>
        <w:autoSpaceDN w:val="0"/>
        <w:bidi w:val="0"/>
        <w:adjustRightInd w:val="0"/>
        <w:spacing w:line="400" w:lineRule="exact"/>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物业服务项目包</w:t>
      </w:r>
      <w:r>
        <w:rPr>
          <w:rFonts w:hint="eastAsia" w:ascii="宋体" w:hAnsi="宋体" w:eastAsia="宋体" w:cs="宋体"/>
          <w:kern w:val="0"/>
          <w:sz w:val="24"/>
          <w:szCs w:val="24"/>
          <w:highlight w:val="none"/>
          <w:lang w:val="en-US" w:eastAsia="zh-CN"/>
        </w:rPr>
        <w:t>含</w:t>
      </w:r>
      <w:r>
        <w:rPr>
          <w:rFonts w:hint="eastAsia" w:ascii="宋体" w:hAnsi="宋体" w:eastAsia="宋体" w:cs="宋体"/>
          <w:kern w:val="0"/>
          <w:sz w:val="24"/>
          <w:szCs w:val="24"/>
          <w:highlight w:val="none"/>
          <w:lang w:val="zh-CN"/>
        </w:rPr>
        <w:t>安全保护、秩序维护、信件（快递）收发、会务服务、办公楼及法庭保洁、公共场所（含院内）卫生保洁、水电等日常维护等。项目概况以现场实物为准。</w:t>
      </w:r>
    </w:p>
    <w:p w14:paraId="226E04FB">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1"/>
        <w:rPr>
          <w:rFonts w:hint="eastAsia" w:ascii="宋体" w:hAnsi="宋体" w:eastAsia="宋体" w:cs="宋体"/>
          <w:b/>
          <w:color w:val="auto"/>
          <w:sz w:val="24"/>
          <w:szCs w:val="18"/>
          <w:highlight w:val="none"/>
        </w:rPr>
      </w:pPr>
      <w:r>
        <w:rPr>
          <w:rFonts w:hint="eastAsia" w:ascii="宋体" w:hAnsi="宋体" w:eastAsia="宋体" w:cs="宋体"/>
          <w:b/>
          <w:color w:val="auto"/>
          <w:sz w:val="24"/>
          <w:szCs w:val="18"/>
          <w:highlight w:val="none"/>
          <w:lang w:val="zh-CN"/>
        </w:rPr>
        <w:t>三、人员配置</w:t>
      </w:r>
      <w:r>
        <w:rPr>
          <w:rFonts w:hint="eastAsia" w:ascii="宋体" w:hAnsi="宋体" w:eastAsia="宋体" w:cs="宋体"/>
          <w:b/>
          <w:color w:val="auto"/>
          <w:sz w:val="24"/>
          <w:szCs w:val="18"/>
          <w:highlight w:val="none"/>
        </w:rPr>
        <w:t>要求</w:t>
      </w:r>
      <w:r>
        <w:rPr>
          <w:rFonts w:hint="eastAsia" w:ascii="宋体" w:hAnsi="宋体" w:eastAsia="宋体" w:cs="宋体"/>
          <w:b/>
          <w:color w:val="auto"/>
          <w:sz w:val="24"/>
          <w:szCs w:val="18"/>
          <w:highlight w:val="none"/>
          <w:lang w:val="zh-CN"/>
        </w:rPr>
        <w:t>（</w:t>
      </w:r>
      <w:r>
        <w:rPr>
          <w:rFonts w:hint="eastAsia" w:ascii="宋体" w:hAnsi="宋体" w:eastAsia="宋体" w:cs="宋体"/>
          <w:b/>
          <w:color w:val="auto"/>
          <w:sz w:val="24"/>
          <w:szCs w:val="18"/>
          <w:highlight w:val="none"/>
          <w:lang w:val="en-US" w:eastAsia="zh-CN"/>
        </w:rPr>
        <w:t>24</w:t>
      </w:r>
      <w:r>
        <w:rPr>
          <w:rFonts w:hint="eastAsia" w:ascii="宋体" w:hAnsi="宋体" w:eastAsia="宋体" w:cs="宋体"/>
          <w:b/>
          <w:color w:val="auto"/>
          <w:sz w:val="24"/>
          <w:szCs w:val="18"/>
          <w:highlight w:val="none"/>
          <w:lang w:val="zh-CN"/>
        </w:rPr>
        <w:t>人）</w:t>
      </w:r>
    </w:p>
    <w:tbl>
      <w:tblPr>
        <w:tblStyle w:val="27"/>
        <w:tblW w:w="9022" w:type="dxa"/>
        <w:jc w:val="center"/>
        <w:tblLayout w:type="fixed"/>
        <w:tblCellMar>
          <w:top w:w="0" w:type="dxa"/>
          <w:left w:w="108" w:type="dxa"/>
          <w:bottom w:w="0" w:type="dxa"/>
          <w:right w:w="108" w:type="dxa"/>
        </w:tblCellMar>
      </w:tblPr>
      <w:tblGrid>
        <w:gridCol w:w="1621"/>
        <w:gridCol w:w="720"/>
        <w:gridCol w:w="6681"/>
      </w:tblGrid>
      <w:tr w14:paraId="77B9D822">
        <w:tblPrEx>
          <w:tblCellMar>
            <w:top w:w="0" w:type="dxa"/>
            <w:left w:w="108" w:type="dxa"/>
            <w:bottom w:w="0" w:type="dxa"/>
            <w:right w:w="108" w:type="dxa"/>
          </w:tblCellMar>
        </w:tblPrEx>
        <w:trPr>
          <w:trHeight w:val="510" w:hRule="atLeast"/>
          <w:jc w:val="center"/>
        </w:trPr>
        <w:tc>
          <w:tcPr>
            <w:tcW w:w="1621" w:type="dxa"/>
            <w:tcBorders>
              <w:top w:val="single" w:color="auto" w:sz="4" w:space="0"/>
              <w:left w:val="single" w:color="auto" w:sz="4" w:space="0"/>
              <w:bottom w:val="single" w:color="auto" w:sz="4" w:space="0"/>
              <w:right w:val="single" w:color="auto" w:sz="4" w:space="0"/>
            </w:tcBorders>
            <w:noWrap w:val="0"/>
            <w:vAlign w:val="center"/>
          </w:tcPr>
          <w:p w14:paraId="5F1F068E">
            <w:pPr>
              <w:widowControl/>
              <w:spacing w:line="440" w:lineRule="exact"/>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岗位设置</w:t>
            </w:r>
          </w:p>
        </w:tc>
        <w:tc>
          <w:tcPr>
            <w:tcW w:w="720" w:type="dxa"/>
            <w:tcBorders>
              <w:top w:val="single" w:color="000000" w:sz="4" w:space="0"/>
              <w:left w:val="single" w:color="auto" w:sz="4" w:space="0"/>
              <w:bottom w:val="single" w:color="000000" w:sz="4" w:space="0"/>
              <w:right w:val="single" w:color="000000" w:sz="4" w:space="0"/>
            </w:tcBorders>
            <w:noWrap w:val="0"/>
            <w:vAlign w:val="center"/>
          </w:tcPr>
          <w:p w14:paraId="2C18A1A1">
            <w:pPr>
              <w:widowControl/>
              <w:spacing w:line="440" w:lineRule="exact"/>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人数</w:t>
            </w:r>
          </w:p>
        </w:tc>
        <w:tc>
          <w:tcPr>
            <w:tcW w:w="6681" w:type="dxa"/>
            <w:tcBorders>
              <w:top w:val="single" w:color="000000" w:sz="4" w:space="0"/>
              <w:left w:val="nil"/>
              <w:bottom w:val="single" w:color="000000" w:sz="4" w:space="0"/>
              <w:right w:val="single" w:color="000000" w:sz="4" w:space="0"/>
            </w:tcBorders>
            <w:noWrap w:val="0"/>
            <w:vAlign w:val="center"/>
          </w:tcPr>
          <w:p w14:paraId="17E7FD6B">
            <w:pPr>
              <w:widowControl/>
              <w:spacing w:line="440" w:lineRule="exact"/>
              <w:jc w:val="center"/>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rPr>
              <w:t>岗位安排</w:t>
            </w:r>
            <w:r>
              <w:rPr>
                <w:rFonts w:hint="eastAsia" w:ascii="宋体" w:hAnsi="宋体" w:eastAsia="宋体" w:cs="宋体"/>
                <w:b/>
                <w:bCs/>
                <w:kern w:val="0"/>
                <w:sz w:val="24"/>
                <w:szCs w:val="24"/>
                <w:highlight w:val="none"/>
                <w:lang w:val="en-US" w:eastAsia="zh-CN"/>
              </w:rPr>
              <w:t>及配置要求</w:t>
            </w:r>
          </w:p>
        </w:tc>
      </w:tr>
      <w:tr w14:paraId="709C901A">
        <w:tblPrEx>
          <w:tblCellMar>
            <w:top w:w="0" w:type="dxa"/>
            <w:left w:w="108" w:type="dxa"/>
            <w:bottom w:w="0" w:type="dxa"/>
            <w:right w:w="108" w:type="dxa"/>
          </w:tblCellMar>
        </w:tblPrEx>
        <w:trPr>
          <w:trHeight w:val="510" w:hRule="atLeast"/>
          <w:jc w:val="center"/>
        </w:trPr>
        <w:tc>
          <w:tcPr>
            <w:tcW w:w="1621" w:type="dxa"/>
            <w:tcBorders>
              <w:top w:val="single" w:color="auto" w:sz="4" w:space="0"/>
              <w:left w:val="single" w:color="auto" w:sz="4" w:space="0"/>
              <w:bottom w:val="single" w:color="auto" w:sz="4" w:space="0"/>
              <w:right w:val="single" w:color="auto" w:sz="4" w:space="0"/>
            </w:tcBorders>
            <w:noWrap w:val="0"/>
            <w:vAlign w:val="center"/>
          </w:tcPr>
          <w:p w14:paraId="539DF2FE">
            <w:pPr>
              <w:widowControl/>
              <w:spacing w:line="4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项目经理</w:t>
            </w:r>
          </w:p>
        </w:tc>
        <w:tc>
          <w:tcPr>
            <w:tcW w:w="720" w:type="dxa"/>
            <w:tcBorders>
              <w:top w:val="single" w:color="000000" w:sz="4" w:space="0"/>
              <w:left w:val="single" w:color="auto" w:sz="4" w:space="0"/>
              <w:bottom w:val="single" w:color="000000" w:sz="4" w:space="0"/>
              <w:right w:val="single" w:color="000000" w:sz="4" w:space="0"/>
            </w:tcBorders>
            <w:noWrap w:val="0"/>
            <w:vAlign w:val="center"/>
          </w:tcPr>
          <w:p w14:paraId="69E5E611">
            <w:pPr>
              <w:widowControl/>
              <w:spacing w:line="4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6681" w:type="dxa"/>
            <w:tcBorders>
              <w:top w:val="single" w:color="000000" w:sz="4" w:space="0"/>
              <w:left w:val="nil"/>
              <w:bottom w:val="single" w:color="000000" w:sz="4" w:space="0"/>
              <w:right w:val="single" w:color="000000" w:sz="4" w:space="0"/>
            </w:tcBorders>
            <w:noWrap w:val="0"/>
            <w:vAlign w:val="center"/>
          </w:tcPr>
          <w:p w14:paraId="514AEB4F">
            <w:pPr>
              <w:widowControl/>
              <w:spacing w:line="440" w:lineRule="exact"/>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全面负责物业服务工作的管理，做好与</w:t>
            </w:r>
            <w:r>
              <w:rPr>
                <w:rFonts w:hint="eastAsia" w:ascii="宋体" w:hAnsi="宋体" w:eastAsia="宋体" w:cs="宋体"/>
                <w:kern w:val="0"/>
                <w:sz w:val="24"/>
                <w:szCs w:val="24"/>
                <w:highlight w:val="none"/>
                <w:lang w:val="en-US" w:eastAsia="zh-CN"/>
              </w:rPr>
              <w:t>采购人</w:t>
            </w:r>
            <w:r>
              <w:rPr>
                <w:rFonts w:hint="eastAsia" w:ascii="宋体" w:hAnsi="宋体" w:eastAsia="宋体" w:cs="宋体"/>
                <w:kern w:val="0"/>
                <w:sz w:val="24"/>
                <w:szCs w:val="24"/>
                <w:highlight w:val="none"/>
                <w:lang w:val="zh-CN"/>
              </w:rPr>
              <w:t>的沟通和协调工作。</w:t>
            </w:r>
          </w:p>
          <w:p w14:paraId="46D57893">
            <w:pPr>
              <w:widowControl/>
              <w:spacing w:line="440" w:lineRule="exact"/>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身体健康，责任心强，品德良好；工作态度端正，无不良记录；</w:t>
            </w:r>
          </w:p>
          <w:p w14:paraId="4E1E299F">
            <w:pPr>
              <w:widowControl/>
              <w:spacing w:line="44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年龄</w:t>
            </w:r>
            <w:r>
              <w:rPr>
                <w:rFonts w:hint="eastAsia" w:ascii="宋体" w:hAnsi="宋体" w:eastAsia="宋体" w:cs="宋体"/>
                <w:kern w:val="0"/>
                <w:sz w:val="24"/>
                <w:szCs w:val="24"/>
                <w:highlight w:val="none"/>
                <w:lang w:val="en-US" w:eastAsia="zh-CN"/>
              </w:rPr>
              <w:t>50</w:t>
            </w:r>
            <w:r>
              <w:rPr>
                <w:rFonts w:hint="eastAsia" w:ascii="宋体" w:hAnsi="宋体" w:eastAsia="宋体" w:cs="宋体"/>
                <w:kern w:val="0"/>
                <w:sz w:val="24"/>
                <w:szCs w:val="24"/>
                <w:highlight w:val="none"/>
                <w:lang w:val="zh-CN"/>
              </w:rPr>
              <w:t>周岁以下，具有专科以上文化程度。</w:t>
            </w:r>
          </w:p>
        </w:tc>
      </w:tr>
      <w:tr w14:paraId="6A14B56B">
        <w:tblPrEx>
          <w:tblCellMar>
            <w:top w:w="0" w:type="dxa"/>
            <w:left w:w="108" w:type="dxa"/>
            <w:bottom w:w="0" w:type="dxa"/>
            <w:right w:w="108" w:type="dxa"/>
          </w:tblCellMar>
        </w:tblPrEx>
        <w:trPr>
          <w:trHeight w:val="510" w:hRule="atLeast"/>
          <w:jc w:val="center"/>
        </w:trPr>
        <w:tc>
          <w:tcPr>
            <w:tcW w:w="1621" w:type="dxa"/>
            <w:tcBorders>
              <w:top w:val="single" w:color="auto" w:sz="4" w:space="0"/>
              <w:left w:val="single" w:color="auto" w:sz="4" w:space="0"/>
              <w:bottom w:val="single" w:color="auto" w:sz="4" w:space="0"/>
              <w:right w:val="single" w:color="auto" w:sz="4" w:space="0"/>
            </w:tcBorders>
            <w:noWrap w:val="0"/>
            <w:vAlign w:val="center"/>
          </w:tcPr>
          <w:p w14:paraId="463227A1">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zh-CN"/>
              </w:rPr>
              <w:t>水电维修</w:t>
            </w:r>
            <w:r>
              <w:rPr>
                <w:rFonts w:hint="eastAsia" w:ascii="宋体" w:hAnsi="宋体" w:eastAsia="宋体" w:cs="宋体"/>
                <w:kern w:val="0"/>
                <w:sz w:val="24"/>
                <w:szCs w:val="24"/>
                <w:highlight w:val="none"/>
                <w:lang w:val="en-US" w:eastAsia="zh-CN"/>
              </w:rPr>
              <w:t>人员</w:t>
            </w:r>
          </w:p>
        </w:tc>
        <w:tc>
          <w:tcPr>
            <w:tcW w:w="720" w:type="dxa"/>
            <w:tcBorders>
              <w:top w:val="single" w:color="000000" w:sz="4" w:space="0"/>
              <w:left w:val="single" w:color="auto" w:sz="4" w:space="0"/>
              <w:bottom w:val="single" w:color="000000" w:sz="4" w:space="0"/>
              <w:right w:val="single" w:color="000000" w:sz="4" w:space="0"/>
            </w:tcBorders>
            <w:noWrap w:val="0"/>
            <w:vAlign w:val="center"/>
          </w:tcPr>
          <w:p w14:paraId="3F8FAC9C">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6681" w:type="dxa"/>
            <w:tcBorders>
              <w:top w:val="single" w:color="000000" w:sz="4" w:space="0"/>
              <w:left w:val="nil"/>
              <w:bottom w:val="single" w:color="000000" w:sz="4" w:space="0"/>
              <w:right w:val="single" w:color="000000" w:sz="4" w:space="0"/>
            </w:tcBorders>
            <w:noWrap w:val="0"/>
            <w:vAlign w:val="center"/>
          </w:tcPr>
          <w:p w14:paraId="0D18C74C">
            <w:pPr>
              <w:keepLines w:val="0"/>
              <w:pageBreakBefore w:val="0"/>
              <w:widowControl/>
              <w:kinsoku/>
              <w:wordWrap/>
              <w:overflowPunct/>
              <w:topLinePunct w:val="0"/>
              <w:bidi w:val="0"/>
              <w:snapToGrid/>
              <w:spacing w:line="360" w:lineRule="exac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按日常管理规范对水电进行日常护理，对闸阀、气压表等用水设备的日常护理和维修；对所属水管道及水设施的日常护理和维护，包括：各用水场所，水管的渗漏、堵塞的排除，更换用水配件以及简单水管道和用水设备的安装；高、低压用电所有配电柜的日常维护，按操作规程做好各种仪表数字的观察和记录，发现问题应采取积极有效的措施进行处理。若处理不了及时汇报；按用电操作规程，负责对高、低压电柜开关的关启；各场所灯具、开关，空调调速器以及用电设施的日常护理、更换和维修；室内外用电线路的日常护理、检查平常的用电线路并做好用电设施的定期检测；负责简单线路的安装；配合电业局做好用电设备的年检工作；消防设备、器材以及线路的日常护理。对设备要定时检查，一经发现问题，立即查明原因，联系有关人员进行检修，保证设备保持良好的运行状态。负责强电、给排水、电梯、空调等日常维护、保养，确保安全运行，负责办公区域内物品、桌椅等简单维修维护。</w:t>
            </w:r>
          </w:p>
          <w:p w14:paraId="71289CEA">
            <w:pPr>
              <w:keepLines w:val="0"/>
              <w:pageBreakBefore w:val="0"/>
              <w:widowControl/>
              <w:kinsoku/>
              <w:wordWrap/>
              <w:overflowPunct/>
              <w:topLinePunct w:val="0"/>
              <w:bidi w:val="0"/>
              <w:snapToGrid/>
              <w:spacing w:line="36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身体健康，责任心强，持证上岗。</w:t>
            </w:r>
          </w:p>
        </w:tc>
      </w:tr>
      <w:tr w14:paraId="430E17E6">
        <w:tblPrEx>
          <w:tblCellMar>
            <w:top w:w="0" w:type="dxa"/>
            <w:left w:w="108" w:type="dxa"/>
            <w:bottom w:w="0" w:type="dxa"/>
            <w:right w:w="108" w:type="dxa"/>
          </w:tblCellMar>
        </w:tblPrEx>
        <w:trPr>
          <w:trHeight w:val="510" w:hRule="atLeast"/>
          <w:jc w:val="center"/>
        </w:trPr>
        <w:tc>
          <w:tcPr>
            <w:tcW w:w="1621" w:type="dxa"/>
            <w:tcBorders>
              <w:top w:val="single" w:color="auto" w:sz="4" w:space="0"/>
              <w:left w:val="single" w:color="auto" w:sz="4" w:space="0"/>
              <w:bottom w:val="single" w:color="auto" w:sz="4" w:space="0"/>
              <w:right w:val="single" w:color="auto" w:sz="4" w:space="0"/>
            </w:tcBorders>
            <w:noWrap w:val="0"/>
            <w:vAlign w:val="center"/>
          </w:tcPr>
          <w:p w14:paraId="47B0F2F4">
            <w:pPr>
              <w:keepLines w:val="0"/>
              <w:pageBreakBefore w:val="0"/>
              <w:widowControl/>
              <w:kinsoku/>
              <w:wordWrap/>
              <w:overflowPunct/>
              <w:topLinePunct w:val="0"/>
              <w:bidi w:val="0"/>
              <w:snapToGrid/>
              <w:spacing w:line="360" w:lineRule="exact"/>
              <w:ind w:firstLine="120" w:firstLineChars="5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会务</w:t>
            </w:r>
            <w:r>
              <w:rPr>
                <w:rFonts w:hint="eastAsia" w:ascii="宋体" w:hAnsi="宋体" w:eastAsia="宋体" w:cs="宋体"/>
                <w:kern w:val="0"/>
                <w:sz w:val="24"/>
                <w:szCs w:val="24"/>
                <w:highlight w:val="none"/>
                <w:lang w:val="en-US" w:eastAsia="zh-CN"/>
              </w:rPr>
              <w:t>人</w:t>
            </w:r>
            <w:r>
              <w:rPr>
                <w:rFonts w:hint="eastAsia" w:ascii="宋体" w:hAnsi="宋体" w:eastAsia="宋体" w:cs="宋体"/>
                <w:kern w:val="0"/>
                <w:sz w:val="24"/>
                <w:szCs w:val="24"/>
                <w:highlight w:val="none"/>
              </w:rPr>
              <w:t>员</w:t>
            </w:r>
          </w:p>
        </w:tc>
        <w:tc>
          <w:tcPr>
            <w:tcW w:w="720" w:type="dxa"/>
            <w:tcBorders>
              <w:top w:val="single" w:color="000000" w:sz="4" w:space="0"/>
              <w:left w:val="single" w:color="auto" w:sz="4" w:space="0"/>
              <w:bottom w:val="single" w:color="000000" w:sz="4" w:space="0"/>
              <w:right w:val="single" w:color="000000" w:sz="4" w:space="0"/>
            </w:tcBorders>
            <w:noWrap w:val="0"/>
            <w:vAlign w:val="center"/>
          </w:tcPr>
          <w:p w14:paraId="7833D5F6">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6681" w:type="dxa"/>
            <w:tcBorders>
              <w:top w:val="single" w:color="000000" w:sz="4" w:space="0"/>
              <w:left w:val="nil"/>
              <w:bottom w:val="single" w:color="000000" w:sz="4" w:space="0"/>
              <w:right w:val="single" w:color="000000" w:sz="4" w:space="0"/>
            </w:tcBorders>
            <w:noWrap w:val="0"/>
            <w:vAlign w:val="center"/>
          </w:tcPr>
          <w:p w14:paraId="31907D3C">
            <w:pPr>
              <w:keepLines w:val="0"/>
              <w:pageBreakBefore w:val="0"/>
              <w:widowControl/>
              <w:kinsoku/>
              <w:wordWrap/>
              <w:overflowPunct/>
              <w:topLinePunct w:val="0"/>
              <w:bidi w:val="0"/>
              <w:snapToGrid/>
              <w:spacing w:line="360" w:lineRule="exac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负责主楼四楼、六楼、十四楼、法庭四楼及多功能会议室（大法庭）、视频会议室等管理、席卡、茶水等服务（重大会议会务保障由物业公司临时增派）。开会前，摆放好会议室各种设备，会议完毕清点会议室物品，进行卫生清理，关好门窗，关闭电源，会议室茶具应清洁无茶垢，用后及时清洗消毒。注意个人仪容仪表，礼貌礼节；做好与其他部门的沟通工作。做好保密与信息安全工作。</w:t>
            </w:r>
          </w:p>
          <w:p w14:paraId="01EE7A7C">
            <w:pPr>
              <w:keepLines w:val="0"/>
              <w:pageBreakBefore w:val="0"/>
              <w:widowControl/>
              <w:kinsoku/>
              <w:wordWrap/>
              <w:overflowPunct/>
              <w:topLinePunct w:val="0"/>
              <w:bidi w:val="0"/>
              <w:snapToGrid/>
              <w:spacing w:line="36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女性，年龄</w:t>
            </w:r>
            <w:r>
              <w:rPr>
                <w:rFonts w:hint="eastAsia" w:ascii="宋体" w:hAnsi="宋体" w:eastAsia="宋体" w:cs="宋体"/>
                <w:kern w:val="0"/>
                <w:sz w:val="24"/>
                <w:szCs w:val="24"/>
                <w:highlight w:val="none"/>
                <w:lang w:val="en-US" w:eastAsia="zh-CN"/>
              </w:rPr>
              <w:t>35</w:t>
            </w:r>
            <w:r>
              <w:rPr>
                <w:rFonts w:hint="eastAsia" w:ascii="宋体" w:hAnsi="宋体" w:eastAsia="宋体" w:cs="宋体"/>
                <w:kern w:val="0"/>
                <w:sz w:val="24"/>
                <w:szCs w:val="24"/>
                <w:highlight w:val="none"/>
                <w:lang w:val="zh-CN"/>
              </w:rPr>
              <w:t>周岁以下，身高不低于160CM，身体健康，责任心强，无不良记录，外貌端庄。</w:t>
            </w:r>
          </w:p>
        </w:tc>
      </w:tr>
      <w:tr w14:paraId="6F0F63C2">
        <w:tblPrEx>
          <w:tblCellMar>
            <w:top w:w="0" w:type="dxa"/>
            <w:left w:w="108" w:type="dxa"/>
            <w:bottom w:w="0" w:type="dxa"/>
            <w:right w:w="108" w:type="dxa"/>
          </w:tblCellMar>
        </w:tblPrEx>
        <w:trPr>
          <w:trHeight w:val="645" w:hRule="atLeast"/>
          <w:jc w:val="center"/>
        </w:trPr>
        <w:tc>
          <w:tcPr>
            <w:tcW w:w="1621" w:type="dxa"/>
            <w:tcBorders>
              <w:top w:val="single" w:color="auto" w:sz="4" w:space="0"/>
              <w:left w:val="single" w:color="auto" w:sz="4" w:space="0"/>
              <w:bottom w:val="single" w:color="auto" w:sz="4" w:space="0"/>
              <w:right w:val="single" w:color="auto" w:sz="4" w:space="0"/>
            </w:tcBorders>
            <w:noWrap w:val="0"/>
            <w:vAlign w:val="center"/>
          </w:tcPr>
          <w:p w14:paraId="3698B196">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4"/>
                <w:szCs w:val="24"/>
                <w:highlight w:val="none"/>
                <w:lang w:val="en-US" w:eastAsia="zh-CN"/>
              </w:rPr>
            </w:pPr>
            <w:r>
              <w:rPr>
                <w:rFonts w:hint="eastAsia" w:ascii="宋体" w:hAnsi="宋体" w:eastAsia="宋体" w:cs="宋体"/>
                <w:color w:val="000000"/>
                <w:spacing w:val="5"/>
                <w:sz w:val="24"/>
                <w:szCs w:val="24"/>
                <w:highlight w:val="none"/>
              </w:rPr>
              <w:t>秩序维护</w:t>
            </w:r>
            <w:r>
              <w:rPr>
                <w:rFonts w:hint="eastAsia" w:ascii="宋体" w:hAnsi="宋体" w:eastAsia="宋体" w:cs="宋体"/>
                <w:color w:val="000000"/>
                <w:spacing w:val="5"/>
                <w:sz w:val="24"/>
                <w:szCs w:val="24"/>
                <w:highlight w:val="none"/>
                <w:lang w:val="en-US" w:eastAsia="zh-CN"/>
              </w:rPr>
              <w:t>人员</w:t>
            </w:r>
          </w:p>
        </w:tc>
        <w:tc>
          <w:tcPr>
            <w:tcW w:w="720" w:type="dxa"/>
            <w:tcBorders>
              <w:top w:val="single" w:color="000000" w:sz="4" w:space="0"/>
              <w:left w:val="single" w:color="auto" w:sz="4" w:space="0"/>
              <w:bottom w:val="single" w:color="000000" w:sz="4" w:space="0"/>
              <w:right w:val="single" w:color="000000" w:sz="4" w:space="0"/>
            </w:tcBorders>
            <w:noWrap w:val="0"/>
            <w:vAlign w:val="center"/>
          </w:tcPr>
          <w:p w14:paraId="360CA1D9">
            <w:pPr>
              <w:keepLines w:val="0"/>
              <w:pageBreakBefore w:val="0"/>
              <w:widowControl/>
              <w:kinsoku/>
              <w:wordWrap/>
              <w:overflowPunct/>
              <w:topLinePunct w:val="0"/>
              <w:bidi w:val="0"/>
              <w:snapToGrid/>
              <w:spacing w:line="360" w:lineRule="exact"/>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11</w:t>
            </w:r>
          </w:p>
        </w:tc>
        <w:tc>
          <w:tcPr>
            <w:tcW w:w="6681" w:type="dxa"/>
            <w:tcBorders>
              <w:top w:val="single" w:color="000000" w:sz="4" w:space="0"/>
              <w:left w:val="nil"/>
              <w:bottom w:val="single" w:color="000000" w:sz="4" w:space="0"/>
              <w:right w:val="single" w:color="000000" w:sz="4" w:space="0"/>
            </w:tcBorders>
            <w:noWrap w:val="0"/>
            <w:vAlign w:val="center"/>
          </w:tcPr>
          <w:p w14:paraId="16CF22A8">
            <w:pPr>
              <w:keepLines w:val="0"/>
              <w:pageBreakBefore w:val="0"/>
              <w:widowControl/>
              <w:kinsoku/>
              <w:wordWrap/>
              <w:overflowPunct/>
              <w:topLinePunct w:val="0"/>
              <w:bidi w:val="0"/>
              <w:snapToGrid/>
              <w:spacing w:line="36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人员配置：</w:t>
            </w:r>
            <w:r>
              <w:rPr>
                <w:rFonts w:hint="eastAsia" w:ascii="宋体" w:hAnsi="宋体" w:eastAsia="宋体" w:cs="宋体"/>
                <w:kern w:val="0"/>
                <w:sz w:val="24"/>
                <w:szCs w:val="24"/>
                <w:highlight w:val="none"/>
              </w:rPr>
              <w:t>正门岗</w:t>
            </w:r>
            <w:r>
              <w:rPr>
                <w:rFonts w:hint="eastAsia" w:ascii="宋体" w:hAnsi="宋体" w:eastAsia="宋体" w:cs="宋体"/>
                <w:kern w:val="0"/>
                <w:sz w:val="24"/>
                <w:szCs w:val="24"/>
                <w:highlight w:val="none"/>
                <w:lang w:val="en-US" w:eastAsia="zh-CN"/>
              </w:rPr>
              <w:t>9</w:t>
            </w:r>
            <w:r>
              <w:rPr>
                <w:rFonts w:hint="eastAsia" w:ascii="宋体" w:hAnsi="宋体" w:eastAsia="宋体" w:cs="宋体"/>
                <w:kern w:val="0"/>
                <w:sz w:val="24"/>
                <w:szCs w:val="24"/>
                <w:highlight w:val="none"/>
              </w:rPr>
              <w:t xml:space="preserve">名；侧门岗2名。 </w:t>
            </w:r>
          </w:p>
          <w:p w14:paraId="552EB871">
            <w:pPr>
              <w:keepLines w:val="0"/>
              <w:pageBreakBefore w:val="0"/>
              <w:widowControl/>
              <w:kinsoku/>
              <w:wordWrap/>
              <w:overflowPunct/>
              <w:topLinePunct w:val="0"/>
              <w:bidi w:val="0"/>
              <w:snapToGrid/>
              <w:spacing w:line="360" w:lineRule="exac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负责正门岗24小时值班、西侧门岗工作日时间值班。主要职责是巡逻检查、车辆管理，噪声管理，安全管理，并协助做好其他工作。负责门卫室、站岗值勤工作，实行24小时巡查值班，确保办公区大院安全无事故；认真做好出入办公区域大院的人员、车辆、物品的验证、登记、查询工作，外来人员进入办公区需经</w:t>
            </w:r>
            <w:r>
              <w:rPr>
                <w:rFonts w:hint="eastAsia" w:ascii="宋体" w:hAnsi="宋体" w:eastAsia="宋体" w:cs="宋体"/>
                <w:kern w:val="0"/>
                <w:sz w:val="24"/>
                <w:szCs w:val="24"/>
                <w:highlight w:val="none"/>
                <w:lang w:val="en-US" w:eastAsia="zh-CN"/>
              </w:rPr>
              <w:t>采购人</w:t>
            </w:r>
            <w:r>
              <w:rPr>
                <w:rFonts w:hint="eastAsia" w:ascii="宋体" w:hAnsi="宋体" w:eastAsia="宋体" w:cs="宋体"/>
                <w:kern w:val="0"/>
                <w:sz w:val="24"/>
                <w:szCs w:val="24"/>
                <w:highlight w:val="none"/>
              </w:rPr>
              <w:t>工作人员的同意或陪同方可入内；切实加强非工作时间和夜间的巡查，发现异常情况及时处理；提高警惕性，做好安全防范工作，发现形迹可疑人员应做好盘查工作，遇有突发情况或险情，应立即采取措施处理，及时报告；负责进入办公区和大院车辆的停放管理，指引外单位人员、车辆至指定位置，自行车、摩托车、汽车分区停放，内部车辆停放指定位置，外部车辆不得占用</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zh-CN"/>
              </w:rPr>
              <w:t>负责消防</w:t>
            </w:r>
            <w:r>
              <w:rPr>
                <w:rFonts w:hint="eastAsia" w:ascii="宋体" w:hAnsi="宋体" w:eastAsia="宋体" w:cs="宋体"/>
                <w:kern w:val="0"/>
                <w:sz w:val="24"/>
                <w:szCs w:val="24"/>
                <w:highlight w:val="none"/>
                <w:lang w:val="en-US" w:eastAsia="zh-CN"/>
              </w:rPr>
              <w:t>值守</w:t>
            </w:r>
            <w:r>
              <w:rPr>
                <w:rFonts w:hint="eastAsia" w:ascii="宋体" w:hAnsi="宋体" w:eastAsia="宋体" w:cs="宋体"/>
                <w:kern w:val="0"/>
                <w:sz w:val="24"/>
                <w:szCs w:val="24"/>
                <w:highlight w:val="none"/>
                <w:lang w:val="zh-CN"/>
              </w:rPr>
              <w:t>，做好消防安全、消防设备巡查、日常消防值班等工作；接受过专业训练，业务熟练；对院内火灾隐患的检查和排除，利用监控</w:t>
            </w:r>
            <w:r>
              <w:rPr>
                <w:rFonts w:hint="eastAsia" w:ascii="宋体" w:hAnsi="宋体" w:eastAsia="宋体" w:cs="宋体"/>
                <w:kern w:val="0"/>
                <w:sz w:val="24"/>
                <w:szCs w:val="24"/>
                <w:highlight w:val="none"/>
                <w:lang w:val="en-US" w:eastAsia="zh-CN"/>
              </w:rPr>
              <w:t>设备</w:t>
            </w:r>
            <w:r>
              <w:rPr>
                <w:rFonts w:hint="eastAsia" w:ascii="宋体" w:hAnsi="宋体" w:eastAsia="宋体" w:cs="宋体"/>
                <w:kern w:val="0"/>
                <w:sz w:val="24"/>
                <w:szCs w:val="24"/>
                <w:highlight w:val="none"/>
                <w:lang w:val="zh-CN"/>
              </w:rPr>
              <w:t>进行消防监控，及时发现并处理消防安全问题，负责受理消防、治安方面的紧急情况，并及时传达给有关部门；能够及时处理各类报警信息，按紧急处置程序进行工作。</w:t>
            </w:r>
            <w:r>
              <w:rPr>
                <w:rFonts w:hint="eastAsia" w:ascii="宋体" w:hAnsi="宋体" w:eastAsia="宋体" w:cs="宋体"/>
                <w:kern w:val="0"/>
                <w:sz w:val="24"/>
                <w:szCs w:val="24"/>
                <w:highlight w:val="none"/>
                <w:lang w:val="en-US" w:eastAsia="zh-CN"/>
              </w:rPr>
              <w:t>按《安徽省消防管理条例》配备具有建构筑物消防员或消防设施操作员证书的人员负责消防24小时值守。</w:t>
            </w:r>
          </w:p>
          <w:p w14:paraId="57BC92C6">
            <w:pPr>
              <w:keepLines w:val="0"/>
              <w:pageBreakBefore w:val="0"/>
              <w:widowControl/>
              <w:kinsoku/>
              <w:wordWrap/>
              <w:overflowPunct/>
              <w:topLinePunct w:val="0"/>
              <w:bidi w:val="0"/>
              <w:snapToGrid/>
              <w:spacing w:line="360" w:lineRule="exac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年龄</w:t>
            </w:r>
            <w:r>
              <w:rPr>
                <w:rFonts w:hint="eastAsia" w:ascii="宋体" w:hAnsi="宋体" w:eastAsia="宋体" w:cs="宋体"/>
                <w:kern w:val="0"/>
                <w:sz w:val="24"/>
                <w:szCs w:val="24"/>
                <w:highlight w:val="none"/>
                <w:lang w:val="en-US" w:eastAsia="zh-CN"/>
              </w:rPr>
              <w:t>50周</w:t>
            </w:r>
            <w:r>
              <w:rPr>
                <w:rFonts w:hint="eastAsia" w:ascii="宋体" w:hAnsi="宋体" w:eastAsia="宋体" w:cs="宋体"/>
                <w:kern w:val="0"/>
                <w:sz w:val="24"/>
                <w:szCs w:val="24"/>
                <w:highlight w:val="none"/>
                <w:lang w:val="zh-CN"/>
              </w:rPr>
              <w:t>岁</w:t>
            </w:r>
            <w:r>
              <w:rPr>
                <w:rFonts w:hint="eastAsia" w:ascii="宋体" w:hAnsi="宋体" w:eastAsia="宋体" w:cs="宋体"/>
                <w:kern w:val="0"/>
                <w:sz w:val="24"/>
                <w:szCs w:val="24"/>
                <w:highlight w:val="none"/>
                <w:lang w:val="en-US" w:eastAsia="zh-CN"/>
              </w:rPr>
              <w:t>以下</w:t>
            </w:r>
            <w:r>
              <w:rPr>
                <w:rFonts w:hint="eastAsia" w:ascii="宋体" w:hAnsi="宋体" w:eastAsia="宋体" w:cs="宋体"/>
                <w:kern w:val="0"/>
                <w:sz w:val="24"/>
                <w:szCs w:val="24"/>
                <w:highlight w:val="none"/>
                <w:lang w:val="zh-CN"/>
              </w:rPr>
              <w:t>，男性身高不低于170CM，女性身高不低于160CM，身体健康，</w:t>
            </w:r>
            <w:r>
              <w:rPr>
                <w:rFonts w:hint="eastAsia" w:ascii="宋体" w:hAnsi="宋体" w:eastAsia="宋体" w:cs="宋体"/>
                <w:kern w:val="0"/>
                <w:sz w:val="24"/>
                <w:szCs w:val="24"/>
                <w:highlight w:val="none"/>
                <w:lang w:val="en-US" w:eastAsia="zh-CN"/>
              </w:rPr>
              <w:t>工作</w:t>
            </w:r>
            <w:r>
              <w:rPr>
                <w:rFonts w:hint="eastAsia" w:ascii="宋体" w:hAnsi="宋体" w:eastAsia="宋体" w:cs="宋体"/>
                <w:kern w:val="0"/>
                <w:sz w:val="24"/>
                <w:szCs w:val="24"/>
                <w:highlight w:val="none"/>
                <w:lang w:val="zh-CN"/>
              </w:rPr>
              <w:t>责任心强，</w:t>
            </w:r>
            <w:r>
              <w:rPr>
                <w:rFonts w:hint="eastAsia" w:ascii="宋体" w:hAnsi="宋体" w:eastAsia="宋体" w:cs="宋体"/>
                <w:kern w:val="0"/>
                <w:sz w:val="24"/>
                <w:szCs w:val="24"/>
                <w:highlight w:val="none"/>
                <w:lang w:val="en-US" w:eastAsia="zh-CN"/>
              </w:rPr>
              <w:t>须</w:t>
            </w:r>
            <w:r>
              <w:rPr>
                <w:rFonts w:hint="eastAsia" w:ascii="宋体" w:hAnsi="宋体" w:eastAsia="宋体" w:cs="宋体"/>
                <w:kern w:val="0"/>
                <w:sz w:val="24"/>
                <w:szCs w:val="24"/>
                <w:highlight w:val="none"/>
                <w:lang w:val="zh-CN"/>
              </w:rPr>
              <w:t>持证上岗，无不良记录。</w:t>
            </w:r>
          </w:p>
          <w:p w14:paraId="1A923FDF">
            <w:pPr>
              <w:keepLines w:val="0"/>
              <w:pageBreakBefore w:val="0"/>
              <w:widowControl/>
              <w:kinsoku/>
              <w:wordWrap/>
              <w:overflowPunct/>
              <w:topLinePunct w:val="0"/>
              <w:bidi w:val="0"/>
              <w:snapToGrid/>
              <w:spacing w:line="36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着装及仪态作风正规，</w:t>
            </w:r>
            <w:r>
              <w:rPr>
                <w:rFonts w:hint="eastAsia" w:ascii="宋体" w:hAnsi="宋体" w:eastAsia="宋体" w:cs="宋体"/>
                <w:kern w:val="0"/>
                <w:sz w:val="24"/>
                <w:szCs w:val="24"/>
                <w:highlight w:val="none"/>
              </w:rPr>
              <w:t>按时交接班，坚守岗位，严禁空班、漏班、迟到、早退和擅离职守，不得酗酒、打牌，贻误值班工作，认真填写值班记录。</w:t>
            </w:r>
          </w:p>
        </w:tc>
      </w:tr>
      <w:tr w14:paraId="60E6D2AB">
        <w:tblPrEx>
          <w:tblCellMar>
            <w:top w:w="0" w:type="dxa"/>
            <w:left w:w="108" w:type="dxa"/>
            <w:bottom w:w="0" w:type="dxa"/>
            <w:right w:w="108" w:type="dxa"/>
          </w:tblCellMar>
        </w:tblPrEx>
        <w:trPr>
          <w:trHeight w:val="510" w:hRule="atLeast"/>
          <w:jc w:val="center"/>
        </w:trPr>
        <w:tc>
          <w:tcPr>
            <w:tcW w:w="1621" w:type="dxa"/>
            <w:tcBorders>
              <w:top w:val="single" w:color="auto" w:sz="4" w:space="0"/>
              <w:left w:val="single" w:color="auto" w:sz="4" w:space="0"/>
              <w:bottom w:val="single" w:color="auto" w:sz="4" w:space="0"/>
              <w:right w:val="single" w:color="auto" w:sz="4" w:space="0"/>
            </w:tcBorders>
            <w:noWrap w:val="0"/>
            <w:vAlign w:val="center"/>
          </w:tcPr>
          <w:p w14:paraId="094C2207">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保洁员</w:t>
            </w:r>
          </w:p>
        </w:tc>
        <w:tc>
          <w:tcPr>
            <w:tcW w:w="720" w:type="dxa"/>
            <w:tcBorders>
              <w:top w:val="single" w:color="000000" w:sz="4" w:space="0"/>
              <w:left w:val="single" w:color="auto" w:sz="4" w:space="0"/>
              <w:bottom w:val="single" w:color="000000" w:sz="4" w:space="0"/>
              <w:right w:val="single" w:color="000000" w:sz="4" w:space="0"/>
            </w:tcBorders>
            <w:noWrap w:val="0"/>
            <w:vAlign w:val="center"/>
          </w:tcPr>
          <w:p w14:paraId="05A8B487">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w:t>
            </w:r>
          </w:p>
        </w:tc>
        <w:tc>
          <w:tcPr>
            <w:tcW w:w="6681" w:type="dxa"/>
            <w:tcBorders>
              <w:top w:val="single" w:color="000000" w:sz="4" w:space="0"/>
              <w:left w:val="nil"/>
              <w:bottom w:val="single" w:color="000000" w:sz="4" w:space="0"/>
              <w:right w:val="single" w:color="000000" w:sz="4" w:space="0"/>
            </w:tcBorders>
            <w:noWrap w:val="0"/>
            <w:vAlign w:val="center"/>
          </w:tcPr>
          <w:p w14:paraId="30AE436C">
            <w:pPr>
              <w:keepLines w:val="0"/>
              <w:pageBreakBefore w:val="0"/>
              <w:widowControl/>
              <w:kinsoku/>
              <w:wordWrap/>
              <w:overflowPunct/>
              <w:topLinePunct w:val="0"/>
              <w:bidi w:val="0"/>
              <w:snapToGrid/>
              <w:spacing w:line="360" w:lineRule="exac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人员配置：主楼5人；诉讼服务中心1人；东、西法庭区域各1人；室外区域1人；保洁兼勤杂工1人（男性）。</w:t>
            </w:r>
          </w:p>
          <w:p w14:paraId="081903E9">
            <w:pPr>
              <w:keepLines w:val="0"/>
              <w:pageBreakBefore w:val="0"/>
              <w:widowControl/>
              <w:kinsoku/>
              <w:wordWrap/>
              <w:overflowPunct/>
              <w:topLinePunct w:val="0"/>
              <w:bidi w:val="0"/>
              <w:snapToGrid/>
              <w:spacing w:line="360" w:lineRule="exac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负责办公楼、法庭、会议室、地下停车库、文化活动中心、院内及其它公共区域、门前三包范围内环境卫生。地面清洁，无烟头、纸屑、痰迹、杂物等；墙壁及屋顶无灰尘、蛛网、门窗、玻璃干净明亮，照明灯具干净，设备、设施及楼梯扶手无灰尘；空地、绿化带内无杂物；卫生间空气清新、无异味，便器等卫生洁具无尿碱，无水锈，便纸篓、</w:t>
            </w:r>
            <w:r>
              <w:rPr>
                <w:rFonts w:hint="eastAsia" w:ascii="宋体" w:hAnsi="宋体" w:eastAsia="宋体" w:cs="宋体"/>
                <w:kern w:val="0"/>
                <w:sz w:val="24"/>
                <w:szCs w:val="24"/>
                <w:highlight w:val="none"/>
                <w:lang w:val="en-US" w:eastAsia="zh-CN"/>
              </w:rPr>
              <w:t>茶水桶</w:t>
            </w:r>
            <w:r>
              <w:rPr>
                <w:rFonts w:hint="eastAsia" w:ascii="宋体" w:hAnsi="宋体" w:eastAsia="宋体" w:cs="宋体"/>
                <w:kern w:val="0"/>
                <w:sz w:val="24"/>
                <w:szCs w:val="24"/>
                <w:highlight w:val="none"/>
              </w:rPr>
              <w:t>每天及时清洗，拖把等清洁工具摆放整齐； 雨、雪后及时清扫院内的积水、积雪；每天上班前，应对保洁范围进行全面清扫，且随时清扫不洁环境，做到垃圾日清，保持门前广场环境优美，整洁</w:t>
            </w:r>
            <w:r>
              <w:rPr>
                <w:rFonts w:hint="eastAsia" w:ascii="宋体" w:hAnsi="宋体" w:eastAsia="宋体" w:cs="宋体"/>
                <w:kern w:val="0"/>
                <w:sz w:val="24"/>
                <w:szCs w:val="24"/>
                <w:highlight w:val="none"/>
                <w:lang w:eastAsia="zh-CN"/>
              </w:rPr>
              <w:t>。</w:t>
            </w:r>
          </w:p>
          <w:p w14:paraId="66045023">
            <w:pPr>
              <w:keepLines w:val="0"/>
              <w:pageBreakBefore w:val="0"/>
              <w:widowControl/>
              <w:kinsoku/>
              <w:wordWrap/>
              <w:overflowPunct/>
              <w:topLinePunct w:val="0"/>
              <w:bidi w:val="0"/>
              <w:snapToGrid/>
              <w:spacing w:line="36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年龄55</w:t>
            </w:r>
            <w:r>
              <w:rPr>
                <w:rFonts w:hint="eastAsia" w:ascii="宋体" w:hAnsi="宋体" w:eastAsia="宋体" w:cs="宋体"/>
                <w:kern w:val="0"/>
                <w:sz w:val="24"/>
                <w:szCs w:val="24"/>
                <w:highlight w:val="none"/>
                <w:lang w:val="en-US" w:eastAsia="zh-CN"/>
              </w:rPr>
              <w:t>周</w:t>
            </w:r>
            <w:r>
              <w:rPr>
                <w:rFonts w:hint="eastAsia" w:ascii="宋体" w:hAnsi="宋体" w:eastAsia="宋体" w:cs="宋体"/>
                <w:kern w:val="0"/>
                <w:sz w:val="24"/>
                <w:szCs w:val="24"/>
                <w:highlight w:val="none"/>
                <w:lang w:val="zh-CN"/>
              </w:rPr>
              <w:t>岁</w:t>
            </w:r>
            <w:r>
              <w:rPr>
                <w:rFonts w:hint="eastAsia" w:ascii="宋体" w:hAnsi="宋体" w:eastAsia="宋体" w:cs="宋体"/>
                <w:kern w:val="0"/>
                <w:sz w:val="24"/>
                <w:szCs w:val="24"/>
                <w:highlight w:val="none"/>
                <w:lang w:val="en-US" w:eastAsia="zh-CN"/>
              </w:rPr>
              <w:t>以下</w:t>
            </w:r>
            <w:r>
              <w:rPr>
                <w:rFonts w:hint="eastAsia" w:ascii="宋体" w:hAnsi="宋体" w:eastAsia="宋体" w:cs="宋体"/>
                <w:kern w:val="0"/>
                <w:sz w:val="24"/>
                <w:szCs w:val="24"/>
                <w:highlight w:val="none"/>
                <w:lang w:val="zh-CN"/>
              </w:rPr>
              <w:t>，身体健康，责任心强，无不良记录。</w:t>
            </w:r>
          </w:p>
        </w:tc>
      </w:tr>
      <w:tr w14:paraId="6340985D">
        <w:tblPrEx>
          <w:tblCellMar>
            <w:top w:w="0" w:type="dxa"/>
            <w:left w:w="108" w:type="dxa"/>
            <w:bottom w:w="0" w:type="dxa"/>
            <w:right w:w="108" w:type="dxa"/>
          </w:tblCellMar>
        </w:tblPrEx>
        <w:trPr>
          <w:trHeight w:val="510" w:hRule="atLeast"/>
          <w:jc w:val="center"/>
        </w:trPr>
        <w:tc>
          <w:tcPr>
            <w:tcW w:w="1621" w:type="dxa"/>
            <w:tcBorders>
              <w:top w:val="single" w:color="auto" w:sz="4" w:space="0"/>
              <w:left w:val="single" w:color="auto" w:sz="4" w:space="0"/>
              <w:bottom w:val="single" w:color="auto" w:sz="4" w:space="0"/>
              <w:right w:val="single" w:color="auto" w:sz="4" w:space="0"/>
            </w:tcBorders>
            <w:noWrap w:val="0"/>
            <w:vAlign w:val="center"/>
          </w:tcPr>
          <w:p w14:paraId="5CCD9D4A">
            <w:pPr>
              <w:widowControl/>
              <w:spacing w:line="4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合计</w:t>
            </w:r>
          </w:p>
        </w:tc>
        <w:tc>
          <w:tcPr>
            <w:tcW w:w="720" w:type="dxa"/>
            <w:tcBorders>
              <w:top w:val="single" w:color="000000" w:sz="4" w:space="0"/>
              <w:left w:val="single" w:color="auto" w:sz="4" w:space="0"/>
              <w:bottom w:val="single" w:color="000000" w:sz="4" w:space="0"/>
              <w:right w:val="single" w:color="000000" w:sz="4" w:space="0"/>
            </w:tcBorders>
            <w:noWrap w:val="0"/>
            <w:vAlign w:val="center"/>
          </w:tcPr>
          <w:p w14:paraId="08ADFE20">
            <w:pPr>
              <w:widowControl/>
              <w:spacing w:line="440" w:lineRule="exact"/>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24</w:t>
            </w:r>
          </w:p>
        </w:tc>
        <w:tc>
          <w:tcPr>
            <w:tcW w:w="6681" w:type="dxa"/>
            <w:tcBorders>
              <w:top w:val="single" w:color="000000" w:sz="4" w:space="0"/>
              <w:left w:val="nil"/>
              <w:bottom w:val="single" w:color="000000" w:sz="4" w:space="0"/>
              <w:right w:val="single" w:color="000000" w:sz="4" w:space="0"/>
            </w:tcBorders>
            <w:noWrap w:val="0"/>
            <w:vAlign w:val="center"/>
          </w:tcPr>
          <w:p w14:paraId="48BFC1B4">
            <w:pPr>
              <w:widowControl/>
              <w:spacing w:line="440" w:lineRule="exact"/>
              <w:jc w:val="left"/>
              <w:rPr>
                <w:rFonts w:hint="eastAsia" w:ascii="宋体" w:hAnsi="宋体" w:eastAsia="宋体" w:cs="宋体"/>
                <w:kern w:val="0"/>
                <w:sz w:val="24"/>
                <w:szCs w:val="24"/>
                <w:highlight w:val="none"/>
              </w:rPr>
            </w:pPr>
          </w:p>
        </w:tc>
      </w:tr>
    </w:tbl>
    <w:p w14:paraId="084AEB78">
      <w:pPr>
        <w:keepNext w:val="0"/>
        <w:keepLines w:val="0"/>
        <w:pageBreakBefore w:val="0"/>
        <w:wordWrap/>
        <w:overflowPunct/>
        <w:topLinePunct w:val="0"/>
        <w:bidi w:val="0"/>
        <w:snapToGrid w:val="0"/>
        <w:spacing w:line="40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注：本项目配备人数为项目在满员时的最低配置。根据采购人实际需要，配置足够的工作人员。</w:t>
      </w:r>
      <w:r>
        <w:rPr>
          <w:rFonts w:hint="eastAsia" w:ascii="宋体" w:hAnsi="宋体" w:eastAsia="宋体" w:cs="宋体"/>
          <w:sz w:val="24"/>
          <w:szCs w:val="24"/>
          <w:highlight w:val="none"/>
        </w:rPr>
        <w:t>所有人员进场前须提供体检合格的证明材料和劳动合同报采购人确认。项目服务期内中标人更换相关人员的，须经采购人书面同意，否则视为中标人违约，给采购人造成损失的，将尽数赔偿。</w:t>
      </w:r>
    </w:p>
    <w:p w14:paraId="0F88A945">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1"/>
        <w:rPr>
          <w:rFonts w:hint="eastAsia" w:ascii="宋体" w:hAnsi="宋体" w:eastAsia="宋体" w:cs="宋体"/>
          <w:b/>
          <w:color w:val="auto"/>
          <w:sz w:val="24"/>
          <w:szCs w:val="18"/>
          <w:highlight w:val="none"/>
          <w:lang w:val="en-US" w:eastAsia="zh-CN"/>
        </w:rPr>
      </w:pPr>
      <w:r>
        <w:rPr>
          <w:rFonts w:hint="eastAsia" w:ascii="宋体" w:hAnsi="宋体" w:eastAsia="宋体" w:cs="宋体"/>
          <w:b/>
          <w:color w:val="auto"/>
          <w:sz w:val="24"/>
          <w:szCs w:val="18"/>
          <w:highlight w:val="none"/>
          <w:lang w:val="zh-CN"/>
        </w:rPr>
        <w:t>四、</w:t>
      </w:r>
      <w:r>
        <w:rPr>
          <w:rFonts w:hint="eastAsia" w:ascii="宋体" w:hAnsi="宋体" w:eastAsia="宋体" w:cs="宋体"/>
          <w:b/>
          <w:color w:val="auto"/>
          <w:sz w:val="24"/>
          <w:szCs w:val="18"/>
          <w:highlight w:val="none"/>
          <w:lang w:val="en-US" w:eastAsia="zh-CN"/>
        </w:rPr>
        <w:t>服务需求及说明</w:t>
      </w:r>
    </w:p>
    <w:p w14:paraId="287E7460">
      <w:pPr>
        <w:keepNext w:val="0"/>
        <w:keepLines w:val="0"/>
        <w:pageBreakBefore w:val="0"/>
        <w:wordWrap/>
        <w:overflowPunct/>
        <w:topLinePunct w:val="0"/>
        <w:bidi w:val="0"/>
        <w:snapToGrid w:val="0"/>
        <w:spacing w:line="40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1.采购人</w:t>
      </w:r>
      <w:r>
        <w:rPr>
          <w:rFonts w:hint="eastAsia" w:ascii="宋体" w:hAnsi="宋体" w:eastAsia="宋体" w:cs="宋体"/>
          <w:sz w:val="24"/>
          <w:szCs w:val="24"/>
          <w:highlight w:val="none"/>
          <w:lang w:val="zh-CN"/>
        </w:rPr>
        <w:t>的权利与义务</w:t>
      </w:r>
    </w:p>
    <w:p w14:paraId="40DAD332">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lang w:eastAsia="zh-CN"/>
        </w:rPr>
        <w:t>采购人</w:t>
      </w:r>
      <w:r>
        <w:rPr>
          <w:rFonts w:hint="eastAsia" w:ascii="宋体" w:hAnsi="宋体" w:eastAsia="宋体" w:cs="宋体"/>
          <w:color w:val="000000"/>
          <w:kern w:val="0"/>
          <w:sz w:val="24"/>
          <w:szCs w:val="24"/>
          <w:highlight w:val="none"/>
        </w:rPr>
        <w:t>有权要求</w:t>
      </w:r>
      <w:r>
        <w:rPr>
          <w:rFonts w:hint="eastAsia" w:ascii="宋体" w:hAnsi="宋体" w:eastAsia="宋体" w:cs="宋体"/>
          <w:color w:val="000000"/>
          <w:kern w:val="0"/>
          <w:sz w:val="24"/>
          <w:szCs w:val="24"/>
          <w:highlight w:val="none"/>
          <w:lang w:eastAsia="zh-CN"/>
        </w:rPr>
        <w:t>中标人</w:t>
      </w:r>
      <w:r>
        <w:rPr>
          <w:rFonts w:hint="eastAsia" w:ascii="宋体" w:hAnsi="宋体" w:eastAsia="宋体" w:cs="宋体"/>
          <w:color w:val="000000"/>
          <w:kern w:val="0"/>
          <w:sz w:val="24"/>
          <w:szCs w:val="24"/>
          <w:highlight w:val="none"/>
        </w:rPr>
        <w:t>按合同的内容、标准做好</w:t>
      </w:r>
      <w:r>
        <w:rPr>
          <w:rFonts w:hint="eastAsia" w:ascii="宋体" w:hAnsi="宋体" w:eastAsia="宋体" w:cs="宋体"/>
          <w:color w:val="000000"/>
          <w:kern w:val="0"/>
          <w:sz w:val="24"/>
          <w:szCs w:val="24"/>
          <w:highlight w:val="none"/>
          <w:lang w:val="en-US" w:eastAsia="zh-CN"/>
        </w:rPr>
        <w:t>服务区域内</w:t>
      </w:r>
      <w:r>
        <w:rPr>
          <w:rFonts w:hint="eastAsia" w:ascii="宋体" w:hAnsi="宋体" w:eastAsia="宋体" w:cs="宋体"/>
          <w:color w:val="000000"/>
          <w:kern w:val="0"/>
          <w:sz w:val="24"/>
          <w:szCs w:val="24"/>
          <w:highlight w:val="none"/>
        </w:rPr>
        <w:t>的物业管理</w:t>
      </w:r>
      <w:r>
        <w:rPr>
          <w:rFonts w:hint="eastAsia" w:ascii="宋体" w:hAnsi="宋体" w:eastAsia="宋体" w:cs="宋体"/>
          <w:color w:val="000000"/>
          <w:kern w:val="0"/>
          <w:sz w:val="24"/>
          <w:szCs w:val="24"/>
          <w:highlight w:val="none"/>
          <w:lang w:val="en-US" w:eastAsia="zh-CN"/>
        </w:rPr>
        <w:t>服务</w:t>
      </w:r>
      <w:r>
        <w:rPr>
          <w:rFonts w:hint="eastAsia" w:ascii="宋体" w:hAnsi="宋体" w:eastAsia="宋体" w:cs="宋体"/>
          <w:color w:val="000000"/>
          <w:kern w:val="0"/>
          <w:sz w:val="24"/>
          <w:szCs w:val="24"/>
          <w:highlight w:val="none"/>
        </w:rPr>
        <w:t>工作，</w:t>
      </w:r>
      <w:r>
        <w:rPr>
          <w:rFonts w:hint="eastAsia" w:ascii="宋体" w:hAnsi="宋体" w:eastAsia="宋体" w:cs="宋体"/>
          <w:color w:val="000000"/>
          <w:kern w:val="0"/>
          <w:sz w:val="24"/>
          <w:szCs w:val="24"/>
          <w:highlight w:val="none"/>
          <w:lang w:eastAsia="zh-CN"/>
        </w:rPr>
        <w:t>采购人</w:t>
      </w:r>
      <w:r>
        <w:rPr>
          <w:rFonts w:hint="eastAsia" w:ascii="宋体" w:hAnsi="宋体" w:eastAsia="宋体" w:cs="宋体"/>
          <w:color w:val="000000"/>
          <w:kern w:val="0"/>
          <w:sz w:val="24"/>
          <w:szCs w:val="24"/>
          <w:highlight w:val="none"/>
        </w:rPr>
        <w:t>对</w:t>
      </w:r>
      <w:r>
        <w:rPr>
          <w:rFonts w:hint="eastAsia" w:ascii="宋体" w:hAnsi="宋体" w:eastAsia="宋体" w:cs="宋体"/>
          <w:color w:val="000000"/>
          <w:kern w:val="0"/>
          <w:sz w:val="24"/>
          <w:szCs w:val="24"/>
          <w:highlight w:val="none"/>
          <w:lang w:eastAsia="zh-CN"/>
        </w:rPr>
        <w:t>中标人</w:t>
      </w:r>
      <w:r>
        <w:rPr>
          <w:rFonts w:hint="eastAsia" w:ascii="宋体" w:hAnsi="宋体" w:eastAsia="宋体" w:cs="宋体"/>
          <w:color w:val="000000"/>
          <w:kern w:val="0"/>
          <w:sz w:val="24"/>
          <w:szCs w:val="24"/>
          <w:highlight w:val="none"/>
        </w:rPr>
        <w:t>的工作质量进行量化</w:t>
      </w:r>
      <w:r>
        <w:rPr>
          <w:rFonts w:hint="eastAsia" w:ascii="宋体" w:hAnsi="宋体" w:eastAsia="宋体" w:cs="宋体"/>
          <w:color w:val="000000"/>
          <w:kern w:val="0"/>
          <w:sz w:val="24"/>
          <w:szCs w:val="24"/>
          <w:highlight w:val="none"/>
          <w:lang w:val="en-US" w:eastAsia="zh-CN"/>
        </w:rPr>
        <w:t>考核</w:t>
      </w:r>
      <w:r>
        <w:rPr>
          <w:rFonts w:hint="eastAsia" w:ascii="宋体" w:hAnsi="宋体" w:eastAsia="宋体" w:cs="宋体"/>
          <w:color w:val="000000"/>
          <w:kern w:val="0"/>
          <w:sz w:val="24"/>
          <w:szCs w:val="24"/>
          <w:highlight w:val="none"/>
        </w:rPr>
        <w:t>，每</w:t>
      </w:r>
      <w:r>
        <w:rPr>
          <w:rFonts w:hint="eastAsia" w:ascii="宋体" w:hAnsi="宋体" w:eastAsia="宋体" w:cs="宋体"/>
          <w:color w:val="000000"/>
          <w:kern w:val="0"/>
          <w:sz w:val="24"/>
          <w:szCs w:val="24"/>
          <w:highlight w:val="none"/>
          <w:lang w:val="en-US" w:eastAsia="zh-CN"/>
        </w:rPr>
        <w:t>季度</w:t>
      </w:r>
      <w:r>
        <w:rPr>
          <w:rFonts w:hint="eastAsia" w:ascii="宋体" w:hAnsi="宋体" w:eastAsia="宋体" w:cs="宋体"/>
          <w:color w:val="000000"/>
          <w:kern w:val="0"/>
          <w:sz w:val="24"/>
          <w:szCs w:val="24"/>
          <w:highlight w:val="none"/>
        </w:rPr>
        <w:t>定期或不定期对物业服务情况进行检查，履行监督与管理的权利。</w:t>
      </w:r>
    </w:p>
    <w:p w14:paraId="00D3D75B">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lang w:eastAsia="zh-CN"/>
        </w:rPr>
        <w:t>采购人</w:t>
      </w:r>
      <w:r>
        <w:rPr>
          <w:rFonts w:hint="eastAsia" w:ascii="宋体" w:hAnsi="宋体" w:eastAsia="宋体" w:cs="宋体"/>
          <w:color w:val="000000"/>
          <w:kern w:val="0"/>
          <w:sz w:val="24"/>
          <w:szCs w:val="24"/>
          <w:highlight w:val="none"/>
        </w:rPr>
        <w:t>有权根据工作性质对</w:t>
      </w:r>
      <w:r>
        <w:rPr>
          <w:rFonts w:hint="eastAsia" w:ascii="宋体" w:hAnsi="宋体" w:eastAsia="宋体" w:cs="宋体"/>
          <w:color w:val="000000"/>
          <w:kern w:val="0"/>
          <w:sz w:val="24"/>
          <w:szCs w:val="24"/>
          <w:highlight w:val="none"/>
          <w:lang w:eastAsia="zh-CN"/>
        </w:rPr>
        <w:t>中标人</w:t>
      </w:r>
      <w:r>
        <w:rPr>
          <w:rFonts w:hint="eastAsia" w:ascii="宋体" w:hAnsi="宋体" w:eastAsia="宋体" w:cs="宋体"/>
          <w:color w:val="000000"/>
          <w:kern w:val="0"/>
          <w:sz w:val="24"/>
          <w:szCs w:val="24"/>
          <w:highlight w:val="none"/>
        </w:rPr>
        <w:t>提出指导性意见，如无特殊理由，</w:t>
      </w:r>
      <w:r>
        <w:rPr>
          <w:rFonts w:hint="eastAsia" w:ascii="宋体" w:hAnsi="宋体" w:eastAsia="宋体" w:cs="宋体"/>
          <w:color w:val="000000"/>
          <w:kern w:val="0"/>
          <w:sz w:val="24"/>
          <w:szCs w:val="24"/>
          <w:highlight w:val="none"/>
          <w:lang w:eastAsia="zh-CN"/>
        </w:rPr>
        <w:t>中标人</w:t>
      </w:r>
      <w:r>
        <w:rPr>
          <w:rFonts w:hint="eastAsia" w:ascii="宋体" w:hAnsi="宋体" w:eastAsia="宋体" w:cs="宋体"/>
          <w:color w:val="000000"/>
          <w:kern w:val="0"/>
          <w:sz w:val="24"/>
          <w:szCs w:val="24"/>
          <w:highlight w:val="none"/>
        </w:rPr>
        <w:t>必须遵照执行。</w:t>
      </w:r>
    </w:p>
    <w:p w14:paraId="72FE9B55">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lang w:eastAsia="zh-CN"/>
        </w:rPr>
        <w:t>采购人</w:t>
      </w:r>
      <w:r>
        <w:rPr>
          <w:rFonts w:hint="eastAsia" w:ascii="宋体" w:hAnsi="宋体" w:eastAsia="宋体" w:cs="宋体"/>
          <w:color w:val="000000"/>
          <w:kern w:val="0"/>
          <w:sz w:val="24"/>
          <w:szCs w:val="24"/>
          <w:highlight w:val="none"/>
        </w:rPr>
        <w:t>有权制止、纠正</w:t>
      </w:r>
      <w:r>
        <w:rPr>
          <w:rFonts w:hint="eastAsia" w:ascii="宋体" w:hAnsi="宋体" w:eastAsia="宋体" w:cs="宋体"/>
          <w:color w:val="000000"/>
          <w:kern w:val="0"/>
          <w:sz w:val="24"/>
          <w:szCs w:val="24"/>
          <w:highlight w:val="none"/>
          <w:lang w:eastAsia="zh-CN"/>
        </w:rPr>
        <w:t>中标人</w:t>
      </w:r>
      <w:r>
        <w:rPr>
          <w:rFonts w:hint="eastAsia" w:ascii="宋体" w:hAnsi="宋体" w:eastAsia="宋体" w:cs="宋体"/>
          <w:color w:val="000000"/>
          <w:kern w:val="0"/>
          <w:sz w:val="24"/>
          <w:szCs w:val="24"/>
          <w:highlight w:val="none"/>
        </w:rPr>
        <w:t>在</w:t>
      </w:r>
      <w:r>
        <w:rPr>
          <w:rFonts w:hint="eastAsia" w:ascii="宋体" w:hAnsi="宋体" w:eastAsia="宋体" w:cs="宋体"/>
          <w:color w:val="000000"/>
          <w:kern w:val="0"/>
          <w:sz w:val="24"/>
          <w:szCs w:val="24"/>
          <w:highlight w:val="none"/>
          <w:lang w:val="en-US" w:eastAsia="zh-CN"/>
        </w:rPr>
        <w:t>服务区域内</w:t>
      </w:r>
      <w:r>
        <w:rPr>
          <w:rFonts w:hint="eastAsia" w:ascii="宋体" w:hAnsi="宋体" w:eastAsia="宋体" w:cs="宋体"/>
          <w:color w:val="000000"/>
          <w:kern w:val="0"/>
          <w:sz w:val="24"/>
          <w:szCs w:val="24"/>
          <w:highlight w:val="none"/>
        </w:rPr>
        <w:t>工作</w:t>
      </w:r>
      <w:r>
        <w:rPr>
          <w:rFonts w:hint="eastAsia" w:ascii="宋体" w:hAnsi="宋体" w:eastAsia="宋体" w:cs="宋体"/>
          <w:color w:val="000000"/>
          <w:kern w:val="0"/>
          <w:sz w:val="24"/>
          <w:szCs w:val="24"/>
          <w:highlight w:val="none"/>
          <w:lang w:val="en-US" w:eastAsia="zh-CN"/>
        </w:rPr>
        <w:t>人员</w:t>
      </w:r>
      <w:r>
        <w:rPr>
          <w:rFonts w:hint="eastAsia" w:ascii="宋体" w:hAnsi="宋体" w:eastAsia="宋体" w:cs="宋体"/>
          <w:color w:val="000000"/>
          <w:kern w:val="0"/>
          <w:sz w:val="24"/>
          <w:szCs w:val="24"/>
          <w:highlight w:val="none"/>
        </w:rPr>
        <w:t>的不良言行，有权要求</w:t>
      </w:r>
      <w:r>
        <w:rPr>
          <w:rFonts w:hint="eastAsia" w:ascii="宋体" w:hAnsi="宋体" w:eastAsia="宋体" w:cs="宋体"/>
          <w:color w:val="000000"/>
          <w:kern w:val="0"/>
          <w:sz w:val="24"/>
          <w:szCs w:val="24"/>
          <w:highlight w:val="none"/>
          <w:lang w:eastAsia="zh-CN"/>
        </w:rPr>
        <w:t>中标人</w:t>
      </w:r>
      <w:r>
        <w:rPr>
          <w:rFonts w:hint="eastAsia" w:ascii="宋体" w:hAnsi="宋体" w:eastAsia="宋体" w:cs="宋体"/>
          <w:color w:val="000000"/>
          <w:kern w:val="0"/>
          <w:sz w:val="24"/>
          <w:szCs w:val="24"/>
          <w:highlight w:val="none"/>
        </w:rPr>
        <w:t>终止该员工在</w:t>
      </w:r>
      <w:r>
        <w:rPr>
          <w:rFonts w:hint="eastAsia" w:ascii="宋体" w:hAnsi="宋体" w:eastAsia="宋体" w:cs="宋体"/>
          <w:color w:val="000000"/>
          <w:kern w:val="0"/>
          <w:sz w:val="24"/>
          <w:szCs w:val="24"/>
          <w:highlight w:val="none"/>
          <w:lang w:val="en-US" w:eastAsia="zh-CN"/>
        </w:rPr>
        <w:t>本项目</w:t>
      </w:r>
      <w:r>
        <w:rPr>
          <w:rFonts w:hint="eastAsia" w:ascii="宋体" w:hAnsi="宋体" w:eastAsia="宋体" w:cs="宋体"/>
          <w:color w:val="000000"/>
          <w:kern w:val="0"/>
          <w:sz w:val="24"/>
          <w:szCs w:val="24"/>
          <w:highlight w:val="none"/>
        </w:rPr>
        <w:t>继续从事物业管理</w:t>
      </w:r>
      <w:r>
        <w:rPr>
          <w:rFonts w:hint="eastAsia" w:ascii="宋体" w:hAnsi="宋体" w:eastAsia="宋体" w:cs="宋体"/>
          <w:color w:val="000000"/>
          <w:kern w:val="0"/>
          <w:sz w:val="24"/>
          <w:szCs w:val="24"/>
          <w:highlight w:val="none"/>
          <w:lang w:val="en-US" w:eastAsia="zh-CN"/>
        </w:rPr>
        <w:t>服务</w:t>
      </w:r>
      <w:r>
        <w:rPr>
          <w:rFonts w:hint="eastAsia" w:ascii="宋体" w:hAnsi="宋体" w:eastAsia="宋体" w:cs="宋体"/>
          <w:color w:val="000000"/>
          <w:kern w:val="0"/>
          <w:sz w:val="24"/>
          <w:szCs w:val="24"/>
          <w:highlight w:val="none"/>
        </w:rPr>
        <w:t>工作。</w:t>
      </w:r>
    </w:p>
    <w:p w14:paraId="4229A4EC">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物业管理</w:t>
      </w:r>
      <w:r>
        <w:rPr>
          <w:rFonts w:hint="eastAsia" w:ascii="宋体" w:hAnsi="宋体" w:eastAsia="宋体" w:cs="宋体"/>
          <w:color w:val="000000"/>
          <w:kern w:val="0"/>
          <w:sz w:val="24"/>
          <w:szCs w:val="24"/>
          <w:highlight w:val="none"/>
          <w:lang w:val="en-US" w:eastAsia="zh-CN"/>
        </w:rPr>
        <w:t>服务工作场地由采购人提供</w:t>
      </w:r>
      <w:r>
        <w:rPr>
          <w:rFonts w:hint="eastAsia" w:ascii="宋体" w:hAnsi="宋体" w:eastAsia="宋体" w:cs="宋体"/>
          <w:color w:val="000000"/>
          <w:kern w:val="0"/>
          <w:sz w:val="24"/>
          <w:szCs w:val="24"/>
          <w:highlight w:val="none"/>
        </w:rPr>
        <w:t>。</w:t>
      </w:r>
    </w:p>
    <w:p w14:paraId="1117CC98">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lang w:eastAsia="zh-CN"/>
        </w:rPr>
        <w:t>采购人</w:t>
      </w:r>
      <w:r>
        <w:rPr>
          <w:rFonts w:hint="eastAsia" w:ascii="宋体" w:hAnsi="宋体" w:eastAsia="宋体" w:cs="宋体"/>
          <w:color w:val="000000"/>
          <w:kern w:val="0"/>
          <w:sz w:val="24"/>
          <w:szCs w:val="24"/>
          <w:highlight w:val="none"/>
        </w:rPr>
        <w:t>不干涉</w:t>
      </w:r>
      <w:r>
        <w:rPr>
          <w:rFonts w:hint="eastAsia" w:ascii="宋体" w:hAnsi="宋体" w:eastAsia="宋体" w:cs="宋体"/>
          <w:color w:val="000000"/>
          <w:kern w:val="0"/>
          <w:sz w:val="24"/>
          <w:szCs w:val="24"/>
          <w:highlight w:val="none"/>
          <w:lang w:eastAsia="zh-CN"/>
        </w:rPr>
        <w:t>中标人</w:t>
      </w:r>
      <w:r>
        <w:rPr>
          <w:rFonts w:hint="eastAsia" w:ascii="宋体" w:hAnsi="宋体" w:eastAsia="宋体" w:cs="宋体"/>
          <w:color w:val="000000"/>
          <w:kern w:val="0"/>
          <w:sz w:val="24"/>
          <w:szCs w:val="24"/>
          <w:highlight w:val="none"/>
        </w:rPr>
        <w:t>的正当经营活动和人事安排。</w:t>
      </w:r>
    </w:p>
    <w:p w14:paraId="32988145">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6）合同履行期</w:t>
      </w:r>
      <w:r>
        <w:rPr>
          <w:rFonts w:hint="eastAsia" w:ascii="宋体" w:hAnsi="宋体" w:eastAsia="宋体" w:cs="宋体"/>
          <w:color w:val="000000"/>
          <w:kern w:val="0"/>
          <w:sz w:val="24"/>
          <w:szCs w:val="24"/>
          <w:highlight w:val="none"/>
        </w:rPr>
        <w:t>间，</w:t>
      </w:r>
      <w:r>
        <w:rPr>
          <w:rFonts w:hint="eastAsia" w:ascii="宋体" w:hAnsi="宋体" w:eastAsia="宋体" w:cs="宋体"/>
          <w:color w:val="000000"/>
          <w:kern w:val="0"/>
          <w:sz w:val="24"/>
          <w:szCs w:val="24"/>
          <w:highlight w:val="none"/>
          <w:lang w:eastAsia="zh-CN"/>
        </w:rPr>
        <w:t>采购人</w:t>
      </w:r>
      <w:r>
        <w:rPr>
          <w:rFonts w:hint="eastAsia" w:ascii="宋体" w:hAnsi="宋体" w:eastAsia="宋体" w:cs="宋体"/>
          <w:color w:val="000000"/>
          <w:kern w:val="0"/>
          <w:sz w:val="24"/>
          <w:szCs w:val="24"/>
          <w:highlight w:val="none"/>
        </w:rPr>
        <w:t>应按照合同约定支付</w:t>
      </w:r>
      <w:r>
        <w:rPr>
          <w:rFonts w:hint="eastAsia" w:ascii="宋体" w:hAnsi="宋体" w:eastAsia="宋体" w:cs="宋体"/>
          <w:color w:val="000000"/>
          <w:kern w:val="0"/>
          <w:sz w:val="24"/>
          <w:szCs w:val="24"/>
          <w:highlight w:val="none"/>
          <w:lang w:val="en-US" w:eastAsia="zh-CN"/>
        </w:rPr>
        <w:t>服务</w:t>
      </w:r>
      <w:r>
        <w:rPr>
          <w:rFonts w:hint="eastAsia" w:ascii="宋体" w:hAnsi="宋体" w:eastAsia="宋体" w:cs="宋体"/>
          <w:color w:val="000000"/>
          <w:kern w:val="0"/>
          <w:sz w:val="24"/>
          <w:szCs w:val="24"/>
          <w:highlight w:val="none"/>
        </w:rPr>
        <w:t>费用。</w:t>
      </w:r>
    </w:p>
    <w:p w14:paraId="0FAD8FF9">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7）</w:t>
      </w:r>
      <w:r>
        <w:rPr>
          <w:rFonts w:hint="eastAsia" w:ascii="宋体" w:hAnsi="宋体" w:eastAsia="宋体" w:cs="宋体"/>
          <w:color w:val="000000"/>
          <w:kern w:val="0"/>
          <w:sz w:val="24"/>
          <w:szCs w:val="24"/>
          <w:highlight w:val="none"/>
          <w:lang w:eastAsia="zh-CN"/>
        </w:rPr>
        <w:t>中标人</w:t>
      </w:r>
      <w:r>
        <w:rPr>
          <w:rFonts w:hint="eastAsia" w:ascii="宋体" w:hAnsi="宋体" w:eastAsia="宋体" w:cs="宋体"/>
          <w:color w:val="000000"/>
          <w:kern w:val="0"/>
          <w:sz w:val="24"/>
          <w:szCs w:val="24"/>
          <w:highlight w:val="none"/>
        </w:rPr>
        <w:t>有下列行为之一，终止合同：</w:t>
      </w:r>
    </w:p>
    <w:p w14:paraId="6F05FBD5">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①不履行或不按合同规定履行合同义务的；</w:t>
      </w:r>
    </w:p>
    <w:p w14:paraId="3163BD7A">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②对</w:t>
      </w:r>
      <w:r>
        <w:rPr>
          <w:rFonts w:hint="eastAsia" w:ascii="宋体" w:hAnsi="宋体" w:eastAsia="宋体" w:cs="宋体"/>
          <w:color w:val="000000"/>
          <w:kern w:val="0"/>
          <w:sz w:val="24"/>
          <w:szCs w:val="24"/>
          <w:highlight w:val="none"/>
          <w:lang w:eastAsia="zh-CN"/>
        </w:rPr>
        <w:t>采购人</w:t>
      </w:r>
      <w:r>
        <w:rPr>
          <w:rFonts w:hint="eastAsia" w:ascii="宋体" w:hAnsi="宋体" w:eastAsia="宋体" w:cs="宋体"/>
          <w:color w:val="000000"/>
          <w:kern w:val="0"/>
          <w:sz w:val="24"/>
          <w:szCs w:val="24"/>
          <w:highlight w:val="none"/>
        </w:rPr>
        <w:t>管理部门的监督、检查阳奉阴违，经指出仍不服从管理的；</w:t>
      </w:r>
    </w:p>
    <w:p w14:paraId="6BFAE040">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③利用</w:t>
      </w:r>
      <w:r>
        <w:rPr>
          <w:rFonts w:hint="eastAsia" w:ascii="宋体" w:hAnsi="宋体" w:eastAsia="宋体" w:cs="宋体"/>
          <w:color w:val="000000"/>
          <w:kern w:val="0"/>
          <w:sz w:val="24"/>
          <w:szCs w:val="24"/>
          <w:highlight w:val="none"/>
          <w:lang w:eastAsia="zh-CN"/>
        </w:rPr>
        <w:t>采购人</w:t>
      </w:r>
      <w:r>
        <w:rPr>
          <w:rFonts w:hint="eastAsia" w:ascii="宋体" w:hAnsi="宋体" w:eastAsia="宋体" w:cs="宋体"/>
          <w:color w:val="000000"/>
          <w:kern w:val="0"/>
          <w:sz w:val="24"/>
          <w:szCs w:val="24"/>
          <w:highlight w:val="none"/>
        </w:rPr>
        <w:t>名义对外进行经营活动的</w:t>
      </w:r>
      <w:r>
        <w:rPr>
          <w:rFonts w:hint="eastAsia" w:ascii="宋体" w:hAnsi="宋体" w:eastAsia="宋体" w:cs="宋体"/>
          <w:color w:val="000000"/>
          <w:kern w:val="0"/>
          <w:sz w:val="24"/>
          <w:szCs w:val="24"/>
          <w:highlight w:val="none"/>
          <w:lang w:eastAsia="zh-CN"/>
        </w:rPr>
        <w:t>。</w:t>
      </w:r>
    </w:p>
    <w:p w14:paraId="027580C7">
      <w:pPr>
        <w:keepNext w:val="0"/>
        <w:keepLines w:val="0"/>
        <w:pageBreakBefore w:val="0"/>
        <w:wordWrap/>
        <w:overflowPunct/>
        <w:topLinePunct w:val="0"/>
        <w:bidi w:val="0"/>
        <w:snapToGrid w:val="0"/>
        <w:spacing w:line="400" w:lineRule="exact"/>
        <w:ind w:firstLine="480" w:firstLineChars="20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2.中标人</w:t>
      </w:r>
      <w:r>
        <w:rPr>
          <w:rFonts w:hint="eastAsia" w:ascii="宋体" w:hAnsi="宋体" w:eastAsia="宋体" w:cs="宋体"/>
          <w:sz w:val="24"/>
          <w:szCs w:val="24"/>
          <w:highlight w:val="none"/>
          <w:lang w:val="zh-CN" w:eastAsia="zh-CN"/>
        </w:rPr>
        <w:t>的权利与义务</w:t>
      </w:r>
    </w:p>
    <w:p w14:paraId="5A301DCD">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lang w:eastAsia="zh-CN"/>
        </w:rPr>
        <w:t>中标人有权根据采购人的规章制度，制定物业管理工作实施细则。</w:t>
      </w:r>
    </w:p>
    <w:p w14:paraId="521D42C6">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lang w:eastAsia="zh-CN"/>
        </w:rPr>
        <w:t>中标人应根据设备性能和维护方法进行维护，制定切实可行的维修方案提交采购人备案。</w:t>
      </w:r>
    </w:p>
    <w:p w14:paraId="09694A04">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lang w:eastAsia="zh-CN"/>
        </w:rPr>
        <w:t>中标人对进入</w:t>
      </w:r>
      <w:r>
        <w:rPr>
          <w:rFonts w:hint="eastAsia" w:ascii="宋体" w:hAnsi="宋体" w:eastAsia="宋体" w:cs="宋体"/>
          <w:color w:val="000000"/>
          <w:kern w:val="0"/>
          <w:sz w:val="24"/>
          <w:szCs w:val="24"/>
          <w:highlight w:val="none"/>
          <w:lang w:val="en-US" w:eastAsia="zh-CN"/>
        </w:rPr>
        <w:t>服务区域</w:t>
      </w:r>
      <w:r>
        <w:rPr>
          <w:rFonts w:hint="eastAsia" w:ascii="宋体" w:hAnsi="宋体" w:eastAsia="宋体" w:cs="宋体"/>
          <w:color w:val="000000"/>
          <w:kern w:val="0"/>
          <w:sz w:val="24"/>
          <w:szCs w:val="24"/>
          <w:highlight w:val="none"/>
          <w:lang w:eastAsia="zh-CN"/>
        </w:rPr>
        <w:t>的人员、车辆，有违反规章制度的行为有权予以教育、劝阻、制止和纠正。</w:t>
      </w:r>
    </w:p>
    <w:p w14:paraId="0682A390">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lang w:eastAsia="zh-CN"/>
        </w:rPr>
        <w:t>中标人对出入</w:t>
      </w:r>
      <w:r>
        <w:rPr>
          <w:rFonts w:hint="eastAsia" w:ascii="宋体" w:hAnsi="宋体" w:eastAsia="宋体" w:cs="宋体"/>
          <w:color w:val="000000"/>
          <w:kern w:val="0"/>
          <w:sz w:val="24"/>
          <w:szCs w:val="24"/>
          <w:highlight w:val="none"/>
          <w:lang w:val="en-US" w:eastAsia="zh-CN"/>
        </w:rPr>
        <w:t>服务区域</w:t>
      </w:r>
      <w:r>
        <w:rPr>
          <w:rFonts w:hint="eastAsia" w:ascii="宋体" w:hAnsi="宋体" w:eastAsia="宋体" w:cs="宋体"/>
          <w:color w:val="000000"/>
          <w:kern w:val="0"/>
          <w:sz w:val="24"/>
          <w:szCs w:val="24"/>
          <w:highlight w:val="none"/>
          <w:lang w:eastAsia="zh-CN"/>
        </w:rPr>
        <w:t>的人员、车辆、物品等有验证、登记、查询的权利。</w:t>
      </w:r>
    </w:p>
    <w:p w14:paraId="758CB61E">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lang w:eastAsia="zh-CN"/>
        </w:rPr>
        <w:t>中标人应自觉遵守采购人的规章制度，服从采购人的管理，严格执行行业规定，遵守行业标准和规范；</w:t>
      </w:r>
    </w:p>
    <w:p w14:paraId="3EEE4477">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lang w:eastAsia="zh-CN"/>
        </w:rPr>
        <w:t>中标人派</w:t>
      </w:r>
      <w:r>
        <w:rPr>
          <w:rFonts w:hint="eastAsia" w:ascii="宋体" w:hAnsi="宋体" w:eastAsia="宋体" w:cs="宋体"/>
          <w:color w:val="000000"/>
          <w:kern w:val="0"/>
          <w:sz w:val="24"/>
          <w:szCs w:val="24"/>
          <w:highlight w:val="none"/>
          <w:lang w:val="en-US" w:eastAsia="zh-CN"/>
        </w:rPr>
        <w:t>驻</w:t>
      </w:r>
      <w:r>
        <w:rPr>
          <w:rFonts w:hint="eastAsia" w:ascii="宋体" w:hAnsi="宋体" w:eastAsia="宋体" w:cs="宋体"/>
          <w:color w:val="000000"/>
          <w:kern w:val="0"/>
          <w:sz w:val="24"/>
          <w:szCs w:val="24"/>
          <w:highlight w:val="none"/>
          <w:lang w:eastAsia="zh-CN"/>
        </w:rPr>
        <w:t>采购人</w:t>
      </w:r>
      <w:r>
        <w:rPr>
          <w:rFonts w:hint="eastAsia" w:ascii="宋体" w:hAnsi="宋体" w:eastAsia="宋体" w:cs="宋体"/>
          <w:color w:val="000000"/>
          <w:kern w:val="0"/>
          <w:sz w:val="24"/>
          <w:szCs w:val="24"/>
          <w:highlight w:val="none"/>
          <w:lang w:val="en-US" w:eastAsia="zh-CN"/>
        </w:rPr>
        <w:t>处的</w:t>
      </w:r>
      <w:r>
        <w:rPr>
          <w:rFonts w:hint="eastAsia" w:ascii="宋体" w:hAnsi="宋体" w:eastAsia="宋体" w:cs="宋体"/>
          <w:color w:val="000000"/>
          <w:kern w:val="0"/>
          <w:sz w:val="24"/>
          <w:szCs w:val="24"/>
          <w:highlight w:val="none"/>
          <w:lang w:eastAsia="zh-CN"/>
        </w:rPr>
        <w:t>工作</w:t>
      </w:r>
      <w:r>
        <w:rPr>
          <w:rFonts w:hint="eastAsia" w:ascii="宋体" w:hAnsi="宋体" w:eastAsia="宋体" w:cs="宋体"/>
          <w:color w:val="000000"/>
          <w:kern w:val="0"/>
          <w:sz w:val="24"/>
          <w:szCs w:val="24"/>
          <w:highlight w:val="none"/>
          <w:lang w:val="en-US" w:eastAsia="zh-CN"/>
        </w:rPr>
        <w:t>人员</w:t>
      </w:r>
      <w:r>
        <w:rPr>
          <w:rFonts w:hint="eastAsia" w:ascii="宋体" w:hAnsi="宋体" w:eastAsia="宋体" w:cs="宋体"/>
          <w:color w:val="000000"/>
          <w:kern w:val="0"/>
          <w:sz w:val="24"/>
          <w:szCs w:val="24"/>
          <w:highlight w:val="none"/>
          <w:lang w:eastAsia="zh-CN"/>
        </w:rPr>
        <w:t>，应遵纪守法，无违法纪劣迹，身体健康，仪表端庄，无传染性疾病，行动敏捷，责任心强；</w:t>
      </w:r>
    </w:p>
    <w:p w14:paraId="7165CB49">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7）</w:t>
      </w:r>
      <w:r>
        <w:rPr>
          <w:rFonts w:hint="eastAsia" w:ascii="宋体" w:hAnsi="宋体" w:eastAsia="宋体" w:cs="宋体"/>
          <w:color w:val="000000"/>
          <w:kern w:val="0"/>
          <w:sz w:val="24"/>
          <w:szCs w:val="24"/>
          <w:highlight w:val="none"/>
          <w:lang w:eastAsia="zh-CN"/>
        </w:rPr>
        <w:t>中标人应按承包范围、标准的要求，履行职责和义务；</w:t>
      </w:r>
    </w:p>
    <w:p w14:paraId="2816A8DC">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8）</w:t>
      </w:r>
      <w:r>
        <w:rPr>
          <w:rFonts w:hint="eastAsia" w:ascii="宋体" w:hAnsi="宋体" w:eastAsia="宋体" w:cs="宋体"/>
          <w:color w:val="000000"/>
          <w:kern w:val="0"/>
          <w:sz w:val="24"/>
          <w:szCs w:val="24"/>
          <w:highlight w:val="none"/>
          <w:lang w:eastAsia="zh-CN"/>
        </w:rPr>
        <w:t>中标人应妥善保管和使用采购人配制的工作设备，爱护各种设施、公物，如有损坏应按价赔偿；</w:t>
      </w:r>
    </w:p>
    <w:p w14:paraId="439C0B83">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9）</w:t>
      </w:r>
      <w:r>
        <w:rPr>
          <w:rFonts w:hint="eastAsia" w:ascii="宋体" w:hAnsi="宋体" w:eastAsia="宋体" w:cs="宋体"/>
          <w:color w:val="000000"/>
          <w:kern w:val="0"/>
          <w:sz w:val="24"/>
          <w:szCs w:val="24"/>
          <w:highlight w:val="none"/>
          <w:lang w:eastAsia="zh-CN"/>
        </w:rPr>
        <w:t>中标人派</w:t>
      </w:r>
      <w:r>
        <w:rPr>
          <w:rFonts w:hint="eastAsia" w:ascii="宋体" w:hAnsi="宋体" w:eastAsia="宋体" w:cs="宋体"/>
          <w:color w:val="000000"/>
          <w:kern w:val="0"/>
          <w:sz w:val="24"/>
          <w:szCs w:val="24"/>
          <w:highlight w:val="none"/>
          <w:lang w:val="en-US" w:eastAsia="zh-CN"/>
        </w:rPr>
        <w:t>驻</w:t>
      </w:r>
      <w:r>
        <w:rPr>
          <w:rFonts w:hint="eastAsia" w:ascii="宋体" w:hAnsi="宋体" w:eastAsia="宋体" w:cs="宋体"/>
          <w:color w:val="000000"/>
          <w:kern w:val="0"/>
          <w:sz w:val="24"/>
          <w:szCs w:val="24"/>
          <w:highlight w:val="none"/>
          <w:lang w:eastAsia="zh-CN"/>
        </w:rPr>
        <w:t>采购人</w:t>
      </w:r>
      <w:r>
        <w:rPr>
          <w:rFonts w:hint="eastAsia" w:ascii="宋体" w:hAnsi="宋体" w:eastAsia="宋体" w:cs="宋体"/>
          <w:color w:val="000000"/>
          <w:kern w:val="0"/>
          <w:sz w:val="24"/>
          <w:szCs w:val="24"/>
          <w:highlight w:val="none"/>
          <w:lang w:val="en-US" w:eastAsia="zh-CN"/>
        </w:rPr>
        <w:t>处的</w:t>
      </w:r>
      <w:r>
        <w:rPr>
          <w:rFonts w:hint="eastAsia" w:ascii="宋体" w:hAnsi="宋体" w:eastAsia="宋体" w:cs="宋体"/>
          <w:color w:val="000000"/>
          <w:kern w:val="0"/>
          <w:sz w:val="24"/>
          <w:szCs w:val="24"/>
          <w:highlight w:val="none"/>
          <w:lang w:eastAsia="zh-CN"/>
        </w:rPr>
        <w:t>工作</w:t>
      </w:r>
      <w:r>
        <w:rPr>
          <w:rFonts w:hint="eastAsia" w:ascii="宋体" w:hAnsi="宋体" w:eastAsia="宋体" w:cs="宋体"/>
          <w:color w:val="000000"/>
          <w:kern w:val="0"/>
          <w:sz w:val="24"/>
          <w:szCs w:val="24"/>
          <w:highlight w:val="none"/>
          <w:lang w:val="en-US" w:eastAsia="zh-CN"/>
        </w:rPr>
        <w:t>人员</w:t>
      </w:r>
      <w:r>
        <w:rPr>
          <w:rFonts w:hint="eastAsia" w:ascii="宋体" w:hAnsi="宋体" w:eastAsia="宋体" w:cs="宋体"/>
          <w:color w:val="000000"/>
          <w:kern w:val="0"/>
          <w:sz w:val="24"/>
          <w:szCs w:val="24"/>
          <w:highlight w:val="none"/>
          <w:lang w:eastAsia="zh-CN"/>
        </w:rPr>
        <w:t>应着装统一整洁，定岗定位，坚守岗位，严禁空班、漏班、擅离职守、迟到和早退，禁止酗酒、打牌、大声喧哗、嬉闹，做到文明值岗，礼貌服务；</w:t>
      </w:r>
    </w:p>
    <w:p w14:paraId="0D6BF481">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10）</w:t>
      </w:r>
      <w:r>
        <w:rPr>
          <w:rFonts w:hint="eastAsia" w:ascii="宋体" w:hAnsi="宋体" w:eastAsia="宋体" w:cs="宋体"/>
          <w:color w:val="000000"/>
          <w:kern w:val="0"/>
          <w:sz w:val="24"/>
          <w:szCs w:val="24"/>
          <w:highlight w:val="none"/>
          <w:lang w:eastAsia="zh-CN"/>
        </w:rPr>
        <w:t>中标人有义务教育员工保守</w:t>
      </w:r>
      <w:r>
        <w:rPr>
          <w:rFonts w:hint="eastAsia" w:ascii="宋体" w:hAnsi="宋体" w:eastAsia="宋体" w:cs="宋体"/>
          <w:color w:val="000000"/>
          <w:kern w:val="0"/>
          <w:sz w:val="24"/>
          <w:szCs w:val="24"/>
          <w:highlight w:val="none"/>
          <w:lang w:val="en-US" w:eastAsia="zh-CN"/>
        </w:rPr>
        <w:t>采购人</w:t>
      </w:r>
      <w:r>
        <w:rPr>
          <w:rFonts w:hint="eastAsia" w:ascii="宋体" w:hAnsi="宋体" w:eastAsia="宋体" w:cs="宋体"/>
          <w:color w:val="000000"/>
          <w:kern w:val="0"/>
          <w:sz w:val="24"/>
          <w:szCs w:val="24"/>
          <w:highlight w:val="none"/>
          <w:lang w:eastAsia="zh-CN"/>
        </w:rPr>
        <w:t>机密，做到不该看的不看、不该听的不听、不该讲的不讲。</w:t>
      </w:r>
    </w:p>
    <w:p w14:paraId="11978A78">
      <w:pPr>
        <w:keepNext w:val="0"/>
        <w:keepLines w:val="0"/>
        <w:pageBreakBefore w:val="0"/>
        <w:wordWrap/>
        <w:overflowPunct/>
        <w:topLinePunct w:val="0"/>
        <w:bidi w:val="0"/>
        <w:snapToGrid w:val="0"/>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3.报价要求</w:t>
      </w:r>
    </w:p>
    <w:p w14:paraId="0178162A">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lang w:eastAsia="zh-CN"/>
        </w:rPr>
        <w:t>采购人为中标</w:t>
      </w:r>
      <w:r>
        <w:rPr>
          <w:rFonts w:hint="eastAsia" w:ascii="宋体" w:hAnsi="宋体" w:eastAsia="宋体" w:cs="宋体"/>
          <w:color w:val="000000"/>
          <w:kern w:val="0"/>
          <w:sz w:val="24"/>
          <w:szCs w:val="24"/>
          <w:highlight w:val="none"/>
          <w:lang w:val="en-US" w:eastAsia="zh-CN"/>
        </w:rPr>
        <w:t>人</w:t>
      </w:r>
      <w:r>
        <w:rPr>
          <w:rFonts w:hint="eastAsia" w:ascii="宋体" w:hAnsi="宋体" w:eastAsia="宋体" w:cs="宋体"/>
          <w:color w:val="000000"/>
          <w:kern w:val="0"/>
          <w:sz w:val="24"/>
          <w:szCs w:val="24"/>
          <w:highlight w:val="none"/>
          <w:lang w:eastAsia="zh-CN"/>
        </w:rPr>
        <w:t>提供物业办公用房。物业</w:t>
      </w:r>
      <w:r>
        <w:rPr>
          <w:rFonts w:hint="eastAsia" w:ascii="宋体" w:hAnsi="宋体" w:eastAsia="宋体" w:cs="宋体"/>
          <w:color w:val="000000"/>
          <w:kern w:val="0"/>
          <w:sz w:val="24"/>
          <w:szCs w:val="24"/>
          <w:highlight w:val="none"/>
          <w:lang w:val="en-US" w:eastAsia="zh-CN"/>
        </w:rPr>
        <w:t>管理服务</w:t>
      </w:r>
      <w:r>
        <w:rPr>
          <w:rFonts w:hint="eastAsia" w:ascii="宋体" w:hAnsi="宋体" w:eastAsia="宋体" w:cs="宋体"/>
          <w:color w:val="000000"/>
          <w:kern w:val="0"/>
          <w:sz w:val="24"/>
          <w:szCs w:val="24"/>
          <w:highlight w:val="none"/>
          <w:lang w:eastAsia="zh-CN"/>
        </w:rPr>
        <w:t>所需物品，如办公家具、维修工具等</w:t>
      </w:r>
      <w:r>
        <w:rPr>
          <w:rFonts w:hint="eastAsia" w:ascii="宋体" w:hAnsi="宋体" w:eastAsia="宋体" w:cs="宋体"/>
          <w:color w:val="000000"/>
          <w:kern w:val="0"/>
          <w:sz w:val="24"/>
          <w:szCs w:val="24"/>
          <w:highlight w:val="none"/>
          <w:lang w:val="en-US" w:eastAsia="zh-CN"/>
        </w:rPr>
        <w:t>均</w:t>
      </w:r>
      <w:r>
        <w:rPr>
          <w:rFonts w:hint="eastAsia" w:ascii="宋体" w:hAnsi="宋体" w:eastAsia="宋体" w:cs="宋体"/>
          <w:color w:val="000000"/>
          <w:kern w:val="0"/>
          <w:sz w:val="24"/>
          <w:szCs w:val="24"/>
          <w:highlight w:val="none"/>
          <w:lang w:eastAsia="zh-CN"/>
        </w:rPr>
        <w:t>由中标</w:t>
      </w:r>
      <w:r>
        <w:rPr>
          <w:rFonts w:hint="eastAsia" w:ascii="宋体" w:hAnsi="宋体" w:eastAsia="宋体" w:cs="宋体"/>
          <w:color w:val="000000"/>
          <w:kern w:val="0"/>
          <w:sz w:val="24"/>
          <w:szCs w:val="24"/>
          <w:highlight w:val="none"/>
          <w:lang w:val="en-US" w:eastAsia="zh-CN"/>
        </w:rPr>
        <w:t>人</w:t>
      </w:r>
      <w:r>
        <w:rPr>
          <w:rFonts w:hint="eastAsia" w:ascii="宋体" w:hAnsi="宋体" w:eastAsia="宋体" w:cs="宋体"/>
          <w:color w:val="000000"/>
          <w:kern w:val="0"/>
          <w:sz w:val="24"/>
          <w:szCs w:val="24"/>
          <w:highlight w:val="none"/>
          <w:lang w:eastAsia="zh-CN"/>
        </w:rPr>
        <w:t>自行</w:t>
      </w:r>
      <w:r>
        <w:rPr>
          <w:rFonts w:hint="eastAsia" w:ascii="宋体" w:hAnsi="宋体" w:eastAsia="宋体" w:cs="宋体"/>
          <w:color w:val="000000"/>
          <w:kern w:val="0"/>
          <w:sz w:val="24"/>
          <w:szCs w:val="24"/>
          <w:highlight w:val="none"/>
          <w:lang w:val="en-US" w:eastAsia="zh-CN"/>
        </w:rPr>
        <w:t>承担，相关费用包含在合同价中。</w:t>
      </w:r>
    </w:p>
    <w:p w14:paraId="243F3437">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2）合同价</w:t>
      </w:r>
      <w:r>
        <w:rPr>
          <w:rFonts w:hint="eastAsia" w:ascii="宋体" w:hAnsi="宋体" w:eastAsia="宋体" w:cs="宋体"/>
          <w:color w:val="000000"/>
          <w:kern w:val="0"/>
          <w:sz w:val="24"/>
          <w:szCs w:val="24"/>
          <w:highlight w:val="none"/>
          <w:lang w:eastAsia="zh-CN"/>
        </w:rPr>
        <w:t>包括</w:t>
      </w:r>
      <w:r>
        <w:rPr>
          <w:rFonts w:hint="eastAsia" w:ascii="宋体" w:hAnsi="宋体" w:eastAsia="宋体" w:cs="宋体"/>
          <w:color w:val="000000"/>
          <w:kern w:val="0"/>
          <w:sz w:val="24"/>
          <w:szCs w:val="24"/>
          <w:highlight w:val="none"/>
          <w:lang w:val="en-US" w:eastAsia="zh-CN"/>
        </w:rPr>
        <w:t>以下内容</w:t>
      </w:r>
      <w:r>
        <w:rPr>
          <w:rFonts w:hint="eastAsia" w:ascii="宋体" w:hAnsi="宋体" w:eastAsia="宋体" w:cs="宋体"/>
          <w:color w:val="000000"/>
          <w:kern w:val="0"/>
          <w:sz w:val="24"/>
          <w:szCs w:val="24"/>
          <w:highlight w:val="none"/>
          <w:lang w:eastAsia="zh-CN"/>
        </w:rPr>
        <w:t>：</w:t>
      </w:r>
    </w:p>
    <w:p w14:paraId="67E00C39">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①人工费用(含所有服务于本项目的各类人员的工资、福利、社保、服装、交通费用等)；</w:t>
      </w:r>
    </w:p>
    <w:p w14:paraId="1BE1934F">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②</w:t>
      </w:r>
      <w:r>
        <w:rPr>
          <w:rFonts w:hint="eastAsia" w:ascii="宋体" w:hAnsi="宋体" w:eastAsia="宋体" w:cs="宋体"/>
          <w:color w:val="000000"/>
          <w:kern w:val="0"/>
          <w:sz w:val="24"/>
          <w:szCs w:val="24"/>
          <w:highlight w:val="none"/>
          <w:lang w:val="en-US" w:eastAsia="zh-CN"/>
        </w:rPr>
        <w:t>低值易耗品</w:t>
      </w:r>
      <w:r>
        <w:rPr>
          <w:rFonts w:hint="eastAsia" w:ascii="宋体" w:hAnsi="宋体" w:eastAsia="宋体" w:cs="宋体"/>
          <w:color w:val="000000"/>
          <w:kern w:val="0"/>
          <w:sz w:val="24"/>
          <w:szCs w:val="24"/>
          <w:highlight w:val="none"/>
          <w:lang w:eastAsia="zh-CN"/>
        </w:rPr>
        <w:t>费用（包括服务于本项目的各类</w:t>
      </w:r>
      <w:r>
        <w:rPr>
          <w:rFonts w:hint="eastAsia" w:ascii="宋体" w:hAnsi="宋体" w:eastAsia="宋体" w:cs="宋体"/>
          <w:color w:val="000000"/>
          <w:kern w:val="0"/>
          <w:sz w:val="24"/>
          <w:szCs w:val="24"/>
          <w:highlight w:val="none"/>
          <w:lang w:val="en-US" w:eastAsia="zh-CN"/>
        </w:rPr>
        <w:t>低值易耗品</w:t>
      </w:r>
      <w:r>
        <w:rPr>
          <w:rFonts w:hint="eastAsia" w:ascii="宋体" w:hAnsi="宋体" w:eastAsia="宋体" w:cs="宋体"/>
          <w:color w:val="000000"/>
          <w:kern w:val="0"/>
          <w:sz w:val="24"/>
          <w:szCs w:val="24"/>
          <w:highlight w:val="none"/>
          <w:lang w:eastAsia="zh-CN"/>
        </w:rPr>
        <w:t>，如拖把、抹布、消毒液等，卫生间需配卫生球等）；</w:t>
      </w:r>
    </w:p>
    <w:p w14:paraId="4FD0DE7A">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③行政费用（含办公费用、门卫及值班电话等通讯费用）；</w:t>
      </w:r>
    </w:p>
    <w:p w14:paraId="60641A71">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④其他</w:t>
      </w:r>
      <w:r>
        <w:rPr>
          <w:rFonts w:hint="eastAsia" w:ascii="宋体" w:hAnsi="宋体" w:eastAsia="宋体" w:cs="宋体"/>
          <w:color w:val="000000"/>
          <w:kern w:val="0"/>
          <w:sz w:val="24"/>
          <w:szCs w:val="24"/>
          <w:highlight w:val="none"/>
          <w:lang w:val="en-US" w:eastAsia="zh-CN"/>
        </w:rPr>
        <w:t>包</w:t>
      </w:r>
      <w:r>
        <w:rPr>
          <w:rFonts w:hint="eastAsia" w:ascii="宋体" w:hAnsi="宋体" w:eastAsia="宋体" w:cs="宋体"/>
          <w:color w:val="000000"/>
          <w:kern w:val="0"/>
          <w:sz w:val="24"/>
          <w:szCs w:val="24"/>
          <w:highlight w:val="none"/>
          <w:lang w:eastAsia="zh-CN"/>
        </w:rPr>
        <w:t>含垃圾清运、下水疏通、防虫灭鼠等；</w:t>
      </w:r>
    </w:p>
    <w:p w14:paraId="65EFF903">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⑤管理酬金；</w:t>
      </w:r>
    </w:p>
    <w:p w14:paraId="058C1639">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⑥税金；</w:t>
      </w:r>
    </w:p>
    <w:p w14:paraId="5F756E53">
      <w:pPr>
        <w:keepNext w:val="0"/>
        <w:keepLines w:val="0"/>
        <w:pageBreakBefore w:val="0"/>
        <w:wordWrap/>
        <w:overflowPunct/>
        <w:topLinePunct w:val="0"/>
        <w:autoSpaceDE w:val="0"/>
        <w:autoSpaceDN w:val="0"/>
        <w:bidi w:val="0"/>
        <w:adjustRightInd w:val="0"/>
        <w:spacing w:line="400" w:lineRule="exact"/>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sz w:val="24"/>
          <w:szCs w:val="24"/>
          <w:highlight w:val="none"/>
          <w:lang w:eastAsia="zh-CN"/>
        </w:rPr>
        <w:t>⑦</w:t>
      </w:r>
      <w:r>
        <w:rPr>
          <w:rFonts w:hint="eastAsia" w:ascii="宋体" w:hAnsi="宋体" w:eastAsia="宋体" w:cs="宋体"/>
          <w:kern w:val="0"/>
          <w:sz w:val="24"/>
          <w:szCs w:val="24"/>
          <w:highlight w:val="none"/>
          <w:lang w:val="zh-CN"/>
        </w:rPr>
        <w:t>物业前期开办所需设施设备</w:t>
      </w:r>
      <w:r>
        <w:rPr>
          <w:rFonts w:hint="eastAsia" w:ascii="宋体" w:hAnsi="宋体" w:eastAsia="宋体" w:cs="宋体"/>
          <w:kern w:val="0"/>
          <w:sz w:val="24"/>
          <w:szCs w:val="24"/>
          <w:highlight w:val="none"/>
          <w:lang w:val="en-US" w:eastAsia="zh-CN"/>
        </w:rPr>
        <w:t>费用</w:t>
      </w:r>
      <w:r>
        <w:rPr>
          <w:rFonts w:hint="eastAsia" w:ascii="宋体" w:hAnsi="宋体" w:eastAsia="宋体" w:cs="宋体"/>
          <w:kern w:val="0"/>
          <w:sz w:val="24"/>
          <w:szCs w:val="24"/>
          <w:highlight w:val="none"/>
          <w:lang w:val="zh-CN"/>
        </w:rPr>
        <w:t>。</w:t>
      </w:r>
    </w:p>
    <w:p w14:paraId="45DEA468">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3）合同价不</w:t>
      </w:r>
      <w:r>
        <w:rPr>
          <w:rFonts w:hint="eastAsia" w:ascii="宋体" w:hAnsi="宋体" w:eastAsia="宋体" w:cs="宋体"/>
          <w:color w:val="000000"/>
          <w:kern w:val="0"/>
          <w:sz w:val="24"/>
          <w:szCs w:val="24"/>
          <w:highlight w:val="none"/>
          <w:lang w:eastAsia="zh-CN"/>
        </w:rPr>
        <w:t>包括办公楼水、电费用。</w:t>
      </w:r>
    </w:p>
    <w:p w14:paraId="4F10ADA4">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lang w:eastAsia="zh-CN"/>
        </w:rPr>
        <w:t>）所有公共设备设施的维护由物业公司提供技术服务，所需材料由</w:t>
      </w:r>
      <w:r>
        <w:rPr>
          <w:rFonts w:hint="eastAsia" w:ascii="宋体" w:hAnsi="宋体" w:eastAsia="宋体" w:cs="宋体"/>
          <w:color w:val="000000"/>
          <w:kern w:val="0"/>
          <w:sz w:val="24"/>
          <w:szCs w:val="24"/>
          <w:highlight w:val="none"/>
          <w:lang w:val="en-US" w:eastAsia="zh-CN"/>
        </w:rPr>
        <w:t>采购人承担</w:t>
      </w:r>
      <w:r>
        <w:rPr>
          <w:rFonts w:hint="eastAsia" w:ascii="宋体" w:hAnsi="宋体" w:eastAsia="宋体" w:cs="宋体"/>
          <w:color w:val="000000"/>
          <w:kern w:val="0"/>
          <w:sz w:val="24"/>
          <w:szCs w:val="24"/>
          <w:highlight w:val="none"/>
          <w:lang w:eastAsia="zh-CN"/>
        </w:rPr>
        <w:t>。</w:t>
      </w:r>
    </w:p>
    <w:p w14:paraId="58CFCADF">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lang w:eastAsia="zh-CN"/>
        </w:rPr>
        <w:t>）</w:t>
      </w:r>
      <w:r>
        <w:rPr>
          <w:rFonts w:hint="eastAsia" w:ascii="宋体" w:hAnsi="宋体" w:eastAsia="宋体" w:cs="宋体"/>
          <w:kern w:val="0"/>
          <w:sz w:val="24"/>
          <w:szCs w:val="24"/>
          <w:highlight w:val="none"/>
          <w:lang w:val="zh-CN"/>
        </w:rPr>
        <w:t>滁州市人社局对滁州市人员最低工资及五险进行调整时，人员工资和五险按最底标准作相应调整。中标人在履约期限内不得以最低工资标准上调以及物价指数上涨等理由，要求增加物业服务费用。</w:t>
      </w:r>
      <w:r>
        <w:rPr>
          <w:rFonts w:hint="eastAsia" w:ascii="宋体" w:hAnsi="宋体" w:eastAsia="宋体" w:cs="宋体"/>
          <w:color w:val="000000"/>
          <w:kern w:val="0"/>
          <w:sz w:val="24"/>
          <w:szCs w:val="24"/>
          <w:highlight w:val="none"/>
          <w:lang w:eastAsia="zh-CN"/>
        </w:rPr>
        <w:t xml:space="preserve"> </w:t>
      </w:r>
    </w:p>
    <w:p w14:paraId="13C01EE0">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4.其他要求</w:t>
      </w:r>
    </w:p>
    <w:p w14:paraId="4B5E31BB">
      <w:pPr>
        <w:keepNext w:val="0"/>
        <w:keepLines w:val="0"/>
        <w:pageBreakBefore w:val="0"/>
        <w:wordWrap/>
        <w:overflowPunct/>
        <w:topLinePunct w:val="0"/>
        <w:autoSpaceDE w:val="0"/>
        <w:autoSpaceDN w:val="0"/>
        <w:bidi w:val="0"/>
        <w:adjustRightInd w:val="0"/>
        <w:spacing w:line="400" w:lineRule="exact"/>
        <w:ind w:firstLine="480" w:firstLineChars="200"/>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kern w:val="0"/>
          <w:sz w:val="24"/>
          <w:szCs w:val="24"/>
          <w:highlight w:val="none"/>
          <w:lang w:val="en-US" w:eastAsia="zh-CN"/>
        </w:rPr>
        <w:t>合同履行期间</w:t>
      </w:r>
      <w:r>
        <w:rPr>
          <w:rFonts w:hint="eastAsia" w:ascii="宋体" w:hAnsi="宋体" w:eastAsia="宋体" w:cs="宋体"/>
          <w:kern w:val="0"/>
          <w:sz w:val="24"/>
          <w:szCs w:val="24"/>
          <w:highlight w:val="none"/>
          <w:lang w:val="zh-CN"/>
        </w:rPr>
        <w:t>，由于</w:t>
      </w:r>
      <w:r>
        <w:rPr>
          <w:rFonts w:hint="eastAsia" w:ascii="宋体" w:hAnsi="宋体" w:eastAsia="宋体" w:cs="宋体"/>
          <w:kern w:val="0"/>
          <w:sz w:val="24"/>
          <w:szCs w:val="24"/>
          <w:highlight w:val="none"/>
          <w:lang w:val="en-US" w:eastAsia="zh-CN"/>
        </w:rPr>
        <w:t>中标人</w:t>
      </w:r>
      <w:r>
        <w:rPr>
          <w:rFonts w:hint="eastAsia" w:ascii="宋体" w:hAnsi="宋体" w:eastAsia="宋体" w:cs="宋体"/>
          <w:kern w:val="0"/>
          <w:sz w:val="24"/>
          <w:szCs w:val="24"/>
          <w:highlight w:val="none"/>
          <w:lang w:val="zh-CN"/>
        </w:rPr>
        <w:t>工作不力、监管不到位等自身原因引起的各种事故及造成的各类损失，由</w:t>
      </w:r>
      <w:r>
        <w:rPr>
          <w:rFonts w:hint="eastAsia" w:ascii="宋体" w:hAnsi="宋体" w:eastAsia="宋体" w:cs="宋体"/>
          <w:kern w:val="0"/>
          <w:sz w:val="24"/>
          <w:szCs w:val="24"/>
          <w:highlight w:val="none"/>
          <w:lang w:val="en-US" w:eastAsia="zh-CN"/>
        </w:rPr>
        <w:t>中标人自行</w:t>
      </w:r>
      <w:r>
        <w:rPr>
          <w:rFonts w:hint="eastAsia" w:ascii="宋体" w:hAnsi="宋体" w:eastAsia="宋体" w:cs="宋体"/>
          <w:kern w:val="0"/>
          <w:sz w:val="24"/>
          <w:szCs w:val="24"/>
          <w:highlight w:val="none"/>
          <w:lang w:val="zh-CN"/>
        </w:rPr>
        <w:t>承担全部经济和法律责任。</w:t>
      </w:r>
    </w:p>
    <w:p w14:paraId="7CCD8DD9">
      <w:pPr>
        <w:keepNext w:val="0"/>
        <w:keepLines w:val="0"/>
        <w:pageBreakBefore w:val="0"/>
        <w:wordWrap/>
        <w:overflowPunct/>
        <w:topLinePunct w:val="0"/>
        <w:autoSpaceDE w:val="0"/>
        <w:autoSpaceDN w:val="0"/>
        <w:bidi w:val="0"/>
        <w:adjustRightInd w:val="0"/>
        <w:spacing w:line="400" w:lineRule="exact"/>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kern w:val="0"/>
          <w:sz w:val="24"/>
          <w:szCs w:val="24"/>
          <w:highlight w:val="none"/>
          <w:lang w:val="en-US" w:eastAsia="zh-CN"/>
        </w:rPr>
        <w:t>中标人应</w:t>
      </w:r>
      <w:r>
        <w:rPr>
          <w:rFonts w:hint="eastAsia" w:ascii="宋体" w:hAnsi="宋体" w:eastAsia="宋体" w:cs="宋体"/>
          <w:kern w:val="0"/>
          <w:sz w:val="24"/>
          <w:szCs w:val="24"/>
          <w:highlight w:val="none"/>
          <w:lang w:val="zh-CN"/>
        </w:rPr>
        <w:t>遵守物业</w:t>
      </w:r>
      <w:r>
        <w:rPr>
          <w:rFonts w:hint="eastAsia" w:ascii="宋体" w:hAnsi="宋体" w:eastAsia="宋体" w:cs="宋体"/>
          <w:kern w:val="0"/>
          <w:sz w:val="24"/>
          <w:szCs w:val="24"/>
          <w:highlight w:val="none"/>
          <w:lang w:val="en-US" w:eastAsia="zh-CN"/>
        </w:rPr>
        <w:t>行业相关法律</w:t>
      </w:r>
      <w:r>
        <w:rPr>
          <w:rFonts w:hint="eastAsia" w:ascii="宋体" w:hAnsi="宋体" w:eastAsia="宋体" w:cs="宋体"/>
          <w:kern w:val="0"/>
          <w:sz w:val="24"/>
          <w:szCs w:val="24"/>
          <w:highlight w:val="none"/>
          <w:lang w:val="zh-CN"/>
        </w:rPr>
        <w:t>法规，承担</w:t>
      </w:r>
      <w:r>
        <w:rPr>
          <w:rFonts w:hint="eastAsia" w:ascii="宋体" w:hAnsi="宋体" w:eastAsia="宋体" w:cs="宋体"/>
          <w:kern w:val="0"/>
          <w:sz w:val="24"/>
          <w:szCs w:val="24"/>
          <w:highlight w:val="none"/>
          <w:lang w:val="en-US" w:eastAsia="zh-CN"/>
        </w:rPr>
        <w:t>本项目</w:t>
      </w:r>
      <w:r>
        <w:rPr>
          <w:rFonts w:hint="eastAsia" w:ascii="宋体" w:hAnsi="宋体" w:eastAsia="宋体" w:cs="宋体"/>
          <w:kern w:val="0"/>
          <w:sz w:val="24"/>
          <w:szCs w:val="24"/>
          <w:highlight w:val="none"/>
          <w:lang w:val="zh-CN"/>
        </w:rPr>
        <w:t>物业服务及物业安全责任，达到物业工作质量标准。</w:t>
      </w:r>
    </w:p>
    <w:p w14:paraId="1CD1FC03">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kern w:val="0"/>
          <w:sz w:val="24"/>
          <w:szCs w:val="24"/>
          <w:highlight w:val="none"/>
          <w:lang w:val="en-US" w:eastAsia="zh-CN"/>
        </w:rPr>
        <w:t>中标人</w:t>
      </w:r>
      <w:r>
        <w:rPr>
          <w:rFonts w:hint="eastAsia" w:ascii="宋体" w:hAnsi="宋体" w:eastAsia="宋体" w:cs="宋体"/>
          <w:kern w:val="0"/>
          <w:sz w:val="24"/>
          <w:szCs w:val="24"/>
          <w:highlight w:val="none"/>
          <w:lang w:val="zh-CN"/>
        </w:rPr>
        <w:t>应严格按照</w:t>
      </w:r>
      <w:r>
        <w:rPr>
          <w:rFonts w:hint="eastAsia" w:ascii="宋体" w:hAnsi="宋体" w:eastAsia="宋体" w:cs="宋体"/>
          <w:kern w:val="0"/>
          <w:sz w:val="24"/>
          <w:szCs w:val="24"/>
          <w:highlight w:val="none"/>
          <w:lang w:val="en-US" w:eastAsia="zh-CN"/>
        </w:rPr>
        <w:t>项目合同</w:t>
      </w:r>
      <w:r>
        <w:rPr>
          <w:rFonts w:hint="eastAsia" w:ascii="宋体" w:hAnsi="宋体" w:eastAsia="宋体" w:cs="宋体"/>
          <w:kern w:val="0"/>
          <w:sz w:val="24"/>
          <w:szCs w:val="24"/>
          <w:highlight w:val="none"/>
          <w:lang w:val="zh-CN"/>
        </w:rPr>
        <w:t>，按</w:t>
      </w:r>
      <w:r>
        <w:rPr>
          <w:rFonts w:hint="eastAsia" w:ascii="宋体" w:hAnsi="宋体" w:eastAsia="宋体" w:cs="宋体"/>
          <w:kern w:val="0"/>
          <w:sz w:val="24"/>
          <w:szCs w:val="24"/>
          <w:highlight w:val="none"/>
          <w:lang w:val="en-US" w:eastAsia="zh-CN"/>
        </w:rPr>
        <w:t>其投标文件承诺配备</w:t>
      </w:r>
      <w:r>
        <w:rPr>
          <w:rFonts w:hint="eastAsia" w:ascii="宋体" w:hAnsi="宋体" w:eastAsia="宋体" w:cs="宋体"/>
          <w:kern w:val="0"/>
          <w:sz w:val="24"/>
          <w:szCs w:val="24"/>
          <w:highlight w:val="none"/>
          <w:lang w:val="zh-CN"/>
        </w:rPr>
        <w:t>人数上岗，执行物业岗位职责、服务质量标准，承担物业管理服务、安全运行责任，达到全职全责。</w:t>
      </w:r>
    </w:p>
    <w:p w14:paraId="5A35AC6F">
      <w:pPr>
        <w:keepNext w:val="0"/>
        <w:keepLines w:val="0"/>
        <w:pageBreakBefore w:val="0"/>
        <w:wordWrap/>
        <w:overflowPunct/>
        <w:topLinePunct w:val="0"/>
        <w:autoSpaceDE w:val="0"/>
        <w:autoSpaceDN w:val="0"/>
        <w:bidi w:val="0"/>
        <w:adjustRightInd w:val="0"/>
        <w:spacing w:line="400" w:lineRule="exact"/>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kern w:val="0"/>
          <w:sz w:val="24"/>
          <w:szCs w:val="24"/>
          <w:highlight w:val="none"/>
          <w:lang w:val="en-US" w:eastAsia="zh-CN"/>
        </w:rPr>
        <w:t>中标人派驻所有员工</w:t>
      </w:r>
      <w:r>
        <w:rPr>
          <w:rFonts w:hint="eastAsia" w:ascii="宋体" w:hAnsi="宋体" w:eastAsia="宋体" w:cs="宋体"/>
          <w:kern w:val="0"/>
          <w:sz w:val="24"/>
          <w:szCs w:val="24"/>
          <w:highlight w:val="none"/>
          <w:lang w:val="zh-CN"/>
        </w:rPr>
        <w:t>必须经培训合格后上岗，胜任本职、本岗工作。凡达不到工作要求的员工，</w:t>
      </w:r>
      <w:r>
        <w:rPr>
          <w:rFonts w:hint="eastAsia" w:ascii="宋体" w:hAnsi="宋体" w:eastAsia="宋体" w:cs="宋体"/>
          <w:kern w:val="0"/>
          <w:sz w:val="24"/>
          <w:szCs w:val="24"/>
          <w:highlight w:val="none"/>
          <w:lang w:val="en-US" w:eastAsia="zh-CN"/>
        </w:rPr>
        <w:t>中标人</w:t>
      </w:r>
      <w:r>
        <w:rPr>
          <w:rFonts w:hint="eastAsia" w:ascii="宋体" w:hAnsi="宋体" w:eastAsia="宋体" w:cs="宋体"/>
          <w:kern w:val="0"/>
          <w:sz w:val="24"/>
          <w:szCs w:val="24"/>
          <w:highlight w:val="none"/>
          <w:lang w:val="zh-CN"/>
        </w:rPr>
        <w:t>应及时调换。</w:t>
      </w:r>
    </w:p>
    <w:p w14:paraId="40A190F5">
      <w:pPr>
        <w:keepNext w:val="0"/>
        <w:keepLines w:val="0"/>
        <w:pageBreakBefore w:val="0"/>
        <w:wordWrap/>
        <w:overflowPunct/>
        <w:topLinePunct w:val="0"/>
        <w:autoSpaceDE w:val="0"/>
        <w:autoSpaceDN w:val="0"/>
        <w:bidi w:val="0"/>
        <w:adjustRightInd w:val="0"/>
        <w:spacing w:line="400" w:lineRule="exact"/>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kern w:val="0"/>
          <w:sz w:val="24"/>
          <w:szCs w:val="24"/>
          <w:highlight w:val="none"/>
          <w:lang w:val="en-US" w:eastAsia="zh-CN"/>
        </w:rPr>
        <w:t>中标人派驻所有员工须</w:t>
      </w:r>
      <w:r>
        <w:rPr>
          <w:rFonts w:hint="eastAsia" w:ascii="宋体" w:hAnsi="宋体" w:eastAsia="宋体" w:cs="宋体"/>
          <w:kern w:val="0"/>
          <w:sz w:val="24"/>
          <w:szCs w:val="24"/>
          <w:highlight w:val="none"/>
          <w:lang w:val="zh-CN"/>
        </w:rPr>
        <w:t>文明上岗，统一着装，标志明显，自觉遵守相关规章制度。</w:t>
      </w:r>
    </w:p>
    <w:p w14:paraId="50712C3F">
      <w:pPr>
        <w:keepNext w:val="0"/>
        <w:keepLines w:val="0"/>
        <w:pageBreakBefore w:val="0"/>
        <w:wordWrap/>
        <w:overflowPunct/>
        <w:topLinePunct w:val="0"/>
        <w:autoSpaceDE w:val="0"/>
        <w:autoSpaceDN w:val="0"/>
        <w:bidi w:val="0"/>
        <w:adjustRightInd w:val="0"/>
        <w:spacing w:line="400" w:lineRule="exact"/>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color w:val="000000"/>
          <w:kern w:val="0"/>
          <w:sz w:val="24"/>
          <w:szCs w:val="24"/>
          <w:highlight w:val="none"/>
          <w:lang w:val="en-US" w:eastAsia="zh-CN"/>
        </w:rPr>
        <w:t>（6）</w:t>
      </w:r>
      <w:r>
        <w:rPr>
          <w:rFonts w:hint="eastAsia" w:ascii="宋体" w:hAnsi="宋体" w:eastAsia="宋体" w:cs="宋体"/>
          <w:kern w:val="0"/>
          <w:sz w:val="24"/>
          <w:szCs w:val="24"/>
          <w:highlight w:val="none"/>
          <w:lang w:val="zh-CN"/>
        </w:rPr>
        <w:t>遇雨雪天气，及时组织人员清理道路、各门门前保证畅通无阻。</w:t>
      </w:r>
    </w:p>
    <w:p w14:paraId="52803660">
      <w:pPr>
        <w:keepNext w:val="0"/>
        <w:keepLines w:val="0"/>
        <w:pageBreakBefore w:val="0"/>
        <w:wordWrap/>
        <w:overflowPunct/>
        <w:topLinePunct w:val="0"/>
        <w:autoSpaceDE w:val="0"/>
        <w:autoSpaceDN w:val="0"/>
        <w:bidi w:val="0"/>
        <w:adjustRightInd w:val="0"/>
        <w:spacing w:line="400" w:lineRule="exact"/>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color w:val="000000"/>
          <w:kern w:val="0"/>
          <w:sz w:val="24"/>
          <w:szCs w:val="24"/>
          <w:highlight w:val="none"/>
          <w:lang w:val="en-US" w:eastAsia="zh-CN"/>
        </w:rPr>
        <w:t>（7）</w:t>
      </w:r>
      <w:r>
        <w:rPr>
          <w:rFonts w:hint="eastAsia" w:ascii="宋体" w:hAnsi="宋体" w:eastAsia="宋体" w:cs="宋体"/>
          <w:kern w:val="0"/>
          <w:sz w:val="24"/>
          <w:szCs w:val="24"/>
          <w:highlight w:val="none"/>
          <w:lang w:val="en-US" w:eastAsia="zh-CN"/>
        </w:rPr>
        <w:t>采购人</w:t>
      </w:r>
      <w:r>
        <w:rPr>
          <w:rFonts w:hint="eastAsia" w:ascii="宋体" w:hAnsi="宋体" w:eastAsia="宋体" w:cs="宋体"/>
          <w:kern w:val="0"/>
          <w:sz w:val="24"/>
          <w:szCs w:val="24"/>
          <w:highlight w:val="none"/>
          <w:lang w:val="zh-CN"/>
        </w:rPr>
        <w:t>因紧急或特别事件的需要，而要求中标</w:t>
      </w:r>
      <w:r>
        <w:rPr>
          <w:rFonts w:hint="eastAsia" w:ascii="宋体" w:hAnsi="宋体" w:eastAsia="宋体" w:cs="宋体"/>
          <w:kern w:val="0"/>
          <w:sz w:val="24"/>
          <w:szCs w:val="24"/>
          <w:highlight w:val="none"/>
          <w:lang w:val="en-US" w:eastAsia="zh-CN"/>
        </w:rPr>
        <w:t>人</w:t>
      </w:r>
      <w:r>
        <w:rPr>
          <w:rFonts w:hint="eastAsia" w:ascii="宋体" w:hAnsi="宋体" w:eastAsia="宋体" w:cs="宋体"/>
          <w:kern w:val="0"/>
          <w:sz w:val="24"/>
          <w:szCs w:val="24"/>
          <w:highlight w:val="none"/>
          <w:lang w:val="zh-CN"/>
        </w:rPr>
        <w:t>临时突击卫生清洁工作及安全</w:t>
      </w:r>
      <w:r>
        <w:rPr>
          <w:rFonts w:hint="eastAsia" w:ascii="宋体" w:hAnsi="宋体" w:eastAsia="宋体" w:cs="宋体"/>
          <w:kern w:val="0"/>
          <w:sz w:val="24"/>
          <w:szCs w:val="24"/>
          <w:highlight w:val="none"/>
          <w:lang w:val="en-US" w:eastAsia="zh-CN"/>
        </w:rPr>
        <w:t>秩序维护</w:t>
      </w:r>
      <w:r>
        <w:rPr>
          <w:rFonts w:hint="eastAsia" w:ascii="宋体" w:hAnsi="宋体" w:eastAsia="宋体" w:cs="宋体"/>
          <w:kern w:val="0"/>
          <w:sz w:val="24"/>
          <w:szCs w:val="24"/>
          <w:highlight w:val="none"/>
          <w:lang w:val="zh-CN"/>
        </w:rPr>
        <w:t>工作时，中标</w:t>
      </w:r>
      <w:r>
        <w:rPr>
          <w:rFonts w:hint="eastAsia" w:ascii="宋体" w:hAnsi="宋体" w:eastAsia="宋体" w:cs="宋体"/>
          <w:kern w:val="0"/>
          <w:sz w:val="24"/>
          <w:szCs w:val="24"/>
          <w:highlight w:val="none"/>
          <w:lang w:val="en-US" w:eastAsia="zh-CN"/>
        </w:rPr>
        <w:t>人</w:t>
      </w:r>
      <w:r>
        <w:rPr>
          <w:rFonts w:hint="eastAsia" w:ascii="宋体" w:hAnsi="宋体" w:eastAsia="宋体" w:cs="宋体"/>
          <w:kern w:val="0"/>
          <w:sz w:val="24"/>
          <w:szCs w:val="24"/>
          <w:highlight w:val="none"/>
          <w:lang w:val="zh-CN"/>
        </w:rPr>
        <w:t>应无条件执行，有关费用</w:t>
      </w:r>
      <w:r>
        <w:rPr>
          <w:rFonts w:hint="eastAsia" w:ascii="宋体" w:hAnsi="宋体" w:eastAsia="宋体" w:cs="宋体"/>
          <w:kern w:val="0"/>
          <w:sz w:val="24"/>
          <w:szCs w:val="24"/>
          <w:highlight w:val="none"/>
          <w:lang w:val="en-US" w:eastAsia="zh-CN"/>
        </w:rPr>
        <w:t>包含在其</w:t>
      </w:r>
      <w:r>
        <w:rPr>
          <w:rFonts w:hint="eastAsia" w:ascii="宋体" w:hAnsi="宋体" w:eastAsia="宋体" w:cs="宋体"/>
          <w:kern w:val="0"/>
          <w:sz w:val="24"/>
          <w:szCs w:val="24"/>
          <w:highlight w:val="none"/>
          <w:lang w:val="zh-CN"/>
        </w:rPr>
        <w:t>投标报价中。紧急或特别事件指（但不限于）：上级领导视察工作，进行重大文体、喜庆活动和暴雨、冰雪天等自然天气的突击清理以及安全保卫工作等。</w:t>
      </w:r>
    </w:p>
    <w:p w14:paraId="34D4BDF3">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（8）</w:t>
      </w:r>
      <w:r>
        <w:rPr>
          <w:rFonts w:hint="eastAsia" w:ascii="宋体" w:hAnsi="宋体" w:eastAsia="宋体" w:cs="宋体"/>
          <w:color w:val="000000"/>
          <w:kern w:val="0"/>
          <w:sz w:val="24"/>
          <w:szCs w:val="24"/>
          <w:highlight w:val="none"/>
          <w:lang w:eastAsia="zh-CN"/>
        </w:rPr>
        <w:t>重大设施设备责任事故为零。</w:t>
      </w:r>
    </w:p>
    <w:p w14:paraId="446CEB6D">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9）中标人</w:t>
      </w:r>
      <w:r>
        <w:rPr>
          <w:rFonts w:hint="eastAsia" w:ascii="宋体" w:hAnsi="宋体" w:eastAsia="宋体" w:cs="宋体"/>
          <w:color w:val="000000"/>
          <w:kern w:val="0"/>
          <w:sz w:val="24"/>
          <w:szCs w:val="24"/>
          <w:highlight w:val="none"/>
          <w:lang w:eastAsia="zh-CN"/>
        </w:rPr>
        <w:t>对</w:t>
      </w:r>
      <w:r>
        <w:rPr>
          <w:rFonts w:hint="eastAsia" w:ascii="宋体" w:hAnsi="宋体" w:eastAsia="宋体" w:cs="宋体"/>
          <w:color w:val="000000"/>
          <w:kern w:val="0"/>
          <w:sz w:val="24"/>
          <w:szCs w:val="24"/>
          <w:highlight w:val="none"/>
          <w:lang w:val="en-US" w:eastAsia="zh-CN"/>
        </w:rPr>
        <w:t>本</w:t>
      </w:r>
      <w:r>
        <w:rPr>
          <w:rFonts w:hint="eastAsia" w:ascii="宋体" w:hAnsi="宋体" w:eastAsia="宋体" w:cs="宋体"/>
          <w:color w:val="000000"/>
          <w:kern w:val="0"/>
          <w:sz w:val="24"/>
          <w:szCs w:val="24"/>
          <w:highlight w:val="none"/>
          <w:lang w:eastAsia="zh-CN"/>
        </w:rPr>
        <w:t>项目服务不得另外分包。</w:t>
      </w:r>
    </w:p>
    <w:p w14:paraId="68826249">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中标人自行提供服务工具、车辆（驾驶式室外扫地车至少1台、手推式室内洗地机至少1台、垃圾清运车1辆）、安保设备（对讲机、警棍、防暴叉等）、服装、低值易耗品及其他相关器具。相关费用包含在合同价中。</w:t>
      </w:r>
    </w:p>
    <w:p w14:paraId="7F55E803">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1"/>
        <w:rPr>
          <w:rFonts w:hint="eastAsia" w:ascii="宋体" w:hAnsi="宋体" w:eastAsia="宋体" w:cs="宋体"/>
          <w:b/>
          <w:color w:val="auto"/>
          <w:sz w:val="24"/>
          <w:szCs w:val="18"/>
          <w:highlight w:val="none"/>
          <w:lang w:val="zh-CN" w:eastAsia="zh-CN"/>
        </w:rPr>
      </w:pPr>
      <w:r>
        <w:rPr>
          <w:rFonts w:hint="eastAsia" w:ascii="宋体" w:hAnsi="宋体" w:eastAsia="宋体" w:cs="宋体"/>
          <w:b/>
          <w:color w:val="auto"/>
          <w:sz w:val="24"/>
          <w:szCs w:val="18"/>
          <w:highlight w:val="none"/>
          <w:lang w:val="zh-CN" w:eastAsia="zh-CN"/>
        </w:rPr>
        <w:t>五、物业考核办法</w:t>
      </w:r>
    </w:p>
    <w:p w14:paraId="19819821">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zh-CN" w:eastAsia="zh-CN"/>
        </w:rPr>
        <w:t>1</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zh-CN" w:eastAsia="zh-CN"/>
        </w:rPr>
        <w:t>考核形式</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zh-CN" w:eastAsia="zh-CN"/>
        </w:rPr>
        <w:t>采购人对物业公司的服务，每</w:t>
      </w:r>
      <w:r>
        <w:rPr>
          <w:rFonts w:hint="eastAsia" w:ascii="宋体" w:hAnsi="宋体" w:eastAsia="宋体" w:cs="宋体"/>
          <w:color w:val="000000"/>
          <w:kern w:val="0"/>
          <w:sz w:val="24"/>
          <w:szCs w:val="24"/>
          <w:highlight w:val="none"/>
          <w:lang w:val="en-US" w:eastAsia="zh-CN"/>
        </w:rPr>
        <w:t>季度</w:t>
      </w:r>
      <w:r>
        <w:rPr>
          <w:rFonts w:hint="eastAsia" w:ascii="宋体" w:hAnsi="宋体" w:eastAsia="宋体" w:cs="宋体"/>
          <w:color w:val="000000"/>
          <w:kern w:val="0"/>
          <w:sz w:val="24"/>
          <w:szCs w:val="24"/>
          <w:highlight w:val="none"/>
          <w:lang w:val="zh-CN" w:eastAsia="zh-CN"/>
        </w:rPr>
        <w:t>进行考核与评价，如有违反双方约定事情，将由</w:t>
      </w:r>
      <w:r>
        <w:rPr>
          <w:rFonts w:hint="eastAsia" w:ascii="宋体" w:hAnsi="宋体" w:eastAsia="宋体" w:cs="宋体"/>
          <w:color w:val="000000"/>
          <w:kern w:val="0"/>
          <w:sz w:val="24"/>
          <w:szCs w:val="24"/>
          <w:highlight w:val="none"/>
          <w:lang w:eastAsia="zh-CN"/>
        </w:rPr>
        <w:t>采购人</w:t>
      </w:r>
      <w:r>
        <w:rPr>
          <w:rFonts w:hint="eastAsia" w:ascii="宋体" w:hAnsi="宋体" w:eastAsia="宋体" w:cs="宋体"/>
          <w:color w:val="000000"/>
          <w:kern w:val="0"/>
          <w:sz w:val="24"/>
          <w:szCs w:val="24"/>
          <w:highlight w:val="none"/>
          <w:lang w:val="zh-CN" w:eastAsia="zh-CN"/>
        </w:rPr>
        <w:t>书面报告采购人领导，对物业公司予以每</w:t>
      </w:r>
      <w:r>
        <w:rPr>
          <w:rFonts w:hint="eastAsia" w:ascii="宋体" w:hAnsi="宋体" w:eastAsia="宋体" w:cs="宋体"/>
          <w:color w:val="000000"/>
          <w:kern w:val="0"/>
          <w:sz w:val="24"/>
          <w:szCs w:val="24"/>
          <w:highlight w:val="none"/>
          <w:lang w:val="en-US" w:eastAsia="zh-CN"/>
        </w:rPr>
        <w:t>季</w:t>
      </w:r>
      <w:r>
        <w:rPr>
          <w:rFonts w:hint="eastAsia" w:ascii="宋体" w:hAnsi="宋体" w:eastAsia="宋体" w:cs="宋体"/>
          <w:color w:val="000000"/>
          <w:kern w:val="0"/>
          <w:sz w:val="24"/>
          <w:szCs w:val="24"/>
          <w:highlight w:val="none"/>
          <w:lang w:val="zh-CN" w:eastAsia="zh-CN"/>
        </w:rPr>
        <w:t>度结算中扣除相关费用。</w:t>
      </w:r>
    </w:p>
    <w:p w14:paraId="4FE4A8CC">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eastAsia="zh-CN"/>
        </w:rPr>
        <w:t>2.</w:t>
      </w:r>
      <w:r>
        <w:rPr>
          <w:rFonts w:hint="eastAsia" w:ascii="宋体" w:hAnsi="宋体" w:eastAsia="宋体" w:cs="宋体"/>
          <w:color w:val="000000"/>
          <w:kern w:val="0"/>
          <w:sz w:val="24"/>
          <w:szCs w:val="24"/>
          <w:highlight w:val="none"/>
          <w:lang w:val="en-US" w:eastAsia="zh-CN"/>
        </w:rPr>
        <w:t>考核措施：</w:t>
      </w:r>
      <w:r>
        <w:rPr>
          <w:rFonts w:hint="eastAsia" w:ascii="宋体" w:hAnsi="宋体" w:eastAsia="宋体" w:cs="宋体"/>
          <w:color w:val="000000"/>
          <w:kern w:val="0"/>
          <w:sz w:val="24"/>
          <w:szCs w:val="24"/>
          <w:highlight w:val="none"/>
          <w:lang w:eastAsia="zh-CN"/>
        </w:rPr>
        <w:t>综合考核得分85分（</w:t>
      </w:r>
      <w:r>
        <w:rPr>
          <w:rFonts w:hint="eastAsia" w:ascii="宋体" w:hAnsi="宋体" w:eastAsia="宋体" w:cs="宋体"/>
          <w:color w:val="000000"/>
          <w:kern w:val="0"/>
          <w:sz w:val="24"/>
          <w:szCs w:val="24"/>
          <w:highlight w:val="none"/>
          <w:lang w:val="en-US" w:eastAsia="zh-CN"/>
        </w:rPr>
        <w:t>含）及</w:t>
      </w:r>
      <w:r>
        <w:rPr>
          <w:rFonts w:hint="eastAsia" w:ascii="宋体" w:hAnsi="宋体" w:eastAsia="宋体" w:cs="宋体"/>
          <w:color w:val="000000"/>
          <w:kern w:val="0"/>
          <w:sz w:val="24"/>
          <w:szCs w:val="24"/>
          <w:highlight w:val="none"/>
          <w:lang w:eastAsia="zh-CN"/>
        </w:rPr>
        <w:t>以上全额支付季度物业费用；综合考核得分8</w:t>
      </w:r>
      <w:r>
        <w:rPr>
          <w:rFonts w:hint="eastAsia" w:ascii="宋体" w:hAnsi="宋体" w:eastAsia="宋体" w:cs="宋体"/>
          <w:color w:val="000000"/>
          <w:kern w:val="0"/>
          <w:sz w:val="24"/>
          <w:szCs w:val="24"/>
          <w:highlight w:val="none"/>
          <w:lang w:val="en-US" w:eastAsia="zh-CN"/>
        </w:rPr>
        <w:t>5分（不含）</w:t>
      </w:r>
      <w:r>
        <w:rPr>
          <w:rFonts w:hint="eastAsia" w:ascii="宋体" w:hAnsi="宋体" w:eastAsia="宋体" w:cs="宋体"/>
          <w:color w:val="000000"/>
          <w:kern w:val="0"/>
          <w:sz w:val="24"/>
          <w:szCs w:val="24"/>
          <w:highlight w:val="none"/>
          <w:lang w:eastAsia="zh-CN"/>
        </w:rPr>
        <w:t>至70分（</w:t>
      </w:r>
      <w:r>
        <w:rPr>
          <w:rFonts w:hint="eastAsia" w:ascii="宋体" w:hAnsi="宋体" w:eastAsia="宋体" w:cs="宋体"/>
          <w:color w:val="000000"/>
          <w:kern w:val="0"/>
          <w:sz w:val="24"/>
          <w:szCs w:val="24"/>
          <w:highlight w:val="none"/>
          <w:lang w:val="en-US" w:eastAsia="zh-CN"/>
        </w:rPr>
        <w:t>含）</w:t>
      </w:r>
      <w:r>
        <w:rPr>
          <w:rFonts w:hint="eastAsia" w:ascii="宋体" w:hAnsi="宋体" w:eastAsia="宋体" w:cs="宋体"/>
          <w:color w:val="000000"/>
          <w:kern w:val="0"/>
          <w:sz w:val="24"/>
          <w:szCs w:val="24"/>
          <w:highlight w:val="none"/>
          <w:lang w:eastAsia="zh-CN"/>
        </w:rPr>
        <w:t>按照季度物业费用的85%付款；综合考核得分</w:t>
      </w:r>
      <w:r>
        <w:rPr>
          <w:rFonts w:hint="eastAsia" w:ascii="宋体" w:hAnsi="宋体" w:eastAsia="宋体" w:cs="宋体"/>
          <w:color w:val="000000"/>
          <w:kern w:val="0"/>
          <w:sz w:val="24"/>
          <w:szCs w:val="24"/>
          <w:highlight w:val="none"/>
          <w:lang w:val="en-US" w:eastAsia="zh-CN"/>
        </w:rPr>
        <w:t>70分（不含）至</w:t>
      </w:r>
      <w:r>
        <w:rPr>
          <w:rFonts w:hint="eastAsia" w:ascii="宋体" w:hAnsi="宋体" w:eastAsia="宋体" w:cs="宋体"/>
          <w:color w:val="000000"/>
          <w:kern w:val="0"/>
          <w:sz w:val="24"/>
          <w:szCs w:val="24"/>
          <w:highlight w:val="none"/>
          <w:lang w:eastAsia="zh-CN"/>
        </w:rPr>
        <w:t>60分（</w:t>
      </w:r>
      <w:r>
        <w:rPr>
          <w:rFonts w:hint="eastAsia" w:ascii="宋体" w:hAnsi="宋体" w:eastAsia="宋体" w:cs="宋体"/>
          <w:color w:val="000000"/>
          <w:kern w:val="0"/>
          <w:sz w:val="24"/>
          <w:szCs w:val="24"/>
          <w:highlight w:val="none"/>
          <w:lang w:val="en-US" w:eastAsia="zh-CN"/>
        </w:rPr>
        <w:t>不含）</w:t>
      </w:r>
      <w:r>
        <w:rPr>
          <w:rFonts w:hint="eastAsia" w:ascii="宋体" w:hAnsi="宋体" w:eastAsia="宋体" w:cs="宋体"/>
          <w:color w:val="000000"/>
          <w:kern w:val="0"/>
          <w:sz w:val="24"/>
          <w:szCs w:val="24"/>
          <w:highlight w:val="none"/>
          <w:lang w:eastAsia="zh-CN"/>
        </w:rPr>
        <w:t>按照季度物业费用的50%付款；60分（</w:t>
      </w:r>
      <w:r>
        <w:rPr>
          <w:rFonts w:hint="eastAsia" w:ascii="宋体" w:hAnsi="宋体" w:eastAsia="宋体" w:cs="宋体"/>
          <w:color w:val="000000"/>
          <w:kern w:val="0"/>
          <w:sz w:val="24"/>
          <w:szCs w:val="24"/>
          <w:highlight w:val="none"/>
          <w:lang w:val="en-US" w:eastAsia="zh-CN"/>
        </w:rPr>
        <w:t>含）及</w:t>
      </w:r>
      <w:r>
        <w:rPr>
          <w:rFonts w:hint="eastAsia" w:ascii="宋体" w:hAnsi="宋体" w:eastAsia="宋体" w:cs="宋体"/>
          <w:color w:val="000000"/>
          <w:kern w:val="0"/>
          <w:sz w:val="24"/>
          <w:szCs w:val="24"/>
          <w:highlight w:val="none"/>
          <w:lang w:eastAsia="zh-CN"/>
        </w:rPr>
        <w:t>以下不支付物业费用。连续两次考核得分</w:t>
      </w:r>
      <w:r>
        <w:rPr>
          <w:rFonts w:hint="eastAsia" w:ascii="宋体" w:hAnsi="宋体" w:eastAsia="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lang w:eastAsia="zh-CN"/>
        </w:rPr>
        <w:t>0分（</w:t>
      </w:r>
      <w:r>
        <w:rPr>
          <w:rFonts w:hint="eastAsia" w:ascii="宋体" w:hAnsi="宋体" w:eastAsia="宋体" w:cs="宋体"/>
          <w:color w:val="000000"/>
          <w:kern w:val="0"/>
          <w:sz w:val="24"/>
          <w:szCs w:val="24"/>
          <w:highlight w:val="none"/>
          <w:lang w:val="en-US" w:eastAsia="zh-CN"/>
        </w:rPr>
        <w:t>含）及</w:t>
      </w:r>
      <w:r>
        <w:rPr>
          <w:rFonts w:hint="eastAsia" w:ascii="宋体" w:hAnsi="宋体" w:eastAsia="宋体" w:cs="宋体"/>
          <w:color w:val="000000"/>
          <w:kern w:val="0"/>
          <w:sz w:val="24"/>
          <w:szCs w:val="24"/>
          <w:highlight w:val="none"/>
          <w:lang w:eastAsia="zh-CN"/>
        </w:rPr>
        <w:t>以下的终止合同。</w:t>
      </w:r>
    </w:p>
    <w:p w14:paraId="022BE254">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lang w:eastAsia="zh-CN"/>
        </w:rPr>
        <w:t>考核</w:t>
      </w:r>
      <w:r>
        <w:rPr>
          <w:rFonts w:hint="eastAsia" w:ascii="宋体" w:hAnsi="宋体" w:eastAsia="宋体" w:cs="宋体"/>
          <w:color w:val="000000"/>
          <w:kern w:val="0"/>
          <w:sz w:val="24"/>
          <w:szCs w:val="24"/>
          <w:highlight w:val="none"/>
          <w:lang w:val="en-US" w:eastAsia="zh-CN"/>
        </w:rPr>
        <w:t>评分</w:t>
      </w:r>
      <w:r>
        <w:rPr>
          <w:rFonts w:hint="eastAsia" w:ascii="宋体" w:hAnsi="宋体" w:eastAsia="宋体" w:cs="宋体"/>
          <w:color w:val="000000"/>
          <w:kern w:val="0"/>
          <w:sz w:val="24"/>
          <w:szCs w:val="24"/>
          <w:highlight w:val="none"/>
          <w:lang w:eastAsia="zh-CN"/>
        </w:rPr>
        <w:t>细则：</w:t>
      </w:r>
    </w:p>
    <w:tbl>
      <w:tblPr>
        <w:tblStyle w:val="27"/>
        <w:tblW w:w="9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4737"/>
        <w:gridCol w:w="1509"/>
        <w:gridCol w:w="111"/>
        <w:gridCol w:w="934"/>
        <w:gridCol w:w="65"/>
        <w:gridCol w:w="870"/>
        <w:gridCol w:w="214"/>
        <w:gridCol w:w="476"/>
      </w:tblGrid>
      <w:tr w14:paraId="11BEE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258" w:type="dxa"/>
            <w:gridSpan w:val="2"/>
            <w:tcBorders>
              <w:top w:val="single" w:color="auto" w:sz="4" w:space="0"/>
              <w:left w:val="single" w:color="auto" w:sz="4" w:space="0"/>
              <w:bottom w:val="single" w:color="auto" w:sz="4" w:space="0"/>
              <w:right w:val="single" w:color="auto" w:sz="4" w:space="0"/>
            </w:tcBorders>
            <w:noWrap w:val="0"/>
            <w:vAlign w:val="center"/>
          </w:tcPr>
          <w:p w14:paraId="5E92300B">
            <w:pPr>
              <w:keepLines w:val="0"/>
              <w:pageBreakBefore w:val="0"/>
              <w:widowControl/>
              <w:kinsoku/>
              <w:wordWrap/>
              <w:overflowPunct/>
              <w:topLinePunct w:val="0"/>
              <w:bidi w:val="0"/>
              <w:snapToGrid/>
              <w:spacing w:line="36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服务标准内容</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50D2D729">
            <w:pPr>
              <w:keepLines w:val="0"/>
              <w:pageBreakBefore w:val="0"/>
              <w:widowControl/>
              <w:kinsoku/>
              <w:wordWrap/>
              <w:overflowPunct/>
              <w:topLinePunct w:val="0"/>
              <w:bidi w:val="0"/>
              <w:snapToGrid/>
              <w:spacing w:line="36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评分细则</w:t>
            </w:r>
          </w:p>
        </w:tc>
        <w:tc>
          <w:tcPr>
            <w:tcW w:w="1110" w:type="dxa"/>
            <w:gridSpan w:val="3"/>
            <w:tcBorders>
              <w:top w:val="single" w:color="auto" w:sz="4" w:space="0"/>
              <w:left w:val="single" w:color="auto" w:sz="4" w:space="0"/>
              <w:bottom w:val="single" w:color="auto" w:sz="4" w:space="0"/>
              <w:right w:val="single" w:color="auto" w:sz="4" w:space="0"/>
            </w:tcBorders>
            <w:noWrap w:val="0"/>
            <w:vAlign w:val="center"/>
          </w:tcPr>
          <w:p w14:paraId="23270F11">
            <w:pPr>
              <w:keepLines w:val="0"/>
              <w:pageBreakBefore w:val="0"/>
              <w:widowControl/>
              <w:kinsoku/>
              <w:wordWrap/>
              <w:overflowPunct/>
              <w:topLinePunct w:val="0"/>
              <w:bidi w:val="0"/>
              <w:snapToGrid/>
              <w:spacing w:line="36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受检场地及扣分原因</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4D14E7DB">
            <w:pPr>
              <w:keepLines w:val="0"/>
              <w:pageBreakBefore w:val="0"/>
              <w:widowControl/>
              <w:kinsoku/>
              <w:wordWrap/>
              <w:overflowPunct/>
              <w:topLinePunct w:val="0"/>
              <w:bidi w:val="0"/>
              <w:snapToGrid/>
              <w:spacing w:line="36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扣分</w:t>
            </w:r>
          </w:p>
        </w:tc>
        <w:tc>
          <w:tcPr>
            <w:tcW w:w="690" w:type="dxa"/>
            <w:gridSpan w:val="2"/>
            <w:tcBorders>
              <w:top w:val="single" w:color="auto" w:sz="4" w:space="0"/>
              <w:left w:val="single" w:color="auto" w:sz="4" w:space="0"/>
              <w:bottom w:val="single" w:color="auto" w:sz="4" w:space="0"/>
              <w:right w:val="single" w:color="auto" w:sz="4" w:space="0"/>
            </w:tcBorders>
            <w:noWrap w:val="0"/>
            <w:vAlign w:val="center"/>
          </w:tcPr>
          <w:p w14:paraId="7DDB04D0">
            <w:pPr>
              <w:keepLines w:val="0"/>
              <w:pageBreakBefore w:val="0"/>
              <w:widowControl/>
              <w:kinsoku/>
              <w:wordWrap/>
              <w:overflowPunct/>
              <w:topLinePunct w:val="0"/>
              <w:bidi w:val="0"/>
              <w:snapToGrid/>
              <w:spacing w:line="36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检查时间</w:t>
            </w:r>
          </w:p>
        </w:tc>
      </w:tr>
      <w:tr w14:paraId="3FAE2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747" w:type="dxa"/>
            <w:gridSpan w:val="7"/>
            <w:tcBorders>
              <w:top w:val="single" w:color="auto" w:sz="4" w:space="0"/>
            </w:tcBorders>
            <w:noWrap w:val="0"/>
            <w:vAlign w:val="center"/>
          </w:tcPr>
          <w:p w14:paraId="3BE43782">
            <w:pPr>
              <w:keepLines w:val="0"/>
              <w:pageBreakBefore w:val="0"/>
              <w:widowControl/>
              <w:kinsoku/>
              <w:wordWrap/>
              <w:overflowPunct/>
              <w:topLinePunct w:val="0"/>
              <w:bidi w:val="0"/>
              <w:snapToGrid/>
              <w:spacing w:line="360" w:lineRule="exact"/>
              <w:ind w:firstLine="555"/>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（一）综合要求  （20分）</w:t>
            </w:r>
          </w:p>
        </w:tc>
        <w:tc>
          <w:tcPr>
            <w:tcW w:w="690" w:type="dxa"/>
            <w:gridSpan w:val="2"/>
            <w:vMerge w:val="restart"/>
            <w:tcBorders>
              <w:top w:val="single" w:color="auto" w:sz="4" w:space="0"/>
            </w:tcBorders>
            <w:noWrap w:val="0"/>
            <w:vAlign w:val="center"/>
          </w:tcPr>
          <w:p w14:paraId="1365A4B1">
            <w:pPr>
              <w:keepLines w:val="0"/>
              <w:pageBreakBefore w:val="0"/>
              <w:widowControl/>
              <w:kinsoku/>
              <w:wordWrap/>
              <w:overflowPunct/>
              <w:topLinePunct w:val="0"/>
              <w:bidi w:val="0"/>
              <w:snapToGrid/>
              <w:spacing w:line="360" w:lineRule="exact"/>
              <w:ind w:firstLine="555"/>
              <w:rPr>
                <w:rFonts w:hint="eastAsia" w:ascii="宋体" w:hAnsi="宋体" w:eastAsia="宋体" w:cs="宋体"/>
                <w:color w:val="000000"/>
                <w:sz w:val="21"/>
                <w:szCs w:val="21"/>
                <w:highlight w:val="none"/>
              </w:rPr>
            </w:pPr>
          </w:p>
        </w:tc>
      </w:tr>
      <w:tr w14:paraId="3F771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21" w:type="dxa"/>
            <w:noWrap w:val="0"/>
            <w:vAlign w:val="center"/>
          </w:tcPr>
          <w:p w14:paraId="26AA2976">
            <w:pPr>
              <w:keepLines w:val="0"/>
              <w:pageBreakBefore w:val="0"/>
              <w:widowControl/>
              <w:kinsoku/>
              <w:wordWrap/>
              <w:overflowPunct/>
              <w:topLinePunct w:val="0"/>
              <w:bidi w:val="0"/>
              <w:snapToGrid/>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4737" w:type="dxa"/>
            <w:noWrap w:val="0"/>
            <w:vAlign w:val="center"/>
          </w:tcPr>
          <w:p w14:paraId="30705A9C">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应遵守</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各项规章制度和规定、严格执行操作规范。</w:t>
            </w:r>
          </w:p>
        </w:tc>
        <w:tc>
          <w:tcPr>
            <w:tcW w:w="1509" w:type="dxa"/>
            <w:noWrap w:val="0"/>
            <w:vAlign w:val="center"/>
          </w:tcPr>
          <w:p w14:paraId="61FB6B26">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违规一项扣1分</w:t>
            </w:r>
          </w:p>
        </w:tc>
        <w:tc>
          <w:tcPr>
            <w:tcW w:w="1110" w:type="dxa"/>
            <w:gridSpan w:val="3"/>
            <w:noWrap w:val="0"/>
            <w:vAlign w:val="center"/>
          </w:tcPr>
          <w:p w14:paraId="2A3660E7">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870" w:type="dxa"/>
            <w:noWrap w:val="0"/>
            <w:vAlign w:val="center"/>
          </w:tcPr>
          <w:p w14:paraId="70601D58">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690" w:type="dxa"/>
            <w:gridSpan w:val="2"/>
            <w:vMerge w:val="continue"/>
            <w:noWrap w:val="0"/>
            <w:vAlign w:val="center"/>
          </w:tcPr>
          <w:p w14:paraId="652A038E">
            <w:pPr>
              <w:keepLines w:val="0"/>
              <w:pageBreakBefore w:val="0"/>
              <w:widowControl/>
              <w:kinsoku/>
              <w:wordWrap/>
              <w:overflowPunct/>
              <w:topLinePunct w:val="0"/>
              <w:bidi w:val="0"/>
              <w:snapToGrid/>
              <w:spacing w:line="360" w:lineRule="exact"/>
              <w:ind w:firstLine="555"/>
              <w:rPr>
                <w:rFonts w:hint="eastAsia" w:ascii="宋体" w:hAnsi="宋体" w:eastAsia="宋体" w:cs="宋体"/>
                <w:color w:val="000000"/>
                <w:sz w:val="21"/>
                <w:szCs w:val="21"/>
                <w:highlight w:val="none"/>
              </w:rPr>
            </w:pPr>
          </w:p>
        </w:tc>
      </w:tr>
      <w:tr w14:paraId="73498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21" w:type="dxa"/>
            <w:noWrap w:val="0"/>
            <w:vAlign w:val="center"/>
          </w:tcPr>
          <w:p w14:paraId="6669E234">
            <w:pPr>
              <w:keepLines w:val="0"/>
              <w:pageBreakBefore w:val="0"/>
              <w:widowControl/>
              <w:kinsoku/>
              <w:wordWrap/>
              <w:overflowPunct/>
              <w:topLinePunct w:val="0"/>
              <w:bidi w:val="0"/>
              <w:snapToGrid/>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4737" w:type="dxa"/>
            <w:noWrap w:val="0"/>
            <w:vAlign w:val="center"/>
          </w:tcPr>
          <w:p w14:paraId="3A9D1D84">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保持设备运行正常，无故障和不安全隐患，发现问题应及时维修保养，重大问题及时上报。</w:t>
            </w:r>
          </w:p>
        </w:tc>
        <w:tc>
          <w:tcPr>
            <w:tcW w:w="1509" w:type="dxa"/>
            <w:noWrap w:val="0"/>
            <w:vAlign w:val="center"/>
          </w:tcPr>
          <w:p w14:paraId="5175DE2C">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不符合要求一项扣1分</w:t>
            </w:r>
          </w:p>
        </w:tc>
        <w:tc>
          <w:tcPr>
            <w:tcW w:w="1110" w:type="dxa"/>
            <w:gridSpan w:val="3"/>
            <w:noWrap w:val="0"/>
            <w:vAlign w:val="center"/>
          </w:tcPr>
          <w:p w14:paraId="01206F67">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870" w:type="dxa"/>
            <w:noWrap w:val="0"/>
            <w:vAlign w:val="center"/>
          </w:tcPr>
          <w:p w14:paraId="6603E4C7">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690" w:type="dxa"/>
            <w:gridSpan w:val="2"/>
            <w:vMerge w:val="continue"/>
            <w:noWrap w:val="0"/>
            <w:vAlign w:val="center"/>
          </w:tcPr>
          <w:p w14:paraId="240EBD19">
            <w:pPr>
              <w:keepLines w:val="0"/>
              <w:pageBreakBefore w:val="0"/>
              <w:widowControl/>
              <w:kinsoku/>
              <w:wordWrap/>
              <w:overflowPunct/>
              <w:topLinePunct w:val="0"/>
              <w:bidi w:val="0"/>
              <w:snapToGrid/>
              <w:spacing w:line="360" w:lineRule="exact"/>
              <w:ind w:firstLine="555"/>
              <w:rPr>
                <w:rFonts w:hint="eastAsia" w:ascii="宋体" w:hAnsi="宋体" w:eastAsia="宋体" w:cs="宋体"/>
                <w:color w:val="000000"/>
                <w:sz w:val="21"/>
                <w:szCs w:val="21"/>
                <w:highlight w:val="none"/>
              </w:rPr>
            </w:pPr>
          </w:p>
        </w:tc>
      </w:tr>
      <w:tr w14:paraId="75741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21" w:type="dxa"/>
            <w:noWrap w:val="0"/>
            <w:vAlign w:val="center"/>
          </w:tcPr>
          <w:p w14:paraId="7E7938B2">
            <w:pPr>
              <w:keepLines w:val="0"/>
              <w:pageBreakBefore w:val="0"/>
              <w:widowControl/>
              <w:kinsoku/>
              <w:wordWrap/>
              <w:overflowPunct/>
              <w:topLinePunct w:val="0"/>
              <w:bidi w:val="0"/>
              <w:snapToGrid/>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tc>
        <w:tc>
          <w:tcPr>
            <w:tcW w:w="4737" w:type="dxa"/>
            <w:noWrap w:val="0"/>
            <w:vAlign w:val="center"/>
          </w:tcPr>
          <w:p w14:paraId="5CDD9962">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应遵守各服务项目维修保养时间、计划、标准。</w:t>
            </w:r>
          </w:p>
        </w:tc>
        <w:tc>
          <w:tcPr>
            <w:tcW w:w="1509" w:type="dxa"/>
            <w:noWrap w:val="0"/>
            <w:vAlign w:val="center"/>
          </w:tcPr>
          <w:p w14:paraId="2AA36211">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不符合要求一项扣1分</w:t>
            </w:r>
          </w:p>
        </w:tc>
        <w:tc>
          <w:tcPr>
            <w:tcW w:w="1110" w:type="dxa"/>
            <w:gridSpan w:val="3"/>
            <w:noWrap w:val="0"/>
            <w:vAlign w:val="center"/>
          </w:tcPr>
          <w:p w14:paraId="43E443F5">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870" w:type="dxa"/>
            <w:noWrap w:val="0"/>
            <w:vAlign w:val="center"/>
          </w:tcPr>
          <w:p w14:paraId="43917EDD">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690" w:type="dxa"/>
            <w:gridSpan w:val="2"/>
            <w:vMerge w:val="continue"/>
            <w:noWrap w:val="0"/>
            <w:vAlign w:val="center"/>
          </w:tcPr>
          <w:p w14:paraId="2A236935">
            <w:pPr>
              <w:keepLines w:val="0"/>
              <w:pageBreakBefore w:val="0"/>
              <w:widowControl/>
              <w:kinsoku/>
              <w:wordWrap/>
              <w:overflowPunct/>
              <w:topLinePunct w:val="0"/>
              <w:bidi w:val="0"/>
              <w:snapToGrid/>
              <w:spacing w:line="360" w:lineRule="exact"/>
              <w:ind w:firstLine="555"/>
              <w:rPr>
                <w:rFonts w:hint="eastAsia" w:ascii="宋体" w:hAnsi="宋体" w:eastAsia="宋体" w:cs="宋体"/>
                <w:color w:val="000000"/>
                <w:sz w:val="21"/>
                <w:szCs w:val="21"/>
                <w:highlight w:val="none"/>
              </w:rPr>
            </w:pPr>
          </w:p>
        </w:tc>
      </w:tr>
      <w:tr w14:paraId="4D5A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21" w:type="dxa"/>
            <w:noWrap w:val="0"/>
            <w:vAlign w:val="center"/>
          </w:tcPr>
          <w:p w14:paraId="19265AC3">
            <w:pPr>
              <w:keepLines w:val="0"/>
              <w:pageBreakBefore w:val="0"/>
              <w:widowControl/>
              <w:kinsoku/>
              <w:wordWrap/>
              <w:overflowPunct/>
              <w:topLinePunct w:val="0"/>
              <w:bidi w:val="0"/>
              <w:snapToGrid/>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p>
        </w:tc>
        <w:tc>
          <w:tcPr>
            <w:tcW w:w="4737" w:type="dxa"/>
            <w:noWrap w:val="0"/>
            <w:vAlign w:val="center"/>
          </w:tcPr>
          <w:p w14:paraId="175B4433">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管理处每日、每周均安排巡检，并记录有《清洁日检表》、《卫生间清洁记录表》、《管理处周检表》。</w:t>
            </w:r>
          </w:p>
        </w:tc>
        <w:tc>
          <w:tcPr>
            <w:tcW w:w="1509" w:type="dxa"/>
            <w:noWrap w:val="0"/>
            <w:vAlign w:val="center"/>
          </w:tcPr>
          <w:p w14:paraId="44514D4F">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不符合要求一项扣1分</w:t>
            </w:r>
          </w:p>
        </w:tc>
        <w:tc>
          <w:tcPr>
            <w:tcW w:w="1110" w:type="dxa"/>
            <w:gridSpan w:val="3"/>
            <w:noWrap w:val="0"/>
            <w:vAlign w:val="center"/>
          </w:tcPr>
          <w:p w14:paraId="7C20CAE9">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870" w:type="dxa"/>
            <w:noWrap w:val="0"/>
            <w:vAlign w:val="center"/>
          </w:tcPr>
          <w:p w14:paraId="033480AF">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690" w:type="dxa"/>
            <w:gridSpan w:val="2"/>
            <w:vMerge w:val="continue"/>
            <w:noWrap w:val="0"/>
            <w:vAlign w:val="center"/>
          </w:tcPr>
          <w:p w14:paraId="060E69E1">
            <w:pPr>
              <w:keepLines w:val="0"/>
              <w:pageBreakBefore w:val="0"/>
              <w:widowControl/>
              <w:kinsoku/>
              <w:wordWrap/>
              <w:overflowPunct/>
              <w:topLinePunct w:val="0"/>
              <w:bidi w:val="0"/>
              <w:snapToGrid/>
              <w:spacing w:line="360" w:lineRule="exact"/>
              <w:ind w:firstLine="555"/>
              <w:rPr>
                <w:rFonts w:hint="eastAsia" w:ascii="宋体" w:hAnsi="宋体" w:eastAsia="宋体" w:cs="宋体"/>
                <w:color w:val="000000"/>
                <w:sz w:val="21"/>
                <w:szCs w:val="21"/>
                <w:highlight w:val="none"/>
              </w:rPr>
            </w:pPr>
          </w:p>
        </w:tc>
      </w:tr>
      <w:tr w14:paraId="5CBA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21" w:type="dxa"/>
            <w:noWrap w:val="0"/>
            <w:vAlign w:val="center"/>
          </w:tcPr>
          <w:p w14:paraId="04F75E2E">
            <w:pPr>
              <w:keepLines w:val="0"/>
              <w:pageBreakBefore w:val="0"/>
              <w:widowControl/>
              <w:kinsoku/>
              <w:wordWrap/>
              <w:overflowPunct/>
              <w:topLinePunct w:val="0"/>
              <w:bidi w:val="0"/>
              <w:snapToGrid/>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p>
        </w:tc>
        <w:tc>
          <w:tcPr>
            <w:tcW w:w="4737" w:type="dxa"/>
            <w:noWrap w:val="0"/>
            <w:vAlign w:val="center"/>
          </w:tcPr>
          <w:p w14:paraId="134CF1D5">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每周一次、国家法定节假日配合业主做好大楼设备、设施检查工作，检查记录登记备案。</w:t>
            </w:r>
          </w:p>
        </w:tc>
        <w:tc>
          <w:tcPr>
            <w:tcW w:w="1509" w:type="dxa"/>
            <w:noWrap w:val="0"/>
            <w:vAlign w:val="center"/>
          </w:tcPr>
          <w:p w14:paraId="0EBFC023">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不符合要求一项扣1分</w:t>
            </w:r>
          </w:p>
        </w:tc>
        <w:tc>
          <w:tcPr>
            <w:tcW w:w="1110" w:type="dxa"/>
            <w:gridSpan w:val="3"/>
            <w:noWrap w:val="0"/>
            <w:vAlign w:val="center"/>
          </w:tcPr>
          <w:p w14:paraId="06F2648A">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870" w:type="dxa"/>
            <w:noWrap w:val="0"/>
            <w:vAlign w:val="center"/>
          </w:tcPr>
          <w:p w14:paraId="5FC1BDB1">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690" w:type="dxa"/>
            <w:gridSpan w:val="2"/>
            <w:vMerge w:val="continue"/>
            <w:noWrap w:val="0"/>
            <w:vAlign w:val="center"/>
          </w:tcPr>
          <w:p w14:paraId="1E9B41BC">
            <w:pPr>
              <w:keepLines w:val="0"/>
              <w:pageBreakBefore w:val="0"/>
              <w:widowControl/>
              <w:kinsoku/>
              <w:wordWrap/>
              <w:overflowPunct/>
              <w:topLinePunct w:val="0"/>
              <w:bidi w:val="0"/>
              <w:snapToGrid/>
              <w:spacing w:line="360" w:lineRule="exact"/>
              <w:ind w:firstLine="555"/>
              <w:rPr>
                <w:rFonts w:hint="eastAsia" w:ascii="宋体" w:hAnsi="宋体" w:eastAsia="宋体" w:cs="宋体"/>
                <w:color w:val="000000"/>
                <w:sz w:val="21"/>
                <w:szCs w:val="21"/>
                <w:highlight w:val="none"/>
              </w:rPr>
            </w:pPr>
          </w:p>
        </w:tc>
      </w:tr>
      <w:tr w14:paraId="4F3B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21" w:type="dxa"/>
            <w:noWrap w:val="0"/>
            <w:vAlign w:val="center"/>
          </w:tcPr>
          <w:p w14:paraId="22438234">
            <w:pPr>
              <w:keepLines w:val="0"/>
              <w:pageBreakBefore w:val="0"/>
              <w:widowControl/>
              <w:kinsoku/>
              <w:wordWrap/>
              <w:overflowPunct/>
              <w:topLinePunct w:val="0"/>
              <w:bidi w:val="0"/>
              <w:snapToGrid/>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w:t>
            </w:r>
          </w:p>
        </w:tc>
        <w:tc>
          <w:tcPr>
            <w:tcW w:w="4737" w:type="dxa"/>
            <w:noWrap w:val="0"/>
            <w:vAlign w:val="center"/>
          </w:tcPr>
          <w:p w14:paraId="34F79C0B">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项目经理要保持在岗、在位，因工作需求或其他事由请假1天以上，需告之考核小组领导，并指定临时负责人。</w:t>
            </w:r>
          </w:p>
        </w:tc>
        <w:tc>
          <w:tcPr>
            <w:tcW w:w="1509" w:type="dxa"/>
            <w:noWrap w:val="0"/>
            <w:vAlign w:val="center"/>
          </w:tcPr>
          <w:p w14:paraId="2DCF6671">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不符合要求一项扣1分</w:t>
            </w:r>
          </w:p>
        </w:tc>
        <w:tc>
          <w:tcPr>
            <w:tcW w:w="1110" w:type="dxa"/>
            <w:gridSpan w:val="3"/>
            <w:noWrap w:val="0"/>
            <w:vAlign w:val="center"/>
          </w:tcPr>
          <w:p w14:paraId="115602AF">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870" w:type="dxa"/>
            <w:noWrap w:val="0"/>
            <w:vAlign w:val="center"/>
          </w:tcPr>
          <w:p w14:paraId="28108221">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690" w:type="dxa"/>
            <w:gridSpan w:val="2"/>
            <w:noWrap w:val="0"/>
            <w:vAlign w:val="center"/>
          </w:tcPr>
          <w:p w14:paraId="6301589F">
            <w:pPr>
              <w:keepLines w:val="0"/>
              <w:pageBreakBefore w:val="0"/>
              <w:widowControl/>
              <w:kinsoku/>
              <w:wordWrap/>
              <w:overflowPunct/>
              <w:topLinePunct w:val="0"/>
              <w:bidi w:val="0"/>
              <w:snapToGrid/>
              <w:spacing w:line="360" w:lineRule="exact"/>
              <w:ind w:firstLine="555"/>
              <w:rPr>
                <w:rFonts w:hint="eastAsia" w:ascii="宋体" w:hAnsi="宋体" w:eastAsia="宋体" w:cs="宋体"/>
                <w:color w:val="000000"/>
                <w:sz w:val="21"/>
                <w:szCs w:val="21"/>
                <w:highlight w:val="none"/>
              </w:rPr>
            </w:pPr>
          </w:p>
        </w:tc>
      </w:tr>
      <w:tr w14:paraId="376F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877" w:type="dxa"/>
            <w:gridSpan w:val="6"/>
            <w:noWrap w:val="0"/>
            <w:vAlign w:val="center"/>
          </w:tcPr>
          <w:p w14:paraId="1C2DC129">
            <w:pPr>
              <w:keepLines w:val="0"/>
              <w:pageBreakBefore w:val="0"/>
              <w:widowControl/>
              <w:kinsoku/>
              <w:wordWrap/>
              <w:overflowPunct/>
              <w:topLinePunct w:val="0"/>
              <w:bidi w:val="0"/>
              <w:snapToGrid/>
              <w:spacing w:line="360" w:lineRule="exact"/>
              <w:ind w:firstLine="555"/>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（二）水电及日常维护和会务保障（20分）</w:t>
            </w:r>
          </w:p>
        </w:tc>
        <w:tc>
          <w:tcPr>
            <w:tcW w:w="870" w:type="dxa"/>
            <w:noWrap w:val="0"/>
            <w:vAlign w:val="center"/>
          </w:tcPr>
          <w:p w14:paraId="15CEB9C4">
            <w:pPr>
              <w:keepLines w:val="0"/>
              <w:pageBreakBefore w:val="0"/>
              <w:widowControl/>
              <w:kinsoku/>
              <w:wordWrap/>
              <w:overflowPunct/>
              <w:topLinePunct w:val="0"/>
              <w:bidi w:val="0"/>
              <w:snapToGrid/>
              <w:spacing w:line="360" w:lineRule="exact"/>
              <w:ind w:firstLine="555"/>
              <w:rPr>
                <w:rFonts w:hint="eastAsia" w:ascii="宋体" w:hAnsi="宋体" w:eastAsia="宋体" w:cs="宋体"/>
                <w:b/>
                <w:bCs/>
                <w:color w:val="000000"/>
                <w:sz w:val="21"/>
                <w:szCs w:val="21"/>
                <w:highlight w:val="none"/>
              </w:rPr>
            </w:pPr>
          </w:p>
        </w:tc>
        <w:tc>
          <w:tcPr>
            <w:tcW w:w="690" w:type="dxa"/>
            <w:gridSpan w:val="2"/>
            <w:vMerge w:val="restart"/>
            <w:noWrap w:val="0"/>
            <w:vAlign w:val="center"/>
          </w:tcPr>
          <w:p w14:paraId="7ECF2634">
            <w:pPr>
              <w:keepLines w:val="0"/>
              <w:pageBreakBefore w:val="0"/>
              <w:widowControl/>
              <w:kinsoku/>
              <w:wordWrap/>
              <w:overflowPunct/>
              <w:topLinePunct w:val="0"/>
              <w:bidi w:val="0"/>
              <w:snapToGrid/>
              <w:spacing w:line="360" w:lineRule="exact"/>
              <w:ind w:firstLine="555"/>
              <w:rPr>
                <w:rFonts w:hint="eastAsia" w:ascii="宋体" w:hAnsi="宋体" w:eastAsia="宋体" w:cs="宋体"/>
                <w:color w:val="000000"/>
                <w:sz w:val="21"/>
                <w:szCs w:val="21"/>
                <w:highlight w:val="none"/>
              </w:rPr>
            </w:pPr>
          </w:p>
        </w:tc>
      </w:tr>
      <w:tr w14:paraId="25B07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21" w:type="dxa"/>
            <w:noWrap w:val="0"/>
            <w:vAlign w:val="center"/>
          </w:tcPr>
          <w:p w14:paraId="6DAD5E97">
            <w:pPr>
              <w:keepLines w:val="0"/>
              <w:pageBreakBefore w:val="0"/>
              <w:widowControl/>
              <w:kinsoku/>
              <w:wordWrap/>
              <w:overflowPunct/>
              <w:topLinePunct w:val="0"/>
              <w:bidi w:val="0"/>
              <w:snapToGrid/>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4737" w:type="dxa"/>
            <w:noWrap w:val="0"/>
            <w:vAlign w:val="center"/>
          </w:tcPr>
          <w:p w14:paraId="505BCA1B">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无特殊情况下，接到维修通知后10分钟内到达并携带维修单，立即堵漏和修复，并作好维修记录，其它特殊情况半天内修复。</w:t>
            </w:r>
          </w:p>
        </w:tc>
        <w:tc>
          <w:tcPr>
            <w:tcW w:w="1620" w:type="dxa"/>
            <w:gridSpan w:val="2"/>
            <w:noWrap w:val="0"/>
            <w:vAlign w:val="center"/>
          </w:tcPr>
          <w:p w14:paraId="3C127279">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不符合要求一项扣1分</w:t>
            </w:r>
          </w:p>
        </w:tc>
        <w:tc>
          <w:tcPr>
            <w:tcW w:w="999" w:type="dxa"/>
            <w:gridSpan w:val="2"/>
            <w:noWrap w:val="0"/>
            <w:vAlign w:val="center"/>
          </w:tcPr>
          <w:p w14:paraId="73BFAACD">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870" w:type="dxa"/>
            <w:noWrap w:val="0"/>
            <w:vAlign w:val="center"/>
          </w:tcPr>
          <w:p w14:paraId="73A4D974">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690" w:type="dxa"/>
            <w:gridSpan w:val="2"/>
            <w:vMerge w:val="continue"/>
            <w:noWrap w:val="0"/>
            <w:vAlign w:val="center"/>
          </w:tcPr>
          <w:p w14:paraId="5CC7B25C">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r>
      <w:tr w14:paraId="41618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21" w:type="dxa"/>
            <w:noWrap w:val="0"/>
            <w:vAlign w:val="center"/>
          </w:tcPr>
          <w:p w14:paraId="577BD48F">
            <w:pPr>
              <w:keepLines w:val="0"/>
              <w:pageBreakBefore w:val="0"/>
              <w:widowControl/>
              <w:kinsoku/>
              <w:wordWrap/>
              <w:overflowPunct/>
              <w:topLinePunct w:val="0"/>
              <w:bidi w:val="0"/>
              <w:snapToGrid/>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4737" w:type="dxa"/>
            <w:noWrap w:val="0"/>
            <w:vAlign w:val="center"/>
          </w:tcPr>
          <w:p w14:paraId="053DD925">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做到每日巡检各楼层强弱电间、消防箱（栓）、卫生间、开水间、空调系统、水水泵房供水系统、照明等，做好巡检记录；发现跑冒滴漏现象及时组织维修。</w:t>
            </w:r>
          </w:p>
        </w:tc>
        <w:tc>
          <w:tcPr>
            <w:tcW w:w="1620" w:type="dxa"/>
            <w:gridSpan w:val="2"/>
            <w:noWrap w:val="0"/>
            <w:vAlign w:val="center"/>
          </w:tcPr>
          <w:p w14:paraId="404AF9E6">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不符合要求一项扣1分</w:t>
            </w:r>
          </w:p>
        </w:tc>
        <w:tc>
          <w:tcPr>
            <w:tcW w:w="999" w:type="dxa"/>
            <w:gridSpan w:val="2"/>
            <w:noWrap w:val="0"/>
            <w:vAlign w:val="center"/>
          </w:tcPr>
          <w:p w14:paraId="21C20FDA">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870" w:type="dxa"/>
            <w:noWrap w:val="0"/>
            <w:vAlign w:val="center"/>
          </w:tcPr>
          <w:p w14:paraId="6F111339">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690" w:type="dxa"/>
            <w:gridSpan w:val="2"/>
            <w:vMerge w:val="continue"/>
            <w:noWrap w:val="0"/>
            <w:vAlign w:val="center"/>
          </w:tcPr>
          <w:p w14:paraId="4E1C2A59">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r>
      <w:tr w14:paraId="4D553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1" w:type="dxa"/>
            <w:noWrap w:val="0"/>
            <w:vAlign w:val="center"/>
          </w:tcPr>
          <w:p w14:paraId="7FC45E5D">
            <w:pPr>
              <w:keepLines w:val="0"/>
              <w:pageBreakBefore w:val="0"/>
              <w:widowControl/>
              <w:kinsoku/>
              <w:wordWrap/>
              <w:overflowPunct/>
              <w:topLinePunct w:val="0"/>
              <w:bidi w:val="0"/>
              <w:snapToGrid/>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tc>
        <w:tc>
          <w:tcPr>
            <w:tcW w:w="4737" w:type="dxa"/>
            <w:noWrap w:val="0"/>
            <w:vAlign w:val="center"/>
          </w:tcPr>
          <w:p w14:paraId="612C7C56">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每月对各楼层消防栓箱进行月检；每季度对各楼层热水器进行一次清洗、消毒；每半年度对二次供水水箱进行一次清洗、消毒，并做好相关检查、消毒记录。</w:t>
            </w:r>
          </w:p>
        </w:tc>
        <w:tc>
          <w:tcPr>
            <w:tcW w:w="1620" w:type="dxa"/>
            <w:gridSpan w:val="2"/>
            <w:noWrap w:val="0"/>
            <w:vAlign w:val="center"/>
          </w:tcPr>
          <w:p w14:paraId="4CAF04AA">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不符合要求一项扣1分</w:t>
            </w:r>
          </w:p>
        </w:tc>
        <w:tc>
          <w:tcPr>
            <w:tcW w:w="999" w:type="dxa"/>
            <w:gridSpan w:val="2"/>
            <w:noWrap w:val="0"/>
            <w:vAlign w:val="center"/>
          </w:tcPr>
          <w:p w14:paraId="1A4E5645">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870" w:type="dxa"/>
            <w:noWrap w:val="0"/>
            <w:vAlign w:val="center"/>
          </w:tcPr>
          <w:p w14:paraId="1E98103A">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690" w:type="dxa"/>
            <w:gridSpan w:val="2"/>
            <w:vMerge w:val="continue"/>
            <w:noWrap w:val="0"/>
            <w:vAlign w:val="center"/>
          </w:tcPr>
          <w:p w14:paraId="75EDB77A">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r>
      <w:tr w14:paraId="7BB96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1" w:type="dxa"/>
            <w:noWrap w:val="0"/>
            <w:vAlign w:val="center"/>
          </w:tcPr>
          <w:p w14:paraId="0F51D7EE">
            <w:pPr>
              <w:keepLines w:val="0"/>
              <w:pageBreakBefore w:val="0"/>
              <w:widowControl/>
              <w:kinsoku/>
              <w:wordWrap/>
              <w:overflowPunct/>
              <w:topLinePunct w:val="0"/>
              <w:bidi w:val="0"/>
              <w:snapToGrid/>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p>
        </w:tc>
        <w:tc>
          <w:tcPr>
            <w:tcW w:w="4737" w:type="dxa"/>
            <w:noWrap w:val="0"/>
            <w:vAlign w:val="center"/>
          </w:tcPr>
          <w:p w14:paraId="24182E9B">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zh-CN"/>
              </w:rPr>
              <w:t>负责主楼四楼、六楼、十四楼、法庭四楼及多功能会议室（大法庭）、视频会议室等管理、茶水等服务（重大会议会务保障由物业公司临时增派），需规范着装，做好席卡摆放、茶水等保障工作。</w:t>
            </w:r>
          </w:p>
        </w:tc>
        <w:tc>
          <w:tcPr>
            <w:tcW w:w="1620" w:type="dxa"/>
            <w:gridSpan w:val="2"/>
            <w:noWrap w:val="0"/>
            <w:vAlign w:val="center"/>
          </w:tcPr>
          <w:p w14:paraId="44005C52">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不符合要求一项扣1分</w:t>
            </w:r>
          </w:p>
        </w:tc>
        <w:tc>
          <w:tcPr>
            <w:tcW w:w="999" w:type="dxa"/>
            <w:gridSpan w:val="2"/>
            <w:noWrap w:val="0"/>
            <w:vAlign w:val="center"/>
          </w:tcPr>
          <w:p w14:paraId="2E83093F">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870" w:type="dxa"/>
            <w:noWrap w:val="0"/>
            <w:vAlign w:val="center"/>
          </w:tcPr>
          <w:p w14:paraId="592093E0">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690" w:type="dxa"/>
            <w:gridSpan w:val="2"/>
            <w:noWrap w:val="0"/>
            <w:vAlign w:val="center"/>
          </w:tcPr>
          <w:p w14:paraId="46D44957">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r>
      <w:tr w14:paraId="29B64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747" w:type="dxa"/>
            <w:gridSpan w:val="7"/>
            <w:noWrap w:val="0"/>
            <w:vAlign w:val="center"/>
          </w:tcPr>
          <w:p w14:paraId="5C76ED56">
            <w:pPr>
              <w:keepLines w:val="0"/>
              <w:pageBreakBefore w:val="0"/>
              <w:widowControl/>
              <w:kinsoku/>
              <w:wordWrap/>
              <w:overflowPunct/>
              <w:topLinePunct w:val="0"/>
              <w:bidi w:val="0"/>
              <w:snapToGrid/>
              <w:spacing w:line="360" w:lineRule="exact"/>
              <w:ind w:firstLine="2403" w:firstLineChars="114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（三）环境卫生绿化管理（20</w:t>
            </w:r>
            <w:r>
              <w:rPr>
                <w:rFonts w:hint="eastAsia" w:ascii="宋体" w:hAnsi="宋体" w:eastAsia="宋体" w:cs="宋体"/>
                <w:b/>
                <w:bCs/>
                <w:color w:val="000000"/>
                <w:sz w:val="21"/>
                <w:szCs w:val="21"/>
                <w:highlight w:val="none"/>
                <w:lang w:val="en-US" w:eastAsia="zh-CN"/>
              </w:rPr>
              <w:t>分</w:t>
            </w:r>
            <w:r>
              <w:rPr>
                <w:rFonts w:hint="eastAsia" w:ascii="宋体" w:hAnsi="宋体" w:eastAsia="宋体" w:cs="宋体"/>
                <w:b/>
                <w:bCs/>
                <w:color w:val="000000"/>
                <w:sz w:val="21"/>
                <w:szCs w:val="21"/>
                <w:highlight w:val="none"/>
              </w:rPr>
              <w:t>）</w:t>
            </w:r>
          </w:p>
        </w:tc>
        <w:tc>
          <w:tcPr>
            <w:tcW w:w="690" w:type="dxa"/>
            <w:gridSpan w:val="2"/>
            <w:noWrap w:val="0"/>
            <w:vAlign w:val="center"/>
          </w:tcPr>
          <w:p w14:paraId="674E241D">
            <w:pPr>
              <w:keepLines w:val="0"/>
              <w:pageBreakBefore w:val="0"/>
              <w:widowControl/>
              <w:kinsoku/>
              <w:wordWrap/>
              <w:overflowPunct/>
              <w:topLinePunct w:val="0"/>
              <w:bidi w:val="0"/>
              <w:snapToGrid/>
              <w:spacing w:line="360" w:lineRule="exact"/>
              <w:ind w:firstLine="555"/>
              <w:rPr>
                <w:rFonts w:hint="eastAsia" w:ascii="宋体" w:hAnsi="宋体" w:eastAsia="宋体" w:cs="宋体"/>
                <w:color w:val="000000"/>
                <w:sz w:val="21"/>
                <w:szCs w:val="21"/>
                <w:highlight w:val="none"/>
              </w:rPr>
            </w:pPr>
          </w:p>
        </w:tc>
      </w:tr>
      <w:tr w14:paraId="7DC44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21" w:type="dxa"/>
            <w:noWrap w:val="0"/>
            <w:vAlign w:val="center"/>
          </w:tcPr>
          <w:p w14:paraId="52C5958D">
            <w:pPr>
              <w:keepLines w:val="0"/>
              <w:pageBreakBefore w:val="0"/>
              <w:widowControl/>
              <w:kinsoku/>
              <w:wordWrap/>
              <w:overflowPunct/>
              <w:topLinePunct w:val="0"/>
              <w:bidi w:val="0"/>
              <w:snapToGrid/>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4737" w:type="dxa"/>
            <w:noWrap w:val="0"/>
            <w:vAlign w:val="center"/>
          </w:tcPr>
          <w:p w14:paraId="71490080">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保持清洁区内垃圾一日一清，工作日内8小时不间断保洁。</w:t>
            </w:r>
          </w:p>
        </w:tc>
        <w:tc>
          <w:tcPr>
            <w:tcW w:w="1620" w:type="dxa"/>
            <w:gridSpan w:val="2"/>
            <w:noWrap w:val="0"/>
            <w:vAlign w:val="center"/>
          </w:tcPr>
          <w:p w14:paraId="530477EE">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不符合要求一项扣1分</w:t>
            </w:r>
          </w:p>
        </w:tc>
        <w:tc>
          <w:tcPr>
            <w:tcW w:w="934" w:type="dxa"/>
            <w:noWrap w:val="0"/>
            <w:vAlign w:val="center"/>
          </w:tcPr>
          <w:p w14:paraId="4919D446">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935" w:type="dxa"/>
            <w:gridSpan w:val="2"/>
            <w:noWrap w:val="0"/>
            <w:vAlign w:val="center"/>
          </w:tcPr>
          <w:p w14:paraId="506CFC4C">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690" w:type="dxa"/>
            <w:gridSpan w:val="2"/>
            <w:vMerge w:val="restart"/>
            <w:noWrap w:val="0"/>
            <w:vAlign w:val="center"/>
          </w:tcPr>
          <w:p w14:paraId="118EA4AC">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r>
      <w:tr w14:paraId="1DF52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21" w:type="dxa"/>
            <w:noWrap w:val="0"/>
            <w:vAlign w:val="center"/>
          </w:tcPr>
          <w:p w14:paraId="7ECC6FDD">
            <w:pPr>
              <w:keepLines w:val="0"/>
              <w:pageBreakBefore w:val="0"/>
              <w:widowControl/>
              <w:kinsoku/>
              <w:wordWrap/>
              <w:overflowPunct/>
              <w:topLinePunct w:val="0"/>
              <w:bidi w:val="0"/>
              <w:snapToGrid/>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4737" w:type="dxa"/>
            <w:noWrap w:val="0"/>
            <w:vAlign w:val="center"/>
          </w:tcPr>
          <w:p w14:paraId="2B67B57D">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卫生间：（1）门窗干净，无污渍、无灰尘；</w:t>
            </w:r>
          </w:p>
          <w:p w14:paraId="4B5EC72C">
            <w:pPr>
              <w:keepLines w:val="0"/>
              <w:pageBreakBefore w:val="0"/>
              <w:widowControl/>
              <w:numPr>
                <w:ilvl w:val="0"/>
                <w:numId w:val="3"/>
              </w:numPr>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玻璃镜面保持光亮、无水点、水渍、无污物； （3）台面、洗手盆、水龙头、无水迹、无杂物；（4）地面、墙面、隔断板、隔断门、排风口、灯罩、天花板无杂物、无尘土、无污渍； </w:t>
            </w:r>
          </w:p>
          <w:p w14:paraId="77B3D139">
            <w:pPr>
              <w:keepLines w:val="0"/>
              <w:pageBreakBefore w:val="0"/>
              <w:widowControl/>
              <w:numPr>
                <w:ilvl w:val="0"/>
                <w:numId w:val="4"/>
              </w:numPr>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马桶、小便池上下内外要求保持洁净、无污垢、无杂物；</w:t>
            </w:r>
          </w:p>
          <w:p w14:paraId="505061FA">
            <w:pPr>
              <w:keepLines w:val="0"/>
              <w:pageBreakBefore w:val="0"/>
              <w:widowControl/>
              <w:numPr>
                <w:ilvl w:val="0"/>
                <w:numId w:val="4"/>
              </w:numPr>
              <w:kinsoku/>
              <w:wordWrap/>
              <w:overflowPunct/>
              <w:topLinePunct w:val="0"/>
              <w:bidi w:val="0"/>
              <w:snapToGrid/>
              <w:spacing w:line="360" w:lineRule="exact"/>
              <w:ind w:left="0" w:leftChars="0" w:firstLine="0" w:firstLine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垃圾适时清倒，垃圾袋适时更换，垃圾筒内壁及筒后墙面保持无污迹；</w:t>
            </w:r>
          </w:p>
          <w:p w14:paraId="5DB8E516">
            <w:pPr>
              <w:keepLines w:val="0"/>
              <w:pageBreakBefore w:val="0"/>
              <w:widowControl/>
              <w:numPr>
                <w:ilvl w:val="0"/>
                <w:numId w:val="4"/>
              </w:numPr>
              <w:kinsoku/>
              <w:wordWrap/>
              <w:overflowPunct/>
              <w:topLinePunct w:val="0"/>
              <w:bidi w:val="0"/>
              <w:snapToGrid/>
              <w:spacing w:line="360" w:lineRule="exact"/>
              <w:ind w:left="0" w:leftChars="0" w:firstLine="0" w:firstLine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擦手纸、卫生纸、洗手液适时添补；</w:t>
            </w:r>
          </w:p>
          <w:p w14:paraId="388A137F">
            <w:pPr>
              <w:keepLines w:val="0"/>
              <w:pageBreakBefore w:val="0"/>
              <w:widowControl/>
              <w:numPr>
                <w:ilvl w:val="0"/>
                <w:numId w:val="4"/>
              </w:numPr>
              <w:kinsoku/>
              <w:wordWrap/>
              <w:overflowPunct/>
              <w:topLinePunct w:val="0"/>
              <w:bidi w:val="0"/>
              <w:snapToGrid/>
              <w:spacing w:line="360" w:lineRule="exact"/>
              <w:ind w:left="0" w:leftChars="0" w:firstLine="0" w:firstLine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卫生间内无严重异味；</w:t>
            </w:r>
          </w:p>
          <w:p w14:paraId="3957FC67">
            <w:pPr>
              <w:keepLines w:val="0"/>
              <w:pageBreakBefore w:val="0"/>
              <w:widowControl/>
              <w:numPr>
                <w:ilvl w:val="0"/>
                <w:numId w:val="0"/>
              </w:numPr>
              <w:kinsoku/>
              <w:wordWrap/>
              <w:overflowPunct/>
              <w:topLinePunct w:val="0"/>
              <w:bidi w:val="0"/>
              <w:snapToGrid/>
              <w:spacing w:line="360" w:lineRule="exact"/>
              <w:ind w:left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（9）卫生间内设备完好无损，发现损坏及时报修。</w:t>
            </w:r>
          </w:p>
        </w:tc>
        <w:tc>
          <w:tcPr>
            <w:tcW w:w="1620" w:type="dxa"/>
            <w:gridSpan w:val="2"/>
            <w:noWrap w:val="0"/>
            <w:vAlign w:val="center"/>
          </w:tcPr>
          <w:p w14:paraId="7916FF80">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不符合要求一项扣1分</w:t>
            </w:r>
          </w:p>
        </w:tc>
        <w:tc>
          <w:tcPr>
            <w:tcW w:w="934" w:type="dxa"/>
            <w:noWrap w:val="0"/>
            <w:vAlign w:val="center"/>
          </w:tcPr>
          <w:p w14:paraId="5012FE03">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935" w:type="dxa"/>
            <w:gridSpan w:val="2"/>
            <w:noWrap w:val="0"/>
            <w:vAlign w:val="center"/>
          </w:tcPr>
          <w:p w14:paraId="21F5EC35">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690" w:type="dxa"/>
            <w:gridSpan w:val="2"/>
            <w:vMerge w:val="continue"/>
            <w:noWrap w:val="0"/>
            <w:vAlign w:val="center"/>
          </w:tcPr>
          <w:p w14:paraId="23B8B45B">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r>
      <w:tr w14:paraId="11C2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21" w:type="dxa"/>
            <w:noWrap w:val="0"/>
            <w:vAlign w:val="center"/>
          </w:tcPr>
          <w:p w14:paraId="2B93478C">
            <w:pPr>
              <w:keepLines w:val="0"/>
              <w:pageBreakBefore w:val="0"/>
              <w:widowControl/>
              <w:kinsoku/>
              <w:wordWrap/>
              <w:overflowPunct/>
              <w:topLinePunct w:val="0"/>
              <w:bidi w:val="0"/>
              <w:snapToGrid/>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tc>
        <w:tc>
          <w:tcPr>
            <w:tcW w:w="4737" w:type="dxa"/>
            <w:noWrap w:val="0"/>
            <w:vAlign w:val="center"/>
          </w:tcPr>
          <w:p w14:paraId="521353FD">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院内：（1）绿化带、花草盆、无脏杂物和明显积尘；</w:t>
            </w:r>
          </w:p>
          <w:p w14:paraId="4CC9A108">
            <w:pPr>
              <w:keepLines w:val="0"/>
              <w:pageBreakBefore w:val="0"/>
              <w:widowControl/>
              <w:numPr>
                <w:ilvl w:val="0"/>
                <w:numId w:val="0"/>
              </w:numPr>
              <w:kinsoku/>
              <w:wordWrap/>
              <w:overflowPunct/>
              <w:topLinePunct w:val="0"/>
              <w:bidi w:val="0"/>
              <w:snapToGrid/>
              <w:spacing w:line="360" w:lineRule="exact"/>
              <w:ind w:left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所管区域内道路和地面无污迹、无污水、无表苔、无堆放杂物、无果皮、无烟头、无纸屑，指示牌等无污迹；</w:t>
            </w:r>
          </w:p>
          <w:p w14:paraId="15554449">
            <w:pPr>
              <w:keepLines w:val="0"/>
              <w:pageBreakBefore w:val="0"/>
              <w:widowControl/>
              <w:numPr>
                <w:ilvl w:val="0"/>
                <w:numId w:val="0"/>
              </w:numPr>
              <w:kinsoku/>
              <w:wordWrap/>
              <w:overflowPunct/>
              <w:topLinePunct w:val="0"/>
              <w:bidi w:val="0"/>
              <w:snapToGrid/>
              <w:spacing w:line="360" w:lineRule="exact"/>
              <w:ind w:left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（3）垃圾桶定时收集、倾倒，无满溢。</w:t>
            </w:r>
          </w:p>
        </w:tc>
        <w:tc>
          <w:tcPr>
            <w:tcW w:w="1620" w:type="dxa"/>
            <w:gridSpan w:val="2"/>
            <w:noWrap w:val="0"/>
            <w:vAlign w:val="center"/>
          </w:tcPr>
          <w:p w14:paraId="7BC6F896">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不符合要求一项扣1分</w:t>
            </w:r>
          </w:p>
        </w:tc>
        <w:tc>
          <w:tcPr>
            <w:tcW w:w="934" w:type="dxa"/>
            <w:noWrap w:val="0"/>
            <w:vAlign w:val="center"/>
          </w:tcPr>
          <w:p w14:paraId="3545F55F">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935" w:type="dxa"/>
            <w:gridSpan w:val="2"/>
            <w:noWrap w:val="0"/>
            <w:vAlign w:val="center"/>
          </w:tcPr>
          <w:p w14:paraId="4601262F">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690" w:type="dxa"/>
            <w:gridSpan w:val="2"/>
            <w:vMerge w:val="continue"/>
            <w:noWrap w:val="0"/>
            <w:vAlign w:val="center"/>
          </w:tcPr>
          <w:p w14:paraId="06ED5EAC">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r>
      <w:tr w14:paraId="6CB23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21" w:type="dxa"/>
            <w:noWrap w:val="0"/>
            <w:vAlign w:val="center"/>
          </w:tcPr>
          <w:p w14:paraId="266D0CBD">
            <w:pPr>
              <w:keepLines w:val="0"/>
              <w:pageBreakBefore w:val="0"/>
              <w:widowControl/>
              <w:kinsoku/>
              <w:wordWrap/>
              <w:overflowPunct/>
              <w:topLinePunct w:val="0"/>
              <w:bidi w:val="0"/>
              <w:snapToGrid/>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p>
        </w:tc>
        <w:tc>
          <w:tcPr>
            <w:tcW w:w="4737" w:type="dxa"/>
            <w:noWrap w:val="0"/>
            <w:vAlign w:val="center"/>
          </w:tcPr>
          <w:p w14:paraId="760986DD">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设施、设备间：（1）各强、弱电井、消防栓内无杂物、明显灰尘；</w:t>
            </w:r>
          </w:p>
          <w:p w14:paraId="3B852152">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（2）电梯门、轿厢无杂物、烟头、明显污渍。</w:t>
            </w:r>
          </w:p>
        </w:tc>
        <w:tc>
          <w:tcPr>
            <w:tcW w:w="1620" w:type="dxa"/>
            <w:gridSpan w:val="2"/>
            <w:noWrap w:val="0"/>
            <w:vAlign w:val="center"/>
          </w:tcPr>
          <w:p w14:paraId="5559ABAD">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不符合要求一项扣1分</w:t>
            </w:r>
          </w:p>
        </w:tc>
        <w:tc>
          <w:tcPr>
            <w:tcW w:w="934" w:type="dxa"/>
            <w:noWrap w:val="0"/>
            <w:vAlign w:val="center"/>
          </w:tcPr>
          <w:p w14:paraId="0A069965">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935" w:type="dxa"/>
            <w:gridSpan w:val="2"/>
            <w:noWrap w:val="0"/>
            <w:vAlign w:val="center"/>
          </w:tcPr>
          <w:p w14:paraId="1F3A9AEF">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690" w:type="dxa"/>
            <w:gridSpan w:val="2"/>
            <w:vMerge w:val="continue"/>
            <w:noWrap w:val="0"/>
            <w:vAlign w:val="center"/>
          </w:tcPr>
          <w:p w14:paraId="743C70C9">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r>
      <w:tr w14:paraId="5ECD5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21" w:type="dxa"/>
            <w:noWrap w:val="0"/>
            <w:vAlign w:val="center"/>
          </w:tcPr>
          <w:p w14:paraId="39719AC2">
            <w:pPr>
              <w:keepLines w:val="0"/>
              <w:pageBreakBefore w:val="0"/>
              <w:widowControl/>
              <w:kinsoku/>
              <w:wordWrap/>
              <w:overflowPunct/>
              <w:topLinePunct w:val="0"/>
              <w:bidi w:val="0"/>
              <w:snapToGrid/>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p>
        </w:tc>
        <w:tc>
          <w:tcPr>
            <w:tcW w:w="4737" w:type="dxa"/>
            <w:noWrap w:val="0"/>
            <w:vAlign w:val="center"/>
          </w:tcPr>
          <w:p w14:paraId="6B2F1009">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公共办公区域、大厅、公共走道、停车库、文体活动室等：（1）楼梯、扶手、过道、开水间等公共部位门窗、地面、桌椅、墙面、踢脚线、热水器干净，无污渍，无痰迹，无烟头，无纸屑，无果皮等杂物；</w:t>
            </w:r>
          </w:p>
          <w:p w14:paraId="318E2D72">
            <w:pPr>
              <w:keepLines w:val="0"/>
              <w:pageBreakBefore w:val="0"/>
              <w:widowControl/>
              <w:numPr>
                <w:ilvl w:val="0"/>
                <w:numId w:val="0"/>
              </w:numPr>
              <w:kinsoku/>
              <w:wordWrap/>
              <w:overflowPunct/>
              <w:topLinePunct w:val="0"/>
              <w:bidi w:val="0"/>
              <w:snapToGrid/>
              <w:spacing w:line="360" w:lineRule="exact"/>
              <w:ind w:left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玻璃门、幕墙无明显污渍；</w:t>
            </w:r>
          </w:p>
          <w:p w14:paraId="03EAE7CA">
            <w:pPr>
              <w:keepLines w:val="0"/>
              <w:pageBreakBefore w:val="0"/>
              <w:widowControl/>
              <w:numPr>
                <w:ilvl w:val="0"/>
                <w:numId w:val="0"/>
              </w:numPr>
              <w:kinsoku/>
              <w:wordWrap/>
              <w:overflowPunct/>
              <w:topLinePunct w:val="0"/>
              <w:bidi w:val="0"/>
              <w:snapToGrid/>
              <w:spacing w:line="360" w:lineRule="exact"/>
              <w:ind w:left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（3）停车库地面无污渍、杂物等；</w:t>
            </w:r>
          </w:p>
          <w:p w14:paraId="146493C3">
            <w:pPr>
              <w:keepLines w:val="0"/>
              <w:pageBreakBefore w:val="0"/>
              <w:widowControl/>
              <w:numPr>
                <w:ilvl w:val="0"/>
                <w:numId w:val="0"/>
              </w:numPr>
              <w:kinsoku/>
              <w:wordWrap/>
              <w:overflowPunct/>
              <w:topLinePunct w:val="0"/>
              <w:bidi w:val="0"/>
              <w:snapToGrid/>
              <w:spacing w:line="360" w:lineRule="exact"/>
              <w:ind w:left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（4）各区域垃圾桶每日定时清运、清洁，无异味、蚊虫，满溢现象等。</w:t>
            </w:r>
          </w:p>
        </w:tc>
        <w:tc>
          <w:tcPr>
            <w:tcW w:w="1620" w:type="dxa"/>
            <w:gridSpan w:val="2"/>
            <w:noWrap w:val="0"/>
            <w:vAlign w:val="center"/>
          </w:tcPr>
          <w:p w14:paraId="181A5339">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不符合要求一项扣1分</w:t>
            </w:r>
          </w:p>
        </w:tc>
        <w:tc>
          <w:tcPr>
            <w:tcW w:w="934" w:type="dxa"/>
            <w:noWrap w:val="0"/>
            <w:vAlign w:val="center"/>
          </w:tcPr>
          <w:p w14:paraId="6FD82F72">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935" w:type="dxa"/>
            <w:gridSpan w:val="2"/>
            <w:noWrap w:val="0"/>
            <w:vAlign w:val="center"/>
          </w:tcPr>
          <w:p w14:paraId="1D0E4FB2">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690" w:type="dxa"/>
            <w:gridSpan w:val="2"/>
            <w:vMerge w:val="continue"/>
            <w:noWrap w:val="0"/>
            <w:vAlign w:val="center"/>
          </w:tcPr>
          <w:p w14:paraId="67E1272B">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r>
      <w:tr w14:paraId="765C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21" w:type="dxa"/>
            <w:noWrap w:val="0"/>
            <w:vAlign w:val="center"/>
          </w:tcPr>
          <w:p w14:paraId="3CB4BC2A">
            <w:pPr>
              <w:keepLines w:val="0"/>
              <w:pageBreakBefore w:val="0"/>
              <w:widowControl/>
              <w:kinsoku/>
              <w:wordWrap/>
              <w:overflowPunct/>
              <w:topLinePunct w:val="0"/>
              <w:bidi w:val="0"/>
              <w:snapToGrid/>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w:t>
            </w:r>
          </w:p>
        </w:tc>
        <w:tc>
          <w:tcPr>
            <w:tcW w:w="4737" w:type="dxa"/>
            <w:noWrap w:val="0"/>
            <w:vAlign w:val="center"/>
          </w:tcPr>
          <w:p w14:paraId="4BA26D4C">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公共区域及部分办公室绿化布置养护：每年至少进行1次施肥，树木长势一般；病虫害防治每年不少于2次；勤浇水，无枯叶。</w:t>
            </w:r>
          </w:p>
        </w:tc>
        <w:tc>
          <w:tcPr>
            <w:tcW w:w="1620" w:type="dxa"/>
            <w:gridSpan w:val="2"/>
            <w:noWrap w:val="0"/>
            <w:vAlign w:val="center"/>
          </w:tcPr>
          <w:p w14:paraId="5C76441C">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不符合要求一项扣1分</w:t>
            </w:r>
          </w:p>
        </w:tc>
        <w:tc>
          <w:tcPr>
            <w:tcW w:w="934" w:type="dxa"/>
            <w:noWrap w:val="0"/>
            <w:vAlign w:val="center"/>
          </w:tcPr>
          <w:p w14:paraId="2972DC05">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935" w:type="dxa"/>
            <w:gridSpan w:val="2"/>
            <w:noWrap w:val="0"/>
            <w:vAlign w:val="center"/>
          </w:tcPr>
          <w:p w14:paraId="481D95A0">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690" w:type="dxa"/>
            <w:gridSpan w:val="2"/>
            <w:noWrap w:val="0"/>
            <w:vAlign w:val="center"/>
          </w:tcPr>
          <w:p w14:paraId="7695C530">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r>
      <w:tr w14:paraId="7003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747" w:type="dxa"/>
            <w:gridSpan w:val="7"/>
            <w:noWrap w:val="0"/>
            <w:vAlign w:val="center"/>
          </w:tcPr>
          <w:p w14:paraId="3DB32F96">
            <w:pPr>
              <w:keepLines w:val="0"/>
              <w:pageBreakBefore w:val="0"/>
              <w:widowControl/>
              <w:kinsoku/>
              <w:wordWrap/>
              <w:overflowPunct/>
              <w:topLinePunct w:val="0"/>
              <w:bidi w:val="0"/>
              <w:snapToGrid/>
              <w:spacing w:line="360" w:lineRule="exact"/>
              <w:ind w:firstLine="555"/>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（四）秩序维护、安全及消防管理（30分）</w:t>
            </w:r>
          </w:p>
        </w:tc>
        <w:tc>
          <w:tcPr>
            <w:tcW w:w="690" w:type="dxa"/>
            <w:gridSpan w:val="2"/>
            <w:noWrap w:val="0"/>
            <w:vAlign w:val="center"/>
          </w:tcPr>
          <w:p w14:paraId="4ECA2D92">
            <w:pPr>
              <w:keepLines w:val="0"/>
              <w:pageBreakBefore w:val="0"/>
              <w:widowControl/>
              <w:kinsoku/>
              <w:wordWrap/>
              <w:overflowPunct/>
              <w:topLinePunct w:val="0"/>
              <w:bidi w:val="0"/>
              <w:snapToGrid/>
              <w:spacing w:line="360" w:lineRule="exact"/>
              <w:ind w:firstLine="555"/>
              <w:rPr>
                <w:rFonts w:hint="eastAsia" w:ascii="宋体" w:hAnsi="宋体" w:eastAsia="宋体" w:cs="宋体"/>
                <w:color w:val="000000"/>
                <w:sz w:val="21"/>
                <w:szCs w:val="21"/>
                <w:highlight w:val="none"/>
              </w:rPr>
            </w:pPr>
          </w:p>
        </w:tc>
      </w:tr>
      <w:tr w14:paraId="35115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521" w:type="dxa"/>
            <w:noWrap w:val="0"/>
            <w:vAlign w:val="center"/>
          </w:tcPr>
          <w:p w14:paraId="5281E309">
            <w:pPr>
              <w:keepLines w:val="0"/>
              <w:pageBreakBefore w:val="0"/>
              <w:widowControl/>
              <w:kinsoku/>
              <w:wordWrap/>
              <w:overflowPunct/>
              <w:topLinePunct w:val="0"/>
              <w:bidi w:val="0"/>
              <w:snapToGrid/>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4737" w:type="dxa"/>
            <w:noWrap w:val="0"/>
            <w:vAlign w:val="center"/>
          </w:tcPr>
          <w:p w14:paraId="52CF4587">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各岗护卫值班人员工作时间不得溜岗、睡岗；禁止闲杂人员进入楼内；禁止工作时间上网玩游戏；保持各值班室清洁、整齐。</w:t>
            </w:r>
          </w:p>
        </w:tc>
        <w:tc>
          <w:tcPr>
            <w:tcW w:w="1620" w:type="dxa"/>
            <w:gridSpan w:val="2"/>
            <w:noWrap w:val="0"/>
            <w:vAlign w:val="center"/>
          </w:tcPr>
          <w:p w14:paraId="6173344E">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不符合要求一项扣1分</w:t>
            </w:r>
          </w:p>
        </w:tc>
        <w:tc>
          <w:tcPr>
            <w:tcW w:w="934" w:type="dxa"/>
            <w:noWrap w:val="0"/>
            <w:vAlign w:val="center"/>
          </w:tcPr>
          <w:p w14:paraId="5FC8180D">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935" w:type="dxa"/>
            <w:gridSpan w:val="2"/>
            <w:noWrap w:val="0"/>
            <w:vAlign w:val="center"/>
          </w:tcPr>
          <w:p w14:paraId="471E3812">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690" w:type="dxa"/>
            <w:gridSpan w:val="2"/>
            <w:vMerge w:val="restart"/>
            <w:noWrap w:val="0"/>
            <w:vAlign w:val="center"/>
          </w:tcPr>
          <w:p w14:paraId="63F77752">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r>
      <w:tr w14:paraId="01DA3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21" w:type="dxa"/>
            <w:noWrap w:val="0"/>
            <w:vAlign w:val="center"/>
          </w:tcPr>
          <w:p w14:paraId="75765846">
            <w:pPr>
              <w:keepLines w:val="0"/>
              <w:pageBreakBefore w:val="0"/>
              <w:widowControl/>
              <w:kinsoku/>
              <w:wordWrap/>
              <w:overflowPunct/>
              <w:topLinePunct w:val="0"/>
              <w:bidi w:val="0"/>
              <w:snapToGrid/>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4737" w:type="dxa"/>
            <w:noWrap w:val="0"/>
            <w:vAlign w:val="center"/>
          </w:tcPr>
          <w:p w14:paraId="3121A7AE">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主楼门岗实行24小时2人护卫值班服务；门岗上下班时间实行立岗服务；按时巡逻，记录齐全；西侧门岗实行工作日时间1人值班服务。</w:t>
            </w:r>
          </w:p>
        </w:tc>
        <w:tc>
          <w:tcPr>
            <w:tcW w:w="1620" w:type="dxa"/>
            <w:gridSpan w:val="2"/>
            <w:noWrap w:val="0"/>
            <w:vAlign w:val="center"/>
          </w:tcPr>
          <w:p w14:paraId="676E0EC1">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不符合要求一项扣1分</w:t>
            </w:r>
          </w:p>
        </w:tc>
        <w:tc>
          <w:tcPr>
            <w:tcW w:w="934" w:type="dxa"/>
            <w:noWrap w:val="0"/>
            <w:vAlign w:val="center"/>
          </w:tcPr>
          <w:p w14:paraId="087A961F">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935" w:type="dxa"/>
            <w:gridSpan w:val="2"/>
            <w:noWrap w:val="0"/>
            <w:vAlign w:val="center"/>
          </w:tcPr>
          <w:p w14:paraId="59A5182B">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690" w:type="dxa"/>
            <w:gridSpan w:val="2"/>
            <w:vMerge w:val="continue"/>
            <w:noWrap w:val="0"/>
            <w:vAlign w:val="center"/>
          </w:tcPr>
          <w:p w14:paraId="604EC105">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r>
      <w:tr w14:paraId="5B49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1" w:type="dxa"/>
            <w:noWrap w:val="0"/>
            <w:vAlign w:val="center"/>
          </w:tcPr>
          <w:p w14:paraId="39BF7EB6">
            <w:pPr>
              <w:keepLines w:val="0"/>
              <w:pageBreakBefore w:val="0"/>
              <w:widowControl/>
              <w:kinsoku/>
              <w:wordWrap/>
              <w:overflowPunct/>
              <w:topLinePunct w:val="0"/>
              <w:bidi w:val="0"/>
              <w:snapToGrid/>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tc>
        <w:tc>
          <w:tcPr>
            <w:tcW w:w="4737" w:type="dxa"/>
            <w:noWrap w:val="0"/>
            <w:vAlign w:val="center"/>
          </w:tcPr>
          <w:p w14:paraId="0ECD8436">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对进出院内的人员实行登记、证卡管理，并电话询问确认、同意后，方可进入院内。</w:t>
            </w:r>
          </w:p>
        </w:tc>
        <w:tc>
          <w:tcPr>
            <w:tcW w:w="1620" w:type="dxa"/>
            <w:gridSpan w:val="2"/>
            <w:noWrap w:val="0"/>
            <w:vAlign w:val="center"/>
          </w:tcPr>
          <w:p w14:paraId="348E9E81">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不符合要求一项扣1分</w:t>
            </w:r>
          </w:p>
        </w:tc>
        <w:tc>
          <w:tcPr>
            <w:tcW w:w="934" w:type="dxa"/>
            <w:noWrap w:val="0"/>
            <w:vAlign w:val="center"/>
          </w:tcPr>
          <w:p w14:paraId="1B14A920">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935" w:type="dxa"/>
            <w:gridSpan w:val="2"/>
            <w:noWrap w:val="0"/>
            <w:vAlign w:val="center"/>
          </w:tcPr>
          <w:p w14:paraId="7B10B323">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690" w:type="dxa"/>
            <w:gridSpan w:val="2"/>
            <w:vMerge w:val="continue"/>
            <w:noWrap w:val="0"/>
            <w:vAlign w:val="center"/>
          </w:tcPr>
          <w:p w14:paraId="0F425126">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r>
      <w:tr w14:paraId="64D95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521" w:type="dxa"/>
            <w:noWrap w:val="0"/>
            <w:vAlign w:val="center"/>
          </w:tcPr>
          <w:p w14:paraId="5E08A514">
            <w:pPr>
              <w:keepLines w:val="0"/>
              <w:pageBreakBefore w:val="0"/>
              <w:widowControl/>
              <w:kinsoku/>
              <w:wordWrap/>
              <w:overflowPunct/>
              <w:topLinePunct w:val="0"/>
              <w:bidi w:val="0"/>
              <w:snapToGrid/>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p>
        </w:tc>
        <w:tc>
          <w:tcPr>
            <w:tcW w:w="4737" w:type="dxa"/>
            <w:noWrap w:val="0"/>
            <w:vAlign w:val="center"/>
          </w:tcPr>
          <w:p w14:paraId="4E1F1365">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对进出大院的机动车辆实行登记、证卡管理，并引导车辆有序通行、停放。</w:t>
            </w:r>
          </w:p>
        </w:tc>
        <w:tc>
          <w:tcPr>
            <w:tcW w:w="1620" w:type="dxa"/>
            <w:gridSpan w:val="2"/>
            <w:noWrap w:val="0"/>
            <w:vAlign w:val="center"/>
          </w:tcPr>
          <w:p w14:paraId="7B6659DB">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不符合要求一项扣1分</w:t>
            </w:r>
          </w:p>
        </w:tc>
        <w:tc>
          <w:tcPr>
            <w:tcW w:w="934" w:type="dxa"/>
            <w:noWrap w:val="0"/>
            <w:vAlign w:val="center"/>
          </w:tcPr>
          <w:p w14:paraId="0FA1CE7C">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935" w:type="dxa"/>
            <w:gridSpan w:val="2"/>
            <w:noWrap w:val="0"/>
            <w:vAlign w:val="center"/>
          </w:tcPr>
          <w:p w14:paraId="600CC1A2">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690" w:type="dxa"/>
            <w:gridSpan w:val="2"/>
            <w:vMerge w:val="continue"/>
            <w:noWrap w:val="0"/>
            <w:vAlign w:val="center"/>
          </w:tcPr>
          <w:p w14:paraId="0B600F88">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r>
      <w:tr w14:paraId="5AC49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1" w:type="dxa"/>
            <w:noWrap w:val="0"/>
            <w:vAlign w:val="center"/>
          </w:tcPr>
          <w:p w14:paraId="58BDDCD3">
            <w:pPr>
              <w:keepLines w:val="0"/>
              <w:pageBreakBefore w:val="0"/>
              <w:widowControl/>
              <w:kinsoku/>
              <w:wordWrap/>
              <w:overflowPunct/>
              <w:topLinePunct w:val="0"/>
              <w:bidi w:val="0"/>
              <w:snapToGrid/>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p>
        </w:tc>
        <w:tc>
          <w:tcPr>
            <w:tcW w:w="4737" w:type="dxa"/>
            <w:noWrap w:val="0"/>
            <w:vAlign w:val="center"/>
          </w:tcPr>
          <w:p w14:paraId="316ABA1D">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实施24小时消防及安全监控，值班记录齐全。</w:t>
            </w:r>
          </w:p>
        </w:tc>
        <w:tc>
          <w:tcPr>
            <w:tcW w:w="1620" w:type="dxa"/>
            <w:gridSpan w:val="2"/>
            <w:noWrap w:val="0"/>
            <w:vAlign w:val="center"/>
          </w:tcPr>
          <w:p w14:paraId="0073E4FD">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不符合要求一项扣1分</w:t>
            </w:r>
          </w:p>
        </w:tc>
        <w:tc>
          <w:tcPr>
            <w:tcW w:w="934" w:type="dxa"/>
            <w:noWrap w:val="0"/>
            <w:vAlign w:val="center"/>
          </w:tcPr>
          <w:p w14:paraId="502486C6">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935" w:type="dxa"/>
            <w:gridSpan w:val="2"/>
            <w:noWrap w:val="0"/>
            <w:vAlign w:val="center"/>
          </w:tcPr>
          <w:p w14:paraId="24C6A75C">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690" w:type="dxa"/>
            <w:gridSpan w:val="2"/>
            <w:vMerge w:val="continue"/>
            <w:noWrap w:val="0"/>
            <w:vAlign w:val="center"/>
          </w:tcPr>
          <w:p w14:paraId="6BF14825">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r>
      <w:tr w14:paraId="156A2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521" w:type="dxa"/>
            <w:noWrap w:val="0"/>
            <w:vAlign w:val="center"/>
          </w:tcPr>
          <w:p w14:paraId="5DD0101D">
            <w:pPr>
              <w:keepLines w:val="0"/>
              <w:pageBreakBefore w:val="0"/>
              <w:widowControl/>
              <w:kinsoku/>
              <w:wordWrap/>
              <w:overflowPunct/>
              <w:topLinePunct w:val="0"/>
              <w:bidi w:val="0"/>
              <w:snapToGrid/>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w:t>
            </w:r>
          </w:p>
        </w:tc>
        <w:tc>
          <w:tcPr>
            <w:tcW w:w="4737" w:type="dxa"/>
            <w:noWrap w:val="0"/>
            <w:vAlign w:val="center"/>
          </w:tcPr>
          <w:p w14:paraId="3BC6B9F6">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根据办公楼及法庭具体情况建立火灾、停电、停水、水浸等应急预案，事发时及时报告主业单位或业主相关部门 ，积极采取措施。</w:t>
            </w:r>
          </w:p>
        </w:tc>
        <w:tc>
          <w:tcPr>
            <w:tcW w:w="1620" w:type="dxa"/>
            <w:gridSpan w:val="2"/>
            <w:noWrap w:val="0"/>
            <w:vAlign w:val="center"/>
          </w:tcPr>
          <w:p w14:paraId="2CEEA7EE">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不符合要求一项扣1分</w:t>
            </w:r>
          </w:p>
        </w:tc>
        <w:tc>
          <w:tcPr>
            <w:tcW w:w="934" w:type="dxa"/>
            <w:noWrap w:val="0"/>
            <w:vAlign w:val="center"/>
          </w:tcPr>
          <w:p w14:paraId="0F773FC8">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935" w:type="dxa"/>
            <w:gridSpan w:val="2"/>
            <w:noWrap w:val="0"/>
            <w:vAlign w:val="center"/>
          </w:tcPr>
          <w:p w14:paraId="0163BE91">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690" w:type="dxa"/>
            <w:gridSpan w:val="2"/>
            <w:vMerge w:val="continue"/>
            <w:noWrap w:val="0"/>
            <w:vAlign w:val="center"/>
          </w:tcPr>
          <w:p w14:paraId="57AA3DD5">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r>
      <w:tr w14:paraId="4D746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437" w:type="dxa"/>
            <w:gridSpan w:val="9"/>
            <w:noWrap w:val="0"/>
            <w:vAlign w:val="center"/>
          </w:tcPr>
          <w:p w14:paraId="5A2C05A4">
            <w:pPr>
              <w:keepLines w:val="0"/>
              <w:pageBreakBefore w:val="0"/>
              <w:widowControl/>
              <w:kinsoku/>
              <w:wordWrap/>
              <w:overflowPunct/>
              <w:topLinePunct w:val="0"/>
              <w:bidi w:val="0"/>
              <w:snapToGrid/>
              <w:spacing w:line="360" w:lineRule="exact"/>
              <w:ind w:firstLine="555"/>
              <w:jc w:val="center"/>
              <w:rPr>
                <w:rFonts w:hint="eastAsia" w:ascii="宋体" w:hAnsi="宋体" w:eastAsia="宋体" w:cs="宋体"/>
                <w:b/>
                <w:color w:val="000000"/>
                <w:sz w:val="21"/>
                <w:szCs w:val="21"/>
                <w:highlight w:val="none"/>
              </w:rPr>
            </w:pPr>
            <w:r>
              <w:rPr>
                <w:rFonts w:hint="eastAsia" w:ascii="宋体" w:hAnsi="宋体" w:eastAsia="宋体" w:cs="宋体"/>
                <w:b/>
                <w:bCs/>
                <w:color w:val="000000"/>
                <w:sz w:val="21"/>
                <w:szCs w:val="21"/>
                <w:highlight w:val="none"/>
              </w:rPr>
              <w:t>（五）人员管理（10分）</w:t>
            </w:r>
          </w:p>
        </w:tc>
      </w:tr>
      <w:tr w14:paraId="7D87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521" w:type="dxa"/>
            <w:noWrap w:val="0"/>
            <w:vAlign w:val="center"/>
          </w:tcPr>
          <w:p w14:paraId="7A9F1251">
            <w:pPr>
              <w:keepLines w:val="0"/>
              <w:pageBreakBefore w:val="0"/>
              <w:widowControl/>
              <w:kinsoku/>
              <w:wordWrap/>
              <w:overflowPunct/>
              <w:topLinePunct w:val="0"/>
              <w:bidi w:val="0"/>
              <w:snapToGrid/>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4737" w:type="dxa"/>
            <w:noWrap w:val="0"/>
            <w:vAlign w:val="center"/>
          </w:tcPr>
          <w:p w14:paraId="4FDC810F">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项目经理要保持在岗、在位，因工作需求或其他事由请假1天以上，需告之考核小组领导，并指定临时负责人；其他服务人员少于投标时承诺的配置人数，必须按要求配齐。</w:t>
            </w:r>
          </w:p>
        </w:tc>
        <w:tc>
          <w:tcPr>
            <w:tcW w:w="1620" w:type="dxa"/>
            <w:gridSpan w:val="2"/>
            <w:noWrap w:val="0"/>
            <w:vAlign w:val="center"/>
          </w:tcPr>
          <w:p w14:paraId="30160B95">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发现一次扣2分，从服务费中扣除少配人员的费用，并在规定的时间内配齐到位。</w:t>
            </w:r>
          </w:p>
        </w:tc>
        <w:tc>
          <w:tcPr>
            <w:tcW w:w="934" w:type="dxa"/>
            <w:noWrap w:val="0"/>
            <w:vAlign w:val="center"/>
          </w:tcPr>
          <w:p w14:paraId="57FB01F9">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1149" w:type="dxa"/>
            <w:gridSpan w:val="3"/>
            <w:noWrap w:val="0"/>
            <w:vAlign w:val="center"/>
          </w:tcPr>
          <w:p w14:paraId="03193B8C">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476" w:type="dxa"/>
            <w:noWrap w:val="0"/>
            <w:vAlign w:val="center"/>
          </w:tcPr>
          <w:p w14:paraId="7CC92ADA">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r>
      <w:tr w14:paraId="0BA6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21" w:type="dxa"/>
            <w:noWrap w:val="0"/>
            <w:vAlign w:val="center"/>
          </w:tcPr>
          <w:p w14:paraId="5BC74AEF">
            <w:pPr>
              <w:keepLines w:val="0"/>
              <w:pageBreakBefore w:val="0"/>
              <w:widowControl/>
              <w:kinsoku/>
              <w:wordWrap/>
              <w:overflowPunct/>
              <w:topLinePunct w:val="0"/>
              <w:bidi w:val="0"/>
              <w:snapToGrid/>
              <w:spacing w:line="360" w:lineRule="exact"/>
              <w:ind w:firstLine="555"/>
              <w:rPr>
                <w:rFonts w:hint="eastAsia" w:ascii="宋体" w:hAnsi="宋体" w:eastAsia="宋体" w:cs="宋体"/>
                <w:b/>
                <w:color w:val="000000"/>
                <w:sz w:val="21"/>
                <w:szCs w:val="21"/>
                <w:highlight w:val="none"/>
              </w:rPr>
            </w:pPr>
          </w:p>
        </w:tc>
        <w:tc>
          <w:tcPr>
            <w:tcW w:w="4737" w:type="dxa"/>
            <w:noWrap w:val="0"/>
            <w:vAlign w:val="center"/>
          </w:tcPr>
          <w:p w14:paraId="6EE37D93">
            <w:pPr>
              <w:keepLines w:val="0"/>
              <w:pageBreakBefore w:val="0"/>
              <w:widowControl/>
              <w:kinsoku/>
              <w:wordWrap/>
              <w:overflowPunct/>
              <w:topLinePunct w:val="0"/>
              <w:bidi w:val="0"/>
              <w:snapToGrid/>
              <w:spacing w:line="36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最后得分：</w:t>
            </w:r>
          </w:p>
        </w:tc>
        <w:tc>
          <w:tcPr>
            <w:tcW w:w="4179" w:type="dxa"/>
            <w:gridSpan w:val="7"/>
            <w:noWrap w:val="0"/>
            <w:vAlign w:val="center"/>
          </w:tcPr>
          <w:p w14:paraId="52DCF587">
            <w:pPr>
              <w:keepLines w:val="0"/>
              <w:pageBreakBefore w:val="0"/>
              <w:widowControl/>
              <w:kinsoku/>
              <w:wordWrap/>
              <w:overflowPunct/>
              <w:topLinePunct w:val="0"/>
              <w:bidi w:val="0"/>
              <w:snapToGrid/>
              <w:spacing w:line="360" w:lineRule="exact"/>
              <w:ind w:firstLine="555"/>
              <w:rPr>
                <w:rFonts w:hint="eastAsia" w:ascii="宋体" w:hAnsi="宋体" w:eastAsia="宋体" w:cs="宋体"/>
                <w:b/>
                <w:color w:val="000000"/>
                <w:sz w:val="21"/>
                <w:szCs w:val="21"/>
                <w:highlight w:val="none"/>
              </w:rPr>
            </w:pPr>
          </w:p>
        </w:tc>
      </w:tr>
    </w:tbl>
    <w:p w14:paraId="6704C926">
      <w:pPr>
        <w:keepLines w:val="0"/>
        <w:pageBreakBefore w:val="0"/>
        <w:widowControl/>
        <w:kinsoku/>
        <w:wordWrap/>
        <w:overflowPunct/>
        <w:topLinePunct w:val="0"/>
        <w:bidi w:val="0"/>
        <w:snapToGrid/>
        <w:spacing w:line="360" w:lineRule="exact"/>
        <w:ind w:firstLine="315" w:firstLineChars="150"/>
        <w:rPr>
          <w:rFonts w:hint="eastAsia" w:ascii="宋体" w:hAnsi="宋体" w:eastAsia="宋体" w:cs="宋体"/>
          <w:highlight w:val="none"/>
          <w:lang w:val="en-US" w:eastAsia="zh-CN"/>
        </w:rPr>
      </w:pPr>
      <w:r>
        <w:rPr>
          <w:rFonts w:hint="eastAsia" w:ascii="宋体" w:hAnsi="宋体" w:eastAsia="宋体" w:cs="宋体"/>
          <w:color w:val="000000"/>
          <w:sz w:val="21"/>
          <w:szCs w:val="21"/>
          <w:highlight w:val="none"/>
          <w:lang w:val="en-US" w:eastAsia="zh-CN"/>
        </w:rPr>
        <w:t>注：采购人</w:t>
      </w:r>
      <w:r>
        <w:rPr>
          <w:rFonts w:hint="eastAsia" w:ascii="宋体" w:hAnsi="宋体" w:eastAsia="宋体" w:cs="宋体"/>
          <w:color w:val="000000"/>
          <w:sz w:val="21"/>
          <w:szCs w:val="21"/>
          <w:highlight w:val="none"/>
        </w:rPr>
        <w:t>有权</w:t>
      </w:r>
      <w:r>
        <w:rPr>
          <w:rFonts w:hint="eastAsia" w:ascii="宋体" w:hAnsi="宋体" w:eastAsia="宋体" w:cs="宋体"/>
          <w:color w:val="000000"/>
          <w:sz w:val="21"/>
          <w:szCs w:val="21"/>
          <w:highlight w:val="none"/>
          <w:lang w:val="en-US" w:eastAsia="zh-CN"/>
        </w:rPr>
        <w:t>根据项目实施情况调整或</w:t>
      </w:r>
      <w:r>
        <w:rPr>
          <w:rFonts w:hint="eastAsia" w:ascii="宋体" w:hAnsi="宋体" w:eastAsia="宋体" w:cs="宋体"/>
          <w:color w:val="000000"/>
          <w:sz w:val="21"/>
          <w:szCs w:val="21"/>
          <w:highlight w:val="none"/>
        </w:rPr>
        <w:t>补充考核</w:t>
      </w:r>
      <w:r>
        <w:rPr>
          <w:rFonts w:hint="eastAsia" w:ascii="宋体" w:hAnsi="宋体" w:eastAsia="宋体" w:cs="宋体"/>
          <w:color w:val="000000"/>
          <w:sz w:val="21"/>
          <w:szCs w:val="21"/>
          <w:highlight w:val="none"/>
          <w:lang w:val="en-US" w:eastAsia="zh-CN"/>
        </w:rPr>
        <w:t>评分</w:t>
      </w:r>
      <w:r>
        <w:rPr>
          <w:rFonts w:hint="eastAsia" w:ascii="宋体" w:hAnsi="宋体" w:eastAsia="宋体" w:cs="宋体"/>
          <w:color w:val="000000"/>
          <w:sz w:val="21"/>
          <w:szCs w:val="21"/>
          <w:highlight w:val="none"/>
        </w:rPr>
        <w:t>细则</w:t>
      </w:r>
      <w:r>
        <w:rPr>
          <w:rFonts w:hint="eastAsia" w:ascii="宋体" w:hAnsi="宋体" w:eastAsia="宋体" w:cs="宋体"/>
          <w:color w:val="000000"/>
          <w:sz w:val="21"/>
          <w:szCs w:val="21"/>
          <w:highlight w:val="none"/>
          <w:lang w:val="en-US" w:eastAsia="zh-CN"/>
        </w:rPr>
        <w:t>内容</w:t>
      </w:r>
      <w:r>
        <w:rPr>
          <w:rFonts w:hint="eastAsia" w:ascii="宋体" w:hAnsi="宋体" w:eastAsia="宋体" w:cs="宋体"/>
          <w:color w:val="000000"/>
          <w:sz w:val="21"/>
          <w:szCs w:val="21"/>
          <w:highlight w:val="none"/>
        </w:rPr>
        <w:t>。</w:t>
      </w:r>
    </w:p>
    <w:p w14:paraId="27928265">
      <w:pPr>
        <w:keepNext w:val="0"/>
        <w:keepLines w:val="0"/>
        <w:pageBreakBefore w:val="0"/>
        <w:wordWrap/>
        <w:overflowPunct/>
        <w:topLinePunct w:val="0"/>
        <w:autoSpaceDE w:val="0"/>
        <w:autoSpaceDN w:val="0"/>
        <w:bidi w:val="0"/>
        <w:adjustRightInd w:val="0"/>
        <w:spacing w:line="40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4.考核措施</w:t>
      </w:r>
    </w:p>
    <w:p w14:paraId="46DAA03C">
      <w:pPr>
        <w:keepNext w:val="0"/>
        <w:keepLines w:val="0"/>
        <w:pageBreakBefore w:val="0"/>
        <w:wordWrap/>
        <w:overflowPunct/>
        <w:topLinePunct w:val="0"/>
        <w:autoSpaceDE w:val="0"/>
        <w:autoSpaceDN w:val="0"/>
        <w:bidi w:val="0"/>
        <w:adjustRightInd w:val="0"/>
        <w:spacing w:line="400" w:lineRule="exact"/>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①每</w:t>
      </w:r>
      <w:r>
        <w:rPr>
          <w:rFonts w:hint="eastAsia" w:ascii="宋体" w:hAnsi="宋体" w:eastAsia="宋体" w:cs="宋体"/>
          <w:kern w:val="0"/>
          <w:sz w:val="24"/>
          <w:szCs w:val="24"/>
          <w:highlight w:val="none"/>
          <w:lang w:val="en-US" w:eastAsia="zh-CN"/>
        </w:rPr>
        <w:t>季度</w:t>
      </w:r>
      <w:r>
        <w:rPr>
          <w:rFonts w:hint="eastAsia" w:ascii="宋体" w:hAnsi="宋体" w:eastAsia="宋体" w:cs="宋体"/>
          <w:kern w:val="0"/>
          <w:sz w:val="24"/>
          <w:szCs w:val="24"/>
          <w:highlight w:val="none"/>
          <w:lang w:val="zh-CN"/>
        </w:rPr>
        <w:t>综合考核得分在85分（含85分）以上为合格。</w:t>
      </w:r>
    </w:p>
    <w:p w14:paraId="1FFAEBD6">
      <w:pPr>
        <w:keepNext w:val="0"/>
        <w:keepLines w:val="0"/>
        <w:pageBreakBefore w:val="0"/>
        <w:wordWrap/>
        <w:overflowPunct/>
        <w:topLinePunct w:val="0"/>
        <w:autoSpaceDE w:val="0"/>
        <w:autoSpaceDN w:val="0"/>
        <w:bidi w:val="0"/>
        <w:adjustRightInd w:val="0"/>
        <w:spacing w:line="400" w:lineRule="exact"/>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②被媒体曝光，确属本职工作失误或失职，造成不良影响的，在当</w:t>
      </w:r>
      <w:r>
        <w:rPr>
          <w:rFonts w:hint="eastAsia" w:ascii="宋体" w:hAnsi="宋体" w:eastAsia="宋体" w:cs="宋体"/>
          <w:kern w:val="0"/>
          <w:sz w:val="24"/>
          <w:szCs w:val="24"/>
          <w:highlight w:val="none"/>
          <w:lang w:val="en-US" w:eastAsia="zh-CN"/>
        </w:rPr>
        <w:t>季度</w:t>
      </w:r>
      <w:r>
        <w:rPr>
          <w:rFonts w:hint="eastAsia" w:ascii="宋体" w:hAnsi="宋体" w:eastAsia="宋体" w:cs="宋体"/>
          <w:kern w:val="0"/>
          <w:sz w:val="24"/>
          <w:szCs w:val="24"/>
          <w:highlight w:val="none"/>
          <w:lang w:val="zh-CN"/>
        </w:rPr>
        <w:t>总分中扣4分。</w:t>
      </w:r>
    </w:p>
    <w:p w14:paraId="5711E832">
      <w:pPr>
        <w:keepNext w:val="0"/>
        <w:keepLines w:val="0"/>
        <w:pageBreakBefore w:val="0"/>
        <w:wordWrap/>
        <w:overflowPunct/>
        <w:topLinePunct w:val="0"/>
        <w:autoSpaceDE w:val="0"/>
        <w:autoSpaceDN w:val="0"/>
        <w:bidi w:val="0"/>
        <w:adjustRightInd w:val="0"/>
        <w:spacing w:line="400" w:lineRule="exact"/>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③在法定节假日和重大活动期间，因管理不到位，群众反映强烈的，在当</w:t>
      </w:r>
      <w:r>
        <w:rPr>
          <w:rFonts w:hint="eastAsia" w:ascii="宋体" w:hAnsi="宋体" w:eastAsia="宋体" w:cs="宋体"/>
          <w:kern w:val="0"/>
          <w:sz w:val="24"/>
          <w:szCs w:val="24"/>
          <w:highlight w:val="none"/>
          <w:lang w:val="en-US" w:eastAsia="zh-CN"/>
        </w:rPr>
        <w:t>季度</w:t>
      </w:r>
      <w:r>
        <w:rPr>
          <w:rFonts w:hint="eastAsia" w:ascii="宋体" w:hAnsi="宋体" w:eastAsia="宋体" w:cs="宋体"/>
          <w:kern w:val="0"/>
          <w:sz w:val="24"/>
          <w:szCs w:val="24"/>
          <w:highlight w:val="none"/>
          <w:lang w:val="zh-CN"/>
        </w:rPr>
        <w:t>总分中扣3分。</w:t>
      </w:r>
    </w:p>
    <w:p w14:paraId="08752422">
      <w:pPr>
        <w:keepNext w:val="0"/>
        <w:keepLines w:val="0"/>
        <w:pageBreakBefore w:val="0"/>
        <w:wordWrap/>
        <w:overflowPunct/>
        <w:topLinePunct w:val="0"/>
        <w:autoSpaceDE w:val="0"/>
        <w:autoSpaceDN w:val="0"/>
        <w:bidi w:val="0"/>
        <w:adjustRightInd w:val="0"/>
        <w:spacing w:line="400" w:lineRule="exact"/>
        <w:ind w:firstLine="482" w:firstLineChars="200"/>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六、服务期限</w:t>
      </w:r>
    </w:p>
    <w:p w14:paraId="74D5673F">
      <w:pPr>
        <w:keepNext w:val="0"/>
        <w:keepLines w:val="0"/>
        <w:pageBreakBefore w:val="0"/>
        <w:wordWrap/>
        <w:overflowPunct/>
        <w:topLinePunct w:val="0"/>
        <w:autoSpaceDE w:val="0"/>
        <w:autoSpaceDN w:val="0"/>
        <w:bidi w:val="0"/>
        <w:adjustRightInd w:val="0"/>
        <w:spacing w:line="400" w:lineRule="exact"/>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服务期三年，合同一年一签。每</w:t>
      </w:r>
      <w:r>
        <w:rPr>
          <w:rFonts w:hint="eastAsia" w:ascii="宋体" w:hAnsi="宋体" w:eastAsia="宋体" w:cs="宋体"/>
          <w:kern w:val="0"/>
          <w:sz w:val="24"/>
          <w:szCs w:val="24"/>
          <w:highlight w:val="none"/>
          <w:lang w:val="en-US" w:eastAsia="zh-CN"/>
        </w:rPr>
        <w:t>季度</w:t>
      </w:r>
      <w:r>
        <w:rPr>
          <w:rFonts w:hint="eastAsia" w:ascii="宋体" w:hAnsi="宋体" w:eastAsia="宋体" w:cs="宋体"/>
          <w:kern w:val="0"/>
          <w:sz w:val="24"/>
          <w:szCs w:val="24"/>
          <w:highlight w:val="none"/>
          <w:lang w:val="zh-CN"/>
        </w:rPr>
        <w:t>进行量化考核，</w:t>
      </w:r>
      <w:r>
        <w:rPr>
          <w:rFonts w:hint="eastAsia" w:ascii="宋体" w:hAnsi="宋体" w:eastAsia="宋体" w:cs="宋体"/>
          <w:kern w:val="0"/>
          <w:sz w:val="24"/>
          <w:szCs w:val="24"/>
          <w:highlight w:val="none"/>
          <w:lang w:val="en-US" w:eastAsia="zh-CN"/>
        </w:rPr>
        <w:t>一年内</w:t>
      </w:r>
      <w:r>
        <w:rPr>
          <w:rFonts w:hint="eastAsia" w:ascii="宋体" w:hAnsi="宋体" w:eastAsia="宋体" w:cs="宋体"/>
          <w:color w:val="000000"/>
          <w:sz w:val="24"/>
          <w:szCs w:val="24"/>
          <w:highlight w:val="none"/>
        </w:rPr>
        <w:t>连续两</w:t>
      </w:r>
      <w:r>
        <w:rPr>
          <w:rFonts w:hint="eastAsia" w:ascii="宋体" w:hAnsi="宋体" w:eastAsia="宋体" w:cs="宋体"/>
          <w:color w:val="000000"/>
          <w:sz w:val="24"/>
          <w:szCs w:val="24"/>
          <w:highlight w:val="none"/>
          <w:lang w:val="en-US" w:eastAsia="zh-CN"/>
        </w:rPr>
        <w:t>次</w:t>
      </w:r>
      <w:r>
        <w:rPr>
          <w:rFonts w:hint="eastAsia" w:ascii="宋体" w:hAnsi="宋体" w:eastAsia="宋体" w:cs="宋体"/>
          <w:color w:val="000000"/>
          <w:sz w:val="24"/>
          <w:szCs w:val="24"/>
          <w:highlight w:val="none"/>
        </w:rPr>
        <w:t>考核得分60分</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含）及</w:t>
      </w:r>
      <w:r>
        <w:rPr>
          <w:rFonts w:hint="eastAsia" w:ascii="宋体" w:hAnsi="宋体" w:eastAsia="宋体" w:cs="宋体"/>
          <w:color w:val="000000"/>
          <w:sz w:val="24"/>
          <w:szCs w:val="24"/>
          <w:highlight w:val="none"/>
        </w:rPr>
        <w:t>以下的终止合同</w:t>
      </w: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lang w:val="en-US" w:eastAsia="zh-CN"/>
        </w:rPr>
        <w:t>采购人重新招标</w:t>
      </w:r>
      <w:r>
        <w:rPr>
          <w:rFonts w:hint="eastAsia" w:ascii="宋体" w:hAnsi="宋体" w:eastAsia="宋体" w:cs="宋体"/>
          <w:kern w:val="0"/>
          <w:sz w:val="24"/>
          <w:szCs w:val="24"/>
          <w:highlight w:val="none"/>
          <w:lang w:val="zh-CN"/>
        </w:rPr>
        <w:t>。合同</w:t>
      </w:r>
      <w:r>
        <w:rPr>
          <w:rFonts w:hint="eastAsia" w:ascii="宋体" w:hAnsi="宋体" w:eastAsia="宋体" w:cs="宋体"/>
          <w:kern w:val="0"/>
          <w:sz w:val="24"/>
          <w:szCs w:val="24"/>
          <w:highlight w:val="none"/>
          <w:lang w:val="en-US" w:eastAsia="zh-CN"/>
        </w:rPr>
        <w:t>期满</w:t>
      </w: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lang w:val="en-US" w:eastAsia="zh-CN"/>
        </w:rPr>
        <w:t>协助采购人进项</w:t>
      </w:r>
      <w:r>
        <w:rPr>
          <w:rFonts w:hint="eastAsia" w:ascii="宋体" w:hAnsi="宋体" w:eastAsia="宋体" w:cs="宋体"/>
          <w:kern w:val="0"/>
          <w:sz w:val="24"/>
          <w:szCs w:val="24"/>
          <w:highlight w:val="none"/>
          <w:lang w:val="zh-CN"/>
        </w:rPr>
        <w:t>全面交接工作，按时撤离，</w:t>
      </w:r>
      <w:r>
        <w:rPr>
          <w:rFonts w:hint="eastAsia" w:ascii="宋体" w:hAnsi="宋体" w:eastAsia="宋体" w:cs="宋体"/>
          <w:kern w:val="0"/>
          <w:sz w:val="24"/>
          <w:szCs w:val="24"/>
          <w:highlight w:val="none"/>
          <w:lang w:val="en-US" w:eastAsia="zh-CN"/>
        </w:rPr>
        <w:t>若中标人因</w:t>
      </w:r>
      <w:r>
        <w:rPr>
          <w:rFonts w:hint="eastAsia" w:ascii="宋体" w:hAnsi="宋体" w:eastAsia="宋体" w:cs="宋体"/>
          <w:kern w:val="0"/>
          <w:sz w:val="24"/>
          <w:szCs w:val="24"/>
          <w:highlight w:val="none"/>
          <w:lang w:val="zh-CN"/>
        </w:rPr>
        <w:t>被</w:t>
      </w:r>
      <w:r>
        <w:rPr>
          <w:rFonts w:hint="eastAsia" w:ascii="宋体" w:hAnsi="宋体" w:eastAsia="宋体" w:cs="宋体"/>
          <w:kern w:val="0"/>
          <w:sz w:val="24"/>
          <w:szCs w:val="24"/>
          <w:highlight w:val="none"/>
          <w:lang w:val="en-US" w:eastAsia="zh-CN"/>
        </w:rPr>
        <w:t>终</w:t>
      </w:r>
      <w:r>
        <w:rPr>
          <w:rFonts w:hint="eastAsia" w:ascii="宋体" w:hAnsi="宋体" w:eastAsia="宋体" w:cs="宋体"/>
          <w:kern w:val="0"/>
          <w:sz w:val="24"/>
          <w:szCs w:val="24"/>
          <w:highlight w:val="none"/>
          <w:lang w:val="zh-CN"/>
        </w:rPr>
        <w:t>止合同</w:t>
      </w:r>
      <w:r>
        <w:rPr>
          <w:rFonts w:hint="eastAsia" w:ascii="宋体" w:hAnsi="宋体" w:eastAsia="宋体" w:cs="宋体"/>
          <w:kern w:val="0"/>
          <w:sz w:val="24"/>
          <w:szCs w:val="24"/>
          <w:highlight w:val="none"/>
          <w:lang w:val="en-US" w:eastAsia="zh-CN"/>
        </w:rPr>
        <w:t>且</w:t>
      </w:r>
      <w:r>
        <w:rPr>
          <w:rFonts w:hint="eastAsia" w:ascii="宋体" w:hAnsi="宋体" w:eastAsia="宋体" w:cs="宋体"/>
          <w:kern w:val="0"/>
          <w:sz w:val="24"/>
          <w:szCs w:val="24"/>
          <w:highlight w:val="none"/>
          <w:lang w:val="zh-CN"/>
        </w:rPr>
        <w:t>未在规定的时间内</w:t>
      </w:r>
      <w:r>
        <w:rPr>
          <w:rFonts w:hint="eastAsia" w:ascii="宋体" w:hAnsi="宋体" w:eastAsia="宋体" w:cs="宋体"/>
          <w:kern w:val="0"/>
          <w:sz w:val="24"/>
          <w:szCs w:val="24"/>
          <w:highlight w:val="none"/>
          <w:lang w:val="en-US" w:eastAsia="zh-CN"/>
        </w:rPr>
        <w:t>按时</w:t>
      </w:r>
      <w:r>
        <w:rPr>
          <w:rFonts w:hint="eastAsia" w:ascii="宋体" w:hAnsi="宋体" w:eastAsia="宋体" w:cs="宋体"/>
          <w:kern w:val="0"/>
          <w:sz w:val="24"/>
          <w:szCs w:val="24"/>
          <w:highlight w:val="none"/>
          <w:lang w:val="zh-CN"/>
        </w:rPr>
        <w:t>撤离给</w:t>
      </w:r>
      <w:r>
        <w:rPr>
          <w:rFonts w:hint="eastAsia" w:ascii="宋体" w:hAnsi="宋体" w:eastAsia="宋体" w:cs="宋体"/>
          <w:kern w:val="0"/>
          <w:sz w:val="24"/>
          <w:szCs w:val="24"/>
          <w:highlight w:val="none"/>
          <w:lang w:val="en-US" w:eastAsia="zh-CN"/>
        </w:rPr>
        <w:t>采购人</w:t>
      </w:r>
      <w:r>
        <w:rPr>
          <w:rFonts w:hint="eastAsia" w:ascii="宋体" w:hAnsi="宋体" w:eastAsia="宋体" w:cs="宋体"/>
          <w:kern w:val="0"/>
          <w:sz w:val="24"/>
          <w:szCs w:val="24"/>
          <w:highlight w:val="none"/>
          <w:lang w:val="zh-CN"/>
        </w:rPr>
        <w:t>造成的损失，将追究</w:t>
      </w:r>
      <w:r>
        <w:rPr>
          <w:rFonts w:hint="eastAsia" w:ascii="宋体" w:hAnsi="宋体" w:eastAsia="宋体" w:cs="宋体"/>
          <w:kern w:val="0"/>
          <w:sz w:val="24"/>
          <w:szCs w:val="24"/>
          <w:highlight w:val="none"/>
          <w:lang w:val="en-US" w:eastAsia="zh-CN"/>
        </w:rPr>
        <w:t>其法律</w:t>
      </w:r>
      <w:r>
        <w:rPr>
          <w:rFonts w:hint="eastAsia" w:ascii="宋体" w:hAnsi="宋体" w:eastAsia="宋体" w:cs="宋体"/>
          <w:kern w:val="0"/>
          <w:sz w:val="24"/>
          <w:szCs w:val="24"/>
          <w:highlight w:val="none"/>
          <w:lang w:val="zh-CN"/>
        </w:rPr>
        <w:t>责任。</w:t>
      </w:r>
    </w:p>
    <w:p w14:paraId="34596773">
      <w:pPr>
        <w:keepNext w:val="0"/>
        <w:keepLines w:val="0"/>
        <w:pageBreakBefore w:val="0"/>
        <w:wordWrap/>
        <w:overflowPunct/>
        <w:topLinePunct w:val="0"/>
        <w:autoSpaceDE w:val="0"/>
        <w:autoSpaceDN w:val="0"/>
        <w:bidi w:val="0"/>
        <w:adjustRightInd w:val="0"/>
        <w:spacing w:line="400" w:lineRule="exact"/>
        <w:ind w:firstLine="482" w:firstLineChars="200"/>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七、报价要求</w:t>
      </w:r>
    </w:p>
    <w:p w14:paraId="38A78F4D">
      <w:pPr>
        <w:keepNext w:val="0"/>
        <w:keepLines w:val="0"/>
        <w:pageBreakBefore w:val="0"/>
        <w:wordWrap/>
        <w:overflowPunct/>
        <w:topLinePunct w:val="0"/>
        <w:autoSpaceDE w:val="0"/>
        <w:autoSpaceDN w:val="0"/>
        <w:bidi w:val="0"/>
        <w:adjustRightInd w:val="0"/>
        <w:spacing w:line="400" w:lineRule="exact"/>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zh-CN"/>
        </w:rPr>
        <w:t>投标报价为完成本次</w:t>
      </w:r>
      <w:r>
        <w:rPr>
          <w:rFonts w:hint="eastAsia" w:ascii="宋体" w:hAnsi="宋体" w:eastAsia="宋体" w:cs="宋体"/>
          <w:kern w:val="0"/>
          <w:sz w:val="24"/>
          <w:szCs w:val="24"/>
          <w:highlight w:val="none"/>
        </w:rPr>
        <w:t>采购</w:t>
      </w:r>
      <w:r>
        <w:rPr>
          <w:rFonts w:hint="eastAsia" w:ascii="宋体" w:hAnsi="宋体" w:eastAsia="宋体" w:cs="宋体"/>
          <w:kern w:val="0"/>
          <w:sz w:val="24"/>
          <w:szCs w:val="24"/>
          <w:highlight w:val="none"/>
          <w:lang w:val="zh-CN"/>
        </w:rPr>
        <w:t>项目的全费用价格，其组成包括但不限于人员工资、 管理费、服装费、办公费（</w:t>
      </w:r>
      <w:r>
        <w:rPr>
          <w:rFonts w:hint="eastAsia" w:ascii="宋体" w:hAnsi="宋体" w:eastAsia="宋体" w:cs="宋体"/>
          <w:kern w:val="0"/>
          <w:sz w:val="24"/>
          <w:szCs w:val="24"/>
          <w:highlight w:val="none"/>
        </w:rPr>
        <w:t>含</w:t>
      </w:r>
      <w:r>
        <w:rPr>
          <w:rFonts w:hint="eastAsia" w:ascii="宋体" w:hAnsi="宋体" w:eastAsia="宋体" w:cs="宋体"/>
          <w:sz w:val="24"/>
          <w:szCs w:val="24"/>
          <w:highlight w:val="none"/>
        </w:rPr>
        <w:t>门卫及值班电话等通讯费用）</w:t>
      </w:r>
      <w:r>
        <w:rPr>
          <w:rFonts w:hint="eastAsia" w:ascii="宋体" w:hAnsi="宋体" w:eastAsia="宋体" w:cs="宋体"/>
          <w:kern w:val="0"/>
          <w:sz w:val="24"/>
          <w:szCs w:val="24"/>
          <w:highlight w:val="none"/>
          <w:lang w:val="zh-CN"/>
        </w:rPr>
        <w:t>、税金、利润、劳动保险费、奖金、各种加班费、食宿与交通、安全、仓储、运输（包括垃圾外运）、</w:t>
      </w:r>
      <w:r>
        <w:rPr>
          <w:rFonts w:hint="eastAsia" w:ascii="宋体" w:hAnsi="宋体" w:eastAsia="宋体" w:cs="宋体"/>
          <w:sz w:val="24"/>
          <w:szCs w:val="24"/>
          <w:highlight w:val="none"/>
        </w:rPr>
        <w:t>低值易耗品费用（如洗手液、卷纸、擦手纸、卫生球、消毒液、垃圾袋和清洁工具等）、</w:t>
      </w:r>
      <w:r>
        <w:rPr>
          <w:rFonts w:hint="eastAsia" w:ascii="宋体" w:hAnsi="宋体" w:eastAsia="宋体" w:cs="宋体"/>
          <w:kern w:val="0"/>
          <w:sz w:val="24"/>
          <w:szCs w:val="24"/>
          <w:highlight w:val="none"/>
          <w:lang w:val="zh-CN"/>
        </w:rPr>
        <w:t>合同工期内的风险费用等为完成本次</w:t>
      </w:r>
      <w:r>
        <w:rPr>
          <w:rFonts w:hint="eastAsia" w:ascii="宋体" w:hAnsi="宋体" w:eastAsia="宋体" w:cs="宋体"/>
          <w:kern w:val="0"/>
          <w:sz w:val="24"/>
          <w:szCs w:val="24"/>
          <w:highlight w:val="none"/>
        </w:rPr>
        <w:t>采购</w:t>
      </w:r>
      <w:r>
        <w:rPr>
          <w:rFonts w:hint="eastAsia" w:ascii="宋体" w:hAnsi="宋体" w:eastAsia="宋体" w:cs="宋体"/>
          <w:kern w:val="0"/>
          <w:sz w:val="24"/>
          <w:szCs w:val="24"/>
          <w:highlight w:val="none"/>
          <w:lang w:val="zh-CN"/>
        </w:rPr>
        <w:t>项目所发生的一切费用。</w:t>
      </w:r>
    </w:p>
    <w:p w14:paraId="0E484D28">
      <w:pPr>
        <w:keepNext w:val="0"/>
        <w:keepLines w:val="0"/>
        <w:pageBreakBefore w:val="0"/>
        <w:wordWrap/>
        <w:overflowPunct/>
        <w:topLinePunct w:val="0"/>
        <w:autoSpaceDE w:val="0"/>
        <w:autoSpaceDN w:val="0"/>
        <w:bidi w:val="0"/>
        <w:adjustRightInd w:val="0"/>
        <w:spacing w:line="400" w:lineRule="exact"/>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2.投标人投标报价中所有岗位人员基本工资和社保标准最低不得低于滁州市人社局发布的最低标准：①人员基本工资不得低于1930元/月（包含工资、劳动者个人缴纳的社会保险费和住房公积金）；②企业应承担的社保不得低于970.51元/月；③投标人税金统一按一般纳税人核定标准计算（税率按6.72%计入）；④本项目统一按此标准计算，各投标人存在的差额部分自行考虑承担。请各投标人自行核算以上政策性费用及规定费用，如投标人对以上费用有疑问，请在本项目质疑截止时间前提出。如无疑问，投标报价应不低于上述政策性费用及规定费用价格，否则投标无效。投标人必须和拟派的所有岗位人员按照相关规定签订劳动合同并为其缴纳社保，否则产生的相关纠纷由投标人自行承担。投标人投标时充分考虑企业利润，如因企业漏报或主动让利，产生的相关纠纷由投标人自行承担。滁州市人社局对滁州市人员最低工资及五险进行调整时，中标人适当作相应调整。</w:t>
      </w:r>
    </w:p>
    <w:p w14:paraId="63ACD81F">
      <w:pPr>
        <w:keepNext w:val="0"/>
        <w:keepLines w:val="0"/>
        <w:pageBreakBefore w:val="0"/>
        <w:wordWrap/>
        <w:overflowPunct/>
        <w:topLinePunct w:val="0"/>
        <w:autoSpaceDE w:val="0"/>
        <w:autoSpaceDN w:val="0"/>
        <w:bidi w:val="0"/>
        <w:adjustRightInd w:val="0"/>
        <w:spacing w:line="40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lang w:val="zh-CN"/>
        </w:rPr>
        <w:t>物业前期开办所需设施设备由</w:t>
      </w:r>
      <w:r>
        <w:rPr>
          <w:rFonts w:hint="eastAsia" w:ascii="宋体" w:hAnsi="宋体" w:eastAsia="宋体" w:cs="宋体"/>
          <w:kern w:val="0"/>
          <w:sz w:val="24"/>
          <w:szCs w:val="24"/>
          <w:highlight w:val="none"/>
          <w:lang w:val="en-US" w:eastAsia="zh-CN"/>
        </w:rPr>
        <w:t>中标人</w:t>
      </w:r>
      <w:r>
        <w:rPr>
          <w:rFonts w:hint="eastAsia" w:ascii="宋体" w:hAnsi="宋体" w:eastAsia="宋体" w:cs="宋体"/>
          <w:kern w:val="0"/>
          <w:sz w:val="24"/>
          <w:szCs w:val="24"/>
          <w:highlight w:val="none"/>
          <w:lang w:val="zh-CN"/>
        </w:rPr>
        <w:t>自行考虑，费用含在投标报价中。</w:t>
      </w:r>
      <w:r>
        <w:rPr>
          <w:rFonts w:hint="eastAsia" w:ascii="宋体" w:hAnsi="宋体" w:eastAsia="宋体" w:cs="宋体"/>
          <w:kern w:val="0"/>
          <w:sz w:val="24"/>
          <w:szCs w:val="24"/>
          <w:highlight w:val="none"/>
          <w:lang w:val="en-US" w:eastAsia="zh-CN"/>
        </w:rPr>
        <w:t>中标人自行提供服务工具、车辆（驾驶式室外扫地车至少1台、手推式室内洗地机至少1台、垃圾清运车1辆）、安保设备（对讲机、警棍、防暴叉等）、服装、低值易耗品及其他相关器具。相关费用包含在合同价中。</w:t>
      </w:r>
    </w:p>
    <w:p w14:paraId="59BD135B">
      <w:pPr>
        <w:keepNext w:val="0"/>
        <w:keepLines w:val="0"/>
        <w:pageBreakBefore w:val="0"/>
        <w:wordWrap/>
        <w:overflowPunct/>
        <w:topLinePunct w:val="0"/>
        <w:autoSpaceDE w:val="0"/>
        <w:autoSpaceDN w:val="0"/>
        <w:bidi w:val="0"/>
        <w:adjustRightInd w:val="0"/>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kern w:val="0"/>
          <w:sz w:val="24"/>
          <w:szCs w:val="24"/>
          <w:highlight w:val="none"/>
          <w:lang w:val="zh-CN"/>
        </w:rPr>
        <w:t>滁州市人社局对滁州市人员最低工资及五险进行调整时，人员工资和五险按最底标准作相应调整。中标人在履约期限内不得以最低工资标准上调以及物价指数上涨等理由，要求增加物业服务费用。</w:t>
      </w:r>
    </w:p>
    <w:p w14:paraId="7E54B266">
      <w:pPr>
        <w:keepNext w:val="0"/>
        <w:keepLines w:val="0"/>
        <w:pageBreakBefore w:val="0"/>
        <w:wordWrap/>
        <w:overflowPunct/>
        <w:topLinePunct w:val="0"/>
        <w:autoSpaceDE w:val="0"/>
        <w:autoSpaceDN w:val="0"/>
        <w:bidi w:val="0"/>
        <w:adjustRightInd w:val="0"/>
        <w:spacing w:line="400" w:lineRule="exact"/>
        <w:ind w:firstLine="482" w:firstLineChars="200"/>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八、其他要求</w:t>
      </w:r>
    </w:p>
    <w:p w14:paraId="17D5241E">
      <w:pPr>
        <w:keepNext w:val="0"/>
        <w:keepLines w:val="0"/>
        <w:pageBreakBefore w:val="0"/>
        <w:wordWrap/>
        <w:overflowPunct/>
        <w:topLinePunct w:val="0"/>
        <w:autoSpaceDE w:val="0"/>
        <w:autoSpaceDN w:val="0"/>
        <w:bidi w:val="0"/>
        <w:adjustRightInd w:val="0"/>
        <w:spacing w:line="400" w:lineRule="exact"/>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lang w:val="en-US" w:eastAsia="zh-CN"/>
        </w:rPr>
        <w:t>中标人应</w:t>
      </w:r>
      <w:r>
        <w:rPr>
          <w:rFonts w:hint="eastAsia" w:ascii="宋体" w:hAnsi="宋体" w:eastAsia="宋体" w:cs="宋体"/>
          <w:kern w:val="0"/>
          <w:sz w:val="24"/>
          <w:szCs w:val="24"/>
          <w:highlight w:val="none"/>
          <w:lang w:val="zh-CN"/>
        </w:rPr>
        <w:t>遵守物业</w:t>
      </w:r>
      <w:r>
        <w:rPr>
          <w:rFonts w:hint="eastAsia" w:ascii="宋体" w:hAnsi="宋体" w:eastAsia="宋体" w:cs="宋体"/>
          <w:kern w:val="0"/>
          <w:sz w:val="24"/>
          <w:szCs w:val="24"/>
          <w:highlight w:val="none"/>
          <w:lang w:val="en-US" w:eastAsia="zh-CN"/>
        </w:rPr>
        <w:t>行业相关法律</w:t>
      </w:r>
      <w:r>
        <w:rPr>
          <w:rFonts w:hint="eastAsia" w:ascii="宋体" w:hAnsi="宋体" w:eastAsia="宋体" w:cs="宋体"/>
          <w:kern w:val="0"/>
          <w:sz w:val="24"/>
          <w:szCs w:val="24"/>
          <w:highlight w:val="none"/>
          <w:lang w:val="zh-CN"/>
        </w:rPr>
        <w:t>法规，承担</w:t>
      </w:r>
      <w:r>
        <w:rPr>
          <w:rFonts w:hint="eastAsia" w:ascii="宋体" w:hAnsi="宋体" w:eastAsia="宋体" w:cs="宋体"/>
          <w:kern w:val="0"/>
          <w:sz w:val="24"/>
          <w:szCs w:val="24"/>
          <w:highlight w:val="none"/>
          <w:lang w:val="en-US" w:eastAsia="zh-CN"/>
        </w:rPr>
        <w:t>本项目</w:t>
      </w:r>
      <w:r>
        <w:rPr>
          <w:rFonts w:hint="eastAsia" w:ascii="宋体" w:hAnsi="宋体" w:eastAsia="宋体" w:cs="宋体"/>
          <w:kern w:val="0"/>
          <w:sz w:val="24"/>
          <w:szCs w:val="24"/>
          <w:highlight w:val="none"/>
          <w:lang w:val="zh-CN"/>
        </w:rPr>
        <w:t>物业服务及物业安全责任，达到物业工作质量标准。</w:t>
      </w:r>
    </w:p>
    <w:p w14:paraId="32EE1FEC">
      <w:pPr>
        <w:keepNext w:val="0"/>
        <w:keepLines w:val="0"/>
        <w:pageBreakBefore w:val="0"/>
        <w:wordWrap/>
        <w:overflowPunct/>
        <w:topLinePunct w:val="0"/>
        <w:autoSpaceDE w:val="0"/>
        <w:autoSpaceDN w:val="0"/>
        <w:bidi w:val="0"/>
        <w:adjustRightInd w:val="0"/>
        <w:spacing w:line="400" w:lineRule="exact"/>
        <w:ind w:firstLine="480" w:firstLineChars="200"/>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lang w:val="en-US" w:eastAsia="zh-CN"/>
        </w:rPr>
        <w:t>中标人</w:t>
      </w:r>
      <w:r>
        <w:rPr>
          <w:rFonts w:hint="eastAsia" w:ascii="宋体" w:hAnsi="宋体" w:eastAsia="宋体" w:cs="宋体"/>
          <w:kern w:val="0"/>
          <w:sz w:val="24"/>
          <w:szCs w:val="24"/>
          <w:highlight w:val="none"/>
          <w:lang w:val="zh-CN"/>
        </w:rPr>
        <w:t>应严格按照</w:t>
      </w:r>
      <w:r>
        <w:rPr>
          <w:rFonts w:hint="eastAsia" w:ascii="宋体" w:hAnsi="宋体" w:eastAsia="宋体" w:cs="宋体"/>
          <w:kern w:val="0"/>
          <w:sz w:val="24"/>
          <w:szCs w:val="24"/>
          <w:highlight w:val="none"/>
          <w:lang w:val="en-US" w:eastAsia="zh-CN"/>
        </w:rPr>
        <w:t>项目合同</w:t>
      </w:r>
      <w:r>
        <w:rPr>
          <w:rFonts w:hint="eastAsia" w:ascii="宋体" w:hAnsi="宋体" w:eastAsia="宋体" w:cs="宋体"/>
          <w:kern w:val="0"/>
          <w:sz w:val="24"/>
          <w:szCs w:val="24"/>
          <w:highlight w:val="none"/>
          <w:lang w:val="zh-CN"/>
        </w:rPr>
        <w:t>，按</w:t>
      </w:r>
      <w:r>
        <w:rPr>
          <w:rFonts w:hint="eastAsia" w:ascii="宋体" w:hAnsi="宋体" w:eastAsia="宋体" w:cs="宋体"/>
          <w:kern w:val="0"/>
          <w:sz w:val="24"/>
          <w:szCs w:val="24"/>
          <w:highlight w:val="none"/>
          <w:lang w:val="en-US" w:eastAsia="zh-CN"/>
        </w:rPr>
        <w:t>其投标文件承诺配备</w:t>
      </w:r>
      <w:r>
        <w:rPr>
          <w:rFonts w:hint="eastAsia" w:ascii="宋体" w:hAnsi="宋体" w:eastAsia="宋体" w:cs="宋体"/>
          <w:kern w:val="0"/>
          <w:sz w:val="24"/>
          <w:szCs w:val="24"/>
          <w:highlight w:val="none"/>
          <w:lang w:val="zh-CN"/>
        </w:rPr>
        <w:t>人数上岗，执行物业岗位职责、服务</w:t>
      </w:r>
      <w:r>
        <w:rPr>
          <w:rFonts w:hint="eastAsia" w:ascii="宋体" w:hAnsi="宋体" w:eastAsia="宋体" w:cs="宋体"/>
          <w:kern w:val="0"/>
          <w:sz w:val="24"/>
          <w:szCs w:val="24"/>
          <w:highlight w:val="none"/>
          <w:lang w:val="zh-CN" w:eastAsia="zh-CN"/>
        </w:rPr>
        <w:t>质量标准，承担物业管理服务、安全运行责任，达到全职全责。</w:t>
      </w:r>
    </w:p>
    <w:p w14:paraId="20348195">
      <w:pPr>
        <w:keepNext w:val="0"/>
        <w:keepLines w:val="0"/>
        <w:pageBreakBefore w:val="0"/>
        <w:wordWrap/>
        <w:overflowPunct/>
        <w:topLinePunct w:val="0"/>
        <w:autoSpaceDE w:val="0"/>
        <w:autoSpaceDN w:val="0"/>
        <w:bidi w:val="0"/>
        <w:adjustRightInd w:val="0"/>
        <w:spacing w:line="40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lang w:val="zh-CN" w:eastAsia="zh-CN"/>
        </w:rPr>
        <w:t>中标人在服务期间，若违反下列规定将</w:t>
      </w:r>
      <w:r>
        <w:rPr>
          <w:rFonts w:hint="eastAsia" w:ascii="宋体" w:hAnsi="宋体" w:eastAsia="宋体" w:cs="宋体"/>
          <w:kern w:val="0"/>
          <w:sz w:val="24"/>
          <w:szCs w:val="24"/>
          <w:highlight w:val="none"/>
          <w:lang w:val="en-US" w:eastAsia="zh-CN"/>
        </w:rPr>
        <w:t>终止</w:t>
      </w:r>
      <w:r>
        <w:rPr>
          <w:rFonts w:hint="eastAsia" w:ascii="宋体" w:hAnsi="宋体" w:eastAsia="宋体" w:cs="宋体"/>
          <w:kern w:val="0"/>
          <w:sz w:val="24"/>
          <w:szCs w:val="24"/>
          <w:highlight w:val="none"/>
          <w:lang w:val="zh-CN" w:eastAsia="zh-CN"/>
        </w:rPr>
        <w:t>合同：①</w:t>
      </w:r>
      <w:r>
        <w:rPr>
          <w:rFonts w:hint="eastAsia" w:ascii="宋体" w:hAnsi="宋体" w:eastAsia="宋体" w:cs="宋体"/>
          <w:kern w:val="0"/>
          <w:sz w:val="24"/>
          <w:szCs w:val="24"/>
          <w:highlight w:val="none"/>
          <w:lang w:val="en-US" w:eastAsia="zh-CN"/>
        </w:rPr>
        <w:t>将本项目转包或变相转包的；②违反合同约定，降低服务质量或导致采购人受损，经采购人书面警告仍无效的；③采购人就同一事项发出连续二次整改通知仍未整改到位的；④在国家、省、市、区等各级检查和创优等物业管理与服务质量评比过程中，本服务项目未能达标的；⑤连续两次考核得分60分（含）及以下的；⑥客户有效投诉三次及以上的。</w:t>
      </w:r>
    </w:p>
    <w:p w14:paraId="3FDC5BCC">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7B1CE1F6">
      <w:pPr>
        <w:spacing w:line="360" w:lineRule="auto"/>
        <w:jc w:val="center"/>
        <w:outlineLvl w:val="0"/>
        <w:rPr>
          <w:rFonts w:hint="eastAsia" w:ascii="宋体" w:hAnsi="宋体" w:eastAsia="宋体" w:cs="宋体"/>
          <w:b/>
          <w:color w:val="auto"/>
          <w:sz w:val="28"/>
          <w:highlight w:val="none"/>
        </w:rPr>
      </w:pPr>
      <w:bookmarkStart w:id="37" w:name="_Toc30824"/>
      <w:r>
        <w:rPr>
          <w:rFonts w:hint="eastAsia" w:ascii="宋体" w:hAnsi="宋体" w:eastAsia="宋体" w:cs="宋体"/>
          <w:b/>
          <w:color w:val="auto"/>
          <w:sz w:val="28"/>
          <w:highlight w:val="none"/>
        </w:rPr>
        <w:t>第四章  评标方法和标准（综合评分法）</w:t>
      </w:r>
      <w:bookmarkEnd w:id="37"/>
    </w:p>
    <w:p w14:paraId="000DD139">
      <w:pPr>
        <w:keepNext w:val="0"/>
        <w:keepLines w:val="0"/>
        <w:pageBreakBefore w:val="0"/>
        <w:widowControl w:val="0"/>
        <w:kinsoku/>
        <w:wordWrap/>
        <w:overflowPunct/>
        <w:topLinePunct w:val="0"/>
        <w:autoSpaceDE/>
        <w:autoSpaceDN/>
        <w:bidi w:val="0"/>
        <w:spacing w:line="440" w:lineRule="exact"/>
        <w:ind w:firstLine="437"/>
        <w:textAlignment w:val="auto"/>
        <w:outlineLvl w:val="1"/>
        <w:rPr>
          <w:rFonts w:hint="eastAsia" w:ascii="宋体" w:hAnsi="宋体" w:eastAsia="宋体" w:cs="宋体"/>
          <w:b/>
          <w:color w:val="auto"/>
          <w:sz w:val="24"/>
          <w:highlight w:val="none"/>
        </w:rPr>
      </w:pPr>
      <w:bookmarkStart w:id="38" w:name="_Toc4705"/>
      <w:bookmarkStart w:id="39" w:name="_Toc11823"/>
      <w:r>
        <w:rPr>
          <w:rFonts w:hint="eastAsia" w:ascii="宋体" w:hAnsi="宋体" w:eastAsia="宋体" w:cs="宋体"/>
          <w:b/>
          <w:color w:val="auto"/>
          <w:sz w:val="24"/>
          <w:highlight w:val="none"/>
        </w:rPr>
        <w:t>一、总则</w:t>
      </w:r>
      <w:bookmarkEnd w:id="38"/>
      <w:bookmarkEnd w:id="39"/>
    </w:p>
    <w:p w14:paraId="0399004D">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本项目将按照招标文件第二章 投标人须知的相关要求及本章的规定评标。</w:t>
      </w:r>
    </w:p>
    <w:p w14:paraId="22DD5575">
      <w:pPr>
        <w:keepNext w:val="0"/>
        <w:keepLines w:val="0"/>
        <w:pageBreakBefore w:val="0"/>
        <w:widowControl w:val="0"/>
        <w:kinsoku/>
        <w:wordWrap/>
        <w:overflowPunct/>
        <w:topLinePunct w:val="0"/>
        <w:autoSpaceDE/>
        <w:autoSpaceDN/>
        <w:bidi w:val="0"/>
        <w:spacing w:line="440" w:lineRule="exact"/>
        <w:ind w:firstLine="437"/>
        <w:textAlignment w:val="auto"/>
        <w:outlineLvl w:val="1"/>
        <w:rPr>
          <w:rFonts w:hint="eastAsia" w:ascii="宋体" w:hAnsi="宋体" w:eastAsia="宋体" w:cs="宋体"/>
          <w:b/>
          <w:color w:val="auto"/>
          <w:sz w:val="24"/>
          <w:highlight w:val="none"/>
        </w:rPr>
      </w:pPr>
      <w:bookmarkStart w:id="40" w:name="_Toc31871"/>
      <w:bookmarkStart w:id="41" w:name="_Toc32410"/>
      <w:r>
        <w:rPr>
          <w:rFonts w:hint="eastAsia" w:ascii="宋体" w:hAnsi="宋体" w:eastAsia="宋体" w:cs="宋体"/>
          <w:b/>
          <w:color w:val="auto"/>
          <w:sz w:val="24"/>
          <w:highlight w:val="none"/>
        </w:rPr>
        <w:t>二、评标方法</w:t>
      </w:r>
      <w:bookmarkEnd w:id="40"/>
      <w:bookmarkEnd w:id="41"/>
    </w:p>
    <w:p w14:paraId="3C0560CA">
      <w:pPr>
        <w:keepNext w:val="0"/>
        <w:keepLines w:val="0"/>
        <w:pageBreakBefore w:val="0"/>
        <w:widowControl w:val="0"/>
        <w:kinsoku/>
        <w:wordWrap/>
        <w:overflowPunct/>
        <w:topLinePunct w:val="0"/>
        <w:autoSpaceDE/>
        <w:autoSpaceDN/>
        <w:bidi w:val="0"/>
        <w:spacing w:line="440" w:lineRule="exact"/>
        <w:ind w:firstLine="437"/>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2.1资格审查</w:t>
      </w:r>
    </w:p>
    <w:tbl>
      <w:tblPr>
        <w:tblStyle w:val="27"/>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1651"/>
        <w:gridCol w:w="4557"/>
        <w:gridCol w:w="1894"/>
      </w:tblGrid>
      <w:tr w14:paraId="61793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52A992DE">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2"/>
                <w:highlight w:val="none"/>
              </w:rPr>
              <w:t>资格审查表</w:t>
            </w:r>
          </w:p>
        </w:tc>
      </w:tr>
      <w:tr w14:paraId="4EAB0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3A0C296A">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942" w:type="pct"/>
            <w:tcBorders>
              <w:bottom w:val="single" w:color="auto" w:sz="4" w:space="0"/>
            </w:tcBorders>
            <w:vAlign w:val="center"/>
          </w:tcPr>
          <w:p w14:paraId="2F2386FD">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val="0"/>
              <w:spacing w:line="440" w:lineRule="exact"/>
              <w:ind w:right="-10"/>
              <w:textAlignment w:val="auto"/>
              <w:rPr>
                <w:rFonts w:hint="eastAsia" w:ascii="宋体" w:hAnsi="宋体" w:eastAsia="宋体" w:cs="宋体"/>
                <w:color w:val="auto"/>
                <w:kern w:val="2"/>
                <w:szCs w:val="24"/>
                <w:highlight w:val="none"/>
                <w:lang w:val="en-US"/>
              </w:rPr>
            </w:pPr>
            <w:r>
              <w:rPr>
                <w:rFonts w:hint="eastAsia" w:ascii="宋体" w:hAnsi="宋体" w:eastAsia="宋体" w:cs="宋体"/>
                <w:color w:val="auto"/>
                <w:kern w:val="2"/>
                <w:szCs w:val="24"/>
                <w:highlight w:val="none"/>
                <w:lang w:val="en-US" w:eastAsia="zh-CN"/>
              </w:rPr>
              <w:t>审查因素</w:t>
            </w:r>
          </w:p>
        </w:tc>
        <w:tc>
          <w:tcPr>
            <w:tcW w:w="2601" w:type="pct"/>
            <w:tcBorders>
              <w:bottom w:val="single" w:color="auto" w:sz="4" w:space="0"/>
            </w:tcBorders>
            <w:vAlign w:val="center"/>
          </w:tcPr>
          <w:p w14:paraId="4FE527BF">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审查内容</w:t>
            </w:r>
          </w:p>
        </w:tc>
        <w:tc>
          <w:tcPr>
            <w:tcW w:w="1079" w:type="pct"/>
            <w:tcBorders>
              <w:bottom w:val="single" w:color="auto" w:sz="4" w:space="0"/>
            </w:tcBorders>
            <w:vAlign w:val="center"/>
          </w:tcPr>
          <w:p w14:paraId="4EF34411">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格式要求</w:t>
            </w:r>
          </w:p>
        </w:tc>
      </w:tr>
      <w:tr w14:paraId="53EE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6" w:type="pct"/>
            <w:tcBorders>
              <w:bottom w:val="single" w:color="auto" w:sz="4" w:space="0"/>
            </w:tcBorders>
            <w:vAlign w:val="center"/>
          </w:tcPr>
          <w:p w14:paraId="118A9F21">
            <w:pPr>
              <w:keepNext w:val="0"/>
              <w:keepLines w:val="0"/>
              <w:pageBreakBefore w:val="0"/>
              <w:widowControl w:val="0"/>
              <w:kinsoku/>
              <w:wordWrap/>
              <w:overflowPunct/>
              <w:topLinePunct w:val="0"/>
              <w:autoSpaceDE/>
              <w:autoSpaceDN/>
              <w:bidi w:val="0"/>
              <w:adjustRightInd w:val="0"/>
              <w:snapToGrid w:val="0"/>
              <w:spacing w:line="440" w:lineRule="exact"/>
              <w:ind w:right="-10" w:rightChars="0"/>
              <w:jc w:val="center"/>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1</w:t>
            </w:r>
          </w:p>
        </w:tc>
        <w:tc>
          <w:tcPr>
            <w:tcW w:w="942" w:type="pct"/>
            <w:tcBorders>
              <w:bottom w:val="single" w:color="auto" w:sz="4" w:space="0"/>
            </w:tcBorders>
            <w:vAlign w:val="center"/>
          </w:tcPr>
          <w:p w14:paraId="0D1EB493">
            <w:pPr>
              <w:keepNext w:val="0"/>
              <w:keepLines w:val="0"/>
              <w:pageBreakBefore w:val="0"/>
              <w:widowControl w:val="0"/>
              <w:kinsoku/>
              <w:wordWrap/>
              <w:overflowPunct/>
              <w:topLinePunct w:val="0"/>
              <w:autoSpaceDE/>
              <w:autoSpaceDN/>
              <w:bidi w:val="0"/>
              <w:spacing w:after="50" w:line="440" w:lineRule="exact"/>
              <w:ind w:right="-10" w:rightChars="0"/>
              <w:jc w:val="center"/>
              <w:textAlignment w:val="auto"/>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spacing w:val="9"/>
                <w:sz w:val="24"/>
                <w:szCs w:val="24"/>
                <w:highlight w:val="none"/>
              </w:rPr>
              <w:t>营业执照等证明</w:t>
            </w:r>
            <w:r>
              <w:rPr>
                <w:rFonts w:hint="eastAsia" w:ascii="宋体" w:hAnsi="宋体" w:eastAsia="宋体" w:cs="宋体"/>
                <w:spacing w:val="-3"/>
                <w:sz w:val="24"/>
                <w:szCs w:val="24"/>
                <w:highlight w:val="none"/>
              </w:rPr>
              <w:t>文件</w:t>
            </w:r>
          </w:p>
        </w:tc>
        <w:tc>
          <w:tcPr>
            <w:tcW w:w="2601" w:type="pct"/>
            <w:tcBorders>
              <w:bottom w:val="single" w:color="auto" w:sz="4" w:space="0"/>
            </w:tcBorders>
            <w:vAlign w:val="center"/>
          </w:tcPr>
          <w:p w14:paraId="3E26E172">
            <w:pPr>
              <w:keepNext w:val="0"/>
              <w:keepLines w:val="0"/>
              <w:pageBreakBefore w:val="0"/>
              <w:widowControl w:val="0"/>
              <w:kinsoku/>
              <w:wordWrap/>
              <w:overflowPunct/>
              <w:topLinePunct w:val="0"/>
              <w:autoSpaceDE/>
              <w:autoSpaceDN/>
              <w:bidi w:val="0"/>
              <w:spacing w:after="50" w:line="440" w:lineRule="exact"/>
              <w:ind w:right="-10" w:righ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投标人为企业（包括合伙企业）的，应</w:t>
            </w:r>
            <w:r>
              <w:rPr>
                <w:rFonts w:hint="eastAsia" w:ascii="宋体" w:hAnsi="宋体" w:eastAsia="宋体" w:cs="宋体"/>
                <w:sz w:val="24"/>
                <w:szCs w:val="24"/>
                <w:highlight w:val="none"/>
                <w:lang w:val="en-US" w:eastAsia="zh-CN"/>
              </w:rPr>
              <w:t>提</w:t>
            </w:r>
            <w:r>
              <w:rPr>
                <w:rFonts w:hint="eastAsia" w:ascii="宋体" w:hAnsi="宋体" w:eastAsia="宋体" w:cs="宋体"/>
                <w:sz w:val="24"/>
                <w:szCs w:val="24"/>
                <w:highlight w:val="none"/>
              </w:rPr>
              <w:t>供有效的营业执照；</w:t>
            </w:r>
          </w:p>
          <w:p w14:paraId="5435E495">
            <w:pPr>
              <w:keepNext w:val="0"/>
              <w:keepLines w:val="0"/>
              <w:pageBreakBefore w:val="0"/>
              <w:widowControl w:val="0"/>
              <w:kinsoku/>
              <w:wordWrap/>
              <w:overflowPunct/>
              <w:topLinePunct w:val="0"/>
              <w:autoSpaceDE/>
              <w:autoSpaceDN/>
              <w:bidi w:val="0"/>
              <w:spacing w:after="50" w:line="440" w:lineRule="exact"/>
              <w:ind w:right="-10" w:righ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投标人为事业单位的，应</w:t>
            </w:r>
            <w:r>
              <w:rPr>
                <w:rFonts w:hint="eastAsia" w:ascii="宋体" w:hAnsi="宋体" w:eastAsia="宋体" w:cs="宋体"/>
                <w:sz w:val="24"/>
                <w:szCs w:val="24"/>
                <w:highlight w:val="none"/>
                <w:lang w:val="en-US" w:eastAsia="zh-CN"/>
              </w:rPr>
              <w:t>提</w:t>
            </w:r>
            <w:r>
              <w:rPr>
                <w:rFonts w:hint="eastAsia" w:ascii="宋体" w:hAnsi="宋体" w:eastAsia="宋体" w:cs="宋体"/>
                <w:sz w:val="24"/>
                <w:szCs w:val="24"/>
                <w:highlight w:val="none"/>
              </w:rPr>
              <w:t>供有效的事业单位法人证书；</w:t>
            </w:r>
          </w:p>
          <w:p w14:paraId="6C66782A">
            <w:pPr>
              <w:keepNext w:val="0"/>
              <w:keepLines w:val="0"/>
              <w:pageBreakBefore w:val="0"/>
              <w:widowControl w:val="0"/>
              <w:kinsoku/>
              <w:wordWrap/>
              <w:overflowPunct/>
              <w:topLinePunct w:val="0"/>
              <w:autoSpaceDE/>
              <w:autoSpaceDN/>
              <w:bidi w:val="0"/>
              <w:spacing w:after="50" w:line="440" w:lineRule="exact"/>
              <w:ind w:right="-10" w:righ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投标人是非企业机构的，应</w:t>
            </w:r>
            <w:r>
              <w:rPr>
                <w:rFonts w:hint="eastAsia" w:ascii="宋体" w:hAnsi="宋体" w:eastAsia="宋体" w:cs="宋体"/>
                <w:sz w:val="24"/>
                <w:szCs w:val="24"/>
                <w:highlight w:val="none"/>
                <w:lang w:val="en-US" w:eastAsia="zh-CN"/>
              </w:rPr>
              <w:t>提</w:t>
            </w:r>
            <w:r>
              <w:rPr>
                <w:rFonts w:hint="eastAsia" w:ascii="宋体" w:hAnsi="宋体" w:eastAsia="宋体" w:cs="宋体"/>
                <w:sz w:val="24"/>
                <w:szCs w:val="24"/>
                <w:highlight w:val="none"/>
              </w:rPr>
              <w:t>供有效的执业许可证</w:t>
            </w:r>
            <w:r>
              <w:rPr>
                <w:rFonts w:hint="eastAsia" w:ascii="宋体" w:hAnsi="宋体" w:eastAsia="宋体" w:cs="宋体"/>
                <w:sz w:val="24"/>
                <w:szCs w:val="24"/>
                <w:highlight w:val="none"/>
                <w:lang w:val="en-US" w:eastAsia="zh-CN"/>
              </w:rPr>
              <w:t>或</w:t>
            </w:r>
            <w:r>
              <w:rPr>
                <w:rFonts w:hint="eastAsia" w:ascii="宋体" w:hAnsi="宋体" w:eastAsia="宋体" w:cs="宋体"/>
                <w:sz w:val="24"/>
                <w:szCs w:val="24"/>
                <w:highlight w:val="none"/>
              </w:rPr>
              <w:t>登记证书等证明文件；</w:t>
            </w:r>
          </w:p>
          <w:p w14:paraId="08C41DEC">
            <w:pPr>
              <w:keepNext w:val="0"/>
              <w:keepLines w:val="0"/>
              <w:pageBreakBefore w:val="0"/>
              <w:widowControl w:val="0"/>
              <w:kinsoku/>
              <w:wordWrap/>
              <w:overflowPunct/>
              <w:topLinePunct w:val="0"/>
              <w:autoSpaceDE/>
              <w:autoSpaceDN/>
              <w:bidi w:val="0"/>
              <w:spacing w:after="50" w:line="440" w:lineRule="exact"/>
              <w:ind w:right="-10" w:righ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投标人是个体工商户的，应</w:t>
            </w:r>
            <w:r>
              <w:rPr>
                <w:rFonts w:hint="eastAsia" w:ascii="宋体" w:hAnsi="宋体" w:eastAsia="宋体" w:cs="宋体"/>
                <w:sz w:val="24"/>
                <w:szCs w:val="24"/>
                <w:highlight w:val="none"/>
                <w:lang w:val="en-US" w:eastAsia="zh-CN"/>
              </w:rPr>
              <w:t>提</w:t>
            </w:r>
            <w:r>
              <w:rPr>
                <w:rFonts w:hint="eastAsia" w:ascii="宋体" w:hAnsi="宋体" w:eastAsia="宋体" w:cs="宋体"/>
                <w:sz w:val="24"/>
                <w:szCs w:val="24"/>
                <w:highlight w:val="none"/>
              </w:rPr>
              <w:t>供有效的个体工商户营业执照；</w:t>
            </w:r>
          </w:p>
          <w:p w14:paraId="2EE4D473">
            <w:pPr>
              <w:keepNext w:val="0"/>
              <w:keepLines w:val="0"/>
              <w:pageBreakBefore w:val="0"/>
              <w:widowControl w:val="0"/>
              <w:kinsoku/>
              <w:wordWrap/>
              <w:overflowPunct/>
              <w:topLinePunct w:val="0"/>
              <w:autoSpaceDE/>
              <w:autoSpaceDN/>
              <w:bidi w:val="0"/>
              <w:spacing w:after="50" w:line="440" w:lineRule="exact"/>
              <w:ind w:right="-10" w:rightChars="0"/>
              <w:jc w:val="left"/>
              <w:textAlignment w:val="auto"/>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投标人是自然人的，应</w:t>
            </w:r>
            <w:r>
              <w:rPr>
                <w:rFonts w:hint="eastAsia" w:ascii="宋体" w:hAnsi="宋体" w:eastAsia="宋体" w:cs="宋体"/>
                <w:sz w:val="24"/>
                <w:szCs w:val="24"/>
                <w:highlight w:val="none"/>
                <w:lang w:val="en-US" w:eastAsia="zh-CN"/>
              </w:rPr>
              <w:t>提</w:t>
            </w:r>
            <w:r>
              <w:rPr>
                <w:rFonts w:hint="eastAsia" w:ascii="宋体" w:hAnsi="宋体" w:eastAsia="宋体" w:cs="宋体"/>
                <w:sz w:val="24"/>
                <w:szCs w:val="24"/>
                <w:highlight w:val="none"/>
              </w:rPr>
              <w:t>供有效的自然人身份证明。</w:t>
            </w:r>
          </w:p>
        </w:tc>
        <w:tc>
          <w:tcPr>
            <w:tcW w:w="1079" w:type="pct"/>
            <w:vAlign w:val="center"/>
          </w:tcPr>
          <w:p w14:paraId="51F62F1B">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全部内容。联合体投标的联合体各方均须提供。</w:t>
            </w:r>
          </w:p>
        </w:tc>
      </w:tr>
      <w:tr w14:paraId="7807D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6" w:type="pct"/>
            <w:tcBorders>
              <w:bottom w:val="single" w:color="auto" w:sz="4" w:space="0"/>
            </w:tcBorders>
            <w:vAlign w:val="center"/>
          </w:tcPr>
          <w:p w14:paraId="64B94C5E">
            <w:pPr>
              <w:keepNext w:val="0"/>
              <w:keepLines w:val="0"/>
              <w:pageBreakBefore w:val="0"/>
              <w:widowControl w:val="0"/>
              <w:kinsoku/>
              <w:wordWrap/>
              <w:overflowPunct/>
              <w:topLinePunct w:val="0"/>
              <w:autoSpaceDE/>
              <w:autoSpaceDN/>
              <w:bidi w:val="0"/>
              <w:adjustRightInd w:val="0"/>
              <w:snapToGrid w:val="0"/>
              <w:spacing w:line="440" w:lineRule="exact"/>
              <w:ind w:right="-10" w:right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942" w:type="pct"/>
            <w:tcBorders>
              <w:bottom w:val="single" w:color="auto" w:sz="4" w:space="0"/>
            </w:tcBorders>
            <w:vAlign w:val="center"/>
          </w:tcPr>
          <w:p w14:paraId="24A9E23A">
            <w:pPr>
              <w:keepNext w:val="0"/>
              <w:keepLines w:val="0"/>
              <w:pageBreakBefore w:val="0"/>
              <w:widowControl w:val="0"/>
              <w:kinsoku/>
              <w:wordWrap/>
              <w:overflowPunct/>
              <w:topLinePunct w:val="0"/>
              <w:autoSpaceDE/>
              <w:autoSpaceDN/>
              <w:bidi w:val="0"/>
              <w:spacing w:after="50" w:line="440" w:lineRule="exact"/>
              <w:ind w:right="-10" w:rightChars="0"/>
              <w:jc w:val="center"/>
              <w:textAlignment w:val="auto"/>
              <w:rPr>
                <w:rFonts w:hint="eastAsia" w:ascii="宋体" w:hAnsi="宋体" w:eastAsia="宋体" w:cs="宋体"/>
                <w:color w:val="auto"/>
                <w:sz w:val="24"/>
                <w:szCs w:val="28"/>
                <w:highlight w:val="none"/>
                <w:lang w:val="en-US"/>
              </w:rPr>
            </w:pPr>
            <w:r>
              <w:rPr>
                <w:rFonts w:hint="eastAsia" w:ascii="宋体" w:hAnsi="宋体" w:eastAsia="宋体" w:cs="宋体"/>
                <w:color w:val="auto"/>
                <w:sz w:val="24"/>
                <w:szCs w:val="18"/>
                <w:highlight w:val="none"/>
                <w:lang w:val="en-US" w:eastAsia="zh-CN"/>
              </w:rPr>
              <w:t>投标人资格声明书</w:t>
            </w:r>
          </w:p>
        </w:tc>
        <w:tc>
          <w:tcPr>
            <w:tcW w:w="2601" w:type="pct"/>
            <w:tcBorders>
              <w:bottom w:val="single" w:color="auto" w:sz="4" w:space="0"/>
            </w:tcBorders>
            <w:vAlign w:val="center"/>
          </w:tcPr>
          <w:p w14:paraId="17AB7D7F">
            <w:pPr>
              <w:keepNext w:val="0"/>
              <w:keepLines w:val="0"/>
              <w:pageBreakBefore w:val="0"/>
              <w:widowControl w:val="0"/>
              <w:kinsoku/>
              <w:wordWrap/>
              <w:overflowPunct/>
              <w:topLinePunct w:val="0"/>
              <w:autoSpaceDE/>
              <w:autoSpaceDN/>
              <w:bidi w:val="0"/>
              <w:spacing w:after="50" w:line="440" w:lineRule="exact"/>
              <w:ind w:right="-10" w:rightChars="0"/>
              <w:jc w:val="left"/>
              <w:textAlignment w:val="auto"/>
              <w:rPr>
                <w:rFonts w:hint="eastAsia" w:ascii="宋体" w:hAnsi="宋体" w:eastAsia="宋体" w:cs="宋体"/>
                <w:color w:val="auto"/>
                <w:sz w:val="24"/>
                <w:szCs w:val="28"/>
                <w:highlight w:val="none"/>
              </w:rPr>
            </w:pPr>
            <w:r>
              <w:rPr>
                <w:rFonts w:hint="eastAsia" w:ascii="宋体" w:hAnsi="宋体" w:eastAsia="宋体" w:cs="宋体"/>
                <w:sz w:val="24"/>
                <w:szCs w:val="24"/>
                <w:highlight w:val="none"/>
                <w:lang w:val="en-US" w:eastAsia="zh-CN"/>
              </w:rPr>
              <w:t>提</w:t>
            </w:r>
            <w:r>
              <w:rPr>
                <w:rFonts w:hint="eastAsia" w:ascii="宋体" w:hAnsi="宋体" w:eastAsia="宋体" w:cs="宋体"/>
                <w:sz w:val="24"/>
                <w:szCs w:val="24"/>
                <w:highlight w:val="none"/>
              </w:rPr>
              <w:t>供符合招标文件要求的《投标人资格声明书》</w:t>
            </w:r>
            <w:r>
              <w:rPr>
                <w:rFonts w:hint="eastAsia" w:ascii="宋体" w:hAnsi="宋体" w:eastAsia="宋体" w:cs="宋体"/>
                <w:sz w:val="24"/>
                <w:szCs w:val="24"/>
                <w:highlight w:val="none"/>
                <w:lang w:eastAsia="zh-CN"/>
              </w:rPr>
              <w:t>。</w:t>
            </w:r>
          </w:p>
        </w:tc>
        <w:tc>
          <w:tcPr>
            <w:tcW w:w="1079" w:type="pct"/>
            <w:vAlign w:val="center"/>
          </w:tcPr>
          <w:p w14:paraId="5547DAC7">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2F5B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18501072">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942" w:type="pct"/>
            <w:tcBorders>
              <w:bottom w:val="single" w:color="auto" w:sz="4" w:space="0"/>
            </w:tcBorders>
            <w:vAlign w:val="center"/>
          </w:tcPr>
          <w:p w14:paraId="62168BDD">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4"/>
                <w:highlight w:val="none"/>
              </w:rPr>
              <w:t>投标人信用记录</w:t>
            </w:r>
          </w:p>
        </w:tc>
        <w:tc>
          <w:tcPr>
            <w:tcW w:w="2601" w:type="pct"/>
            <w:tcBorders>
              <w:bottom w:val="single" w:color="auto" w:sz="4" w:space="0"/>
            </w:tcBorders>
            <w:vAlign w:val="center"/>
          </w:tcPr>
          <w:p w14:paraId="0EF125BA">
            <w:pPr>
              <w:keepNext w:val="0"/>
              <w:keepLines w:val="0"/>
              <w:pageBreakBefore w:val="0"/>
              <w:widowControl w:val="0"/>
              <w:kinsoku/>
              <w:wordWrap/>
              <w:overflowPunct/>
              <w:topLinePunct w:val="0"/>
              <w:autoSpaceDE/>
              <w:autoSpaceDN/>
              <w:bidi w:val="0"/>
              <w:spacing w:after="50" w:line="440" w:lineRule="exact"/>
              <w:ind w:right="-10" w:rightChars="0"/>
              <w:jc w:val="left"/>
              <w:textAlignment w:val="auto"/>
              <w:rPr>
                <w:rFonts w:hint="eastAsia" w:ascii="宋体" w:hAnsi="宋体" w:eastAsia="宋体" w:cs="宋体"/>
                <w:highlight w:val="none"/>
              </w:rPr>
            </w:pPr>
            <w:r>
              <w:rPr>
                <w:rFonts w:hint="eastAsia" w:ascii="宋体" w:hAnsi="宋体" w:eastAsia="宋体" w:cs="宋体"/>
                <w:sz w:val="24"/>
                <w:szCs w:val="24"/>
                <w:highlight w:val="none"/>
                <w:lang w:val="zh-CN" w:eastAsia="zh-CN"/>
              </w:rPr>
              <w:t>投标人不得存在</w:t>
            </w:r>
            <w:r>
              <w:rPr>
                <w:rFonts w:hint="eastAsia" w:ascii="宋体" w:hAnsi="宋体" w:eastAsia="宋体" w:cs="宋体"/>
                <w:sz w:val="24"/>
                <w:szCs w:val="24"/>
                <w:highlight w:val="none"/>
                <w:lang w:val="en-US" w:eastAsia="zh-CN"/>
              </w:rPr>
              <w:t>投标邀请第4条信誉要求和</w:t>
            </w:r>
            <w:r>
              <w:rPr>
                <w:rFonts w:hint="eastAsia" w:ascii="宋体" w:hAnsi="宋体" w:eastAsia="宋体" w:cs="宋体"/>
                <w:sz w:val="24"/>
                <w:szCs w:val="24"/>
                <w:highlight w:val="none"/>
                <w:lang w:val="zh-CN" w:eastAsia="zh-CN"/>
              </w:rPr>
              <w:t>投标人须知正文第1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eastAsia="zh-CN"/>
              </w:rPr>
              <w:t>.2</w:t>
            </w:r>
            <w:r>
              <w:rPr>
                <w:rFonts w:hint="eastAsia" w:ascii="宋体" w:hAnsi="宋体" w:eastAsia="宋体" w:cs="宋体"/>
                <w:sz w:val="24"/>
                <w:szCs w:val="24"/>
                <w:highlight w:val="none"/>
                <w:lang w:val="en-US" w:eastAsia="zh-CN"/>
              </w:rPr>
              <w:t>条中</w:t>
            </w:r>
            <w:r>
              <w:rPr>
                <w:rFonts w:hint="eastAsia" w:ascii="宋体" w:hAnsi="宋体" w:eastAsia="宋体" w:cs="宋体"/>
                <w:color w:val="auto"/>
                <w:sz w:val="24"/>
                <w:szCs w:val="28"/>
                <w:highlight w:val="none"/>
              </w:rPr>
              <w:t>的</w:t>
            </w:r>
            <w:r>
              <w:rPr>
                <w:rFonts w:hint="eastAsia" w:ascii="宋体" w:hAnsi="宋体" w:eastAsia="宋体" w:cs="宋体"/>
                <w:color w:val="auto"/>
                <w:sz w:val="24"/>
                <w:szCs w:val="18"/>
                <w:highlight w:val="none"/>
              </w:rPr>
              <w:t>不良信用记录情形</w:t>
            </w:r>
          </w:p>
        </w:tc>
        <w:tc>
          <w:tcPr>
            <w:tcW w:w="1079" w:type="pct"/>
            <w:tcBorders>
              <w:bottom w:val="single" w:color="auto" w:sz="4" w:space="0"/>
            </w:tcBorders>
            <w:vAlign w:val="center"/>
          </w:tcPr>
          <w:p w14:paraId="7EC30B8E">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kern w:val="2"/>
                <w:sz w:val="21"/>
                <w:highlight w:val="none"/>
                <w:lang w:val="en-US" w:eastAsia="zh-CN" w:bidi="ar-SA"/>
              </w:rPr>
            </w:pPr>
            <w:r>
              <w:rPr>
                <w:rFonts w:hint="eastAsia" w:ascii="宋体" w:hAnsi="宋体" w:eastAsia="宋体" w:cs="宋体"/>
                <w:sz w:val="24"/>
                <w:szCs w:val="24"/>
                <w:highlight w:val="none"/>
              </w:rPr>
              <w:t>无须投标人</w:t>
            </w:r>
            <w:r>
              <w:rPr>
                <w:rFonts w:hint="eastAsia" w:ascii="宋体" w:hAnsi="宋体" w:eastAsia="宋体" w:cs="宋体"/>
                <w:sz w:val="24"/>
                <w:szCs w:val="24"/>
                <w:highlight w:val="none"/>
                <w:lang w:val="en-US" w:eastAsia="zh-CN"/>
              </w:rPr>
              <w:t>提</w:t>
            </w:r>
            <w:r>
              <w:rPr>
                <w:rFonts w:hint="eastAsia" w:ascii="宋体" w:hAnsi="宋体" w:eastAsia="宋体" w:cs="宋体"/>
                <w:sz w:val="24"/>
                <w:szCs w:val="24"/>
                <w:highlight w:val="none"/>
              </w:rPr>
              <w:t>供，由采购人或采购代理机构查询。</w:t>
            </w:r>
          </w:p>
        </w:tc>
      </w:tr>
      <w:tr w14:paraId="42B2D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060F6909">
            <w:pPr>
              <w:keepNext w:val="0"/>
              <w:keepLines w:val="0"/>
              <w:pageBreakBefore w:val="0"/>
              <w:widowControl w:val="0"/>
              <w:kinsoku/>
              <w:wordWrap/>
              <w:overflowPunct/>
              <w:topLinePunct w:val="0"/>
              <w:autoSpaceDE/>
              <w:autoSpaceDN/>
              <w:bidi w:val="0"/>
              <w:adjustRightInd w:val="0"/>
              <w:snapToGrid w:val="0"/>
              <w:spacing w:line="440" w:lineRule="exact"/>
              <w:ind w:right="-10" w:rightChars="0"/>
              <w:jc w:val="center"/>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lang w:val="en-US" w:eastAsia="zh-CN"/>
              </w:rPr>
              <w:t>4</w:t>
            </w:r>
          </w:p>
        </w:tc>
        <w:tc>
          <w:tcPr>
            <w:tcW w:w="942" w:type="pct"/>
            <w:tcBorders>
              <w:bottom w:val="single" w:color="auto" w:sz="4" w:space="0"/>
            </w:tcBorders>
            <w:vAlign w:val="center"/>
          </w:tcPr>
          <w:p w14:paraId="4C291229">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中小企业证明文件</w:t>
            </w:r>
          </w:p>
        </w:tc>
        <w:tc>
          <w:tcPr>
            <w:tcW w:w="2601" w:type="pct"/>
            <w:tcBorders>
              <w:bottom w:val="single" w:color="auto" w:sz="4" w:space="0"/>
            </w:tcBorders>
            <w:vAlign w:val="top"/>
          </w:tcPr>
          <w:p w14:paraId="03FBE924">
            <w:pPr>
              <w:keepNext w:val="0"/>
              <w:keepLines w:val="0"/>
              <w:pageBreakBefore w:val="0"/>
              <w:widowControl w:val="0"/>
              <w:kinsoku/>
              <w:wordWrap/>
              <w:overflowPunct/>
              <w:topLinePunct w:val="0"/>
              <w:autoSpaceDE/>
              <w:autoSpaceDN/>
              <w:bidi w:val="0"/>
              <w:spacing w:after="50" w:line="440" w:lineRule="exact"/>
              <w:ind w:right="-1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8"/>
                <w:highlight w:val="none"/>
              </w:rPr>
              <w:t>符合</w:t>
            </w:r>
            <w:r>
              <w:rPr>
                <w:rFonts w:hint="eastAsia" w:ascii="宋体" w:hAnsi="宋体" w:eastAsia="宋体" w:cs="宋体"/>
                <w:color w:val="auto"/>
                <w:sz w:val="24"/>
                <w:szCs w:val="28"/>
                <w:highlight w:val="none"/>
                <w:lang w:val="en-US" w:eastAsia="zh-CN"/>
              </w:rPr>
              <w:t>申请人的</w:t>
            </w:r>
            <w:r>
              <w:rPr>
                <w:rFonts w:hint="eastAsia" w:ascii="宋体" w:hAnsi="宋体" w:eastAsia="宋体" w:cs="宋体"/>
                <w:color w:val="auto"/>
                <w:sz w:val="24"/>
                <w:szCs w:val="28"/>
                <w:highlight w:val="none"/>
              </w:rPr>
              <w:t>资格</w:t>
            </w:r>
            <w:r>
              <w:rPr>
                <w:rFonts w:hint="eastAsia" w:ascii="宋体" w:hAnsi="宋体" w:eastAsia="宋体" w:cs="宋体"/>
                <w:color w:val="auto"/>
                <w:sz w:val="24"/>
                <w:szCs w:val="28"/>
                <w:highlight w:val="none"/>
                <w:lang w:val="en-US" w:eastAsia="zh-CN"/>
              </w:rPr>
              <w:t>要求</w:t>
            </w:r>
            <w:r>
              <w:rPr>
                <w:rFonts w:hint="eastAsia" w:ascii="宋体" w:hAnsi="宋体" w:eastAsia="宋体" w:cs="宋体"/>
                <w:color w:val="auto"/>
                <w:sz w:val="24"/>
                <w:szCs w:val="28"/>
                <w:highlight w:val="none"/>
              </w:rPr>
              <w:t>中落实政府采购政策需满足的资格要求</w:t>
            </w:r>
            <w:r>
              <w:rPr>
                <w:rFonts w:hint="eastAsia" w:ascii="宋体" w:hAnsi="宋体" w:eastAsia="宋体" w:cs="宋体"/>
                <w:color w:val="auto"/>
                <w:sz w:val="24"/>
                <w:szCs w:val="28"/>
                <w:highlight w:val="none"/>
                <w:lang w:eastAsia="zh-CN"/>
              </w:rPr>
              <w:t>：</w:t>
            </w:r>
          </w:p>
          <w:p w14:paraId="0B0E271C">
            <w:pPr>
              <w:keepNext w:val="0"/>
              <w:keepLines w:val="0"/>
              <w:pageBreakBefore w:val="0"/>
              <w:widowControl w:val="0"/>
              <w:kinsoku/>
              <w:wordWrap/>
              <w:overflowPunct/>
              <w:topLinePunct w:val="0"/>
              <w:autoSpaceDE/>
              <w:autoSpaceDN/>
              <w:bidi w:val="0"/>
              <w:spacing w:after="50" w:line="440" w:lineRule="exact"/>
              <w:ind w:right="-1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专门面向中小企业采购</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eastAsia="zh-CN"/>
              </w:rPr>
              <w:t>投</w:t>
            </w:r>
            <w:r>
              <w:rPr>
                <w:rFonts w:hint="eastAsia" w:ascii="宋体" w:hAnsi="宋体" w:eastAsia="宋体" w:cs="宋体"/>
                <w:sz w:val="24"/>
                <w:szCs w:val="24"/>
                <w:highlight w:val="none"/>
                <w:lang w:val="zh-CN" w:eastAsia="zh-CN"/>
              </w:rPr>
              <w:t>标人</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供《中小企业声明函》或《残疾人福利性单位声明函》或由省级以上监狱管理局、戒毒管理局（含新疆 生产建设兵团）出具的属于监狱企业的证明文件。</w:t>
            </w:r>
          </w:p>
          <w:p w14:paraId="11008D8E">
            <w:pPr>
              <w:keepNext w:val="0"/>
              <w:keepLines w:val="0"/>
              <w:pageBreakBefore w:val="0"/>
              <w:widowControl w:val="0"/>
              <w:kinsoku/>
              <w:wordWrap/>
              <w:overflowPunct/>
              <w:topLinePunct w:val="0"/>
              <w:autoSpaceDE/>
              <w:autoSpaceDN/>
              <w:bidi w:val="0"/>
              <w:spacing w:after="50" w:line="440" w:lineRule="exact"/>
              <w:ind w:right="-10"/>
              <w:jc w:val="left"/>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079" w:type="pct"/>
            <w:tcBorders>
              <w:bottom w:val="single" w:color="auto" w:sz="4" w:space="0"/>
            </w:tcBorders>
            <w:vAlign w:val="center"/>
          </w:tcPr>
          <w:p w14:paraId="2F6132D7">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bl>
    <w:p w14:paraId="690ECA47">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资格审查指标通过标准：</w:t>
      </w:r>
      <w:r>
        <w:rPr>
          <w:rFonts w:hint="eastAsia" w:ascii="宋体" w:hAnsi="宋体" w:eastAsia="宋体" w:cs="宋体"/>
          <w:color w:val="auto"/>
          <w:sz w:val="24"/>
          <w:highlight w:val="none"/>
        </w:rPr>
        <w:t>投标人必须通过资格审查表中的全部评审指标。</w:t>
      </w:r>
    </w:p>
    <w:p w14:paraId="7DB063FC">
      <w:pPr>
        <w:keepNext w:val="0"/>
        <w:keepLines w:val="0"/>
        <w:pageBreakBefore w:val="0"/>
        <w:widowControl w:val="0"/>
        <w:kinsoku/>
        <w:wordWrap/>
        <w:overflowPunct/>
        <w:topLinePunct w:val="0"/>
        <w:autoSpaceDE/>
        <w:autoSpaceDN/>
        <w:bidi w:val="0"/>
        <w:spacing w:line="440" w:lineRule="exact"/>
        <w:ind w:firstLine="437"/>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2.2符合性审查</w:t>
      </w:r>
    </w:p>
    <w:p w14:paraId="799873AB">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评标委员会对通过资格审查的投标人的投标文件进行符合性审查，以确定其是否满足招标文件的实质性要求。符合性审查表如下：</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2117"/>
        <w:gridCol w:w="3128"/>
        <w:gridCol w:w="2512"/>
      </w:tblGrid>
      <w:tr w14:paraId="030A9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415292C3">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符合性审查表</w:t>
            </w:r>
          </w:p>
        </w:tc>
      </w:tr>
      <w:tr w14:paraId="6D926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49" w:type="pct"/>
            <w:tcBorders>
              <w:bottom w:val="single" w:color="auto" w:sz="4" w:space="0"/>
            </w:tcBorders>
            <w:vAlign w:val="center"/>
          </w:tcPr>
          <w:p w14:paraId="691DEE9B">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242" w:type="pct"/>
            <w:tcBorders>
              <w:bottom w:val="single" w:color="auto" w:sz="4" w:space="0"/>
            </w:tcBorders>
            <w:vAlign w:val="center"/>
          </w:tcPr>
          <w:p w14:paraId="5E6FBC4E">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val="0"/>
              <w:spacing w:line="440" w:lineRule="exact"/>
              <w:ind w:right="-10"/>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审查指标</w:t>
            </w:r>
          </w:p>
        </w:tc>
        <w:tc>
          <w:tcPr>
            <w:tcW w:w="1835" w:type="pct"/>
            <w:tcBorders>
              <w:bottom w:val="single" w:color="auto" w:sz="4" w:space="0"/>
            </w:tcBorders>
            <w:vAlign w:val="center"/>
          </w:tcPr>
          <w:p w14:paraId="5806D31B">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审查标准</w:t>
            </w:r>
          </w:p>
        </w:tc>
        <w:tc>
          <w:tcPr>
            <w:tcW w:w="1473" w:type="pct"/>
            <w:tcBorders>
              <w:bottom w:val="single" w:color="auto" w:sz="4" w:space="0"/>
            </w:tcBorders>
            <w:vAlign w:val="center"/>
          </w:tcPr>
          <w:p w14:paraId="208B62CD">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格式要求</w:t>
            </w:r>
          </w:p>
        </w:tc>
      </w:tr>
      <w:tr w14:paraId="29058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7C2E39A0">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42" w:type="pct"/>
            <w:vAlign w:val="center"/>
          </w:tcPr>
          <w:p w14:paraId="15B7CABE">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rPr>
              <w:t>开标一览表</w:t>
            </w:r>
          </w:p>
        </w:tc>
        <w:tc>
          <w:tcPr>
            <w:tcW w:w="1835" w:type="pct"/>
            <w:vAlign w:val="center"/>
          </w:tcPr>
          <w:p w14:paraId="56CA98B5">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格式、填写要求符合招标文件规定并加盖投标人电子签章</w:t>
            </w:r>
          </w:p>
        </w:tc>
        <w:tc>
          <w:tcPr>
            <w:tcW w:w="1473" w:type="pct"/>
            <w:vAlign w:val="center"/>
          </w:tcPr>
          <w:p w14:paraId="31591926">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13998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535CA78F">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42" w:type="pct"/>
            <w:vAlign w:val="center"/>
          </w:tcPr>
          <w:p w14:paraId="1A43A4C7">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投标函</w:t>
            </w:r>
          </w:p>
        </w:tc>
        <w:tc>
          <w:tcPr>
            <w:tcW w:w="1835" w:type="pct"/>
            <w:vAlign w:val="center"/>
          </w:tcPr>
          <w:p w14:paraId="63BD4198">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格式、填写要求符合招标文件规定并加盖投标人电子签章</w:t>
            </w:r>
          </w:p>
        </w:tc>
        <w:tc>
          <w:tcPr>
            <w:tcW w:w="1473" w:type="pct"/>
            <w:vAlign w:val="center"/>
          </w:tcPr>
          <w:p w14:paraId="5F271068">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4B95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1CBB5CA6">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242" w:type="pct"/>
            <w:vAlign w:val="center"/>
          </w:tcPr>
          <w:p w14:paraId="6FDFC790">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授权书</w:t>
            </w:r>
          </w:p>
        </w:tc>
        <w:tc>
          <w:tcPr>
            <w:tcW w:w="1835" w:type="pct"/>
            <w:vAlign w:val="center"/>
          </w:tcPr>
          <w:p w14:paraId="7D256BCB">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格式、填写要求符合招标文件规定并加盖投标人电子签章</w:t>
            </w:r>
          </w:p>
        </w:tc>
        <w:tc>
          <w:tcPr>
            <w:tcW w:w="1473" w:type="pct"/>
            <w:vAlign w:val="center"/>
          </w:tcPr>
          <w:p w14:paraId="0B4812FD">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法定代表人参加投标的无需此件，提供身份证明即可。详见第六章投标文件格式</w:t>
            </w:r>
            <w:r>
              <w:rPr>
                <w:rFonts w:hint="eastAsia" w:ascii="宋体" w:hAnsi="宋体" w:eastAsia="宋体" w:cs="宋体"/>
                <w:color w:val="auto"/>
                <w:sz w:val="24"/>
                <w:highlight w:val="none"/>
                <w:lang w:eastAsia="zh-CN"/>
              </w:rPr>
              <w:t>。</w:t>
            </w:r>
          </w:p>
        </w:tc>
      </w:tr>
      <w:tr w14:paraId="2EB5E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7D7BDDFB">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242" w:type="pct"/>
            <w:vAlign w:val="center"/>
          </w:tcPr>
          <w:p w14:paraId="07116C8A">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投标报价</w:t>
            </w:r>
          </w:p>
        </w:tc>
        <w:tc>
          <w:tcPr>
            <w:tcW w:w="1835" w:type="pct"/>
            <w:vAlign w:val="center"/>
          </w:tcPr>
          <w:p w14:paraId="65D31B8D">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w:t>
            </w:r>
            <w:r>
              <w:rPr>
                <w:rFonts w:hint="eastAsia" w:ascii="宋体" w:hAnsi="宋体" w:eastAsia="宋体" w:cs="宋体"/>
                <w:color w:val="auto"/>
                <w:sz w:val="24"/>
                <w:highlight w:val="none"/>
              </w:rPr>
              <w:t>招标文件投标人须知正文第</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条要求</w:t>
            </w:r>
          </w:p>
        </w:tc>
        <w:tc>
          <w:tcPr>
            <w:tcW w:w="1473" w:type="pct"/>
            <w:vAlign w:val="center"/>
          </w:tcPr>
          <w:p w14:paraId="5EA2197B">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391A4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6E9FF328">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242" w:type="pct"/>
            <w:vAlign w:val="center"/>
          </w:tcPr>
          <w:p w14:paraId="37EEFF18">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商务响应情况</w:t>
            </w:r>
          </w:p>
        </w:tc>
        <w:tc>
          <w:tcPr>
            <w:tcW w:w="1835" w:type="pct"/>
            <w:vAlign w:val="center"/>
          </w:tcPr>
          <w:p w14:paraId="20D7B3F3">
            <w:pPr>
              <w:keepNext w:val="0"/>
              <w:keepLines w:val="0"/>
              <w:pageBreakBefore w:val="0"/>
              <w:widowControl w:val="0"/>
              <w:kinsoku/>
              <w:wordWrap/>
              <w:overflowPunct/>
              <w:topLinePunct w:val="0"/>
              <w:autoSpaceDE/>
              <w:autoSpaceDN/>
              <w:bidi w:val="0"/>
              <w:spacing w:after="50" w:line="440" w:lineRule="exact"/>
              <w:ind w:right="-10" w:rightChars="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符合招标文件采购需求中对付款方式、</w:t>
            </w:r>
            <w:r>
              <w:rPr>
                <w:rFonts w:hint="eastAsia" w:ascii="宋体" w:hAnsi="宋体" w:eastAsia="宋体" w:cs="宋体"/>
                <w:color w:val="auto"/>
                <w:sz w:val="24"/>
                <w:szCs w:val="28"/>
                <w:highlight w:val="none"/>
                <w:lang w:val="en-US" w:eastAsia="zh-CN"/>
              </w:rPr>
              <w:t>服务</w:t>
            </w:r>
            <w:r>
              <w:rPr>
                <w:rFonts w:hint="eastAsia" w:ascii="宋体" w:hAnsi="宋体" w:eastAsia="宋体" w:cs="宋体"/>
                <w:color w:val="auto"/>
                <w:sz w:val="24"/>
                <w:szCs w:val="28"/>
                <w:highlight w:val="none"/>
              </w:rPr>
              <w:t>地点、</w:t>
            </w:r>
            <w:r>
              <w:rPr>
                <w:rFonts w:hint="eastAsia" w:ascii="宋体" w:hAnsi="宋体" w:eastAsia="宋体" w:cs="宋体"/>
                <w:color w:val="auto"/>
                <w:sz w:val="24"/>
                <w:szCs w:val="28"/>
                <w:highlight w:val="none"/>
                <w:lang w:val="en-US" w:eastAsia="zh-CN"/>
              </w:rPr>
              <w:t>服务</w:t>
            </w:r>
            <w:r>
              <w:rPr>
                <w:rFonts w:hint="eastAsia" w:ascii="宋体" w:hAnsi="宋体" w:eastAsia="宋体" w:cs="宋体"/>
                <w:color w:val="auto"/>
                <w:sz w:val="24"/>
                <w:szCs w:val="28"/>
                <w:highlight w:val="none"/>
              </w:rPr>
              <w:t>期限</w:t>
            </w:r>
            <w:r>
              <w:rPr>
                <w:rFonts w:hint="eastAsia" w:ascii="宋体" w:hAnsi="宋体" w:eastAsia="宋体" w:cs="宋体"/>
                <w:color w:val="auto"/>
                <w:sz w:val="24"/>
                <w:szCs w:val="28"/>
                <w:highlight w:val="none"/>
                <w:lang w:val="en-US" w:eastAsia="zh-CN"/>
              </w:rPr>
              <w:t>等实质性</w:t>
            </w:r>
            <w:r>
              <w:rPr>
                <w:rFonts w:hint="eastAsia" w:ascii="宋体" w:hAnsi="宋体" w:eastAsia="宋体" w:cs="宋体"/>
                <w:color w:val="auto"/>
                <w:sz w:val="24"/>
                <w:szCs w:val="28"/>
                <w:highlight w:val="none"/>
              </w:rPr>
              <w:t>要求</w:t>
            </w:r>
          </w:p>
        </w:tc>
        <w:tc>
          <w:tcPr>
            <w:tcW w:w="1473" w:type="pct"/>
            <w:vAlign w:val="center"/>
          </w:tcPr>
          <w:p w14:paraId="3EA71F85">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3B27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3DB69426">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1242" w:type="pct"/>
            <w:vAlign w:val="center"/>
          </w:tcPr>
          <w:p w14:paraId="003AA1DC">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其他要求</w:t>
            </w:r>
          </w:p>
        </w:tc>
        <w:tc>
          <w:tcPr>
            <w:tcW w:w="1835" w:type="pct"/>
            <w:vAlign w:val="center"/>
          </w:tcPr>
          <w:p w14:paraId="201014C3">
            <w:pPr>
              <w:keepNext w:val="0"/>
              <w:keepLines w:val="0"/>
              <w:pageBreakBefore w:val="0"/>
              <w:widowControl w:val="0"/>
              <w:kinsoku/>
              <w:wordWrap/>
              <w:overflowPunct/>
              <w:topLinePunct w:val="0"/>
              <w:autoSpaceDE/>
              <w:autoSpaceDN/>
              <w:bidi w:val="0"/>
              <w:spacing w:after="50" w:line="440" w:lineRule="exact"/>
              <w:ind w:right="-10" w:rightChars="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符合法律、行政法规规定的其他条件或招标文件列明的其他</w:t>
            </w:r>
            <w:r>
              <w:rPr>
                <w:rFonts w:hint="eastAsia" w:ascii="宋体" w:hAnsi="宋体" w:eastAsia="宋体" w:cs="宋体"/>
                <w:color w:val="auto"/>
                <w:sz w:val="24"/>
                <w:szCs w:val="28"/>
                <w:highlight w:val="none"/>
                <w:lang w:val="en-US" w:eastAsia="zh-CN"/>
              </w:rPr>
              <w:t>实质性</w:t>
            </w:r>
            <w:r>
              <w:rPr>
                <w:rFonts w:hint="eastAsia" w:ascii="宋体" w:hAnsi="宋体" w:eastAsia="宋体" w:cs="宋体"/>
                <w:color w:val="auto"/>
                <w:sz w:val="24"/>
                <w:szCs w:val="28"/>
                <w:highlight w:val="none"/>
              </w:rPr>
              <w:t>要求</w:t>
            </w:r>
          </w:p>
        </w:tc>
        <w:tc>
          <w:tcPr>
            <w:tcW w:w="1473" w:type="pct"/>
            <w:vAlign w:val="center"/>
          </w:tcPr>
          <w:p w14:paraId="1203D6DB">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bl>
    <w:p w14:paraId="72F31429">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符合性审查指标通过标准：</w:t>
      </w:r>
      <w:r>
        <w:rPr>
          <w:rFonts w:hint="eastAsia" w:ascii="宋体" w:hAnsi="宋体" w:eastAsia="宋体" w:cs="宋体"/>
          <w:color w:val="auto"/>
          <w:sz w:val="24"/>
          <w:highlight w:val="none"/>
        </w:rPr>
        <w:t>投标人必须通过符合性审查表中的全部评审指标。</w:t>
      </w:r>
    </w:p>
    <w:p w14:paraId="6C4609C1">
      <w:pPr>
        <w:keepNext w:val="0"/>
        <w:keepLines w:val="0"/>
        <w:pageBreakBefore w:val="0"/>
        <w:widowControl w:val="0"/>
        <w:kinsoku/>
        <w:wordWrap/>
        <w:overflowPunct/>
        <w:topLinePunct w:val="0"/>
        <w:autoSpaceDE/>
        <w:autoSpaceDN/>
        <w:bidi w:val="0"/>
        <w:spacing w:line="440" w:lineRule="exact"/>
        <w:ind w:firstLine="437"/>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2.3详细审查</w:t>
      </w:r>
    </w:p>
    <w:p w14:paraId="66C21121">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2.3.1评标委员会按照下表对投标文件进行详细审查和评分。</w:t>
      </w:r>
    </w:p>
    <w:p w14:paraId="0B04F55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2.3.2本项目综合评分满分为100分，其中：技术资信分值占总分值的权重为</w:t>
      </w:r>
      <w:r>
        <w:rPr>
          <w:rFonts w:hint="eastAsia" w:ascii="宋体" w:hAnsi="宋体" w:eastAsia="宋体" w:cs="宋体"/>
          <w:color w:val="auto"/>
          <w:sz w:val="24"/>
          <w:highlight w:val="none"/>
          <w:u w:val="single"/>
          <w:lang w:val="en-US" w:eastAsia="zh-CN"/>
        </w:rPr>
        <w:t>66</w:t>
      </w:r>
      <w:r>
        <w:rPr>
          <w:rFonts w:hint="eastAsia" w:ascii="宋体" w:hAnsi="宋体" w:eastAsia="宋体" w:cs="宋体"/>
          <w:color w:val="auto"/>
          <w:sz w:val="24"/>
          <w:highlight w:val="none"/>
        </w:rPr>
        <w:t>%，价格分值占总分值的权重为</w:t>
      </w:r>
      <w:r>
        <w:rPr>
          <w:rFonts w:hint="eastAsia" w:ascii="宋体" w:hAnsi="宋体" w:eastAsia="宋体" w:cs="宋体"/>
          <w:color w:val="auto"/>
          <w:sz w:val="24"/>
          <w:highlight w:val="none"/>
          <w:u w:val="single"/>
          <w:lang w:val="en-US" w:eastAsia="zh-CN"/>
        </w:rPr>
        <w:t>34</w:t>
      </w:r>
      <w:r>
        <w:rPr>
          <w:rFonts w:hint="eastAsia" w:ascii="宋体" w:hAnsi="宋体" w:eastAsia="宋体" w:cs="宋体"/>
          <w:color w:val="auto"/>
          <w:sz w:val="24"/>
          <w:highlight w:val="none"/>
        </w:rPr>
        <w:t>%。具体评分细则如下：</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5"/>
        <w:gridCol w:w="1720"/>
        <w:gridCol w:w="4059"/>
        <w:gridCol w:w="1268"/>
      </w:tblGrid>
      <w:tr w14:paraId="2FA5D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5" w:type="pct"/>
            <w:tcBorders>
              <w:top w:val="single" w:color="auto" w:sz="4" w:space="0"/>
              <w:left w:val="single" w:color="auto" w:sz="4" w:space="0"/>
              <w:bottom w:val="single" w:color="auto" w:sz="4" w:space="0"/>
              <w:right w:val="single" w:color="auto" w:sz="4" w:space="0"/>
            </w:tcBorders>
            <w:vAlign w:val="center"/>
          </w:tcPr>
          <w:p w14:paraId="3CA2B7EA">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类别</w:t>
            </w:r>
          </w:p>
        </w:tc>
        <w:tc>
          <w:tcPr>
            <w:tcW w:w="1009" w:type="pct"/>
            <w:tcBorders>
              <w:top w:val="single" w:color="auto" w:sz="4" w:space="0"/>
              <w:left w:val="single" w:color="auto" w:sz="4" w:space="0"/>
              <w:bottom w:val="single" w:color="auto" w:sz="4" w:space="0"/>
              <w:right w:val="single" w:color="auto" w:sz="4" w:space="0"/>
            </w:tcBorders>
            <w:vAlign w:val="center"/>
          </w:tcPr>
          <w:p w14:paraId="54DA8D58">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评分内容</w:t>
            </w:r>
          </w:p>
        </w:tc>
        <w:tc>
          <w:tcPr>
            <w:tcW w:w="2381" w:type="pct"/>
            <w:tcBorders>
              <w:top w:val="single" w:color="auto" w:sz="4" w:space="0"/>
              <w:left w:val="single" w:color="auto" w:sz="4" w:space="0"/>
              <w:bottom w:val="single" w:color="auto" w:sz="4" w:space="0"/>
              <w:right w:val="single" w:color="auto" w:sz="4" w:space="0"/>
            </w:tcBorders>
            <w:vAlign w:val="center"/>
          </w:tcPr>
          <w:p w14:paraId="46D2D939">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评分标准</w:t>
            </w:r>
          </w:p>
        </w:tc>
        <w:tc>
          <w:tcPr>
            <w:tcW w:w="743" w:type="pct"/>
            <w:tcBorders>
              <w:top w:val="single" w:color="auto" w:sz="4" w:space="0"/>
              <w:left w:val="single" w:color="auto" w:sz="4" w:space="0"/>
              <w:bottom w:val="single" w:color="auto" w:sz="4" w:space="0"/>
              <w:right w:val="single" w:color="auto" w:sz="4" w:space="0"/>
            </w:tcBorders>
            <w:vAlign w:val="center"/>
          </w:tcPr>
          <w:p w14:paraId="1AE49C5A">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分值范围</w:t>
            </w:r>
          </w:p>
        </w:tc>
      </w:tr>
      <w:tr w14:paraId="7C53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restart"/>
            <w:tcBorders>
              <w:top w:val="single" w:color="auto" w:sz="4" w:space="0"/>
              <w:left w:val="single" w:color="auto" w:sz="4" w:space="0"/>
              <w:right w:val="single" w:color="auto" w:sz="4" w:space="0"/>
            </w:tcBorders>
            <w:vAlign w:val="center"/>
          </w:tcPr>
          <w:p w14:paraId="262B7D83">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技术</w:t>
            </w:r>
            <w:r>
              <w:rPr>
                <w:rFonts w:hint="eastAsia" w:ascii="宋体" w:hAnsi="宋体" w:eastAsia="宋体" w:cs="宋体"/>
                <w:color w:val="auto"/>
                <w:sz w:val="24"/>
                <w:highlight w:val="none"/>
              </w:rPr>
              <w:t>资信分</w:t>
            </w:r>
          </w:p>
          <w:p w14:paraId="7FEDBB83">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lang w:val="en-US" w:eastAsia="zh-CN"/>
              </w:rPr>
              <w:t>66</w:t>
            </w:r>
            <w:r>
              <w:rPr>
                <w:rFonts w:hint="eastAsia" w:ascii="宋体" w:hAnsi="宋体" w:eastAsia="宋体" w:cs="宋体"/>
                <w:color w:val="auto"/>
                <w:sz w:val="24"/>
                <w:highlight w:val="none"/>
              </w:rPr>
              <w:t>分）</w:t>
            </w:r>
          </w:p>
        </w:tc>
        <w:tc>
          <w:tcPr>
            <w:tcW w:w="1009" w:type="pct"/>
            <w:tcBorders>
              <w:top w:val="single" w:color="auto" w:sz="4" w:space="0"/>
              <w:left w:val="single" w:color="auto" w:sz="4" w:space="0"/>
              <w:bottom w:val="single" w:color="auto" w:sz="4" w:space="0"/>
              <w:right w:val="single" w:color="auto" w:sz="4" w:space="0"/>
            </w:tcBorders>
            <w:vAlign w:val="center"/>
          </w:tcPr>
          <w:p w14:paraId="12F1F9B6">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w:t>
            </w:r>
            <w:r>
              <w:rPr>
                <w:rFonts w:hint="eastAsia" w:ascii="宋体" w:hAnsi="宋体" w:eastAsia="宋体" w:cs="宋体"/>
                <w:color w:val="auto"/>
                <w:sz w:val="24"/>
                <w:highlight w:val="none"/>
                <w:lang w:val="en-US" w:eastAsia="zh-CN"/>
              </w:rPr>
              <w:t>.提高物业管理服务水平的整体设想及策划</w:t>
            </w:r>
          </w:p>
        </w:tc>
        <w:tc>
          <w:tcPr>
            <w:tcW w:w="2381" w:type="pct"/>
            <w:tcBorders>
              <w:top w:val="single" w:color="auto" w:sz="4" w:space="0"/>
              <w:left w:val="single" w:color="auto" w:sz="4" w:space="0"/>
              <w:bottom w:val="single" w:color="auto" w:sz="4" w:space="0"/>
              <w:right w:val="single" w:color="auto" w:sz="4" w:space="0"/>
            </w:tcBorders>
            <w:vAlign w:val="center"/>
          </w:tcPr>
          <w:p w14:paraId="581AC4FD">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有关法规、政策、标准及本项目特点，拟提出整体设想及策划，包括但不限于高标准、高水平管理的措施，管理深度和广度的做法，超前性、创造性、全方位贴心服务的意识，创造优美舒适、安全文明、洁净环境的设想等内容。评标委员会根据投标人提供的以上内容综合评分：</w:t>
            </w:r>
          </w:p>
          <w:p w14:paraId="40C8994C">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①内容详尽，实施措施有针对性的得5分；</w:t>
            </w:r>
          </w:p>
          <w:p w14:paraId="173661FE">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②内容完整，有实施措施，符合实际需求的得4分；</w:t>
            </w:r>
          </w:p>
          <w:p w14:paraId="646235B8">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③内容简单、合理的得3分；</w:t>
            </w:r>
          </w:p>
          <w:p w14:paraId="0168975C">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④内容粗糙，条理不清晰，存在不足的得2分。</w:t>
            </w:r>
          </w:p>
          <w:p w14:paraId="2CB785C5">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highlight w:val="none"/>
                <w:lang w:val="en-US" w:eastAsia="zh-CN"/>
              </w:rPr>
              <w:t>⑤未提供不得分。</w:t>
            </w:r>
          </w:p>
        </w:tc>
        <w:tc>
          <w:tcPr>
            <w:tcW w:w="743" w:type="pct"/>
            <w:tcBorders>
              <w:top w:val="single" w:color="auto" w:sz="4" w:space="0"/>
              <w:left w:val="single" w:color="auto" w:sz="4" w:space="0"/>
              <w:bottom w:val="single" w:color="auto" w:sz="4" w:space="0"/>
              <w:right w:val="single" w:color="auto" w:sz="4" w:space="0"/>
            </w:tcBorders>
            <w:vAlign w:val="center"/>
          </w:tcPr>
          <w:p w14:paraId="530F4949">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lang w:val="en-US" w:eastAsia="zh-CN"/>
              </w:rPr>
              <w:t>0-5分</w:t>
            </w:r>
          </w:p>
        </w:tc>
      </w:tr>
      <w:tr w14:paraId="33BE9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00B0F358">
            <w:pPr>
              <w:keepNext w:val="0"/>
              <w:keepLines w:val="0"/>
              <w:pageBreakBefore w:val="0"/>
              <w:widowControl w:val="0"/>
              <w:kinsoku/>
              <w:wordWrap/>
              <w:overflowPunct/>
              <w:topLinePunct w:val="0"/>
              <w:autoSpaceDE/>
              <w:autoSpaceDN/>
              <w:bidi w:val="0"/>
              <w:spacing w:line="440" w:lineRule="exact"/>
              <w:ind w:firstLine="435"/>
              <w:jc w:val="center"/>
              <w:textAlignment w:val="auto"/>
              <w:rPr>
                <w:rFonts w:hint="eastAsia" w:ascii="宋体" w:hAnsi="宋体" w:eastAsia="宋体" w:cs="宋体"/>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34D396C4">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2.管理方式、工作计划及物资装备</w:t>
            </w:r>
          </w:p>
        </w:tc>
        <w:tc>
          <w:tcPr>
            <w:tcW w:w="2381" w:type="pct"/>
            <w:tcBorders>
              <w:top w:val="single" w:color="auto" w:sz="4" w:space="0"/>
              <w:left w:val="single" w:color="auto" w:sz="4" w:space="0"/>
              <w:bottom w:val="single" w:color="auto" w:sz="4" w:space="0"/>
              <w:right w:val="single" w:color="auto" w:sz="4" w:space="0"/>
            </w:tcBorders>
            <w:vAlign w:val="center"/>
          </w:tcPr>
          <w:p w14:paraId="65FFAB34">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针对本项目提供整体的管理方案，包括管理方式：内部管理架构、激励机制、监督机制、自我约束机制、信息反馈及处理机制等；工作计划：合理、有序、具有可操作性；物资装备：符合本项目实际情况。由评标委员会根据投标文件以上内容进行综合评审：</w:t>
            </w:r>
          </w:p>
          <w:p w14:paraId="0D62771A">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①内容详实完整，准确且合理的得5分；</w:t>
            </w:r>
          </w:p>
          <w:p w14:paraId="483E2EEE">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②内容完整，贴合项目实际需求，有可行性的得4分；</w:t>
            </w:r>
          </w:p>
          <w:p w14:paraId="219076D0">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③内容不缺项，有可操作性的得3分；</w:t>
            </w:r>
          </w:p>
          <w:p w14:paraId="61C82DBF">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④内容粗糙，逻辑不合理，有待提高的得2分；</w:t>
            </w:r>
          </w:p>
          <w:p w14:paraId="673CB8B3">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highlight w:val="none"/>
                <w:lang w:val="en-US" w:eastAsia="zh-CN"/>
              </w:rPr>
              <w:t>⑤未提供的不得分。</w:t>
            </w:r>
          </w:p>
        </w:tc>
        <w:tc>
          <w:tcPr>
            <w:tcW w:w="743" w:type="pct"/>
            <w:tcBorders>
              <w:top w:val="single" w:color="auto" w:sz="4" w:space="0"/>
              <w:left w:val="single" w:color="auto" w:sz="4" w:space="0"/>
              <w:bottom w:val="single" w:color="auto" w:sz="4" w:space="0"/>
              <w:right w:val="single" w:color="auto" w:sz="4" w:space="0"/>
            </w:tcBorders>
            <w:vAlign w:val="center"/>
          </w:tcPr>
          <w:p w14:paraId="2BD71EED">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val="0"/>
                <w:bCs w:val="0"/>
                <w:color w:val="auto"/>
                <w:sz w:val="24"/>
                <w:highlight w:val="none"/>
                <w:lang w:val="en-US" w:eastAsia="zh-CN"/>
              </w:rPr>
              <w:t>0-5分</w:t>
            </w:r>
          </w:p>
        </w:tc>
      </w:tr>
      <w:tr w14:paraId="1772F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5BAEC39B">
            <w:pPr>
              <w:keepNext w:val="0"/>
              <w:keepLines w:val="0"/>
              <w:pageBreakBefore w:val="0"/>
              <w:widowControl w:val="0"/>
              <w:kinsoku/>
              <w:wordWrap/>
              <w:overflowPunct/>
              <w:topLinePunct w:val="0"/>
              <w:autoSpaceDE/>
              <w:autoSpaceDN/>
              <w:bidi w:val="0"/>
              <w:spacing w:line="440" w:lineRule="exact"/>
              <w:ind w:firstLine="435"/>
              <w:jc w:val="center"/>
              <w:textAlignment w:val="auto"/>
              <w:rPr>
                <w:rFonts w:hint="eastAsia" w:ascii="宋体" w:hAnsi="宋体" w:eastAsia="宋体" w:cs="宋体"/>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6EA6F7CC">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3.日常服务方案</w:t>
            </w:r>
          </w:p>
        </w:tc>
        <w:tc>
          <w:tcPr>
            <w:tcW w:w="2381" w:type="pct"/>
            <w:tcBorders>
              <w:top w:val="single" w:color="auto" w:sz="4" w:space="0"/>
              <w:left w:val="single" w:color="auto" w:sz="4" w:space="0"/>
              <w:bottom w:val="single" w:color="auto" w:sz="4" w:space="0"/>
              <w:right w:val="single" w:color="auto" w:sz="4" w:space="0"/>
            </w:tcBorders>
            <w:vAlign w:val="center"/>
          </w:tcPr>
          <w:p w14:paraId="09FB31AB">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整体的日常服务方案，包括：安全保卫方案；保洁、绿化服务方案；水电维修、消防维护日常维护方案；针对本项目的工作特点制定公共事件、环境维护等各种突发事件应急处理预案，结合物业服务特点制定切实可行的应急预案。由评标委员会根据投标文件以上内容进行综合评审：</w:t>
            </w:r>
          </w:p>
          <w:p w14:paraId="7EA498E2">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①方案周密、详尽、保障措施完善，充分满足项目实施要求、充分考虑各岗位人员配合、日常工作安排实施方案等因素的得5分； </w:t>
            </w:r>
          </w:p>
          <w:p w14:paraId="01DB93FB">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②方案具有实施性，具有保障措施，满足项目实施要求的得4分；</w:t>
            </w:r>
          </w:p>
          <w:p w14:paraId="16F54FB9">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③方案简单且服务人员安排合理的得3分；</w:t>
            </w:r>
          </w:p>
          <w:p w14:paraId="4D4E3CF5">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④方案粗糙存在不足，不满足实际的每天日常工作的得2分；</w:t>
            </w:r>
          </w:p>
          <w:p w14:paraId="57D86A44">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highlight w:val="none"/>
                <w:lang w:val="en-US" w:eastAsia="zh-CN"/>
              </w:rPr>
              <w:t>⑤未提供的不得分。</w:t>
            </w:r>
          </w:p>
        </w:tc>
        <w:tc>
          <w:tcPr>
            <w:tcW w:w="743" w:type="pct"/>
            <w:tcBorders>
              <w:top w:val="single" w:color="auto" w:sz="4" w:space="0"/>
              <w:left w:val="single" w:color="auto" w:sz="4" w:space="0"/>
              <w:bottom w:val="single" w:color="auto" w:sz="4" w:space="0"/>
              <w:right w:val="single" w:color="auto" w:sz="4" w:space="0"/>
            </w:tcBorders>
            <w:vAlign w:val="center"/>
          </w:tcPr>
          <w:p w14:paraId="6FCDFC1C">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0-5分</w:t>
            </w:r>
          </w:p>
        </w:tc>
      </w:tr>
      <w:tr w14:paraId="0BC8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392ACCE8">
            <w:pPr>
              <w:keepNext w:val="0"/>
              <w:keepLines w:val="0"/>
              <w:pageBreakBefore w:val="0"/>
              <w:widowControl w:val="0"/>
              <w:kinsoku/>
              <w:wordWrap/>
              <w:overflowPunct/>
              <w:topLinePunct w:val="0"/>
              <w:autoSpaceDE/>
              <w:autoSpaceDN/>
              <w:bidi w:val="0"/>
              <w:spacing w:line="440" w:lineRule="exact"/>
              <w:ind w:firstLine="435"/>
              <w:jc w:val="center"/>
              <w:textAlignment w:val="auto"/>
              <w:rPr>
                <w:rFonts w:hint="eastAsia" w:ascii="宋体" w:hAnsi="宋体" w:eastAsia="宋体" w:cs="宋体"/>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00EBF6EC">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4.应急处理预案</w:t>
            </w:r>
          </w:p>
        </w:tc>
        <w:tc>
          <w:tcPr>
            <w:tcW w:w="2381" w:type="pct"/>
            <w:tcBorders>
              <w:top w:val="single" w:color="auto" w:sz="4" w:space="0"/>
              <w:left w:val="single" w:color="auto" w:sz="4" w:space="0"/>
              <w:bottom w:val="single" w:color="auto" w:sz="4" w:space="0"/>
              <w:right w:val="single" w:color="auto" w:sz="4" w:space="0"/>
            </w:tcBorders>
            <w:vAlign w:val="center"/>
          </w:tcPr>
          <w:p w14:paraId="08C3AFB5">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针对本项目的实际情况制定的应急预案方案，对突发事件如电梯、火灾、地震、停供电、雨雪恶劣天气等事项能安排专人负责，有详细的应急预案及安全秩序维护，评标委员会根据投标人提供的以上内容综合评分：</w:t>
            </w:r>
          </w:p>
          <w:p w14:paraId="694FD721">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①方案完善，可行性高，有针对性，应急响应时间安排合理，应急设备及应急服务人员配备充足，突发情况应急处理控制措施完整可行的得5分；</w:t>
            </w:r>
          </w:p>
          <w:p w14:paraId="48CFAA56">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②方案合理，应急响应时间安排合理，应急设备及应急服务人员配备可行，可以完成突发情况应急处理得4分；</w:t>
            </w:r>
          </w:p>
          <w:p w14:paraId="7768ADA1">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③方案简单，应急响应时间、应急设备及应急服务人员配备勉强满足项目需求且出现非专门针对本项目特性内容，方案有待改善的得3分；</w:t>
            </w:r>
          </w:p>
          <w:p w14:paraId="6FD7FB95">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④方案、应急响应时间安排不合理，应急设备及应急服务人员实施有矛盾，有逻辑漏洞、常识性错误的情形的得2分；</w:t>
            </w:r>
          </w:p>
          <w:p w14:paraId="0E514A66">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b w:val="0"/>
                <w:bCs w:val="0"/>
                <w:color w:val="auto"/>
                <w:sz w:val="24"/>
                <w:szCs w:val="28"/>
                <w:highlight w:val="none"/>
                <w:lang w:val="en-US" w:eastAsia="zh-CN"/>
              </w:rPr>
            </w:pPr>
            <w:r>
              <w:rPr>
                <w:rFonts w:hint="eastAsia" w:ascii="宋体" w:hAnsi="宋体" w:eastAsia="宋体" w:cs="宋体"/>
                <w:color w:val="auto"/>
                <w:sz w:val="24"/>
                <w:highlight w:val="none"/>
                <w:lang w:val="en-US" w:eastAsia="zh-CN"/>
              </w:rPr>
              <w:t>⑤未提供不得分。</w:t>
            </w:r>
          </w:p>
        </w:tc>
        <w:tc>
          <w:tcPr>
            <w:tcW w:w="743" w:type="pct"/>
            <w:tcBorders>
              <w:top w:val="single" w:color="auto" w:sz="4" w:space="0"/>
              <w:left w:val="single" w:color="auto" w:sz="4" w:space="0"/>
              <w:bottom w:val="single" w:color="auto" w:sz="4" w:space="0"/>
              <w:right w:val="single" w:color="auto" w:sz="4" w:space="0"/>
            </w:tcBorders>
            <w:vAlign w:val="center"/>
          </w:tcPr>
          <w:p w14:paraId="66E9550A">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0-5分</w:t>
            </w:r>
          </w:p>
        </w:tc>
      </w:tr>
      <w:tr w14:paraId="2453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0693B3D7">
            <w:pPr>
              <w:keepNext w:val="0"/>
              <w:keepLines w:val="0"/>
              <w:pageBreakBefore w:val="0"/>
              <w:widowControl w:val="0"/>
              <w:kinsoku/>
              <w:wordWrap/>
              <w:overflowPunct/>
              <w:topLinePunct w:val="0"/>
              <w:autoSpaceDE/>
              <w:autoSpaceDN/>
              <w:bidi w:val="0"/>
              <w:spacing w:line="440" w:lineRule="exact"/>
              <w:ind w:firstLine="435"/>
              <w:jc w:val="center"/>
              <w:textAlignment w:val="auto"/>
              <w:rPr>
                <w:rFonts w:hint="eastAsia" w:ascii="宋体" w:hAnsi="宋体" w:eastAsia="宋体" w:cs="宋体"/>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7EA2BAC5">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5.物业管理区域内工程、设备维修规程</w:t>
            </w:r>
          </w:p>
        </w:tc>
        <w:tc>
          <w:tcPr>
            <w:tcW w:w="2381" w:type="pct"/>
            <w:tcBorders>
              <w:top w:val="single" w:color="auto" w:sz="4" w:space="0"/>
              <w:left w:val="single" w:color="auto" w:sz="4" w:space="0"/>
              <w:bottom w:val="single" w:color="auto" w:sz="4" w:space="0"/>
              <w:right w:val="single" w:color="auto" w:sz="4" w:space="0"/>
            </w:tcBorders>
            <w:vAlign w:val="center"/>
          </w:tcPr>
          <w:p w14:paraId="4F92ADBA">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设施设备情况，以及服务区域内的工程、设备维修规程，包含房屋完好率、房屋零修、路面零修、绿化覆盖、公共设施维修、急修及时率、维修工程质量合格率；由评标委员会根据投标文件以上内容进行综合评审：</w:t>
            </w:r>
          </w:p>
          <w:p w14:paraId="0DAB26E4">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①方案切合实际情况，各部分有深入的表述，解决方案合理、有具体切实可行的保障措施的得5分；</w:t>
            </w:r>
          </w:p>
          <w:p w14:paraId="026649C1">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②方案符合实际情况，内容完整、表述清晰，有保障措施，有针对性的得4分；</w:t>
            </w:r>
          </w:p>
          <w:p w14:paraId="50B6013B">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③方案满足项目要求，内容完整，考虑了保障措施，保障措施及解决方案出现非专门针对本项目内容的得3分；</w:t>
            </w:r>
          </w:p>
          <w:p w14:paraId="6A045359">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④方案满足项目要求但有矛盾点、可行性受影响，对各个环节的保障措施、解决方案等缺项或关键点缺失的得2分；</w:t>
            </w:r>
          </w:p>
          <w:p w14:paraId="3D335B64">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highlight w:val="none"/>
                <w:lang w:val="en-US" w:eastAsia="zh-CN"/>
              </w:rPr>
              <w:t>⑤未提供不得分。</w:t>
            </w:r>
          </w:p>
        </w:tc>
        <w:tc>
          <w:tcPr>
            <w:tcW w:w="743" w:type="pct"/>
            <w:tcBorders>
              <w:top w:val="single" w:color="auto" w:sz="4" w:space="0"/>
              <w:left w:val="single" w:color="auto" w:sz="4" w:space="0"/>
              <w:bottom w:val="single" w:color="auto" w:sz="4" w:space="0"/>
              <w:right w:val="single" w:color="auto" w:sz="4" w:space="0"/>
            </w:tcBorders>
            <w:vAlign w:val="center"/>
          </w:tcPr>
          <w:p w14:paraId="26738B3F">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lang w:val="en-US" w:eastAsia="zh-CN"/>
              </w:rPr>
              <w:t>0-5分</w:t>
            </w:r>
          </w:p>
        </w:tc>
      </w:tr>
      <w:tr w14:paraId="7CD9A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5DBE8DD8">
            <w:pPr>
              <w:keepNext w:val="0"/>
              <w:keepLines w:val="0"/>
              <w:pageBreakBefore w:val="0"/>
              <w:widowControl w:val="0"/>
              <w:kinsoku/>
              <w:wordWrap/>
              <w:overflowPunct/>
              <w:topLinePunct w:val="0"/>
              <w:autoSpaceDE/>
              <w:autoSpaceDN/>
              <w:bidi w:val="0"/>
              <w:spacing w:line="440" w:lineRule="exact"/>
              <w:ind w:firstLine="435"/>
              <w:jc w:val="center"/>
              <w:textAlignment w:val="auto"/>
              <w:rPr>
                <w:rFonts w:hint="eastAsia" w:ascii="宋体" w:hAnsi="宋体" w:eastAsia="宋体" w:cs="宋体"/>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7E41E291">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6.安全相关服务承诺</w:t>
            </w:r>
          </w:p>
        </w:tc>
        <w:tc>
          <w:tcPr>
            <w:tcW w:w="2381" w:type="pct"/>
            <w:tcBorders>
              <w:top w:val="single" w:color="auto" w:sz="4" w:space="0"/>
              <w:left w:val="single" w:color="auto" w:sz="4" w:space="0"/>
              <w:bottom w:val="single" w:color="auto" w:sz="4" w:space="0"/>
              <w:right w:val="single" w:color="auto" w:sz="4" w:space="0"/>
            </w:tcBorders>
            <w:vAlign w:val="center"/>
          </w:tcPr>
          <w:p w14:paraId="027AED2D">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治安案件发生率、消防设施设备完好率、火灾发生率、有效投诉率与处理率、物业服务满意率。由评标委员会根据投标文件提供的以上内容的服务承诺进行综合评审：</w:t>
            </w:r>
          </w:p>
          <w:p w14:paraId="36247405">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Hans"/>
              </w:rPr>
            </w:pPr>
            <w:r>
              <w:rPr>
                <w:rFonts w:hint="eastAsia" w:ascii="宋体" w:hAnsi="宋体" w:eastAsia="宋体" w:cs="宋体"/>
                <w:color w:val="auto"/>
                <w:sz w:val="24"/>
                <w:highlight w:val="none"/>
                <w:lang w:val="en-US" w:eastAsia="zh-CN"/>
              </w:rPr>
              <w:t>①</w:t>
            </w:r>
            <w:r>
              <w:rPr>
                <w:rFonts w:hint="eastAsia" w:ascii="宋体" w:hAnsi="宋体" w:eastAsia="宋体" w:cs="宋体"/>
                <w:color w:val="auto"/>
                <w:sz w:val="24"/>
                <w:highlight w:val="none"/>
                <w:lang w:val="en-US" w:eastAsia="zh-Hans"/>
              </w:rPr>
              <w:t>方案编制全面，对项目理解准确、符合程度高、分析透彻、完整、科学合理、思路清晰明了、</w:t>
            </w:r>
            <w:r>
              <w:rPr>
                <w:rFonts w:hint="eastAsia" w:ascii="宋体" w:hAnsi="宋体" w:eastAsia="宋体" w:cs="宋体"/>
                <w:color w:val="auto"/>
                <w:sz w:val="24"/>
                <w:highlight w:val="none"/>
                <w:lang w:val="en-US" w:eastAsia="zh-CN"/>
              </w:rPr>
              <w:t>充分满足项目实施要求</w:t>
            </w:r>
            <w:r>
              <w:rPr>
                <w:rFonts w:hint="eastAsia" w:ascii="宋体" w:hAnsi="宋体" w:eastAsia="宋体" w:cs="宋体"/>
                <w:color w:val="auto"/>
                <w:sz w:val="24"/>
                <w:highlight w:val="none"/>
                <w:lang w:val="en-US" w:eastAsia="zh-Hans"/>
              </w:rPr>
              <w:t>的得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en-US" w:eastAsia="zh-Hans"/>
              </w:rPr>
              <w:t>分；</w:t>
            </w:r>
          </w:p>
          <w:p w14:paraId="521BD15A">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Hans"/>
              </w:rPr>
            </w:pPr>
            <w:r>
              <w:rPr>
                <w:rFonts w:hint="eastAsia" w:ascii="宋体" w:hAnsi="宋体" w:eastAsia="宋体" w:cs="宋体"/>
                <w:color w:val="auto"/>
                <w:sz w:val="24"/>
                <w:highlight w:val="none"/>
                <w:lang w:val="en-US" w:eastAsia="zh-CN"/>
              </w:rPr>
              <w:t>②</w:t>
            </w:r>
            <w:r>
              <w:rPr>
                <w:rFonts w:hint="eastAsia" w:ascii="宋体" w:hAnsi="宋体" w:eastAsia="宋体" w:cs="宋体"/>
                <w:color w:val="auto"/>
                <w:sz w:val="24"/>
                <w:highlight w:val="none"/>
                <w:lang w:val="en-US" w:eastAsia="zh-Hans"/>
              </w:rPr>
              <w:t>方案编制内容完整、思路清晰、满足项目采购需求、</w:t>
            </w:r>
            <w:r>
              <w:rPr>
                <w:rFonts w:hint="eastAsia" w:ascii="宋体" w:hAnsi="宋体" w:eastAsia="宋体" w:cs="宋体"/>
                <w:color w:val="auto"/>
                <w:sz w:val="24"/>
                <w:highlight w:val="none"/>
                <w:lang w:val="en-US" w:eastAsia="zh-CN"/>
              </w:rPr>
              <w:t>满足项目实施要求</w:t>
            </w:r>
            <w:r>
              <w:rPr>
                <w:rFonts w:hint="eastAsia" w:ascii="宋体" w:hAnsi="宋体" w:eastAsia="宋体" w:cs="宋体"/>
                <w:color w:val="auto"/>
                <w:sz w:val="24"/>
                <w:highlight w:val="none"/>
                <w:lang w:val="en-US" w:eastAsia="zh-Hans"/>
              </w:rPr>
              <w:t>的</w:t>
            </w:r>
            <w:r>
              <w:rPr>
                <w:rFonts w:hint="eastAsia" w:ascii="宋体" w:hAnsi="宋体" w:eastAsia="宋体" w:cs="宋体"/>
                <w:color w:val="auto"/>
                <w:sz w:val="24"/>
                <w:highlight w:val="none"/>
                <w:lang w:val="en-US" w:eastAsia="zh-CN"/>
              </w:rPr>
              <w:t>得3</w:t>
            </w:r>
            <w:r>
              <w:rPr>
                <w:rFonts w:hint="eastAsia" w:ascii="宋体" w:hAnsi="宋体" w:eastAsia="宋体" w:cs="宋体"/>
                <w:color w:val="auto"/>
                <w:sz w:val="24"/>
                <w:highlight w:val="none"/>
                <w:lang w:val="en-US" w:eastAsia="zh-Hans"/>
              </w:rPr>
              <w:t>分；</w:t>
            </w:r>
          </w:p>
          <w:p w14:paraId="307FF701">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Hans"/>
              </w:rPr>
            </w:pPr>
            <w:r>
              <w:rPr>
                <w:rFonts w:hint="eastAsia" w:ascii="宋体" w:hAnsi="宋体" w:eastAsia="宋体" w:cs="宋体"/>
                <w:color w:val="auto"/>
                <w:sz w:val="24"/>
                <w:highlight w:val="none"/>
                <w:lang w:val="en-US" w:eastAsia="zh-CN"/>
              </w:rPr>
              <w:t>③</w:t>
            </w:r>
            <w:r>
              <w:rPr>
                <w:rFonts w:hint="eastAsia" w:ascii="宋体" w:hAnsi="宋体" w:eastAsia="宋体" w:cs="宋体"/>
                <w:color w:val="auto"/>
                <w:sz w:val="24"/>
                <w:highlight w:val="none"/>
                <w:lang w:val="en-US" w:eastAsia="zh-Hans"/>
              </w:rPr>
              <w:t>方案编制内容缺失、思路混乱、缺乏实施性的得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en-US" w:eastAsia="zh-Hans"/>
              </w:rPr>
              <w:t>分；</w:t>
            </w:r>
          </w:p>
          <w:p w14:paraId="10F6E11A">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highlight w:val="none"/>
                <w:lang w:val="en-US" w:eastAsia="zh-CN"/>
              </w:rPr>
              <w:t>④</w:t>
            </w:r>
            <w:r>
              <w:rPr>
                <w:rFonts w:hint="eastAsia" w:ascii="宋体" w:hAnsi="宋体" w:eastAsia="宋体" w:cs="宋体"/>
                <w:color w:val="auto"/>
                <w:sz w:val="24"/>
                <w:highlight w:val="none"/>
                <w:lang w:val="en-US" w:eastAsia="zh-Hans"/>
              </w:rPr>
              <w:t>未提供的不得分。</w:t>
            </w:r>
          </w:p>
        </w:tc>
        <w:tc>
          <w:tcPr>
            <w:tcW w:w="743" w:type="pct"/>
            <w:tcBorders>
              <w:top w:val="single" w:color="auto" w:sz="4" w:space="0"/>
              <w:left w:val="single" w:color="auto" w:sz="4" w:space="0"/>
              <w:bottom w:val="single" w:color="auto" w:sz="4" w:space="0"/>
              <w:right w:val="single" w:color="auto" w:sz="4" w:space="0"/>
            </w:tcBorders>
            <w:vAlign w:val="center"/>
          </w:tcPr>
          <w:p w14:paraId="4D28D076">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val="0"/>
                <w:bCs w:val="0"/>
                <w:color w:val="auto"/>
                <w:sz w:val="24"/>
                <w:highlight w:val="none"/>
                <w:lang w:val="en-US" w:eastAsia="zh-CN"/>
              </w:rPr>
              <w:t>0-5分</w:t>
            </w:r>
          </w:p>
        </w:tc>
      </w:tr>
      <w:tr w14:paraId="70E92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45354052">
            <w:pPr>
              <w:keepNext w:val="0"/>
              <w:keepLines w:val="0"/>
              <w:pageBreakBefore w:val="0"/>
              <w:widowControl w:val="0"/>
              <w:kinsoku/>
              <w:wordWrap/>
              <w:overflowPunct/>
              <w:topLinePunct w:val="0"/>
              <w:autoSpaceDE/>
              <w:autoSpaceDN/>
              <w:bidi w:val="0"/>
              <w:spacing w:line="440" w:lineRule="exact"/>
              <w:ind w:firstLine="435"/>
              <w:jc w:val="center"/>
              <w:textAlignment w:val="auto"/>
              <w:rPr>
                <w:rFonts w:hint="eastAsia" w:ascii="宋体" w:hAnsi="宋体" w:eastAsia="宋体" w:cs="宋体"/>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19718548">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7.投标人</w:t>
            </w:r>
            <w:r>
              <w:rPr>
                <w:rFonts w:hint="eastAsia" w:ascii="宋体" w:hAnsi="宋体" w:eastAsia="宋体" w:cs="宋体"/>
                <w:color w:val="auto"/>
                <w:sz w:val="24"/>
                <w:highlight w:val="none"/>
                <w:lang w:val="zh-CN" w:eastAsia="zh-CN"/>
              </w:rPr>
              <w:t>业绩</w:t>
            </w:r>
          </w:p>
        </w:tc>
        <w:tc>
          <w:tcPr>
            <w:tcW w:w="2381" w:type="pct"/>
            <w:tcBorders>
              <w:top w:val="single" w:color="auto" w:sz="4" w:space="0"/>
              <w:left w:val="single" w:color="auto" w:sz="4" w:space="0"/>
              <w:bottom w:val="single" w:color="auto" w:sz="4" w:space="0"/>
              <w:right w:val="single" w:color="auto" w:sz="4" w:space="0"/>
            </w:tcBorders>
            <w:vAlign w:val="center"/>
          </w:tcPr>
          <w:p w14:paraId="0869AF85">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zh-CN" w:eastAsia="zh-Hans"/>
              </w:rPr>
            </w:pPr>
            <w:r>
              <w:rPr>
                <w:rFonts w:hint="eastAsia" w:ascii="宋体" w:hAnsi="宋体" w:eastAsia="宋体" w:cs="宋体"/>
                <w:color w:val="auto"/>
                <w:sz w:val="24"/>
                <w:highlight w:val="none"/>
                <w:lang w:val="en-US" w:eastAsia="zh-Hans"/>
              </w:rPr>
              <w:t>1、自202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en-US" w:eastAsia="zh-Hans"/>
              </w:rPr>
              <w:t>年1月1日至投标截止日（以合同签订时间为准），投标人具有物业服务业绩（服务内容同时包含保安、保洁和设施设备维护）（含在管）的，每提供一个得2分，</w:t>
            </w:r>
            <w:r>
              <w:rPr>
                <w:rFonts w:hint="eastAsia" w:ascii="宋体" w:hAnsi="宋体" w:eastAsia="宋体" w:cs="宋体"/>
                <w:color w:val="auto"/>
                <w:sz w:val="24"/>
                <w:highlight w:val="none"/>
                <w:lang w:val="zh-CN" w:eastAsia="zh-Hans"/>
              </w:rPr>
              <w:t>最高得</w:t>
            </w:r>
            <w:r>
              <w:rPr>
                <w:rFonts w:hint="eastAsia" w:ascii="宋体" w:hAnsi="宋体" w:eastAsia="宋体" w:cs="宋体"/>
                <w:color w:val="auto"/>
                <w:sz w:val="24"/>
                <w:highlight w:val="none"/>
                <w:lang w:val="en-US" w:eastAsia="zh-Hans"/>
              </w:rPr>
              <w:t>2</w:t>
            </w:r>
            <w:r>
              <w:rPr>
                <w:rFonts w:hint="eastAsia" w:ascii="宋体" w:hAnsi="宋体" w:eastAsia="宋体" w:cs="宋体"/>
                <w:color w:val="auto"/>
                <w:sz w:val="24"/>
                <w:highlight w:val="none"/>
                <w:lang w:val="zh-CN" w:eastAsia="zh-Hans"/>
              </w:rPr>
              <w:t>分。</w:t>
            </w:r>
          </w:p>
          <w:p w14:paraId="7AD8E495">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zh-CN" w:eastAsia="zh-Hans"/>
              </w:rPr>
            </w:pPr>
            <w:r>
              <w:rPr>
                <w:rFonts w:hint="eastAsia" w:ascii="宋体" w:hAnsi="宋体" w:eastAsia="宋体" w:cs="宋体"/>
                <w:color w:val="auto"/>
                <w:sz w:val="24"/>
                <w:highlight w:val="none"/>
                <w:lang w:val="zh-CN" w:eastAsia="zh-Hans"/>
              </w:rPr>
              <w:t>2、</w:t>
            </w:r>
            <w:r>
              <w:rPr>
                <w:rFonts w:hint="eastAsia" w:ascii="宋体" w:hAnsi="宋体" w:eastAsia="宋体" w:cs="宋体"/>
                <w:color w:val="auto"/>
                <w:sz w:val="24"/>
                <w:highlight w:val="none"/>
                <w:lang w:val="en-US" w:eastAsia="zh-Hans"/>
              </w:rPr>
              <w:t>自202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en-US" w:eastAsia="zh-Hans"/>
              </w:rPr>
              <w:t>年1月1日至投标截止日</w:t>
            </w:r>
            <w:r>
              <w:rPr>
                <w:rFonts w:hint="eastAsia" w:ascii="宋体" w:hAnsi="宋体" w:eastAsia="宋体" w:cs="宋体"/>
                <w:color w:val="auto"/>
                <w:sz w:val="24"/>
                <w:highlight w:val="none"/>
                <w:lang w:val="zh-CN" w:eastAsia="zh-Hans"/>
              </w:rPr>
              <w:t>（以合同签订时间为准），投标人拟为本项目配备的项目经理具有</w:t>
            </w:r>
            <w:r>
              <w:rPr>
                <w:rFonts w:hint="eastAsia" w:ascii="宋体" w:hAnsi="宋体" w:eastAsia="宋体" w:cs="宋体"/>
                <w:color w:val="auto"/>
                <w:sz w:val="24"/>
                <w:highlight w:val="none"/>
                <w:lang w:val="en-US" w:eastAsia="zh-Hans"/>
              </w:rPr>
              <w:t>物业服务业绩（服务内容同时包含保安、保洁和设施设备维护）（含在管）的</w:t>
            </w:r>
            <w:r>
              <w:rPr>
                <w:rFonts w:hint="eastAsia" w:ascii="宋体" w:hAnsi="宋体" w:eastAsia="宋体" w:cs="宋体"/>
                <w:color w:val="auto"/>
                <w:sz w:val="24"/>
                <w:highlight w:val="none"/>
                <w:lang w:val="zh-CN" w:eastAsia="zh-Hans"/>
              </w:rPr>
              <w:t>，每提供一个得2分，最高得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eastAsia="zh-Hans"/>
              </w:rPr>
              <w:t xml:space="preserve">分。 </w:t>
            </w:r>
          </w:p>
          <w:p w14:paraId="7646FCB7">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注：①</w:t>
            </w:r>
            <w:r>
              <w:rPr>
                <w:rFonts w:hint="eastAsia" w:ascii="宋体" w:hAnsi="宋体" w:eastAsia="宋体" w:cs="宋体"/>
                <w:color w:val="auto"/>
                <w:sz w:val="24"/>
                <w:highlight w:val="none"/>
                <w:lang w:val="zh-CN" w:eastAsia="zh-CN"/>
              </w:rPr>
              <w:t>投标文件中提供业绩合同扫描件，若合同无法体现签订时间、服务内容等关键评审因素的，需另附招标人（合同甲方）证明材料的扫描件。</w:t>
            </w:r>
          </w:p>
          <w:p w14:paraId="4F60828C">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提供的项目业绩只计算评标分值对应的项目数量，按照排列顺序从首个业绩开始评审至对应数量，超出部分不进行评审。对应数量内业绩不符合招标文件要求不得分的，不再补充评审超出部分业绩。如：提供2个业绩即得满分的，按照投标文件排序评审第一、第二项业绩，其余超出部分不再评审。</w:t>
            </w:r>
          </w:p>
          <w:p w14:paraId="2AC6604B">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③</w:t>
            </w:r>
            <w:r>
              <w:rPr>
                <w:rFonts w:hint="eastAsia" w:ascii="宋体" w:hAnsi="宋体" w:eastAsia="宋体" w:cs="宋体"/>
                <w:color w:val="auto"/>
                <w:sz w:val="24"/>
                <w:highlight w:val="none"/>
                <w:lang w:val="zh-CN" w:eastAsia="zh-Hans"/>
              </w:rPr>
              <w:t>项目经理</w:t>
            </w:r>
            <w:r>
              <w:rPr>
                <w:rFonts w:hint="eastAsia" w:ascii="宋体" w:hAnsi="宋体" w:eastAsia="宋体" w:cs="宋体"/>
                <w:color w:val="auto"/>
                <w:sz w:val="24"/>
                <w:highlight w:val="none"/>
                <w:lang w:val="en-US" w:eastAsia="zh-CN"/>
              </w:rPr>
              <w:t>业绩须为在投标单位以项目经理身份承揽的业绩，在其他单位或以其他身份承揽的不予认可。</w:t>
            </w:r>
          </w:p>
        </w:tc>
        <w:tc>
          <w:tcPr>
            <w:tcW w:w="743" w:type="pct"/>
            <w:tcBorders>
              <w:top w:val="single" w:color="auto" w:sz="4" w:space="0"/>
              <w:left w:val="single" w:color="auto" w:sz="4" w:space="0"/>
              <w:bottom w:val="single" w:color="auto" w:sz="4" w:space="0"/>
              <w:right w:val="single" w:color="auto" w:sz="4" w:space="0"/>
            </w:tcBorders>
            <w:vAlign w:val="center"/>
          </w:tcPr>
          <w:p w14:paraId="56DB6640">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val="0"/>
                <w:bCs w:val="0"/>
                <w:color w:val="auto"/>
                <w:sz w:val="24"/>
                <w:highlight w:val="none"/>
                <w:lang w:val="en-US" w:eastAsia="zh-CN"/>
              </w:rPr>
              <w:t>0-4分</w:t>
            </w:r>
          </w:p>
        </w:tc>
      </w:tr>
      <w:tr w14:paraId="01812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6D8B693C">
            <w:pPr>
              <w:keepNext w:val="0"/>
              <w:keepLines w:val="0"/>
              <w:pageBreakBefore w:val="0"/>
              <w:widowControl w:val="0"/>
              <w:kinsoku/>
              <w:wordWrap/>
              <w:overflowPunct/>
              <w:topLinePunct w:val="0"/>
              <w:autoSpaceDE/>
              <w:autoSpaceDN/>
              <w:bidi w:val="0"/>
              <w:spacing w:line="440" w:lineRule="exact"/>
              <w:ind w:firstLine="435"/>
              <w:jc w:val="center"/>
              <w:textAlignment w:val="auto"/>
              <w:rPr>
                <w:rFonts w:hint="eastAsia" w:ascii="宋体" w:hAnsi="宋体" w:eastAsia="宋体" w:cs="宋体"/>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77DE3495">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eastAsia="zh-CN"/>
              </w:rPr>
              <w:t>荣誉</w:t>
            </w:r>
          </w:p>
        </w:tc>
        <w:tc>
          <w:tcPr>
            <w:tcW w:w="2381" w:type="pct"/>
            <w:tcBorders>
              <w:top w:val="single" w:color="auto" w:sz="4" w:space="0"/>
              <w:left w:val="single" w:color="auto" w:sz="4" w:space="0"/>
              <w:bottom w:val="single" w:color="auto" w:sz="4" w:space="0"/>
              <w:right w:val="single" w:color="auto" w:sz="4" w:space="0"/>
            </w:tcBorders>
            <w:vAlign w:val="center"/>
          </w:tcPr>
          <w:p w14:paraId="3B1B6D44">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自2021年1月1日至投标截止日，投标人在物业管理工作中被评为“优秀”、“示范”、“先进”“文明”等荣誉的(具有同等等级表彰的，不限定于前述字样，均予以认可)，每提供一个得2分，最高得4分。</w:t>
            </w:r>
          </w:p>
          <w:p w14:paraId="6F2A3802">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highlight w:val="none"/>
                <w:lang w:val="en-US" w:eastAsia="zh-CN"/>
              </w:rPr>
            </w:pPr>
            <w:r>
              <w:rPr>
                <w:rFonts w:hint="eastAsia" w:ascii="宋体" w:hAnsi="宋体" w:eastAsia="宋体" w:cs="宋体"/>
                <w:color w:val="auto"/>
                <w:sz w:val="24"/>
                <w:highlight w:val="none"/>
                <w:lang w:val="en-US" w:eastAsia="zh-CN"/>
              </w:rPr>
              <w:t>注:①投标文件中提供证书、批复、颁发单位荣誉文件、网上公示截图(具有其中之一即可)等证明材料。以上材料提供扫描件，未提或提供不全的不得分，如为所管项目荣誉，投文件中同时提供业绩合同扫描件。②上述评分项最多提供两个荣誉，按照排列顺序从首个荣誉开始评审至对应数量，超出部分不进行评审。相同荣誉按最高分计取，不重复计分。有效时间以荣誉证书文件颁发时间为准。</w:t>
            </w:r>
          </w:p>
        </w:tc>
        <w:tc>
          <w:tcPr>
            <w:tcW w:w="743" w:type="pct"/>
            <w:tcBorders>
              <w:top w:val="single" w:color="auto" w:sz="4" w:space="0"/>
              <w:left w:val="single" w:color="auto" w:sz="4" w:space="0"/>
              <w:bottom w:val="single" w:color="auto" w:sz="4" w:space="0"/>
              <w:right w:val="single" w:color="auto" w:sz="4" w:space="0"/>
            </w:tcBorders>
            <w:vAlign w:val="center"/>
          </w:tcPr>
          <w:p w14:paraId="454D2D4C">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
                <w:bCs/>
                <w:color w:val="auto"/>
                <w:kern w:val="2"/>
                <w:sz w:val="24"/>
                <w:highlight w:val="none"/>
                <w:lang w:val="en-US" w:eastAsia="zh-CN" w:bidi="ar-SA"/>
              </w:rPr>
            </w:pPr>
            <w:r>
              <w:rPr>
                <w:rFonts w:hint="eastAsia" w:ascii="宋体" w:hAnsi="宋体" w:eastAsia="宋体" w:cs="宋体"/>
                <w:b w:val="0"/>
                <w:bCs w:val="0"/>
                <w:color w:val="auto"/>
                <w:sz w:val="24"/>
                <w:highlight w:val="none"/>
                <w:lang w:val="en-US" w:eastAsia="zh-CN"/>
              </w:rPr>
              <w:t>0-4分</w:t>
            </w:r>
          </w:p>
        </w:tc>
      </w:tr>
      <w:tr w14:paraId="4344B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0A38487D">
            <w:pPr>
              <w:keepNext w:val="0"/>
              <w:keepLines w:val="0"/>
              <w:pageBreakBefore w:val="0"/>
              <w:widowControl w:val="0"/>
              <w:kinsoku/>
              <w:wordWrap/>
              <w:overflowPunct/>
              <w:topLinePunct w:val="0"/>
              <w:autoSpaceDE/>
              <w:autoSpaceDN/>
              <w:bidi w:val="0"/>
              <w:spacing w:line="440" w:lineRule="exact"/>
              <w:ind w:firstLine="435"/>
              <w:jc w:val="center"/>
              <w:textAlignment w:val="auto"/>
              <w:rPr>
                <w:rFonts w:hint="eastAsia" w:ascii="宋体" w:hAnsi="宋体" w:eastAsia="宋体" w:cs="宋体"/>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4F27A72D">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val="zh-CN" w:eastAsia="zh-CN"/>
              </w:rPr>
              <w:t>信用等级</w:t>
            </w:r>
          </w:p>
        </w:tc>
        <w:tc>
          <w:tcPr>
            <w:tcW w:w="2381" w:type="pct"/>
            <w:tcBorders>
              <w:top w:val="single" w:color="auto" w:sz="4" w:space="0"/>
              <w:left w:val="single" w:color="auto" w:sz="4" w:space="0"/>
              <w:bottom w:val="single" w:color="auto" w:sz="4" w:space="0"/>
              <w:right w:val="single" w:color="auto" w:sz="4" w:space="0"/>
            </w:tcBorders>
            <w:vAlign w:val="center"/>
          </w:tcPr>
          <w:p w14:paraId="1D07CA5D">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自2021年1月1日至投标截止日，投标人被市级或以上行政主管部门评为甲级（类）的得2分，被评为乙级(类)的得1分；最高得6分。</w:t>
            </w:r>
          </w:p>
          <w:p w14:paraId="5C877490">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注：①投标文件中提供物业主管部门颁发的证明文件或官网公示截图等材料扫描件；信用等级命名不同的，还须提供行业行政主管部门划分信用等级的证明材料扫描件。</w:t>
            </w:r>
          </w:p>
          <w:p w14:paraId="28F7AE73">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②上述评分项最多提供三个信用评定，按照排列顺序从首个评分项开始评审至对应数量，超出部分不进行评审，不累计计分。有效时间以物业行政主管部门颁发的证明文件时间为准。</w:t>
            </w:r>
          </w:p>
          <w:p w14:paraId="6854A766">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③物业信用等级命名如有不同，性质类似均予以认可。最高等级的以甲级(类)计算，次高等级的按乙级(类)计算。</w:t>
            </w:r>
          </w:p>
        </w:tc>
        <w:tc>
          <w:tcPr>
            <w:tcW w:w="743" w:type="pct"/>
            <w:tcBorders>
              <w:top w:val="single" w:color="auto" w:sz="4" w:space="0"/>
              <w:left w:val="single" w:color="auto" w:sz="4" w:space="0"/>
              <w:bottom w:val="single" w:color="auto" w:sz="4" w:space="0"/>
              <w:right w:val="single" w:color="auto" w:sz="4" w:space="0"/>
            </w:tcBorders>
            <w:vAlign w:val="center"/>
          </w:tcPr>
          <w:p w14:paraId="656DC9D6">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val="0"/>
                <w:bCs w:val="0"/>
                <w:color w:val="auto"/>
                <w:sz w:val="24"/>
                <w:highlight w:val="none"/>
                <w:lang w:val="en-US" w:eastAsia="zh-CN"/>
              </w:rPr>
              <w:t>0-6分</w:t>
            </w:r>
          </w:p>
        </w:tc>
      </w:tr>
      <w:tr w14:paraId="4FEE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778067BD">
            <w:pPr>
              <w:keepNext w:val="0"/>
              <w:keepLines w:val="0"/>
              <w:pageBreakBefore w:val="0"/>
              <w:widowControl w:val="0"/>
              <w:kinsoku/>
              <w:wordWrap/>
              <w:overflowPunct/>
              <w:topLinePunct w:val="0"/>
              <w:autoSpaceDE/>
              <w:autoSpaceDN/>
              <w:bidi w:val="0"/>
              <w:spacing w:line="440" w:lineRule="exact"/>
              <w:ind w:firstLine="435"/>
              <w:jc w:val="center"/>
              <w:textAlignment w:val="auto"/>
              <w:rPr>
                <w:rFonts w:hint="eastAsia" w:ascii="宋体" w:hAnsi="宋体" w:eastAsia="宋体" w:cs="宋体"/>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331DF786">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val="zh-CN" w:eastAsia="zh-CN"/>
              </w:rPr>
              <w:t>人员配备</w:t>
            </w:r>
          </w:p>
        </w:tc>
        <w:tc>
          <w:tcPr>
            <w:tcW w:w="2381" w:type="pct"/>
            <w:tcBorders>
              <w:top w:val="single" w:color="auto" w:sz="4" w:space="0"/>
              <w:left w:val="single" w:color="auto" w:sz="4" w:space="0"/>
              <w:bottom w:val="single" w:color="auto" w:sz="4" w:space="0"/>
              <w:right w:val="single" w:color="auto" w:sz="4" w:space="0"/>
            </w:tcBorders>
            <w:vAlign w:val="center"/>
          </w:tcPr>
          <w:p w14:paraId="7C496258">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（1）项目经理（4分）</w:t>
            </w:r>
          </w:p>
          <w:p w14:paraId="63C2C0BE">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a.具有全国物业企业经理证书或物业项目经理证书的得2分；</w:t>
            </w:r>
          </w:p>
          <w:p w14:paraId="47068D96">
            <w:pPr>
              <w:keepNext w:val="0"/>
              <w:keepLines w:val="0"/>
              <w:pageBreakBefore w:val="0"/>
              <w:widowControl w:val="0"/>
              <w:kinsoku/>
              <w:wordWrap/>
              <w:overflowPunct/>
              <w:topLinePunct w:val="0"/>
              <w:autoSpaceDE/>
              <w:autoSpaceDN/>
              <w:bidi w:val="0"/>
              <w:spacing w:line="440" w:lineRule="exact"/>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b.具有物业管理三级及以上技能证书的得2分（提供证书扫描件以及技能人才评价证书全国联网查询系统截图及网址）。</w:t>
            </w:r>
          </w:p>
          <w:p w14:paraId="13AC68BD">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eastAsia="zh-CN"/>
              </w:rPr>
              <w:t>水电维修</w:t>
            </w:r>
            <w:r>
              <w:rPr>
                <w:rFonts w:hint="eastAsia" w:ascii="宋体" w:hAnsi="宋体" w:eastAsia="宋体" w:cs="宋体"/>
                <w:color w:val="auto"/>
                <w:sz w:val="24"/>
                <w:highlight w:val="none"/>
                <w:lang w:val="en-US" w:eastAsia="zh-CN"/>
              </w:rPr>
              <w:t>人员（6分）</w:t>
            </w:r>
          </w:p>
          <w:p w14:paraId="540D17EA">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a.具有二级/技师及以上电工证书的得2分（须提供技能人才评价证书全国联网查询截图）；</w:t>
            </w:r>
          </w:p>
          <w:p w14:paraId="7B0E9ED2">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b.具有特种作业制冷与空调设备安装修理证书或具有特种作业高压电工证的得2分。</w:t>
            </w:r>
          </w:p>
          <w:p w14:paraId="6C0ED632">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c.具有特种设备安全管理T证或特种设备安全管理A证的得2分。</w:t>
            </w:r>
          </w:p>
          <w:p w14:paraId="56245DF2">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（3）秩序维护人员（4分）</w:t>
            </w:r>
          </w:p>
          <w:p w14:paraId="760B2C56">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a.具有安全管理人员证书的得2分（提供证书扫描件及应急管理局官方网站上成绩合格公示截图及网址或出具的证明材料）；</w:t>
            </w:r>
          </w:p>
          <w:p w14:paraId="6DF42144">
            <w:pPr>
              <w:keepNext w:val="0"/>
              <w:keepLines w:val="0"/>
              <w:pageBreakBefore w:val="0"/>
              <w:widowControl w:val="0"/>
              <w:kinsoku/>
              <w:wordWrap/>
              <w:overflowPunct/>
              <w:topLinePunct w:val="0"/>
              <w:autoSpaceDE/>
              <w:autoSpaceDN/>
              <w:bidi w:val="0"/>
              <w:spacing w:line="440" w:lineRule="exact"/>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b.具有物业管理员中级及以上技能证书的得2分（提供证书扫描件以及技能人才评价证书全国联网查询系统截图及网址）。</w:t>
            </w:r>
          </w:p>
          <w:p w14:paraId="4930AF28">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（4）会务员（2分）</w:t>
            </w:r>
          </w:p>
          <w:p w14:paraId="3343A10C">
            <w:pPr>
              <w:keepNext w:val="0"/>
              <w:keepLines w:val="0"/>
              <w:pageBreakBefore w:val="0"/>
              <w:widowControl w:val="0"/>
              <w:kinsoku/>
              <w:wordWrap/>
              <w:overflowPunct/>
              <w:topLinePunct w:val="0"/>
              <w:autoSpaceDE/>
              <w:autoSpaceDN/>
              <w:bidi w:val="0"/>
              <w:spacing w:line="440" w:lineRule="exact"/>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a.具有普通话二甲及以上等级证书的得2分。</w:t>
            </w:r>
          </w:p>
          <w:p w14:paraId="78945B8F">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注：上述人员不得兼任。</w:t>
            </w:r>
          </w:p>
          <w:p w14:paraId="5B640A5B">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投标文件中同时提供以下证明材料：</w:t>
            </w:r>
          </w:p>
          <w:p w14:paraId="5A95090A">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1、上述人员有效身份证（含正反页）；</w:t>
            </w:r>
          </w:p>
          <w:p w14:paraId="6243B7A3">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2、上述人员相关证书或证明材料扫描件；</w:t>
            </w:r>
          </w:p>
          <w:p w14:paraId="17B4BCA2">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上述人员须持有社保部门出具的本单位为其缴纳的投标前近三个月内任意一月的养老保险证明（含官网在线打印件，证明文件两个月内有效），或投标人提供承诺已为上述人员缴纳养老保险证明的承诺书（格式自拟）。</w:t>
            </w:r>
          </w:p>
        </w:tc>
        <w:tc>
          <w:tcPr>
            <w:tcW w:w="743" w:type="pct"/>
            <w:tcBorders>
              <w:top w:val="single" w:color="auto" w:sz="4" w:space="0"/>
              <w:left w:val="single" w:color="auto" w:sz="4" w:space="0"/>
              <w:bottom w:val="single" w:color="auto" w:sz="4" w:space="0"/>
              <w:right w:val="single" w:color="auto" w:sz="4" w:space="0"/>
            </w:tcBorders>
            <w:vAlign w:val="center"/>
          </w:tcPr>
          <w:p w14:paraId="4559198A">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0-16分</w:t>
            </w:r>
          </w:p>
        </w:tc>
      </w:tr>
      <w:tr w14:paraId="4C0F8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2116F629">
            <w:pPr>
              <w:keepNext w:val="0"/>
              <w:keepLines w:val="0"/>
              <w:pageBreakBefore w:val="0"/>
              <w:widowControl w:val="0"/>
              <w:kinsoku/>
              <w:wordWrap/>
              <w:overflowPunct/>
              <w:topLinePunct w:val="0"/>
              <w:autoSpaceDE/>
              <w:autoSpaceDN/>
              <w:bidi w:val="0"/>
              <w:spacing w:line="440" w:lineRule="exact"/>
              <w:ind w:firstLine="435"/>
              <w:jc w:val="center"/>
              <w:textAlignment w:val="auto"/>
              <w:rPr>
                <w:rFonts w:hint="eastAsia" w:ascii="宋体" w:hAnsi="宋体" w:eastAsia="宋体" w:cs="宋体"/>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54CE5C48">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lang w:val="zh-CN" w:eastAsia="zh-CN"/>
              </w:rPr>
              <w:t>管理体系认证</w:t>
            </w:r>
          </w:p>
        </w:tc>
        <w:tc>
          <w:tcPr>
            <w:tcW w:w="2381" w:type="pct"/>
            <w:tcBorders>
              <w:top w:val="single" w:color="auto" w:sz="4" w:space="0"/>
              <w:left w:val="single" w:color="auto" w:sz="4" w:space="0"/>
              <w:bottom w:val="single" w:color="auto" w:sz="4" w:space="0"/>
              <w:right w:val="single" w:color="auto" w:sz="4" w:space="0"/>
            </w:tcBorders>
            <w:vAlign w:val="center"/>
          </w:tcPr>
          <w:p w14:paraId="30DE752E">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投标人具有具有经中国国家认证认可监督管理委员会认证机构颁发的有效的下列证书：</w:t>
            </w:r>
          </w:p>
          <w:p w14:paraId="4D053C8E">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质量管理体系认证证书；</w:t>
            </w:r>
          </w:p>
          <w:p w14:paraId="593D23E3">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环境管理体系认证证书；</w:t>
            </w:r>
          </w:p>
          <w:p w14:paraId="01D78EC6">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职业健康安全管理体系认证证书</w:t>
            </w:r>
            <w:r>
              <w:rPr>
                <w:rFonts w:hint="eastAsia" w:ascii="宋体" w:hAnsi="宋体" w:eastAsia="宋体" w:cs="宋体"/>
                <w:color w:val="auto"/>
                <w:sz w:val="24"/>
                <w:highlight w:val="none"/>
                <w:lang w:val="en-US" w:eastAsia="zh-CN"/>
              </w:rPr>
              <w:t>；</w:t>
            </w:r>
          </w:p>
          <w:p w14:paraId="2F17FBE2">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每提供一个得2分，最高得6分。</w:t>
            </w:r>
          </w:p>
          <w:p w14:paraId="7BFFE4CD">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注：投标文件中提供有效的证书扫描件以及全国认证认可信息公共服务平台证书信息查询截图。</w:t>
            </w:r>
          </w:p>
        </w:tc>
        <w:tc>
          <w:tcPr>
            <w:tcW w:w="743" w:type="pct"/>
            <w:tcBorders>
              <w:top w:val="single" w:color="auto" w:sz="4" w:space="0"/>
              <w:left w:val="single" w:color="auto" w:sz="4" w:space="0"/>
              <w:bottom w:val="single" w:color="auto" w:sz="4" w:space="0"/>
              <w:right w:val="single" w:color="auto" w:sz="4" w:space="0"/>
            </w:tcBorders>
            <w:vAlign w:val="center"/>
          </w:tcPr>
          <w:p w14:paraId="3AF5DA40">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0-6分</w:t>
            </w:r>
          </w:p>
        </w:tc>
      </w:tr>
      <w:tr w14:paraId="51F9C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tcBorders>
              <w:left w:val="single" w:color="auto" w:sz="4" w:space="0"/>
              <w:right w:val="single" w:color="auto" w:sz="4" w:space="0"/>
            </w:tcBorders>
            <w:vAlign w:val="center"/>
          </w:tcPr>
          <w:p w14:paraId="7317C951">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价格分</w:t>
            </w:r>
          </w:p>
          <w:p w14:paraId="11498182">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lang w:val="en-US" w:eastAsia="zh-CN"/>
              </w:rPr>
              <w:t>34</w:t>
            </w:r>
            <w:r>
              <w:rPr>
                <w:rFonts w:hint="eastAsia" w:ascii="宋体" w:hAnsi="宋体" w:eastAsia="宋体" w:cs="宋体"/>
                <w:color w:val="auto"/>
                <w:sz w:val="24"/>
                <w:highlight w:val="none"/>
              </w:rPr>
              <w:t>分）</w:t>
            </w:r>
          </w:p>
        </w:tc>
        <w:tc>
          <w:tcPr>
            <w:tcW w:w="4134" w:type="pct"/>
            <w:gridSpan w:val="3"/>
            <w:tcBorders>
              <w:top w:val="single" w:color="auto" w:sz="4" w:space="0"/>
              <w:left w:val="single" w:color="auto" w:sz="4" w:space="0"/>
              <w:bottom w:val="single" w:color="auto" w:sz="4" w:space="0"/>
              <w:right w:val="single" w:color="auto" w:sz="4" w:space="0"/>
            </w:tcBorders>
            <w:vAlign w:val="center"/>
          </w:tcPr>
          <w:p w14:paraId="4932F42E">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价格分统一采用低价优先法，即满足招标文件要求且投标价格最低的投标报价为评标基准价，其价格分为满分</w:t>
            </w:r>
            <w:r>
              <w:rPr>
                <w:rFonts w:hint="eastAsia" w:ascii="宋体" w:hAnsi="宋体" w:eastAsia="宋体" w:cs="宋体"/>
                <w:color w:val="auto"/>
                <w:sz w:val="24"/>
                <w:highlight w:val="none"/>
                <w:u w:val="single"/>
                <w:lang w:val="en-US" w:eastAsia="zh-CN"/>
              </w:rPr>
              <w:t>34</w:t>
            </w:r>
            <w:r>
              <w:rPr>
                <w:rFonts w:hint="eastAsia" w:ascii="宋体" w:hAnsi="宋体" w:eastAsia="宋体" w:cs="宋体"/>
                <w:color w:val="auto"/>
                <w:sz w:val="24"/>
                <w:highlight w:val="none"/>
              </w:rPr>
              <w:t>分。其他投标人的价格分统一按照下列公式计算：</w:t>
            </w:r>
          </w:p>
          <w:p w14:paraId="19ABF40D">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投标报价得分＝（评标基准价/投标报价）×</w:t>
            </w:r>
            <w:r>
              <w:rPr>
                <w:rFonts w:hint="eastAsia" w:ascii="宋体" w:hAnsi="宋体" w:eastAsia="宋体" w:cs="宋体"/>
                <w:color w:val="auto"/>
                <w:sz w:val="24"/>
                <w:highlight w:val="none"/>
                <w:u w:val="single"/>
                <w:lang w:val="en-US" w:eastAsia="zh-CN"/>
              </w:rPr>
              <w:t>34</w:t>
            </w:r>
            <w:r>
              <w:rPr>
                <w:rFonts w:hint="eastAsia" w:ascii="宋体" w:hAnsi="宋体" w:eastAsia="宋体" w:cs="宋体"/>
                <w:color w:val="auto"/>
                <w:sz w:val="24"/>
                <w:highlight w:val="none"/>
              </w:rPr>
              <w:t>％×100</w:t>
            </w:r>
          </w:p>
        </w:tc>
      </w:tr>
    </w:tbl>
    <w:p w14:paraId="5B4B4A8A">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2.3.3分值汇总</w:t>
      </w:r>
    </w:p>
    <w:p w14:paraId="07A8E4A7">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（1）评标委员会各成员应当独立对每个有效投标人的投标文件进行评分，并汇总每个投标人的得分。取各位评委评分之平均值，四舍五入保留至小数点后两位数，得到该投标人的技术资信分。</w:t>
      </w:r>
    </w:p>
    <w:p w14:paraId="214E17FE">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（2）将投标人的技术资信分加上根据上述标准计算出的价格分，即为该投标人的综合总得分。</w:t>
      </w:r>
    </w:p>
    <w:p w14:paraId="0A03EC40">
      <w:pPr>
        <w:spacing w:line="360" w:lineRule="auto"/>
        <w:ind w:firstLine="435"/>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三、无效投标条款</w:t>
      </w:r>
    </w:p>
    <w:p w14:paraId="7C8C9BF9">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3.1投标文件有下列情形之一的,其投标文件拒收:</w:t>
      </w:r>
    </w:p>
    <w:p w14:paraId="72FE24B4">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未在开标截止时间前通过网上招标投标系统递交有效电子投标文件的，开标系统不予接收，投标将被拒绝。</w:t>
      </w:r>
    </w:p>
    <w:p w14:paraId="2A02F568">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企业接到远程解密指令后，须在规定时间内解密。因投标人自身原因导致投标文件在规定时间内未能解密、解密失败或解密超时，投标文件无效；解密时间：从本项目解密程序开始时计时，至完成投标文件解密时间，不得超过60分钟，否则投标文件将被拒绝。</w:t>
      </w:r>
    </w:p>
    <w:p w14:paraId="155220C9">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3.2投标人有下列情形之一的,资格审查后其投标作无效投标处理：</w:t>
      </w:r>
    </w:p>
    <w:p w14:paraId="219DD62E">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(1)投标人为本项目提供招标代理服务的；</w:t>
      </w:r>
    </w:p>
    <w:p w14:paraId="2CB4D8C7">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(2)投标人与在本项目代理机构存在相互任职或工作的；</w:t>
      </w:r>
    </w:p>
    <w:p w14:paraId="54597A8A">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(3)招标公告写明专门面向中小企业采购，投标人提供的货物非中小企业制造的；</w:t>
      </w:r>
    </w:p>
    <w:p w14:paraId="6DBFFA2F">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(4)要求供应商以联合体形式参加采购活动，投标人非联合体或者联合协议中中小企业合同金额未达到应当达到的比例；</w:t>
      </w:r>
    </w:p>
    <w:p w14:paraId="07D067B5">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(5)要求获得采购合同的供应商向中小企业分包，投标人未提供分包意向协议或者分包意向协议中中小企业合同金额未达到应当达到的比例；</w:t>
      </w:r>
    </w:p>
    <w:p w14:paraId="2EFC2BA3">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(6)评标专家无法查看并检验电子投标文件中相关资料的；</w:t>
      </w:r>
    </w:p>
    <w:p w14:paraId="6CAD3CE2">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(7)联合体投标未提交联合体协议的；</w:t>
      </w:r>
    </w:p>
    <w:p w14:paraId="5979FE17">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(8)责令停产停业的；</w:t>
      </w:r>
    </w:p>
    <w:p w14:paraId="412B7AC3">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(9)暂停或者取消参与政府采购项目资格的；</w:t>
      </w:r>
    </w:p>
    <w:p w14:paraId="7F8662A9">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(10)投标人单位负责人为同一人或者存在（直接）控股、管理关系的不同单位的；</w:t>
      </w:r>
    </w:p>
    <w:p w14:paraId="6864F3DC">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(11)投标人基本资格条件和特定资格条件中有一项及以上不符合要求的；</w:t>
      </w:r>
    </w:p>
    <w:p w14:paraId="61164548">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开标时查询投标文件制作机器码、文件创建标识码及造价软件加密锁号。若存在投标文件制作机器码或创建标识码或造价软件加密锁号信息与其他投标人雷同的，投标无效、进行信用信息披露，行政监管部门将依据线索依法查处；</w:t>
      </w:r>
    </w:p>
    <w:p w14:paraId="2022E8C2">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(13)其它情形，经评标委员会委提出按无效投标处理，并经公共资源交易监督部门核准的；</w:t>
      </w:r>
    </w:p>
    <w:p w14:paraId="017C4D9C">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(14)投标人投标MAC地址或投标人联系人或联系电话相同的，由评标委员会否决其投标，并报告监管部门作不良行为处理和进一步调查；</w:t>
      </w:r>
    </w:p>
    <w:p w14:paraId="73304DB7">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(15)投标人单方面出现其他投标人材料的；</w:t>
      </w:r>
    </w:p>
    <w:p w14:paraId="631BDAFC">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(16)招标文件规定的其它无效投标情形。</w:t>
      </w:r>
    </w:p>
    <w:p w14:paraId="22C51FC8">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 投标人有下列情形之一的,符合性审查后其投标按无效投标处理：</w:t>
      </w:r>
    </w:p>
    <w:p w14:paraId="014F2461">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(1)投标文件签字、盖章不全，经评标委员会一致认定对开评标内容有实质性影响并经公共资源交易监督部门核准的；</w:t>
      </w:r>
    </w:p>
    <w:p w14:paraId="079764CC">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(2)未按规定的格式填写导致实质性内容不全以及实质上不响应，或者关键字迹模糊、无法辨认; 经公共资源交易监督部门核准的；</w:t>
      </w:r>
    </w:p>
    <w:p w14:paraId="4500A287">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(3)同一投标人提交两个以上不同的投标文件或者投标报价，但招标文件规定提交备选方案的除外；</w:t>
      </w:r>
    </w:p>
    <w:p w14:paraId="03B9D4AA">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(4)投标文件没有对招标文件的实质性要求和条件作出响应;</w:t>
      </w:r>
    </w:p>
    <w:p w14:paraId="7D66A934">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(5)投标报价超出规定的投标限价或公布的采购预算的或投标人的投标报价各项单价高于招标文件给定的单价最高限价；</w:t>
      </w:r>
    </w:p>
    <w:p w14:paraId="4B63404A">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(6)不按评标委员会要求澄清、说明或补正的，或者评标委员会根据招标文件的规定对投标文件的计算错误进行修正后，投标人不接受修正的投标报价的。</w:t>
      </w:r>
    </w:p>
    <w:p w14:paraId="49C10F3F">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(7)其它情形，经评标委员会委提出按无效投标处理，并经公共资源交易监督部门核准的；</w:t>
      </w:r>
    </w:p>
    <w:p w14:paraId="0CDACB7E">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(8)投标文件含有采购人不能接受的附加条件的；</w:t>
      </w:r>
    </w:p>
    <w:p w14:paraId="51B3267B">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(9)招标文件规定的其它无效投标情形。</w:t>
      </w:r>
    </w:p>
    <w:p w14:paraId="29BF0C23">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 投标人有下列情形之一的, 详细评审后其投标按无效投标处理：</w:t>
      </w:r>
    </w:p>
    <w:p w14:paraId="396DF2A8">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(1)投标产品不符合必须强制执行的国家标准的；</w:t>
      </w:r>
    </w:p>
    <w:p w14:paraId="3D2DE2F8">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(2)投标人有串通投标、弄虚作假、行贿等违法行为；</w:t>
      </w:r>
    </w:p>
    <w:p w14:paraId="1A8854FD">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(3)投标文件含有违反国家法律、法规的内容，或附有采购人不能接受的条件的；</w:t>
      </w:r>
    </w:p>
    <w:p w14:paraId="77E9CB2E">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(4)报价明显低于其他投标人，且不能证明报价合理性的投标无效；</w:t>
      </w:r>
    </w:p>
    <w:p w14:paraId="116FF787">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(5)拒不确认评标委员会评审修正的投标无效；</w:t>
      </w:r>
    </w:p>
    <w:p w14:paraId="0563A227">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(6)其它情形，经评标委员会委提出按无效投标处理，并经公共资源交易监督部门核准的；</w:t>
      </w:r>
    </w:p>
    <w:p w14:paraId="74721328">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(7)招标文件规定的其它无效投标情形。</w:t>
      </w:r>
      <w:r>
        <w:rPr>
          <w:rFonts w:hint="eastAsia" w:ascii="宋体" w:hAnsi="宋体" w:eastAsia="宋体" w:cs="宋体"/>
          <w:color w:val="auto"/>
          <w:sz w:val="24"/>
          <w:highlight w:val="none"/>
        </w:rPr>
        <w:br w:type="page"/>
      </w:r>
    </w:p>
    <w:p w14:paraId="7F953A45">
      <w:pPr>
        <w:spacing w:line="360" w:lineRule="auto"/>
        <w:jc w:val="center"/>
        <w:outlineLvl w:val="0"/>
        <w:rPr>
          <w:rFonts w:hint="eastAsia" w:ascii="宋体" w:hAnsi="宋体" w:eastAsia="宋体" w:cs="宋体"/>
          <w:b/>
          <w:color w:val="auto"/>
          <w:sz w:val="28"/>
          <w:highlight w:val="none"/>
          <w:lang w:eastAsia="zh-CN"/>
        </w:rPr>
      </w:pPr>
      <w:bookmarkStart w:id="42" w:name="_Toc20405"/>
      <w:r>
        <w:rPr>
          <w:rFonts w:hint="eastAsia" w:ascii="宋体" w:hAnsi="宋体" w:eastAsia="宋体" w:cs="宋体"/>
          <w:b/>
          <w:color w:val="auto"/>
          <w:sz w:val="28"/>
          <w:highlight w:val="none"/>
        </w:rPr>
        <w:t>第五章  政府采购合同</w:t>
      </w:r>
      <w:bookmarkEnd w:id="42"/>
    </w:p>
    <w:p w14:paraId="7CD37AC2">
      <w:pPr>
        <w:spacing w:line="480" w:lineRule="auto"/>
        <w:jc w:val="center"/>
        <w:outlineLvl w:val="9"/>
        <w:rPr>
          <w:rFonts w:hint="eastAsia" w:ascii="宋体" w:hAnsi="宋体" w:eastAsia="宋体" w:cs="宋体"/>
          <w:b/>
          <w:color w:val="000000" w:themeColor="text1"/>
          <w:sz w:val="28"/>
          <w:szCs w:val="28"/>
          <w:highlight w:val="none"/>
          <w14:textFill>
            <w14:solidFill>
              <w14:schemeClr w14:val="tx1"/>
            </w14:solidFill>
          </w14:textFill>
        </w:rPr>
      </w:pPr>
      <w:bookmarkStart w:id="43" w:name="_Toc331685784"/>
    </w:p>
    <w:p w14:paraId="6820284C">
      <w:pPr>
        <w:spacing w:line="480" w:lineRule="auto"/>
        <w:jc w:val="center"/>
        <w:outlineLvl w:val="9"/>
        <w:rPr>
          <w:rFonts w:hint="eastAsia" w:ascii="宋体" w:hAnsi="宋体" w:eastAsia="宋体" w:cs="宋体"/>
          <w:b/>
          <w:color w:val="000000" w:themeColor="text1"/>
          <w:sz w:val="28"/>
          <w:szCs w:val="28"/>
          <w:highlight w:val="none"/>
          <w14:textFill>
            <w14:solidFill>
              <w14:schemeClr w14:val="tx1"/>
            </w14:solidFill>
          </w14:textFill>
        </w:rPr>
      </w:pPr>
    </w:p>
    <w:p w14:paraId="3D87B9B5">
      <w:pPr>
        <w:pStyle w:val="9"/>
        <w:rPr>
          <w:rFonts w:hint="eastAsia" w:ascii="宋体" w:hAnsi="宋体" w:eastAsia="宋体" w:cs="宋体"/>
          <w:highlight w:val="none"/>
        </w:rPr>
      </w:pPr>
    </w:p>
    <w:p w14:paraId="6927088F">
      <w:pPr>
        <w:spacing w:line="480" w:lineRule="auto"/>
        <w:jc w:val="center"/>
        <w:outlineLvl w:val="1"/>
        <w:rPr>
          <w:rFonts w:hint="eastAsia" w:ascii="宋体" w:hAnsi="宋体" w:eastAsia="宋体" w:cs="宋体"/>
          <w:b/>
          <w:color w:val="000000" w:themeColor="text1"/>
          <w:sz w:val="28"/>
          <w:szCs w:val="28"/>
          <w:highlight w:val="none"/>
          <w14:textFill>
            <w14:solidFill>
              <w14:schemeClr w14:val="tx1"/>
            </w14:solidFill>
          </w14:textFill>
        </w:rPr>
      </w:pPr>
      <w:bookmarkStart w:id="44" w:name="_Toc3714"/>
      <w:r>
        <w:rPr>
          <w:rFonts w:hint="eastAsia" w:ascii="宋体" w:hAnsi="宋体" w:eastAsia="宋体" w:cs="宋体"/>
          <w:b/>
          <w:color w:val="000000" w:themeColor="text1"/>
          <w:sz w:val="28"/>
          <w:szCs w:val="28"/>
          <w:highlight w:val="none"/>
          <w14:textFill>
            <w14:solidFill>
              <w14:schemeClr w14:val="tx1"/>
            </w14:solidFill>
          </w14:textFill>
        </w:rPr>
        <w:t>政府采购合同参考范本</w:t>
      </w:r>
      <w:bookmarkEnd w:id="44"/>
    </w:p>
    <w:p w14:paraId="16E40FC5">
      <w:pPr>
        <w:spacing w:line="480" w:lineRule="auto"/>
        <w:jc w:val="center"/>
        <w:outlineLvl w:val="1"/>
        <w:rPr>
          <w:rFonts w:hint="eastAsia" w:ascii="宋体" w:hAnsi="宋体" w:eastAsia="宋体" w:cs="宋体"/>
          <w:b/>
          <w:color w:val="000000" w:themeColor="text1"/>
          <w:sz w:val="28"/>
          <w:szCs w:val="28"/>
          <w:highlight w:val="none"/>
          <w14:textFill>
            <w14:solidFill>
              <w14:schemeClr w14:val="tx1"/>
            </w14:solidFill>
          </w14:textFill>
        </w:rPr>
      </w:pPr>
      <w:bookmarkStart w:id="45" w:name="_Toc8560"/>
      <w:r>
        <w:rPr>
          <w:rFonts w:hint="eastAsia" w:ascii="宋体" w:hAnsi="宋体" w:eastAsia="宋体" w:cs="宋体"/>
          <w:b/>
          <w:color w:val="000000" w:themeColor="text1"/>
          <w:sz w:val="28"/>
          <w:szCs w:val="28"/>
          <w:highlight w:val="none"/>
          <w14:textFill>
            <w14:solidFill>
              <w14:schemeClr w14:val="tx1"/>
            </w14:solidFill>
          </w14:textFill>
        </w:rPr>
        <w:t>（服务类）</w:t>
      </w:r>
      <w:bookmarkEnd w:id="45"/>
    </w:p>
    <w:p w14:paraId="6B5648D0">
      <w:pPr>
        <w:spacing w:line="48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1B517C34">
      <w:pPr>
        <w:spacing w:line="48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229F8E41">
      <w:pPr>
        <w:spacing w:line="48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18A7C74E">
      <w:pPr>
        <w:spacing w:line="360" w:lineRule="auto"/>
        <w:jc w:val="center"/>
        <w:outlineLvl w:val="1"/>
        <w:rPr>
          <w:rFonts w:hint="eastAsia" w:ascii="宋体" w:hAnsi="宋体" w:eastAsia="宋体" w:cs="宋体"/>
          <w:b/>
          <w:color w:val="000000" w:themeColor="text1"/>
          <w:sz w:val="24"/>
          <w:highlight w:val="none"/>
          <w14:textFill>
            <w14:solidFill>
              <w14:schemeClr w14:val="tx1"/>
            </w14:solidFill>
          </w14:textFill>
        </w:rPr>
      </w:pPr>
      <w:bookmarkStart w:id="46" w:name="_Toc2449"/>
      <w:r>
        <w:rPr>
          <w:rFonts w:hint="eastAsia" w:ascii="宋体" w:hAnsi="宋体" w:eastAsia="宋体" w:cs="宋体"/>
          <w:b/>
          <w:color w:val="000000" w:themeColor="text1"/>
          <w:sz w:val="24"/>
          <w:highlight w:val="none"/>
          <w14:textFill>
            <w14:solidFill>
              <w14:schemeClr w14:val="tx1"/>
            </w14:solidFill>
          </w14:textFill>
        </w:rPr>
        <w:t>第一部分 合同书</w:t>
      </w:r>
      <w:bookmarkEnd w:id="46"/>
    </w:p>
    <w:p w14:paraId="257AE839">
      <w:pPr>
        <w:spacing w:line="48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200A4EA6">
      <w:pPr>
        <w:spacing w:line="48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2D30C85A">
      <w:pPr>
        <w:pStyle w:val="9"/>
        <w:rPr>
          <w:rFonts w:hint="eastAsia" w:ascii="宋体" w:hAnsi="宋体" w:eastAsia="宋体" w:cs="宋体"/>
          <w:highlight w:val="none"/>
        </w:rPr>
      </w:pPr>
    </w:p>
    <w:p w14:paraId="55766BBA">
      <w:pPr>
        <w:pStyle w:val="9"/>
        <w:rPr>
          <w:rFonts w:hint="eastAsia" w:ascii="宋体" w:hAnsi="宋体" w:eastAsia="宋体" w:cs="宋体"/>
          <w:highlight w:val="none"/>
        </w:rPr>
      </w:pPr>
    </w:p>
    <w:p w14:paraId="11CEB84A">
      <w:pPr>
        <w:spacing w:before="120" w:line="480" w:lineRule="auto"/>
        <w:ind w:left="960"/>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安徽省滁州市中级人民法院物业管理服务项目</w:t>
      </w:r>
    </w:p>
    <w:p w14:paraId="3FD1F912">
      <w:pPr>
        <w:spacing w:before="120" w:line="480" w:lineRule="auto"/>
        <w:ind w:left="96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69757A86">
      <w:pPr>
        <w:spacing w:before="120" w:line="480" w:lineRule="auto"/>
        <w:ind w:left="960"/>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甲方（采购人）：</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安徽省滁州市中级人民法院</w:t>
      </w:r>
    </w:p>
    <w:p w14:paraId="215B797D">
      <w:pPr>
        <w:spacing w:before="120" w:line="480" w:lineRule="auto"/>
        <w:ind w:left="96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乙方（中标人）：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72C155C">
      <w:pPr>
        <w:spacing w:before="120" w:line="480" w:lineRule="auto"/>
        <w:ind w:firstLine="960" w:firstLineChars="4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签订地：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CB9CFB8">
      <w:pPr>
        <w:spacing w:before="120" w:line="48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签订日期：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6BB30C42">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14:paraId="24D50713">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lang w:val="en-US" w:eastAsia="zh-CN"/>
          <w14:textFill>
            <w14:solidFill>
              <w14:schemeClr w14:val="tx1"/>
            </w14:solidFill>
          </w14:textFill>
        </w:rPr>
        <w:t>安徽省滁州市中级人民法院物业管理服务项目</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以下简称：甲方</w:t>
      </w:r>
      <w:r>
        <w:rPr>
          <w:rFonts w:hint="eastAsia" w:ascii="宋体" w:hAnsi="宋体" w:eastAsia="宋体" w:cs="宋体"/>
          <w:color w:val="000000" w:themeColor="text1"/>
          <w:sz w:val="24"/>
          <w:highlight w:val="none"/>
          <w14:textFill>
            <w14:solidFill>
              <w14:schemeClr w14:val="tx1"/>
            </w14:solidFill>
          </w14:textFill>
        </w:rPr>
        <w:t>）通过</w:t>
      </w:r>
      <w:r>
        <w:rPr>
          <w:rFonts w:hint="eastAsia" w:ascii="宋体" w:hAnsi="宋体" w:eastAsia="宋体" w:cs="宋体"/>
          <w:color w:val="000000" w:themeColor="text1"/>
          <w:sz w:val="24"/>
          <w:highlight w:val="none"/>
          <w:u w:val="single"/>
          <w:lang w:val="en-US" w:eastAsia="zh-CN"/>
          <w14:textFill>
            <w14:solidFill>
              <w14:schemeClr w14:val="tx1"/>
            </w14:solidFill>
          </w14:textFill>
        </w:rPr>
        <w:t>滁州市政府采购中心</w:t>
      </w:r>
      <w:r>
        <w:rPr>
          <w:rFonts w:hint="eastAsia" w:ascii="宋体" w:hAnsi="宋体" w:eastAsia="宋体" w:cs="宋体"/>
          <w:color w:val="000000" w:themeColor="text1"/>
          <w:sz w:val="24"/>
          <w:highlight w:val="none"/>
          <w14:textFill>
            <w14:solidFill>
              <w14:schemeClr w14:val="tx1"/>
            </w14:solidFill>
          </w14:textFill>
        </w:rPr>
        <w:t>组织的</w:t>
      </w:r>
      <w:r>
        <w:rPr>
          <w:rFonts w:hint="eastAsia" w:ascii="宋体" w:hAnsi="宋体" w:eastAsia="宋体" w:cs="宋体"/>
          <w:color w:val="000000" w:themeColor="text1"/>
          <w:sz w:val="24"/>
          <w:highlight w:val="none"/>
          <w:u w:val="single"/>
          <w14:textFill>
            <w14:solidFill>
              <w14:schemeClr w14:val="tx1"/>
            </w14:solidFill>
          </w14:textFill>
        </w:rPr>
        <w:t>公开招标</w:t>
      </w:r>
      <w:r>
        <w:rPr>
          <w:rFonts w:hint="eastAsia" w:ascii="宋体" w:hAnsi="宋体" w:eastAsia="宋体" w:cs="宋体"/>
          <w:color w:val="000000" w:themeColor="text1"/>
          <w:sz w:val="24"/>
          <w:highlight w:val="none"/>
          <w14:textFill>
            <w14:solidFill>
              <w14:schemeClr w14:val="tx1"/>
            </w14:solidFill>
          </w14:textFill>
        </w:rPr>
        <w:t>方式采购活动，经</w:t>
      </w:r>
      <w:r>
        <w:rPr>
          <w:rFonts w:hint="eastAsia" w:ascii="宋体" w:hAnsi="宋体" w:eastAsia="宋体" w:cs="宋体"/>
          <w:color w:val="000000" w:themeColor="text1"/>
          <w:sz w:val="24"/>
          <w:highlight w:val="none"/>
          <w:u w:val="single"/>
          <w14:textFill>
            <w14:solidFill>
              <w14:schemeClr w14:val="tx1"/>
            </w14:solidFill>
          </w14:textFill>
        </w:rPr>
        <w:t>评标委员会</w:t>
      </w:r>
      <w:r>
        <w:rPr>
          <w:rFonts w:hint="eastAsia" w:ascii="宋体" w:hAnsi="宋体" w:eastAsia="宋体" w:cs="宋体"/>
          <w:color w:val="000000" w:themeColor="text1"/>
          <w:sz w:val="24"/>
          <w:highlight w:val="none"/>
          <w14:textFill>
            <w14:solidFill>
              <w14:schemeClr w14:val="tx1"/>
            </w14:solidFill>
          </w14:textFill>
        </w:rPr>
        <w:t>评定，</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以下简称：乙方</w:t>
      </w:r>
      <w:r>
        <w:rPr>
          <w:rFonts w:hint="eastAsia" w:ascii="宋体" w:hAnsi="宋体" w:eastAsia="宋体" w:cs="宋体"/>
          <w:color w:val="000000" w:themeColor="text1"/>
          <w:sz w:val="24"/>
          <w:highlight w:val="none"/>
          <w14:textFill>
            <w14:solidFill>
              <w14:schemeClr w14:val="tx1"/>
            </w14:solidFill>
          </w14:textFill>
        </w:rPr>
        <w:t>）为本项目中标人，现</w:t>
      </w:r>
      <w:r>
        <w:rPr>
          <w:rFonts w:hint="eastAsia" w:ascii="宋体" w:hAnsi="宋体" w:eastAsia="宋体" w:cs="宋体"/>
          <w:color w:val="000000" w:themeColor="text1"/>
          <w:sz w:val="24"/>
          <w:szCs w:val="24"/>
          <w:highlight w:val="none"/>
          <w14:textFill>
            <w14:solidFill>
              <w14:schemeClr w14:val="tx1"/>
            </w14:solidFill>
          </w14:textFill>
        </w:rPr>
        <w:t>按照采购文件确定的事项签订本合同。</w:t>
      </w:r>
    </w:p>
    <w:p w14:paraId="334F07CA">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根据《中华人民共和国民法典》、《中华人民共和国政府采购法》等相关法律法规之规定，按照平等、自愿、公平和诚实信用的原则，经甲方和乙方协商一致，约定以下合同条款，以兹共同遵守、全面履行。</w:t>
      </w:r>
    </w:p>
    <w:p w14:paraId="63272E32">
      <w:pPr>
        <w:keepNext w:val="0"/>
        <w:keepLines w:val="0"/>
        <w:pageBreakBefore w:val="0"/>
        <w:kinsoku/>
        <w:wordWrap/>
        <w:overflowPunct/>
        <w:topLinePunct w:val="0"/>
        <w:bidi w:val="0"/>
        <w:snapToGrid/>
        <w:spacing w:line="440" w:lineRule="exact"/>
        <w:ind w:firstLine="437"/>
        <w:textAlignment w:val="auto"/>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47" w:name="_Toc3029"/>
      <w:bookmarkStart w:id="48" w:name="_Toc2232"/>
      <w:bookmarkStart w:id="49" w:name="_Toc24059"/>
      <w:r>
        <w:rPr>
          <w:rFonts w:hint="eastAsia" w:ascii="宋体" w:hAnsi="宋体" w:eastAsia="宋体" w:cs="宋体"/>
          <w:b/>
          <w:bCs/>
          <w:color w:val="000000" w:themeColor="text1"/>
          <w:sz w:val="24"/>
          <w:szCs w:val="24"/>
          <w:highlight w:val="none"/>
          <w:lang w:val="zh-CN"/>
          <w14:textFill>
            <w14:solidFill>
              <w14:schemeClr w14:val="tx1"/>
            </w14:solidFill>
          </w14:textFill>
        </w:rPr>
        <w:t>1.1 合同组成部分</w:t>
      </w:r>
      <w:bookmarkEnd w:id="47"/>
      <w:bookmarkEnd w:id="48"/>
      <w:bookmarkEnd w:id="49"/>
    </w:p>
    <w:p w14:paraId="0763BBEE">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下列文件为本合同的组成部分，并构成一个整体，需综合解释、相互补充。如果下列文件内容出现不一致的情形，那么在保证按照采购文件确定的事项前提下，组成本合同的多个文件的优先适用顺序如下：</w:t>
      </w:r>
    </w:p>
    <w:p w14:paraId="4B72361D">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1.1.1本合同及其补充合同、变更协议；</w:t>
      </w:r>
    </w:p>
    <w:p w14:paraId="7B9115FB">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1.1.2中标通知书；</w:t>
      </w:r>
    </w:p>
    <w:p w14:paraId="3251D4CB">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1.1.3投标文件（含澄清或者说明文件）；</w:t>
      </w:r>
    </w:p>
    <w:p w14:paraId="6286B822">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1.1.4招标文件（含澄清或者修改文件）；</w:t>
      </w:r>
    </w:p>
    <w:p w14:paraId="7109C51E">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1.1.5其他相关采购文件。</w:t>
      </w:r>
    </w:p>
    <w:p w14:paraId="1690E37A">
      <w:pPr>
        <w:keepNext w:val="0"/>
        <w:keepLines w:val="0"/>
        <w:pageBreakBefore w:val="0"/>
        <w:kinsoku/>
        <w:wordWrap/>
        <w:overflowPunct/>
        <w:topLinePunct w:val="0"/>
        <w:bidi w:val="0"/>
        <w:snapToGrid/>
        <w:spacing w:line="440" w:lineRule="exact"/>
        <w:ind w:firstLine="437"/>
        <w:textAlignment w:val="auto"/>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50" w:name="_Toc22185"/>
      <w:bookmarkStart w:id="51" w:name="_Toc6773"/>
      <w:bookmarkStart w:id="52" w:name="_Toc6311"/>
      <w:bookmarkStart w:id="53" w:name="_Toc18585"/>
      <w:bookmarkStart w:id="54" w:name="_Toc2918"/>
      <w:r>
        <w:rPr>
          <w:rFonts w:hint="eastAsia" w:ascii="宋体" w:hAnsi="宋体" w:eastAsia="宋体" w:cs="宋体"/>
          <w:b/>
          <w:bCs/>
          <w:color w:val="000000" w:themeColor="text1"/>
          <w:sz w:val="24"/>
          <w:szCs w:val="24"/>
          <w:highlight w:val="none"/>
          <w:lang w:val="zh-CN"/>
          <w14:textFill>
            <w14:solidFill>
              <w14:schemeClr w14:val="tx1"/>
            </w14:solidFill>
          </w14:textFill>
        </w:rPr>
        <w:t xml:space="preserve">1.2 </w:t>
      </w:r>
      <w:bookmarkEnd w:id="50"/>
      <w:bookmarkEnd w:id="51"/>
      <w:bookmarkEnd w:id="52"/>
      <w:bookmarkEnd w:id="53"/>
      <w:bookmarkEnd w:id="54"/>
      <w:r>
        <w:rPr>
          <w:rFonts w:hint="eastAsia" w:ascii="宋体" w:hAnsi="宋体" w:eastAsia="宋体" w:cs="宋体"/>
          <w:b/>
          <w:bCs/>
          <w:color w:val="000000" w:themeColor="text1"/>
          <w:sz w:val="24"/>
          <w:szCs w:val="24"/>
          <w:highlight w:val="none"/>
          <w:lang w:val="zh-CN"/>
          <w14:textFill>
            <w14:solidFill>
              <w14:schemeClr w14:val="tx1"/>
            </w14:solidFill>
          </w14:textFill>
        </w:rPr>
        <w:t>服务</w:t>
      </w:r>
    </w:p>
    <w:p w14:paraId="1DE7B4C0">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1.2.1服务名称：</w:t>
      </w:r>
      <w:r>
        <w:rPr>
          <w:rFonts w:hint="eastAsia" w:ascii="宋体" w:hAnsi="宋体" w:eastAsia="宋体" w:cs="宋体"/>
          <w:color w:val="000000" w:themeColor="text1"/>
          <w:sz w:val="24"/>
          <w:highlight w:val="none"/>
          <w:u w:val="single"/>
          <w:lang w:val="en-US" w:eastAsia="zh-CN"/>
          <w14:textFill>
            <w14:solidFill>
              <w14:schemeClr w14:val="tx1"/>
            </w14:solidFill>
          </w14:textFill>
        </w:rPr>
        <w:t>安徽省滁州市中级人民法院物业管理服务项目</w:t>
      </w:r>
      <w:r>
        <w:rPr>
          <w:rFonts w:hint="eastAsia" w:ascii="宋体" w:hAnsi="宋体" w:eastAsia="宋体" w:cs="宋体"/>
          <w:color w:val="000000" w:themeColor="text1"/>
          <w:sz w:val="24"/>
          <w:szCs w:val="24"/>
          <w:highlight w:val="none"/>
          <w14:textFill>
            <w14:solidFill>
              <w14:schemeClr w14:val="tx1"/>
            </w14:solidFill>
          </w14:textFill>
        </w:rPr>
        <w:t>；</w:t>
      </w:r>
    </w:p>
    <w:p w14:paraId="6AED8B23">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1.2.2服务内容：</w:t>
      </w:r>
      <w:r>
        <w:rPr>
          <w:rFonts w:hint="eastAsia" w:ascii="宋体" w:hAnsi="宋体" w:eastAsia="宋体" w:cs="宋体"/>
          <w:color w:val="auto"/>
          <w:sz w:val="24"/>
          <w:highlight w:val="none"/>
          <w:u w:val="single"/>
          <w:lang w:val="en-US" w:eastAsia="zh-CN"/>
        </w:rPr>
        <w:t>招标文件第三章采购需求全部内容</w:t>
      </w:r>
      <w:r>
        <w:rPr>
          <w:rFonts w:hint="eastAsia" w:ascii="宋体" w:hAnsi="宋体" w:eastAsia="宋体" w:cs="宋体"/>
          <w:color w:val="000000" w:themeColor="text1"/>
          <w:sz w:val="24"/>
          <w:szCs w:val="24"/>
          <w:highlight w:val="none"/>
          <w14:textFill>
            <w14:solidFill>
              <w14:schemeClr w14:val="tx1"/>
            </w14:solidFill>
          </w14:textFill>
        </w:rPr>
        <w:t>；</w:t>
      </w:r>
    </w:p>
    <w:p w14:paraId="3782B320">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1.2.3服务质量：</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满足招标文件要求、满足考核相关要求</w:t>
      </w:r>
      <w:r>
        <w:rPr>
          <w:rFonts w:hint="eastAsia" w:ascii="宋体" w:hAnsi="宋体" w:eastAsia="宋体" w:cs="宋体"/>
          <w:color w:val="000000" w:themeColor="text1"/>
          <w:sz w:val="24"/>
          <w:szCs w:val="24"/>
          <w:highlight w:val="none"/>
          <w14:textFill>
            <w14:solidFill>
              <w14:schemeClr w14:val="tx1"/>
            </w14:solidFill>
          </w14:textFill>
        </w:rPr>
        <w:t>。</w:t>
      </w:r>
    </w:p>
    <w:p w14:paraId="50EF8A8F">
      <w:pPr>
        <w:keepNext w:val="0"/>
        <w:keepLines w:val="0"/>
        <w:pageBreakBefore w:val="0"/>
        <w:kinsoku/>
        <w:wordWrap/>
        <w:overflowPunct/>
        <w:topLinePunct w:val="0"/>
        <w:bidi w:val="0"/>
        <w:snapToGrid/>
        <w:spacing w:line="440" w:lineRule="exact"/>
        <w:ind w:firstLine="437"/>
        <w:textAlignment w:val="auto"/>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55" w:name="_Toc23292"/>
      <w:bookmarkStart w:id="56" w:name="_Toc21631"/>
      <w:bookmarkStart w:id="57" w:name="_Toc21551"/>
      <w:r>
        <w:rPr>
          <w:rFonts w:hint="eastAsia" w:ascii="宋体" w:hAnsi="宋体" w:eastAsia="宋体" w:cs="宋体"/>
          <w:b/>
          <w:bCs/>
          <w:color w:val="000000" w:themeColor="text1"/>
          <w:sz w:val="24"/>
          <w:szCs w:val="24"/>
          <w:highlight w:val="none"/>
          <w:lang w:val="zh-CN"/>
          <w14:textFill>
            <w14:solidFill>
              <w14:schemeClr w14:val="tx1"/>
            </w14:solidFill>
          </w14:textFill>
        </w:rPr>
        <w:t>1.3 价款</w:t>
      </w:r>
      <w:bookmarkEnd w:id="55"/>
      <w:bookmarkEnd w:id="56"/>
      <w:bookmarkEnd w:id="57"/>
    </w:p>
    <w:p w14:paraId="69D420B3">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本合同总价为：￥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元（大写：人民币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w:t>
      </w:r>
    </w:p>
    <w:p w14:paraId="78901AF1">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分项价格：</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316"/>
        <w:gridCol w:w="12"/>
        <w:gridCol w:w="3225"/>
        <w:gridCol w:w="12"/>
      </w:tblGrid>
      <w:tr w14:paraId="1EDF7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vAlign w:val="center"/>
          </w:tcPr>
          <w:p w14:paraId="7ACF3E46">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序号</w:t>
            </w:r>
          </w:p>
        </w:tc>
        <w:tc>
          <w:tcPr>
            <w:tcW w:w="4316" w:type="dxa"/>
            <w:vAlign w:val="center"/>
          </w:tcPr>
          <w:p w14:paraId="30F83EE4">
            <w:pPr>
              <w:keepNext w:val="0"/>
              <w:keepLines w:val="0"/>
              <w:pageBreakBefore w:val="0"/>
              <w:kinsoku/>
              <w:wordWrap/>
              <w:overflowPunct/>
              <w:topLinePunct w:val="0"/>
              <w:bidi w:val="0"/>
              <w:snapToGrid/>
              <w:spacing w:line="440" w:lineRule="exact"/>
              <w:ind w:firstLine="2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分项名称</w:t>
            </w:r>
          </w:p>
        </w:tc>
        <w:tc>
          <w:tcPr>
            <w:tcW w:w="3237" w:type="dxa"/>
            <w:gridSpan w:val="2"/>
            <w:vAlign w:val="center"/>
          </w:tcPr>
          <w:p w14:paraId="5814A37F">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分项价格</w:t>
            </w:r>
          </w:p>
        </w:tc>
      </w:tr>
      <w:tr w14:paraId="09BA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2CD5E7FD">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w:t>
            </w:r>
          </w:p>
        </w:tc>
        <w:tc>
          <w:tcPr>
            <w:tcW w:w="4316" w:type="dxa"/>
            <w:vAlign w:val="center"/>
          </w:tcPr>
          <w:p w14:paraId="40E02483">
            <w:pPr>
              <w:keepNext w:val="0"/>
              <w:keepLines w:val="0"/>
              <w:pageBreakBefore w:val="0"/>
              <w:kinsoku/>
              <w:wordWrap/>
              <w:overflowPunct/>
              <w:topLinePunct w:val="0"/>
              <w:bidi w:val="0"/>
              <w:snapToGrid/>
              <w:spacing w:line="440" w:lineRule="exact"/>
              <w:ind w:firstLine="2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3237" w:type="dxa"/>
            <w:gridSpan w:val="2"/>
            <w:vAlign w:val="center"/>
          </w:tcPr>
          <w:p w14:paraId="630E6425">
            <w:pPr>
              <w:keepNext w:val="0"/>
              <w:keepLines w:val="0"/>
              <w:pageBreakBefore w:val="0"/>
              <w:kinsoku/>
              <w:wordWrap/>
              <w:overflowPunct/>
              <w:topLinePunct w:val="0"/>
              <w:bidi w:val="0"/>
              <w:snapToGrid/>
              <w:spacing w:line="440" w:lineRule="exact"/>
              <w:ind w:firstLine="2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18F58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57E4E455">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w:t>
            </w:r>
          </w:p>
        </w:tc>
        <w:tc>
          <w:tcPr>
            <w:tcW w:w="4316" w:type="dxa"/>
            <w:vAlign w:val="center"/>
          </w:tcPr>
          <w:p w14:paraId="34520E12">
            <w:pPr>
              <w:keepNext w:val="0"/>
              <w:keepLines w:val="0"/>
              <w:pageBreakBefore w:val="0"/>
              <w:kinsoku/>
              <w:wordWrap/>
              <w:overflowPunct/>
              <w:topLinePunct w:val="0"/>
              <w:bidi w:val="0"/>
              <w:snapToGrid/>
              <w:spacing w:line="440" w:lineRule="exact"/>
              <w:ind w:firstLine="2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3237" w:type="dxa"/>
            <w:gridSpan w:val="2"/>
            <w:vAlign w:val="center"/>
          </w:tcPr>
          <w:p w14:paraId="31B99015">
            <w:pPr>
              <w:keepNext w:val="0"/>
              <w:keepLines w:val="0"/>
              <w:pageBreakBefore w:val="0"/>
              <w:kinsoku/>
              <w:wordWrap/>
              <w:overflowPunct/>
              <w:topLinePunct w:val="0"/>
              <w:bidi w:val="0"/>
              <w:snapToGrid/>
              <w:spacing w:line="440" w:lineRule="exact"/>
              <w:ind w:firstLine="2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4676B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1B5A80C5">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w:t>
            </w:r>
          </w:p>
        </w:tc>
        <w:tc>
          <w:tcPr>
            <w:tcW w:w="4316" w:type="dxa"/>
            <w:vAlign w:val="center"/>
          </w:tcPr>
          <w:p w14:paraId="64EAB59B">
            <w:pPr>
              <w:keepNext w:val="0"/>
              <w:keepLines w:val="0"/>
              <w:pageBreakBefore w:val="0"/>
              <w:kinsoku/>
              <w:wordWrap/>
              <w:overflowPunct/>
              <w:topLinePunct w:val="0"/>
              <w:bidi w:val="0"/>
              <w:snapToGrid/>
              <w:spacing w:line="440" w:lineRule="exact"/>
              <w:ind w:firstLine="2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3237" w:type="dxa"/>
            <w:gridSpan w:val="2"/>
            <w:vAlign w:val="center"/>
          </w:tcPr>
          <w:p w14:paraId="23E6F715">
            <w:pPr>
              <w:keepNext w:val="0"/>
              <w:keepLines w:val="0"/>
              <w:pageBreakBefore w:val="0"/>
              <w:kinsoku/>
              <w:wordWrap/>
              <w:overflowPunct/>
              <w:topLinePunct w:val="0"/>
              <w:bidi w:val="0"/>
              <w:snapToGrid/>
              <w:spacing w:line="440" w:lineRule="exact"/>
              <w:ind w:firstLine="2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077C7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68304B15">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w:t>
            </w:r>
          </w:p>
        </w:tc>
        <w:tc>
          <w:tcPr>
            <w:tcW w:w="4316" w:type="dxa"/>
            <w:vAlign w:val="center"/>
          </w:tcPr>
          <w:p w14:paraId="39A7AE61">
            <w:pPr>
              <w:keepNext w:val="0"/>
              <w:keepLines w:val="0"/>
              <w:pageBreakBefore w:val="0"/>
              <w:kinsoku/>
              <w:wordWrap/>
              <w:overflowPunct/>
              <w:topLinePunct w:val="0"/>
              <w:bidi w:val="0"/>
              <w:snapToGrid/>
              <w:spacing w:line="440" w:lineRule="exact"/>
              <w:ind w:firstLine="2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3237" w:type="dxa"/>
            <w:gridSpan w:val="2"/>
            <w:vAlign w:val="center"/>
          </w:tcPr>
          <w:p w14:paraId="3E181977">
            <w:pPr>
              <w:keepNext w:val="0"/>
              <w:keepLines w:val="0"/>
              <w:pageBreakBefore w:val="0"/>
              <w:kinsoku/>
              <w:wordWrap/>
              <w:overflowPunct/>
              <w:topLinePunct w:val="0"/>
              <w:bidi w:val="0"/>
              <w:snapToGrid/>
              <w:spacing w:line="440" w:lineRule="exact"/>
              <w:ind w:firstLine="2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2E6B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vAlign w:val="center"/>
          </w:tcPr>
          <w:p w14:paraId="65E29031">
            <w:pPr>
              <w:keepNext w:val="0"/>
              <w:keepLines w:val="0"/>
              <w:pageBreakBefore w:val="0"/>
              <w:kinsoku/>
              <w:wordWrap/>
              <w:overflowPunct/>
              <w:topLinePunct w:val="0"/>
              <w:bidi w:val="0"/>
              <w:snapToGrid/>
              <w:spacing w:line="440" w:lineRule="exact"/>
              <w:ind w:firstLine="2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总价</w:t>
            </w:r>
          </w:p>
        </w:tc>
        <w:tc>
          <w:tcPr>
            <w:tcW w:w="3237" w:type="dxa"/>
            <w:gridSpan w:val="2"/>
            <w:vAlign w:val="center"/>
          </w:tcPr>
          <w:p w14:paraId="2927421B">
            <w:pPr>
              <w:keepNext w:val="0"/>
              <w:keepLines w:val="0"/>
              <w:pageBreakBefore w:val="0"/>
              <w:kinsoku/>
              <w:wordWrap/>
              <w:overflowPunct/>
              <w:topLinePunct w:val="0"/>
              <w:bidi w:val="0"/>
              <w:snapToGrid/>
              <w:spacing w:line="440" w:lineRule="exact"/>
              <w:ind w:firstLine="2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bl>
    <w:p w14:paraId="58DC5C17">
      <w:pPr>
        <w:keepNext w:val="0"/>
        <w:keepLines w:val="0"/>
        <w:pageBreakBefore w:val="0"/>
        <w:kinsoku/>
        <w:wordWrap/>
        <w:overflowPunct/>
        <w:topLinePunct w:val="0"/>
        <w:bidi w:val="0"/>
        <w:snapToGrid/>
        <w:spacing w:line="440" w:lineRule="exact"/>
        <w:ind w:firstLine="437"/>
        <w:textAlignment w:val="auto"/>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58" w:name="_Toc22618"/>
      <w:bookmarkStart w:id="59" w:name="_Toc1814"/>
      <w:bookmarkStart w:id="60" w:name="_Toc10340"/>
      <w:r>
        <w:rPr>
          <w:rFonts w:hint="eastAsia" w:ascii="宋体" w:hAnsi="宋体" w:eastAsia="宋体" w:cs="宋体"/>
          <w:b/>
          <w:bCs/>
          <w:color w:val="000000" w:themeColor="text1"/>
          <w:sz w:val="24"/>
          <w:szCs w:val="24"/>
          <w:highlight w:val="none"/>
          <w:lang w:val="zh-CN"/>
          <w14:textFill>
            <w14:solidFill>
              <w14:schemeClr w14:val="tx1"/>
            </w14:solidFill>
          </w14:textFill>
        </w:rPr>
        <w:t>1.4 付款方式和发票开具方式</w:t>
      </w:r>
      <w:bookmarkEnd w:id="58"/>
      <w:bookmarkEnd w:id="59"/>
      <w:bookmarkEnd w:id="60"/>
    </w:p>
    <w:p w14:paraId="761B4F7D">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1.4.1付款方式：</w:t>
      </w:r>
      <w:r>
        <w:rPr>
          <w:rFonts w:hint="eastAsia" w:ascii="宋体" w:hAnsi="宋体" w:eastAsia="宋体" w:cs="宋体"/>
          <w:b w:val="0"/>
          <w:color w:val="auto"/>
          <w:sz w:val="24"/>
          <w:highlight w:val="none"/>
          <w:u w:val="single"/>
          <w:lang w:eastAsia="zh-CN"/>
        </w:rPr>
        <w:t>合同签订生效并具备实施条件后5个工作日内支付合同金额的40%作为预付款；考核合格后，采购人按季度支付费用（扣除预付款部分），考核不合格，采购人依据考核情况酌情扣减物业服务费且同步进行整改。若整改仍不合格的终止合同</w:t>
      </w:r>
      <w:r>
        <w:rPr>
          <w:rFonts w:hint="eastAsia" w:ascii="宋体" w:hAnsi="宋体" w:eastAsia="宋体" w:cs="宋体"/>
          <w:color w:val="000000" w:themeColor="text1"/>
          <w:sz w:val="24"/>
          <w:szCs w:val="24"/>
          <w:highlight w:val="none"/>
          <w14:textFill>
            <w14:solidFill>
              <w14:schemeClr w14:val="tx1"/>
            </w14:solidFill>
          </w14:textFill>
        </w:rPr>
        <w:t>；</w:t>
      </w:r>
    </w:p>
    <w:p w14:paraId="4B47D22E">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1.4.2发票开具方式：</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开具符合要求的增值税专用发票</w:t>
      </w:r>
      <w:r>
        <w:rPr>
          <w:rFonts w:hint="eastAsia" w:ascii="宋体" w:hAnsi="宋体" w:eastAsia="宋体" w:cs="宋体"/>
          <w:color w:val="000000" w:themeColor="text1"/>
          <w:sz w:val="24"/>
          <w:szCs w:val="24"/>
          <w:highlight w:val="none"/>
          <w14:textFill>
            <w14:solidFill>
              <w14:schemeClr w14:val="tx1"/>
            </w14:solidFill>
          </w14:textFill>
        </w:rPr>
        <w:t>。</w:t>
      </w:r>
    </w:p>
    <w:p w14:paraId="1540AD4C">
      <w:pPr>
        <w:keepNext w:val="0"/>
        <w:keepLines w:val="0"/>
        <w:pageBreakBefore w:val="0"/>
        <w:kinsoku/>
        <w:wordWrap/>
        <w:overflowPunct/>
        <w:topLinePunct w:val="0"/>
        <w:bidi w:val="0"/>
        <w:snapToGrid/>
        <w:spacing w:line="440" w:lineRule="exact"/>
        <w:ind w:firstLine="437"/>
        <w:textAlignment w:val="auto"/>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61" w:name="_Toc2846"/>
      <w:bookmarkStart w:id="62" w:name="_Toc19304"/>
      <w:bookmarkStart w:id="63" w:name="_Toc32071"/>
      <w:r>
        <w:rPr>
          <w:rFonts w:hint="eastAsia" w:ascii="宋体" w:hAnsi="宋体" w:eastAsia="宋体" w:cs="宋体"/>
          <w:b/>
          <w:bCs/>
          <w:color w:val="000000" w:themeColor="text1"/>
          <w:sz w:val="24"/>
          <w:szCs w:val="24"/>
          <w:highlight w:val="none"/>
          <w:lang w:val="zh-CN"/>
          <w14:textFill>
            <w14:solidFill>
              <w14:schemeClr w14:val="tx1"/>
            </w14:solidFill>
          </w14:textFill>
        </w:rPr>
        <w:t>1.5 服务期限、地点和方式</w:t>
      </w:r>
      <w:bookmarkEnd w:id="61"/>
      <w:bookmarkEnd w:id="62"/>
      <w:bookmarkEnd w:id="63"/>
    </w:p>
    <w:p w14:paraId="02E6C0B8">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1.5.1服务期限：</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196EA7F1">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1.5.2服务地点：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03CB1CDE">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1.5.3服务方式：</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2C74C67D">
      <w:pPr>
        <w:keepNext w:val="0"/>
        <w:keepLines w:val="0"/>
        <w:pageBreakBefore w:val="0"/>
        <w:kinsoku/>
        <w:wordWrap/>
        <w:overflowPunct/>
        <w:topLinePunct w:val="0"/>
        <w:bidi w:val="0"/>
        <w:snapToGrid/>
        <w:spacing w:line="440" w:lineRule="exact"/>
        <w:ind w:firstLine="437"/>
        <w:textAlignment w:val="auto"/>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64" w:name="_Toc27250"/>
      <w:bookmarkStart w:id="65" w:name="_Toc19554"/>
      <w:bookmarkStart w:id="66" w:name="_Toc21423"/>
      <w:r>
        <w:rPr>
          <w:rFonts w:hint="eastAsia" w:ascii="宋体" w:hAnsi="宋体" w:eastAsia="宋体" w:cs="宋体"/>
          <w:b/>
          <w:bCs/>
          <w:color w:val="000000" w:themeColor="text1"/>
          <w:sz w:val="24"/>
          <w:szCs w:val="24"/>
          <w:highlight w:val="none"/>
          <w:lang w:val="zh-CN"/>
          <w14:textFill>
            <w14:solidFill>
              <w14:schemeClr w14:val="tx1"/>
            </w14:solidFill>
          </w14:textFill>
        </w:rPr>
        <w:t>1.6 违约责任</w:t>
      </w:r>
      <w:bookmarkEnd w:id="64"/>
      <w:bookmarkEnd w:id="65"/>
      <w:bookmarkEnd w:id="66"/>
    </w:p>
    <w:p w14:paraId="48CD8E75">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0.5</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%计算，最高限额为本合同总价的</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%；迟延履行的违约金计算数额达到前述最高限额之日起，甲方有权在要求乙方支付违约金的同时，书面通知乙方解除本合同；</w:t>
      </w:r>
    </w:p>
    <w:p w14:paraId="2E352AE8">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1.6.2除不可抗力外，如果甲方没有按照本合同约定的付款方式付款，那么乙方可要求甲方支付违约金，违约金按每迟延付款一日的应付而未付款的</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0.5</w:t>
      </w:r>
      <w:r>
        <w:rPr>
          <w:rFonts w:hint="eastAsia" w:ascii="宋体" w:hAnsi="宋体" w:eastAsia="宋体" w:cs="宋体"/>
          <w:color w:val="000000" w:themeColor="text1"/>
          <w:sz w:val="24"/>
          <w:szCs w:val="24"/>
          <w:highlight w:val="none"/>
          <w14:textFill>
            <w14:solidFill>
              <w14:schemeClr w14:val="tx1"/>
            </w14:solidFill>
          </w14:textFill>
        </w:rPr>
        <w:t>%计算，最高限额为本合同总价的</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%；迟延付款的违约金计算数额达到前述最高限额之日起，乙方有权在要求甲方支付违约金的同时，书面通知甲方解除本合同；</w:t>
      </w:r>
    </w:p>
    <w:p w14:paraId="004C10C0">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0BD8FE">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DDA8856">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22B5D6F">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1.6.6如果出现政府采购监督管理部门在处理投诉事项期间，书面通知甲方暂停采购活动的情形，或者询问或质疑事项可能影响中标结果的，导致甲方中止履行合同的情形，均不视为甲方违约。</w:t>
      </w:r>
    </w:p>
    <w:p w14:paraId="3799DD10">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1.6.7因甲方未按合同约定支付价款、未按合同约定受领标的物、擅自解除合同</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逾期退还履约保证金导致乙方遭受的直接损失，乙方可向甲方申请赔偿，赔偿金额由双方协商一致；针对因政策变化等原因不能签订合同或解除合同时，造成乙方合法利益受损的情形，可以给予乙方合理补偿，补偿金额不得超过乙方的直接损失。</w:t>
      </w:r>
    </w:p>
    <w:p w14:paraId="72FC1CAB">
      <w:pPr>
        <w:keepNext w:val="0"/>
        <w:keepLines w:val="0"/>
        <w:pageBreakBefore w:val="0"/>
        <w:kinsoku/>
        <w:wordWrap/>
        <w:overflowPunct/>
        <w:topLinePunct w:val="0"/>
        <w:bidi w:val="0"/>
        <w:snapToGrid/>
        <w:spacing w:line="440" w:lineRule="exact"/>
        <w:ind w:firstLine="437"/>
        <w:textAlignment w:val="auto"/>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67" w:name="_Toc16021"/>
      <w:bookmarkStart w:id="68" w:name="_Toc15583"/>
      <w:bookmarkStart w:id="69" w:name="_Toc28375"/>
      <w:r>
        <w:rPr>
          <w:rFonts w:hint="eastAsia" w:ascii="宋体" w:hAnsi="宋体" w:eastAsia="宋体" w:cs="宋体"/>
          <w:b/>
          <w:bCs/>
          <w:color w:val="000000" w:themeColor="text1"/>
          <w:sz w:val="24"/>
          <w:szCs w:val="24"/>
          <w:highlight w:val="none"/>
          <w:lang w:val="zh-CN"/>
          <w14:textFill>
            <w14:solidFill>
              <w14:schemeClr w14:val="tx1"/>
            </w14:solidFill>
          </w14:textFill>
        </w:rPr>
        <w:t>1.7 合同争议的解决</w:t>
      </w:r>
      <w:bookmarkEnd w:id="67"/>
      <w:bookmarkEnd w:id="68"/>
      <w:bookmarkEnd w:id="69"/>
    </w:p>
    <w:p w14:paraId="7E8789C9">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本合同履行过程中发生的任何争议，双方当事人均可通过和解或者调解解决；不愿和解、调解或者和解、调解不成的，可以选择下列第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2 </w:t>
      </w:r>
      <w:r>
        <w:rPr>
          <w:rFonts w:hint="eastAsia" w:ascii="宋体" w:hAnsi="宋体" w:eastAsia="宋体" w:cs="宋体"/>
          <w:color w:val="000000" w:themeColor="text1"/>
          <w:sz w:val="24"/>
          <w:szCs w:val="24"/>
          <w:highlight w:val="none"/>
          <w14:textFill>
            <w14:solidFill>
              <w14:schemeClr w14:val="tx1"/>
            </w14:solidFill>
          </w14:textFill>
        </w:rPr>
        <w:t>种方式解决：</w:t>
      </w:r>
    </w:p>
    <w:p w14:paraId="145445C3">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1.7.1将争议提交</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滁州</w:t>
      </w:r>
      <w:r>
        <w:rPr>
          <w:rFonts w:hint="eastAsia" w:ascii="宋体" w:hAnsi="宋体" w:eastAsia="宋体" w:cs="宋体"/>
          <w:color w:val="000000" w:themeColor="text1"/>
          <w:sz w:val="24"/>
          <w:szCs w:val="24"/>
          <w:highlight w:val="none"/>
          <w14:textFill>
            <w14:solidFill>
              <w14:schemeClr w14:val="tx1"/>
            </w14:solidFill>
          </w14:textFill>
        </w:rPr>
        <w:t>仲裁委员会依申请仲裁时其现行有效的仲裁规则裁决；</w:t>
      </w:r>
    </w:p>
    <w:p w14:paraId="1E8D2F04">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1.7.2向</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项目所在地</w:t>
      </w:r>
      <w:r>
        <w:rPr>
          <w:rFonts w:hint="eastAsia" w:ascii="宋体" w:hAnsi="宋体" w:eastAsia="宋体" w:cs="宋体"/>
          <w:color w:val="000000" w:themeColor="text1"/>
          <w:sz w:val="24"/>
          <w:szCs w:val="24"/>
          <w:highlight w:val="none"/>
          <w14:textFill>
            <w14:solidFill>
              <w14:schemeClr w14:val="tx1"/>
            </w14:solidFill>
          </w14:textFill>
        </w:rPr>
        <w:t>人民法院起诉。</w:t>
      </w:r>
    </w:p>
    <w:p w14:paraId="0DA70AC7">
      <w:pPr>
        <w:keepNext w:val="0"/>
        <w:keepLines w:val="0"/>
        <w:pageBreakBefore w:val="0"/>
        <w:kinsoku/>
        <w:wordWrap/>
        <w:overflowPunct/>
        <w:topLinePunct w:val="0"/>
        <w:bidi w:val="0"/>
        <w:snapToGrid/>
        <w:spacing w:line="440" w:lineRule="exact"/>
        <w:ind w:firstLine="437"/>
        <w:textAlignment w:val="auto"/>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70" w:name="_Toc11173"/>
      <w:bookmarkStart w:id="71" w:name="_Toc7245"/>
      <w:bookmarkStart w:id="72" w:name="_Toc15322"/>
      <w:r>
        <w:rPr>
          <w:rFonts w:hint="eastAsia" w:ascii="宋体" w:hAnsi="宋体" w:eastAsia="宋体" w:cs="宋体"/>
          <w:b/>
          <w:bCs/>
          <w:color w:val="000000" w:themeColor="text1"/>
          <w:sz w:val="24"/>
          <w:szCs w:val="24"/>
          <w:highlight w:val="none"/>
          <w:lang w:val="zh-CN"/>
          <w14:textFill>
            <w14:solidFill>
              <w14:schemeClr w14:val="tx1"/>
            </w14:solidFill>
          </w14:textFill>
        </w:rPr>
        <w:t>1.8 合同生效</w:t>
      </w:r>
      <w:bookmarkEnd w:id="70"/>
      <w:bookmarkEnd w:id="71"/>
      <w:bookmarkEnd w:id="72"/>
    </w:p>
    <w:p w14:paraId="56910038">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本合同自双方当事人盖章时生效。</w:t>
      </w:r>
    </w:p>
    <w:p w14:paraId="72EE0B70">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p w14:paraId="503B458F">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p w14:paraId="4500C6D4">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p w14:paraId="7278351C">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甲    方：</w:t>
      </w:r>
      <w:r>
        <w:rPr>
          <w:rFonts w:hint="eastAsia" w:ascii="宋体" w:hAnsi="宋体" w:eastAsia="宋体" w:cs="宋体"/>
          <w:bCs/>
          <w:color w:val="000000" w:themeColor="text1"/>
          <w:sz w:val="24"/>
          <w:szCs w:val="24"/>
          <w:highlight w:val="none"/>
          <w:u w:val="single"/>
          <w:lang w:val="zh-CN"/>
          <w14:textFill>
            <w14:solidFill>
              <w14:schemeClr w14:val="tx1"/>
            </w14:solidFill>
          </w14:textFill>
        </w:rPr>
        <w:t xml:space="preserve">    （单位盖章）     </w:t>
      </w:r>
      <w:r>
        <w:rPr>
          <w:rFonts w:hint="eastAsia" w:ascii="宋体" w:hAnsi="宋体" w:eastAsia="宋体" w:cs="宋体"/>
          <w:bCs/>
          <w:color w:val="000000" w:themeColor="text1"/>
          <w:sz w:val="24"/>
          <w:szCs w:val="24"/>
          <w:highlight w:val="none"/>
          <w:lang w:val="zh-CN"/>
          <w14:textFill>
            <w14:solidFill>
              <w14:schemeClr w14:val="tx1"/>
            </w14:solidFill>
          </w14:textFill>
        </w:rPr>
        <w:t xml:space="preserve">          乙方：</w:t>
      </w:r>
      <w:r>
        <w:rPr>
          <w:rFonts w:hint="eastAsia" w:ascii="宋体" w:hAnsi="宋体" w:eastAsia="宋体" w:cs="宋体"/>
          <w:bCs/>
          <w:color w:val="000000" w:themeColor="text1"/>
          <w:sz w:val="24"/>
          <w:szCs w:val="24"/>
          <w:highlight w:val="none"/>
          <w:u w:val="single"/>
          <w:lang w:val="zh-CN"/>
          <w14:textFill>
            <w14:solidFill>
              <w14:schemeClr w14:val="tx1"/>
            </w14:solidFill>
          </w14:textFill>
        </w:rPr>
        <w:t xml:space="preserve">    （单位盖章）     </w:t>
      </w:r>
    </w:p>
    <w:p w14:paraId="5615203A">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法定代表人                               法定代表人</w:t>
      </w:r>
    </w:p>
    <w:p w14:paraId="2EF291FF">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或授权代表（签字）：                      或授权代表（签字）：</w:t>
      </w:r>
    </w:p>
    <w:p w14:paraId="6194407E">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bookmarkStart w:id="73" w:name="_Toc331685783"/>
      <w:r>
        <w:rPr>
          <w:rFonts w:hint="eastAsia" w:ascii="宋体" w:hAnsi="宋体" w:eastAsia="宋体" w:cs="宋体"/>
          <w:bCs/>
          <w:color w:val="000000" w:themeColor="text1"/>
          <w:sz w:val="24"/>
          <w:szCs w:val="24"/>
          <w:highlight w:val="none"/>
          <w14:textFill>
            <w14:solidFill>
              <w14:schemeClr w14:val="tx1"/>
            </w14:solidFill>
          </w14:textFill>
        </w:rPr>
        <w:t>时间：</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年</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月</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日               时间：</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年</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月</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日</w:t>
      </w:r>
    </w:p>
    <w:p w14:paraId="1A5B982F">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bookmarkStart w:id="74" w:name="_Hlk110099149"/>
      <w:r>
        <w:rPr>
          <w:rFonts w:hint="eastAsia" w:ascii="宋体" w:hAnsi="宋体" w:eastAsia="宋体" w:cs="宋体"/>
          <w:color w:val="000000" w:themeColor="text1"/>
          <w:sz w:val="24"/>
          <w:szCs w:val="24"/>
          <w:highlight w:val="none"/>
          <w14:textFill>
            <w14:solidFill>
              <w14:schemeClr w14:val="tx1"/>
            </w14:solidFill>
          </w14:textFill>
        </w:rPr>
        <w:t>乙方账户信息</w:t>
      </w:r>
    </w:p>
    <w:p w14:paraId="3538CDC3">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户名：</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00869646">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账号：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EED180F">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开户银行：</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bookmarkEnd w:id="74"/>
    <w:p w14:paraId="0AD5CCC9">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br w:type="page"/>
      </w:r>
    </w:p>
    <w:p w14:paraId="3823F0AF">
      <w:pPr>
        <w:keepNext w:val="0"/>
        <w:keepLines w:val="0"/>
        <w:pageBreakBefore w:val="0"/>
        <w:kinsoku/>
        <w:wordWrap/>
        <w:overflowPunct/>
        <w:topLinePunct w:val="0"/>
        <w:bidi w:val="0"/>
        <w:snapToGrid/>
        <w:spacing w:line="440" w:lineRule="exact"/>
        <w:jc w:val="center"/>
        <w:textAlignment w:val="auto"/>
        <w:outlineLvl w:val="1"/>
        <w:rPr>
          <w:rFonts w:hint="eastAsia" w:ascii="宋体" w:hAnsi="宋体" w:eastAsia="宋体" w:cs="宋体"/>
          <w:b/>
          <w:color w:val="000000" w:themeColor="text1"/>
          <w:sz w:val="24"/>
          <w:highlight w:val="none"/>
          <w14:textFill>
            <w14:solidFill>
              <w14:schemeClr w14:val="tx1"/>
            </w14:solidFill>
          </w14:textFill>
        </w:rPr>
      </w:pPr>
      <w:bookmarkStart w:id="75" w:name="_Toc415"/>
      <w:r>
        <w:rPr>
          <w:rFonts w:hint="eastAsia" w:ascii="宋体" w:hAnsi="宋体" w:eastAsia="宋体" w:cs="宋体"/>
          <w:b/>
          <w:color w:val="000000" w:themeColor="text1"/>
          <w:sz w:val="24"/>
          <w:highlight w:val="none"/>
          <w14:textFill>
            <w14:solidFill>
              <w14:schemeClr w14:val="tx1"/>
            </w14:solidFill>
          </w14:textFill>
        </w:rPr>
        <w:t>第二部分 合同一般条款</w:t>
      </w:r>
      <w:bookmarkEnd w:id="73"/>
      <w:bookmarkEnd w:id="75"/>
    </w:p>
    <w:p w14:paraId="2A32C6B3">
      <w:pPr>
        <w:keepNext w:val="0"/>
        <w:keepLines w:val="0"/>
        <w:pageBreakBefore w:val="0"/>
        <w:kinsoku/>
        <w:wordWrap/>
        <w:overflowPunct/>
        <w:topLinePunct w:val="0"/>
        <w:bidi w:val="0"/>
        <w:snapToGrid/>
        <w:spacing w:line="440" w:lineRule="exact"/>
        <w:ind w:firstLine="437"/>
        <w:textAlignment w:val="auto"/>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76" w:name="_Toc28763"/>
      <w:bookmarkStart w:id="77" w:name="_Ref467379101"/>
      <w:bookmarkStart w:id="78" w:name="_Toc16917"/>
      <w:bookmarkStart w:id="79" w:name="_Ref467378463"/>
      <w:bookmarkStart w:id="80" w:name="_Toc259093669"/>
      <w:bookmarkStart w:id="81" w:name="_Ref467379109"/>
      <w:bookmarkStart w:id="82" w:name="_Ref467379094"/>
      <w:bookmarkStart w:id="83" w:name="_Ref467379214"/>
      <w:bookmarkStart w:id="84" w:name="_Ref467378499"/>
      <w:bookmarkStart w:id="85" w:name="_Toc279701240"/>
      <w:bookmarkStart w:id="86" w:name="_Toc19614"/>
      <w:bookmarkStart w:id="87" w:name="_Toc487900349"/>
      <w:bookmarkStart w:id="88" w:name="_Ref467379225"/>
      <w:bookmarkStart w:id="89" w:name="_Ref467379195"/>
      <w:bookmarkStart w:id="90" w:name="_Ref467378404"/>
      <w:bookmarkStart w:id="91" w:name="_Ref467379205"/>
      <w:r>
        <w:rPr>
          <w:rFonts w:hint="eastAsia" w:ascii="宋体" w:hAnsi="宋体" w:eastAsia="宋体" w:cs="宋体"/>
          <w:b/>
          <w:bCs/>
          <w:color w:val="000000" w:themeColor="text1"/>
          <w:sz w:val="24"/>
          <w:szCs w:val="24"/>
          <w:highlight w:val="none"/>
          <w:lang w:val="zh-CN"/>
          <w14:textFill>
            <w14:solidFill>
              <w14:schemeClr w14:val="tx1"/>
            </w14:solidFill>
          </w14:textFill>
        </w:rPr>
        <w:t>2.1 定义</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0EF83185">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本合同中的下列词语应按以下内容进行解释：</w:t>
      </w:r>
    </w:p>
    <w:p w14:paraId="591BC22C">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2.1.1“合同”系指采购人和中标人签订的载明双方当事人所达成的协议，并包括所有的附件、附录和构成合同的其他文件。</w:t>
      </w:r>
    </w:p>
    <w:p w14:paraId="6EBA5F6C">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2.1.2“合同价”系指根据合同约定，中标人在完全履行合同义务后，采购人应支付给中标人的价格。</w:t>
      </w:r>
    </w:p>
    <w:p w14:paraId="1625BBF1">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2.1.3“服务”系指中标人根据合同约定应向采购人履行的除货物和工程以外的其他政府采购对象，包括采购人自身需要的服务和向社会公众提供的公共服务。</w:t>
      </w:r>
    </w:p>
    <w:p w14:paraId="32A2E71B">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92" w:name="_Ref467378840"/>
      <w:r>
        <w:rPr>
          <w:rFonts w:hint="eastAsia" w:ascii="宋体" w:hAnsi="宋体" w:eastAsia="宋体" w:cs="宋体"/>
          <w:color w:val="000000" w:themeColor="text1"/>
          <w:sz w:val="24"/>
          <w:szCs w:val="24"/>
          <w:highlight w:val="none"/>
          <w14:textFill>
            <w14:solidFill>
              <w14:schemeClr w14:val="tx1"/>
            </w14:solidFill>
          </w14:textFill>
        </w:rPr>
        <w:t>2.1.4“甲方”系指与中标人签署合同的采购人</w:t>
      </w:r>
      <w:bookmarkEnd w:id="92"/>
      <w:r>
        <w:rPr>
          <w:rFonts w:hint="eastAsia" w:ascii="宋体" w:hAnsi="宋体" w:eastAsia="宋体" w:cs="宋体"/>
          <w:color w:val="000000" w:themeColor="text1"/>
          <w:sz w:val="24"/>
          <w:szCs w:val="24"/>
          <w:highlight w:val="none"/>
          <w14:textFill>
            <w14:solidFill>
              <w14:schemeClr w14:val="tx1"/>
            </w14:solidFill>
          </w14:textFill>
        </w:rPr>
        <w:t>；采购人委托采购代理机构代表其与乙方签订合同的，采购人的授权委托书作为合同附件。</w:t>
      </w:r>
    </w:p>
    <w:p w14:paraId="6F857E47">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93" w:name="_Ref467379400"/>
      <w:r>
        <w:rPr>
          <w:rFonts w:hint="eastAsia" w:ascii="宋体" w:hAnsi="宋体" w:eastAsia="宋体" w:cs="宋体"/>
          <w:color w:val="000000" w:themeColor="text1"/>
          <w:sz w:val="24"/>
          <w:szCs w:val="24"/>
          <w:highlight w:val="none"/>
          <w14:textFill>
            <w14:solidFill>
              <w14:schemeClr w14:val="tx1"/>
            </w14:solidFill>
          </w14:textFill>
        </w:rPr>
        <w:t>2.1.5“乙方”系指根据合同约定提供服务的中标人</w:t>
      </w:r>
      <w:bookmarkEnd w:id="93"/>
      <w:r>
        <w:rPr>
          <w:rFonts w:hint="eastAsia" w:ascii="宋体" w:hAnsi="宋体" w:eastAsia="宋体" w:cs="宋体"/>
          <w:color w:val="000000" w:themeColor="text1"/>
          <w:sz w:val="24"/>
          <w:szCs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101016A">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94" w:name="_Ref467379436"/>
      <w:r>
        <w:rPr>
          <w:rFonts w:hint="eastAsia" w:ascii="宋体" w:hAnsi="宋体" w:eastAsia="宋体" w:cs="宋体"/>
          <w:color w:val="000000" w:themeColor="text1"/>
          <w:sz w:val="24"/>
          <w:szCs w:val="24"/>
          <w:highlight w:val="none"/>
          <w14:textFill>
            <w14:solidFill>
              <w14:schemeClr w14:val="tx1"/>
            </w14:solidFill>
          </w14:textFill>
        </w:rPr>
        <w:t>2.1.6“现场”系指合同约定提供服务的地点。</w:t>
      </w:r>
      <w:bookmarkEnd w:id="94"/>
    </w:p>
    <w:p w14:paraId="0099A445">
      <w:pPr>
        <w:keepNext w:val="0"/>
        <w:keepLines w:val="0"/>
        <w:pageBreakBefore w:val="0"/>
        <w:kinsoku/>
        <w:wordWrap/>
        <w:overflowPunct/>
        <w:topLinePunct w:val="0"/>
        <w:bidi w:val="0"/>
        <w:snapToGrid/>
        <w:spacing w:line="440" w:lineRule="exact"/>
        <w:ind w:firstLine="437"/>
        <w:textAlignment w:val="auto"/>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95" w:name="_Toc32504"/>
      <w:bookmarkStart w:id="96" w:name="_Toc259093670"/>
      <w:bookmarkStart w:id="97" w:name="_Toc13336"/>
      <w:bookmarkStart w:id="98" w:name="_Toc487900350"/>
      <w:bookmarkStart w:id="99" w:name="_Toc279701241"/>
      <w:bookmarkStart w:id="100" w:name="_Toc27635"/>
      <w:r>
        <w:rPr>
          <w:rFonts w:hint="eastAsia" w:ascii="宋体" w:hAnsi="宋体" w:eastAsia="宋体" w:cs="宋体"/>
          <w:b/>
          <w:bCs/>
          <w:color w:val="000000" w:themeColor="text1"/>
          <w:sz w:val="24"/>
          <w:szCs w:val="24"/>
          <w:highlight w:val="none"/>
          <w:lang w:val="zh-CN"/>
          <w14:textFill>
            <w14:solidFill>
              <w14:schemeClr w14:val="tx1"/>
            </w14:solidFill>
          </w14:textFill>
        </w:rPr>
        <w:t>2.2 技术规范</w:t>
      </w:r>
      <w:bookmarkEnd w:id="95"/>
      <w:bookmarkEnd w:id="96"/>
      <w:bookmarkEnd w:id="97"/>
      <w:bookmarkEnd w:id="98"/>
      <w:bookmarkEnd w:id="99"/>
      <w:bookmarkEnd w:id="100"/>
    </w:p>
    <w:p w14:paraId="011434DA">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73AAE82">
      <w:pPr>
        <w:keepNext w:val="0"/>
        <w:keepLines w:val="0"/>
        <w:pageBreakBefore w:val="0"/>
        <w:kinsoku/>
        <w:wordWrap/>
        <w:overflowPunct/>
        <w:topLinePunct w:val="0"/>
        <w:bidi w:val="0"/>
        <w:snapToGrid/>
        <w:spacing w:line="440" w:lineRule="exact"/>
        <w:ind w:firstLine="437"/>
        <w:textAlignment w:val="auto"/>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01" w:name="_Toc9829"/>
      <w:bookmarkStart w:id="102" w:name="_Toc27853"/>
      <w:bookmarkStart w:id="103" w:name="_Toc31634"/>
      <w:bookmarkStart w:id="104" w:name="_Toc487900351"/>
      <w:bookmarkStart w:id="105" w:name="_Toc279701242"/>
      <w:bookmarkStart w:id="106" w:name="_Toc259093671"/>
      <w:r>
        <w:rPr>
          <w:rFonts w:hint="eastAsia" w:ascii="宋体" w:hAnsi="宋体" w:eastAsia="宋体" w:cs="宋体"/>
          <w:b/>
          <w:bCs/>
          <w:color w:val="000000" w:themeColor="text1"/>
          <w:sz w:val="24"/>
          <w:szCs w:val="24"/>
          <w:highlight w:val="none"/>
          <w:lang w:val="zh-CN"/>
          <w14:textFill>
            <w14:solidFill>
              <w14:schemeClr w14:val="tx1"/>
            </w14:solidFill>
          </w14:textFill>
        </w:rPr>
        <w:t>2.3 知识产权</w:t>
      </w:r>
      <w:bookmarkEnd w:id="101"/>
      <w:bookmarkEnd w:id="102"/>
      <w:bookmarkEnd w:id="103"/>
      <w:bookmarkEnd w:id="104"/>
      <w:bookmarkEnd w:id="105"/>
      <w:bookmarkEnd w:id="106"/>
    </w:p>
    <w:p w14:paraId="01A91E69">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017BF55F">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2.3.2具有知识产权的计算机软件等货物的知识产权归属，详见</w:t>
      </w:r>
      <w:r>
        <w:rPr>
          <w:rFonts w:hint="eastAsia" w:ascii="宋体" w:hAnsi="宋体" w:eastAsia="宋体" w:cs="宋体"/>
          <w:b/>
          <w:i/>
          <w:color w:val="000000" w:themeColor="text1"/>
          <w:sz w:val="24"/>
          <w:szCs w:val="24"/>
          <w:highlight w:val="none"/>
          <w:u w:val="single"/>
          <w14:textFill>
            <w14:solidFill>
              <w14:schemeClr w14:val="tx1"/>
            </w14:solidFill>
          </w14:textFill>
        </w:rPr>
        <w:t>合同专用条款</w:t>
      </w:r>
      <w:r>
        <w:rPr>
          <w:rFonts w:hint="eastAsia" w:ascii="宋体" w:hAnsi="宋体" w:eastAsia="宋体" w:cs="宋体"/>
          <w:color w:val="000000" w:themeColor="text1"/>
          <w:sz w:val="24"/>
          <w:szCs w:val="24"/>
          <w:highlight w:val="none"/>
          <w14:textFill>
            <w14:solidFill>
              <w14:schemeClr w14:val="tx1"/>
            </w14:solidFill>
          </w14:textFill>
        </w:rPr>
        <w:t>。</w:t>
      </w:r>
    </w:p>
    <w:p w14:paraId="6BAC253E">
      <w:pPr>
        <w:keepNext w:val="0"/>
        <w:keepLines w:val="0"/>
        <w:pageBreakBefore w:val="0"/>
        <w:kinsoku/>
        <w:wordWrap/>
        <w:overflowPunct/>
        <w:topLinePunct w:val="0"/>
        <w:bidi w:val="0"/>
        <w:snapToGrid/>
        <w:spacing w:line="440" w:lineRule="exact"/>
        <w:ind w:firstLine="437"/>
        <w:textAlignment w:val="auto"/>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07" w:name="_Ref467379527"/>
      <w:bookmarkStart w:id="108" w:name="_Toc487900354"/>
      <w:bookmarkStart w:id="109" w:name="_Ref467378541"/>
      <w:bookmarkStart w:id="110" w:name="_Ref467379536"/>
      <w:bookmarkStart w:id="111" w:name="_Toc279701245"/>
      <w:bookmarkStart w:id="112" w:name="_Ref467378591"/>
      <w:bookmarkStart w:id="113" w:name="_Toc259093674"/>
      <w:bookmarkStart w:id="114" w:name="_Ref467379542"/>
      <w:bookmarkStart w:id="115" w:name="_Toc26182"/>
      <w:bookmarkStart w:id="116" w:name="_Toc30272"/>
      <w:bookmarkStart w:id="117" w:name="_Toc19074"/>
      <w:r>
        <w:rPr>
          <w:rFonts w:hint="eastAsia" w:ascii="宋体" w:hAnsi="宋体" w:eastAsia="宋体" w:cs="宋体"/>
          <w:b/>
          <w:bCs/>
          <w:color w:val="000000" w:themeColor="text1"/>
          <w:sz w:val="24"/>
          <w:szCs w:val="24"/>
          <w:highlight w:val="none"/>
          <w:lang w:val="zh-CN"/>
          <w14:textFill>
            <w14:solidFill>
              <w14:schemeClr w14:val="tx1"/>
            </w14:solidFill>
          </w14:textFill>
        </w:rPr>
        <w:t>2.</w:t>
      </w:r>
      <w:bookmarkEnd w:id="107"/>
      <w:bookmarkEnd w:id="108"/>
      <w:bookmarkEnd w:id="109"/>
      <w:bookmarkEnd w:id="110"/>
      <w:bookmarkEnd w:id="111"/>
      <w:bookmarkEnd w:id="112"/>
      <w:bookmarkEnd w:id="113"/>
      <w:bookmarkEnd w:id="114"/>
      <w:r>
        <w:rPr>
          <w:rFonts w:hint="eastAsia" w:ascii="宋体" w:hAnsi="宋体" w:eastAsia="宋体" w:cs="宋体"/>
          <w:b/>
          <w:bCs/>
          <w:color w:val="000000" w:themeColor="text1"/>
          <w:sz w:val="24"/>
          <w:szCs w:val="24"/>
          <w:highlight w:val="none"/>
          <w:lang w:val="zh-CN"/>
          <w14:textFill>
            <w14:solidFill>
              <w14:schemeClr w14:val="tx1"/>
            </w14:solidFill>
          </w14:textFill>
        </w:rPr>
        <w:t>4 履约检查和问题反馈</w:t>
      </w:r>
      <w:bookmarkEnd w:id="115"/>
      <w:bookmarkEnd w:id="116"/>
      <w:bookmarkEnd w:id="117"/>
    </w:p>
    <w:p w14:paraId="5839E5B1">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18" w:name="_Toc186431854"/>
      <w:bookmarkStart w:id="119" w:name="_Toc279701247"/>
      <w:bookmarkStart w:id="120" w:name="_Ref467379793"/>
      <w:bookmarkStart w:id="121" w:name="_Toc259093676"/>
      <w:bookmarkStart w:id="122" w:name="_Ref467379807"/>
      <w:bookmarkStart w:id="123" w:name="_Toc487900357"/>
      <w:r>
        <w:rPr>
          <w:rFonts w:hint="eastAsia" w:ascii="宋体" w:hAnsi="宋体" w:eastAsia="宋体" w:cs="宋体"/>
          <w:color w:val="000000" w:themeColor="text1"/>
          <w:sz w:val="24"/>
          <w:szCs w:val="24"/>
          <w:highlight w:val="none"/>
          <w14:textFill>
            <w14:solidFill>
              <w14:schemeClr w14:val="tx1"/>
            </w14:solidFill>
          </w14:textFill>
        </w:rPr>
        <w:t>2.4.1甲方有权在其认为必要时，对乙方是否能够按照合同约定提供服务进行履约检查，以确保乙方所提供的服务能够依约满足甲方项目需求，但不得因履约检查妨碍乙方的正常工作，乙方应予积极配合；</w:t>
      </w:r>
    </w:p>
    <w:p w14:paraId="4ABC32C3">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2.4.2合同履行期间，甲方有权将履行过程中出现的问题反馈给乙方，双方当事人应以书面形式约定需要完善和改进的内容</w:t>
      </w:r>
      <w:bookmarkEnd w:id="118"/>
      <w:bookmarkStart w:id="124" w:name="_Toc186431855"/>
      <w:r>
        <w:rPr>
          <w:rFonts w:hint="eastAsia" w:ascii="宋体" w:hAnsi="宋体" w:eastAsia="宋体" w:cs="宋体"/>
          <w:color w:val="000000" w:themeColor="text1"/>
          <w:sz w:val="24"/>
          <w:szCs w:val="24"/>
          <w:highlight w:val="none"/>
          <w14:textFill>
            <w14:solidFill>
              <w14:schemeClr w14:val="tx1"/>
            </w14:solidFill>
          </w14:textFill>
        </w:rPr>
        <w:t>。</w:t>
      </w:r>
    </w:p>
    <w:bookmarkEnd w:id="124"/>
    <w:p w14:paraId="1445DAFC">
      <w:pPr>
        <w:keepNext w:val="0"/>
        <w:keepLines w:val="0"/>
        <w:pageBreakBefore w:val="0"/>
        <w:kinsoku/>
        <w:wordWrap/>
        <w:overflowPunct/>
        <w:topLinePunct w:val="0"/>
        <w:bidi w:val="0"/>
        <w:snapToGrid/>
        <w:spacing w:line="440" w:lineRule="exact"/>
        <w:ind w:firstLine="437"/>
        <w:textAlignment w:val="auto"/>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25" w:name="_Toc7836"/>
      <w:bookmarkStart w:id="126" w:name="_Toc28451"/>
      <w:bookmarkStart w:id="127" w:name="_Toc19219"/>
      <w:r>
        <w:rPr>
          <w:rFonts w:hint="eastAsia" w:ascii="宋体" w:hAnsi="宋体" w:eastAsia="宋体" w:cs="宋体"/>
          <w:b/>
          <w:bCs/>
          <w:color w:val="000000" w:themeColor="text1"/>
          <w:sz w:val="24"/>
          <w:szCs w:val="24"/>
          <w:highlight w:val="none"/>
          <w:lang w:val="zh-CN"/>
          <w14:textFill>
            <w14:solidFill>
              <w14:schemeClr w14:val="tx1"/>
            </w14:solidFill>
          </w14:textFill>
        </w:rPr>
        <w:t>2.5 结算方式和付款条件</w:t>
      </w:r>
      <w:bookmarkEnd w:id="119"/>
      <w:bookmarkEnd w:id="120"/>
      <w:bookmarkEnd w:id="121"/>
      <w:bookmarkEnd w:id="122"/>
      <w:bookmarkEnd w:id="123"/>
      <w:bookmarkEnd w:id="125"/>
      <w:bookmarkEnd w:id="126"/>
      <w:bookmarkEnd w:id="127"/>
    </w:p>
    <w:p w14:paraId="1713DF00">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w:t>
      </w:r>
      <w:r>
        <w:rPr>
          <w:rFonts w:hint="eastAsia" w:ascii="宋体" w:hAnsi="宋体" w:eastAsia="宋体" w:cs="宋体"/>
          <w:b/>
          <w:i/>
          <w:color w:val="000000" w:themeColor="text1"/>
          <w:sz w:val="24"/>
          <w:szCs w:val="24"/>
          <w:highlight w:val="none"/>
          <w:u w:val="single"/>
          <w14:textFill>
            <w14:solidFill>
              <w14:schemeClr w14:val="tx1"/>
            </w14:solidFill>
          </w14:textFill>
        </w:rPr>
        <w:t>合同专用条款</w:t>
      </w:r>
      <w:r>
        <w:rPr>
          <w:rFonts w:hint="eastAsia" w:ascii="宋体" w:hAnsi="宋体" w:eastAsia="宋体" w:cs="宋体"/>
          <w:color w:val="000000" w:themeColor="text1"/>
          <w:sz w:val="24"/>
          <w:szCs w:val="24"/>
          <w:highlight w:val="none"/>
          <w14:textFill>
            <w14:solidFill>
              <w14:schemeClr w14:val="tx1"/>
            </w14:solidFill>
          </w14:textFill>
        </w:rPr>
        <w:t>。</w:t>
      </w:r>
    </w:p>
    <w:p w14:paraId="14080273">
      <w:pPr>
        <w:keepNext w:val="0"/>
        <w:keepLines w:val="0"/>
        <w:pageBreakBefore w:val="0"/>
        <w:kinsoku/>
        <w:wordWrap/>
        <w:overflowPunct/>
        <w:topLinePunct w:val="0"/>
        <w:bidi w:val="0"/>
        <w:snapToGrid/>
        <w:spacing w:line="440" w:lineRule="exact"/>
        <w:ind w:firstLine="437"/>
        <w:textAlignment w:val="auto"/>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28" w:name="_Toc259093677"/>
      <w:bookmarkStart w:id="129" w:name="_Toc487900358"/>
      <w:bookmarkStart w:id="130" w:name="_Ref467379863"/>
      <w:bookmarkStart w:id="131" w:name="_Ref467379923"/>
      <w:bookmarkStart w:id="132" w:name="_Ref467379852"/>
      <w:bookmarkStart w:id="133" w:name="_Toc279701248"/>
      <w:bookmarkStart w:id="134" w:name="_Toc16110"/>
      <w:bookmarkStart w:id="135" w:name="_Toc774"/>
      <w:bookmarkStart w:id="136" w:name="_Toc3225"/>
      <w:r>
        <w:rPr>
          <w:rFonts w:hint="eastAsia" w:ascii="宋体" w:hAnsi="宋体" w:eastAsia="宋体" w:cs="宋体"/>
          <w:b/>
          <w:bCs/>
          <w:color w:val="000000" w:themeColor="text1"/>
          <w:sz w:val="24"/>
          <w:szCs w:val="24"/>
          <w:highlight w:val="none"/>
          <w:lang w:val="zh-CN"/>
          <w14:textFill>
            <w14:solidFill>
              <w14:schemeClr w14:val="tx1"/>
            </w14:solidFill>
          </w14:textFill>
        </w:rPr>
        <w:t>2.6 技术资料</w:t>
      </w:r>
      <w:bookmarkEnd w:id="128"/>
      <w:bookmarkEnd w:id="129"/>
      <w:bookmarkEnd w:id="130"/>
      <w:bookmarkEnd w:id="131"/>
      <w:bookmarkEnd w:id="132"/>
      <w:bookmarkEnd w:id="133"/>
      <w:r>
        <w:rPr>
          <w:rFonts w:hint="eastAsia" w:ascii="宋体" w:hAnsi="宋体" w:eastAsia="宋体" w:cs="宋体"/>
          <w:b/>
          <w:bCs/>
          <w:color w:val="000000" w:themeColor="text1"/>
          <w:sz w:val="24"/>
          <w:szCs w:val="24"/>
          <w:highlight w:val="none"/>
          <w:lang w:val="zh-CN"/>
          <w14:textFill>
            <w14:solidFill>
              <w14:schemeClr w14:val="tx1"/>
            </w14:solidFill>
          </w14:textFill>
        </w:rPr>
        <w:t>和保密义务</w:t>
      </w:r>
      <w:bookmarkEnd w:id="134"/>
      <w:bookmarkEnd w:id="135"/>
      <w:bookmarkEnd w:id="136"/>
    </w:p>
    <w:p w14:paraId="27466CF5">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2.6.1乙方有权依据合同约定和项目需要，向甲方了解有关情况，调阅有关资料等，甲方应予积极配合；</w:t>
      </w:r>
    </w:p>
    <w:p w14:paraId="6E2BD340">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2.6.2乙方有义务妥善保管和保护由甲方提供的前款信息和资料等；</w:t>
      </w:r>
    </w:p>
    <w:p w14:paraId="2A776B03">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B3AD41A">
      <w:pPr>
        <w:keepNext w:val="0"/>
        <w:keepLines w:val="0"/>
        <w:pageBreakBefore w:val="0"/>
        <w:kinsoku/>
        <w:wordWrap/>
        <w:overflowPunct/>
        <w:topLinePunct w:val="0"/>
        <w:bidi w:val="0"/>
        <w:snapToGrid/>
        <w:spacing w:line="440" w:lineRule="exact"/>
        <w:ind w:firstLine="437"/>
        <w:textAlignment w:val="auto"/>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37" w:name="_Toc7860"/>
      <w:r>
        <w:rPr>
          <w:rFonts w:hint="eastAsia" w:ascii="宋体" w:hAnsi="宋体" w:eastAsia="宋体" w:cs="宋体"/>
          <w:b/>
          <w:bCs/>
          <w:color w:val="000000" w:themeColor="text1"/>
          <w:sz w:val="24"/>
          <w:szCs w:val="24"/>
          <w:highlight w:val="none"/>
          <w:lang w:val="zh-CN"/>
          <w14:textFill>
            <w14:solidFill>
              <w14:schemeClr w14:val="tx1"/>
            </w14:solidFill>
          </w14:textFill>
        </w:rPr>
        <w:t>2.7 质量保证</w:t>
      </w:r>
      <w:bookmarkEnd w:id="137"/>
    </w:p>
    <w:p w14:paraId="3A5FBBA8">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2.7.1乙方应建立和完善履行合同的内部质量保证体系，并提供相关内部规章制度给甲方，以便甲方进行监督检查；</w:t>
      </w:r>
    </w:p>
    <w:p w14:paraId="45250D2E">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2.7.2乙方应保证履行合同的人员数量和素质、软件和硬件设备的配置、场地、环境和设施等满足全面履行合同的要求，并应接受甲方的监督检查。</w:t>
      </w:r>
    </w:p>
    <w:p w14:paraId="1BBC5014">
      <w:pPr>
        <w:keepNext w:val="0"/>
        <w:keepLines w:val="0"/>
        <w:pageBreakBefore w:val="0"/>
        <w:kinsoku/>
        <w:wordWrap/>
        <w:overflowPunct/>
        <w:topLinePunct w:val="0"/>
        <w:bidi w:val="0"/>
        <w:snapToGrid/>
        <w:spacing w:line="440" w:lineRule="exact"/>
        <w:ind w:firstLine="437"/>
        <w:textAlignment w:val="auto"/>
        <w:outlineLvl w:val="2"/>
        <w:rPr>
          <w:rFonts w:hint="eastAsia" w:ascii="宋体" w:hAnsi="宋体" w:eastAsia="宋体" w:cs="宋体"/>
          <w:b/>
          <w:color w:val="000000" w:themeColor="text1"/>
          <w:sz w:val="24"/>
          <w:szCs w:val="24"/>
          <w:highlight w:val="none"/>
          <w14:textFill>
            <w14:solidFill>
              <w14:schemeClr w14:val="tx1"/>
            </w14:solidFill>
          </w14:textFill>
        </w:rPr>
      </w:pPr>
      <w:bookmarkStart w:id="138" w:name="_Toc22267"/>
      <w:r>
        <w:rPr>
          <w:rFonts w:hint="eastAsia" w:ascii="宋体" w:hAnsi="宋体" w:eastAsia="宋体" w:cs="宋体"/>
          <w:b/>
          <w:color w:val="000000" w:themeColor="text1"/>
          <w:sz w:val="24"/>
          <w:szCs w:val="24"/>
          <w:highlight w:val="none"/>
          <w14:textFill>
            <w14:solidFill>
              <w14:schemeClr w14:val="tx1"/>
            </w14:solidFill>
          </w14:textFill>
        </w:rPr>
        <w:t>2.8 延迟履行</w:t>
      </w:r>
      <w:bookmarkEnd w:id="138"/>
    </w:p>
    <w:p w14:paraId="2B127ACB">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5A224BE3">
      <w:pPr>
        <w:keepNext w:val="0"/>
        <w:keepLines w:val="0"/>
        <w:pageBreakBefore w:val="0"/>
        <w:kinsoku/>
        <w:wordWrap/>
        <w:overflowPunct/>
        <w:topLinePunct w:val="0"/>
        <w:bidi w:val="0"/>
        <w:snapToGrid/>
        <w:spacing w:line="440" w:lineRule="exact"/>
        <w:ind w:firstLine="437"/>
        <w:textAlignment w:val="auto"/>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39" w:name="_Toc7502"/>
      <w:bookmarkStart w:id="140" w:name="_Toc259093683"/>
      <w:bookmarkStart w:id="141" w:name="_Ref467378121"/>
      <w:bookmarkStart w:id="142" w:name="_Toc279701254"/>
      <w:bookmarkStart w:id="143" w:name="_Toc487900364"/>
      <w:r>
        <w:rPr>
          <w:rFonts w:hint="eastAsia" w:ascii="宋体" w:hAnsi="宋体" w:eastAsia="宋体" w:cs="宋体"/>
          <w:b/>
          <w:bCs/>
          <w:color w:val="000000" w:themeColor="text1"/>
          <w:sz w:val="24"/>
          <w:szCs w:val="24"/>
          <w:highlight w:val="none"/>
          <w:lang w:val="zh-CN"/>
          <w14:textFill>
            <w14:solidFill>
              <w14:schemeClr w14:val="tx1"/>
            </w14:solidFill>
          </w14:textFill>
        </w:rPr>
        <w:t>2.9 合同变更</w:t>
      </w:r>
      <w:bookmarkEnd w:id="139"/>
    </w:p>
    <w:p w14:paraId="0E2AFD35">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2.9.1双方当事人协商一致，可以签订书面补充合同的形式变更合同，但不得违背采购文件确定的事项；</w:t>
      </w:r>
    </w:p>
    <w:p w14:paraId="0D2893F2">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2.9.2合同继续履行将损害国家利益和社会公共利益的，双方当事人应当以书面形式变更合同。有过错的一方应当承担赔偿责任，双方当事人都有过错的，各自承担相应的责任。</w:t>
      </w:r>
      <w:bookmarkStart w:id="144" w:name="_Toc259093688"/>
      <w:bookmarkStart w:id="145" w:name="_Toc279701259"/>
      <w:bookmarkStart w:id="146" w:name="_Toc487900369"/>
    </w:p>
    <w:p w14:paraId="6DDD0809">
      <w:pPr>
        <w:keepNext w:val="0"/>
        <w:keepLines w:val="0"/>
        <w:pageBreakBefore w:val="0"/>
        <w:kinsoku/>
        <w:wordWrap/>
        <w:overflowPunct/>
        <w:topLinePunct w:val="0"/>
        <w:bidi w:val="0"/>
        <w:snapToGrid/>
        <w:spacing w:line="440" w:lineRule="exact"/>
        <w:ind w:firstLine="437"/>
        <w:textAlignment w:val="auto"/>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47" w:name="_Toc22955"/>
      <w:bookmarkStart w:id="148" w:name="_Toc10366"/>
      <w:bookmarkStart w:id="149" w:name="_Toc15237"/>
      <w:r>
        <w:rPr>
          <w:rFonts w:hint="eastAsia" w:ascii="宋体" w:hAnsi="宋体" w:eastAsia="宋体" w:cs="宋体"/>
          <w:b/>
          <w:bCs/>
          <w:color w:val="000000" w:themeColor="text1"/>
          <w:sz w:val="24"/>
          <w:szCs w:val="24"/>
          <w:highlight w:val="none"/>
          <w:lang w:val="zh-CN"/>
          <w14:textFill>
            <w14:solidFill>
              <w14:schemeClr w14:val="tx1"/>
            </w14:solidFill>
          </w14:textFill>
        </w:rPr>
        <w:t>2.10 合同转让</w:t>
      </w:r>
      <w:bookmarkEnd w:id="144"/>
      <w:bookmarkEnd w:id="145"/>
      <w:bookmarkEnd w:id="146"/>
      <w:r>
        <w:rPr>
          <w:rFonts w:hint="eastAsia" w:ascii="宋体" w:hAnsi="宋体" w:eastAsia="宋体" w:cs="宋体"/>
          <w:b/>
          <w:bCs/>
          <w:color w:val="000000" w:themeColor="text1"/>
          <w:sz w:val="24"/>
          <w:szCs w:val="24"/>
          <w:highlight w:val="none"/>
          <w:lang w:val="zh-CN"/>
          <w14:textFill>
            <w14:solidFill>
              <w14:schemeClr w14:val="tx1"/>
            </w14:solidFill>
          </w14:textFill>
        </w:rPr>
        <w:t>和分包</w:t>
      </w:r>
      <w:bookmarkEnd w:id="147"/>
      <w:bookmarkEnd w:id="148"/>
      <w:bookmarkEnd w:id="149"/>
    </w:p>
    <w:p w14:paraId="40691BE4">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038E1BD">
      <w:pPr>
        <w:keepNext w:val="0"/>
        <w:keepLines w:val="0"/>
        <w:pageBreakBefore w:val="0"/>
        <w:kinsoku/>
        <w:wordWrap/>
        <w:overflowPunct/>
        <w:topLinePunct w:val="0"/>
        <w:bidi w:val="0"/>
        <w:snapToGrid/>
        <w:spacing w:line="440" w:lineRule="exact"/>
        <w:ind w:firstLine="437"/>
        <w:textAlignment w:val="auto"/>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50" w:name="_Toc13566"/>
      <w:bookmarkStart w:id="151" w:name="_Toc16508"/>
      <w:bookmarkStart w:id="152" w:name="_Toc14066"/>
      <w:r>
        <w:rPr>
          <w:rFonts w:hint="eastAsia" w:ascii="宋体" w:hAnsi="宋体" w:eastAsia="宋体" w:cs="宋体"/>
          <w:b/>
          <w:bCs/>
          <w:color w:val="000000" w:themeColor="text1"/>
          <w:sz w:val="24"/>
          <w:szCs w:val="24"/>
          <w:highlight w:val="none"/>
          <w:lang w:val="zh-CN"/>
          <w14:textFill>
            <w14:solidFill>
              <w14:schemeClr w14:val="tx1"/>
            </w14:solidFill>
          </w14:textFill>
        </w:rPr>
        <w:t>2.11 不可抗力</w:t>
      </w:r>
      <w:bookmarkEnd w:id="150"/>
      <w:bookmarkEnd w:id="151"/>
      <w:bookmarkEnd w:id="152"/>
    </w:p>
    <w:p w14:paraId="3C4700C3">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p>
    <w:p w14:paraId="24E5867C">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2.11.2因不可抗力致使不能实现合同目的的，当事人可以解除合同；</w:t>
      </w:r>
    </w:p>
    <w:p w14:paraId="1AFE945C">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2.11.3因不可抗力致使合同有变更必要的，双方当事人应在</w:t>
      </w:r>
      <w:r>
        <w:rPr>
          <w:rFonts w:hint="eastAsia" w:ascii="宋体" w:hAnsi="宋体" w:eastAsia="宋体" w:cs="宋体"/>
          <w:b/>
          <w:i/>
          <w:color w:val="000000" w:themeColor="text1"/>
          <w:sz w:val="24"/>
          <w:szCs w:val="24"/>
          <w:highlight w:val="none"/>
          <w:u w:val="single"/>
          <w14:textFill>
            <w14:solidFill>
              <w14:schemeClr w14:val="tx1"/>
            </w14:solidFill>
          </w14:textFill>
        </w:rPr>
        <w:t>合同专用条款</w:t>
      </w:r>
      <w:r>
        <w:rPr>
          <w:rFonts w:hint="eastAsia" w:ascii="宋体" w:hAnsi="宋体" w:eastAsia="宋体" w:cs="宋体"/>
          <w:color w:val="000000" w:themeColor="text1"/>
          <w:sz w:val="24"/>
          <w:szCs w:val="24"/>
          <w:highlight w:val="none"/>
          <w14:textFill>
            <w14:solidFill>
              <w14:schemeClr w14:val="tx1"/>
            </w14:solidFill>
          </w14:textFill>
        </w:rPr>
        <w:t>约定时间内以书面形式变更合同；</w:t>
      </w:r>
    </w:p>
    <w:p w14:paraId="3AF24BF3">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2.11.4受不可抗力影响的一方在不可抗力发生后，应在</w:t>
      </w:r>
      <w:r>
        <w:rPr>
          <w:rFonts w:hint="eastAsia" w:ascii="宋体" w:hAnsi="宋体" w:eastAsia="宋体" w:cs="宋体"/>
          <w:b/>
          <w:i/>
          <w:color w:val="000000" w:themeColor="text1"/>
          <w:sz w:val="24"/>
          <w:szCs w:val="24"/>
          <w:highlight w:val="none"/>
          <w:u w:val="single"/>
          <w14:textFill>
            <w14:solidFill>
              <w14:schemeClr w14:val="tx1"/>
            </w14:solidFill>
          </w14:textFill>
        </w:rPr>
        <w:t>合同专用条款</w:t>
      </w:r>
      <w:r>
        <w:rPr>
          <w:rFonts w:hint="eastAsia" w:ascii="宋体" w:hAnsi="宋体" w:eastAsia="宋体" w:cs="宋体"/>
          <w:color w:val="000000" w:themeColor="text1"/>
          <w:sz w:val="24"/>
          <w:szCs w:val="24"/>
          <w:highlight w:val="none"/>
          <w14:textFill>
            <w14:solidFill>
              <w14:schemeClr w14:val="tx1"/>
            </w14:solidFill>
          </w14:textFill>
        </w:rPr>
        <w:t>约定时间内以书面形式通知对方当事人，并在</w:t>
      </w:r>
      <w:r>
        <w:rPr>
          <w:rFonts w:hint="eastAsia" w:ascii="宋体" w:hAnsi="宋体" w:eastAsia="宋体" w:cs="宋体"/>
          <w:b/>
          <w:i/>
          <w:color w:val="000000" w:themeColor="text1"/>
          <w:sz w:val="24"/>
          <w:szCs w:val="24"/>
          <w:highlight w:val="none"/>
          <w:u w:val="single"/>
          <w14:textFill>
            <w14:solidFill>
              <w14:schemeClr w14:val="tx1"/>
            </w14:solidFill>
          </w14:textFill>
        </w:rPr>
        <w:t>合同专用条款</w:t>
      </w:r>
      <w:r>
        <w:rPr>
          <w:rFonts w:hint="eastAsia" w:ascii="宋体" w:hAnsi="宋体" w:eastAsia="宋体" w:cs="宋体"/>
          <w:color w:val="000000" w:themeColor="text1"/>
          <w:sz w:val="24"/>
          <w:szCs w:val="24"/>
          <w:highlight w:val="none"/>
          <w14:textFill>
            <w14:solidFill>
              <w14:schemeClr w14:val="tx1"/>
            </w14:solidFill>
          </w14:textFill>
        </w:rPr>
        <w:t>约定时间内，将有关部门出具的证明文件送达对方当事人。</w:t>
      </w:r>
    </w:p>
    <w:p w14:paraId="72A94808">
      <w:pPr>
        <w:keepNext w:val="0"/>
        <w:keepLines w:val="0"/>
        <w:pageBreakBefore w:val="0"/>
        <w:kinsoku/>
        <w:wordWrap/>
        <w:overflowPunct/>
        <w:topLinePunct w:val="0"/>
        <w:bidi w:val="0"/>
        <w:snapToGrid/>
        <w:spacing w:line="440" w:lineRule="exact"/>
        <w:ind w:firstLine="437"/>
        <w:textAlignment w:val="auto"/>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53" w:name="_Toc259093684"/>
      <w:bookmarkStart w:id="154" w:name="_Toc30676"/>
      <w:bookmarkStart w:id="155" w:name="_Toc487900365"/>
      <w:bookmarkStart w:id="156" w:name="_Toc279701255"/>
      <w:bookmarkStart w:id="157" w:name="_Toc689"/>
      <w:bookmarkStart w:id="158" w:name="_Toc6969"/>
      <w:r>
        <w:rPr>
          <w:rFonts w:hint="eastAsia" w:ascii="宋体" w:hAnsi="宋体" w:eastAsia="宋体" w:cs="宋体"/>
          <w:b/>
          <w:bCs/>
          <w:color w:val="000000" w:themeColor="text1"/>
          <w:sz w:val="24"/>
          <w:szCs w:val="24"/>
          <w:highlight w:val="none"/>
          <w:lang w:val="zh-CN"/>
          <w14:textFill>
            <w14:solidFill>
              <w14:schemeClr w14:val="tx1"/>
            </w14:solidFill>
          </w14:textFill>
        </w:rPr>
        <w:t>2.12 税费</w:t>
      </w:r>
      <w:bookmarkEnd w:id="153"/>
      <w:bookmarkEnd w:id="154"/>
      <w:bookmarkEnd w:id="155"/>
      <w:bookmarkEnd w:id="156"/>
      <w:bookmarkEnd w:id="157"/>
      <w:bookmarkEnd w:id="158"/>
    </w:p>
    <w:p w14:paraId="67564022">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与合同有关的一切税费，均按照中华人民共和国法律的相关规定缴纳。</w:t>
      </w:r>
    </w:p>
    <w:p w14:paraId="381CEB3E">
      <w:pPr>
        <w:keepNext w:val="0"/>
        <w:keepLines w:val="0"/>
        <w:pageBreakBefore w:val="0"/>
        <w:kinsoku/>
        <w:wordWrap/>
        <w:overflowPunct/>
        <w:topLinePunct w:val="0"/>
        <w:bidi w:val="0"/>
        <w:snapToGrid/>
        <w:spacing w:line="440" w:lineRule="exact"/>
        <w:ind w:firstLine="437"/>
        <w:textAlignment w:val="auto"/>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59" w:name="_Toc8298"/>
      <w:bookmarkStart w:id="160" w:name="_Toc16959"/>
      <w:bookmarkStart w:id="161" w:name="_Toc259093687"/>
      <w:bookmarkStart w:id="162" w:name="_Toc279701258"/>
      <w:bookmarkStart w:id="163" w:name="_Toc7102"/>
      <w:bookmarkStart w:id="164" w:name="_Toc487900368"/>
      <w:r>
        <w:rPr>
          <w:rFonts w:hint="eastAsia" w:ascii="宋体" w:hAnsi="宋体" w:eastAsia="宋体" w:cs="宋体"/>
          <w:b/>
          <w:bCs/>
          <w:color w:val="000000" w:themeColor="text1"/>
          <w:sz w:val="24"/>
          <w:szCs w:val="24"/>
          <w:highlight w:val="none"/>
          <w:lang w:val="zh-CN"/>
          <w14:textFill>
            <w14:solidFill>
              <w14:schemeClr w14:val="tx1"/>
            </w14:solidFill>
          </w14:textFill>
        </w:rPr>
        <w:t>2.13 乙方破产</w:t>
      </w:r>
      <w:bookmarkEnd w:id="159"/>
      <w:bookmarkEnd w:id="160"/>
      <w:bookmarkEnd w:id="161"/>
      <w:bookmarkEnd w:id="162"/>
      <w:bookmarkEnd w:id="163"/>
      <w:bookmarkEnd w:id="164"/>
    </w:p>
    <w:p w14:paraId="068B2327">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394F6F9">
      <w:pPr>
        <w:keepNext w:val="0"/>
        <w:keepLines w:val="0"/>
        <w:pageBreakBefore w:val="0"/>
        <w:kinsoku/>
        <w:wordWrap/>
        <w:overflowPunct/>
        <w:topLinePunct w:val="0"/>
        <w:bidi w:val="0"/>
        <w:snapToGrid/>
        <w:spacing w:line="440" w:lineRule="exact"/>
        <w:ind w:firstLine="437"/>
        <w:textAlignment w:val="auto"/>
        <w:outlineLvl w:val="2"/>
        <w:rPr>
          <w:rFonts w:hint="eastAsia" w:ascii="宋体" w:hAnsi="宋体" w:eastAsia="宋体" w:cs="宋体"/>
          <w:b/>
          <w:color w:val="000000" w:themeColor="text1"/>
          <w:sz w:val="24"/>
          <w:szCs w:val="24"/>
          <w:highlight w:val="none"/>
          <w14:textFill>
            <w14:solidFill>
              <w14:schemeClr w14:val="tx1"/>
            </w14:solidFill>
          </w14:textFill>
        </w:rPr>
      </w:pPr>
      <w:bookmarkStart w:id="165" w:name="_Toc6134"/>
      <w:bookmarkStart w:id="166" w:name="_Toc29333"/>
      <w:bookmarkStart w:id="167" w:name="_Toc15387"/>
      <w:r>
        <w:rPr>
          <w:rFonts w:hint="eastAsia" w:ascii="宋体" w:hAnsi="宋体" w:eastAsia="宋体" w:cs="宋体"/>
          <w:b/>
          <w:bCs/>
          <w:color w:val="000000" w:themeColor="text1"/>
          <w:sz w:val="24"/>
          <w:szCs w:val="24"/>
          <w:highlight w:val="none"/>
          <w:lang w:val="zh-CN"/>
          <w14:textFill>
            <w14:solidFill>
              <w14:schemeClr w14:val="tx1"/>
            </w14:solidFill>
          </w14:textFill>
        </w:rPr>
        <w:t>2.14 合同中止、终止</w:t>
      </w:r>
      <w:bookmarkEnd w:id="165"/>
      <w:bookmarkEnd w:id="166"/>
      <w:bookmarkEnd w:id="167"/>
    </w:p>
    <w:p w14:paraId="20BD4B9D">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2.14.1双方当事人不得擅自中止或者终止合同；</w:t>
      </w:r>
    </w:p>
    <w:p w14:paraId="2879765A">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08754DB7">
      <w:pPr>
        <w:keepNext w:val="0"/>
        <w:keepLines w:val="0"/>
        <w:pageBreakBefore w:val="0"/>
        <w:kinsoku/>
        <w:wordWrap/>
        <w:overflowPunct/>
        <w:topLinePunct w:val="0"/>
        <w:bidi w:val="0"/>
        <w:snapToGrid/>
        <w:spacing w:line="440" w:lineRule="exact"/>
        <w:ind w:firstLine="437"/>
        <w:textAlignment w:val="auto"/>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68" w:name="_Toc14563"/>
      <w:bookmarkStart w:id="169" w:name="_Toc1125"/>
      <w:bookmarkStart w:id="170" w:name="_Toc6596"/>
      <w:r>
        <w:rPr>
          <w:rFonts w:hint="eastAsia" w:ascii="宋体" w:hAnsi="宋体" w:eastAsia="宋体" w:cs="宋体"/>
          <w:b/>
          <w:bCs/>
          <w:color w:val="000000" w:themeColor="text1"/>
          <w:sz w:val="24"/>
          <w:szCs w:val="24"/>
          <w:highlight w:val="none"/>
          <w:lang w:val="zh-CN"/>
          <w14:textFill>
            <w14:solidFill>
              <w14:schemeClr w14:val="tx1"/>
            </w14:solidFill>
          </w14:textFill>
        </w:rPr>
        <w:t>2.15 检验和验收</w:t>
      </w:r>
      <w:bookmarkEnd w:id="168"/>
      <w:bookmarkEnd w:id="169"/>
      <w:bookmarkEnd w:id="170"/>
    </w:p>
    <w:p w14:paraId="57B46353">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2.15.1乙方按照</w:t>
      </w:r>
      <w:r>
        <w:rPr>
          <w:rFonts w:hint="eastAsia" w:ascii="宋体" w:hAnsi="宋体" w:eastAsia="宋体" w:cs="宋体"/>
          <w:b/>
          <w:i/>
          <w:color w:val="000000" w:themeColor="text1"/>
          <w:sz w:val="24"/>
          <w:szCs w:val="24"/>
          <w:highlight w:val="none"/>
          <w:u w:val="single"/>
          <w14:textFill>
            <w14:solidFill>
              <w14:schemeClr w14:val="tx1"/>
            </w14:solidFill>
          </w14:textFill>
        </w:rPr>
        <w:t>合同专用条款</w:t>
      </w:r>
      <w:r>
        <w:rPr>
          <w:rFonts w:hint="eastAsia" w:ascii="宋体" w:hAnsi="宋体" w:eastAsia="宋体" w:cs="宋体"/>
          <w:color w:val="000000" w:themeColor="text1"/>
          <w:sz w:val="24"/>
          <w:szCs w:val="24"/>
          <w:highlight w:val="none"/>
          <w14:textFill>
            <w14:solidFill>
              <w14:schemeClr w14:val="tx1"/>
            </w14:solidFill>
          </w14:textFill>
        </w:rPr>
        <w:t>的约定，定期提交服务报告，甲方按照</w:t>
      </w:r>
      <w:r>
        <w:rPr>
          <w:rFonts w:hint="eastAsia" w:ascii="宋体" w:hAnsi="宋体" w:eastAsia="宋体" w:cs="宋体"/>
          <w:b/>
          <w:i/>
          <w:color w:val="000000" w:themeColor="text1"/>
          <w:sz w:val="24"/>
          <w:szCs w:val="24"/>
          <w:highlight w:val="none"/>
          <w:u w:val="single"/>
          <w14:textFill>
            <w14:solidFill>
              <w14:schemeClr w14:val="tx1"/>
            </w14:solidFill>
          </w14:textFill>
        </w:rPr>
        <w:t>合同专用条款</w:t>
      </w:r>
      <w:r>
        <w:rPr>
          <w:rFonts w:hint="eastAsia" w:ascii="宋体" w:hAnsi="宋体" w:eastAsia="宋体" w:cs="宋体"/>
          <w:color w:val="000000" w:themeColor="text1"/>
          <w:sz w:val="24"/>
          <w:szCs w:val="24"/>
          <w:highlight w:val="none"/>
          <w14:textFill>
            <w14:solidFill>
              <w14:schemeClr w14:val="tx1"/>
            </w14:solidFill>
          </w14:textFill>
        </w:rPr>
        <w:t>的约定进行定期验收；</w:t>
      </w:r>
    </w:p>
    <w:p w14:paraId="1C04672E">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12E9038">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2.15.3检验和验收标准、程序等具体内容以及前述验收书的效力详见</w:t>
      </w:r>
      <w:r>
        <w:rPr>
          <w:rFonts w:hint="eastAsia" w:ascii="宋体" w:hAnsi="宋体" w:eastAsia="宋体" w:cs="宋体"/>
          <w:b/>
          <w:i/>
          <w:color w:val="000000" w:themeColor="text1"/>
          <w:sz w:val="24"/>
          <w:szCs w:val="24"/>
          <w:highlight w:val="none"/>
          <w:u w:val="single"/>
          <w14:textFill>
            <w14:solidFill>
              <w14:schemeClr w14:val="tx1"/>
            </w14:solidFill>
          </w14:textFill>
        </w:rPr>
        <w:t>合同专用条款</w:t>
      </w:r>
      <w:r>
        <w:rPr>
          <w:rFonts w:hint="eastAsia" w:ascii="宋体" w:hAnsi="宋体" w:eastAsia="宋体" w:cs="宋体"/>
          <w:i/>
          <w:color w:val="000000" w:themeColor="text1"/>
          <w:sz w:val="24"/>
          <w:szCs w:val="24"/>
          <w:highlight w:val="none"/>
          <w14:textFill>
            <w14:solidFill>
              <w14:schemeClr w14:val="tx1"/>
            </w14:solidFill>
          </w14:textFill>
        </w:rPr>
        <w:t>。</w:t>
      </w:r>
    </w:p>
    <w:bookmarkEnd w:id="140"/>
    <w:bookmarkEnd w:id="141"/>
    <w:bookmarkEnd w:id="142"/>
    <w:bookmarkEnd w:id="143"/>
    <w:p w14:paraId="74233D9D">
      <w:pPr>
        <w:keepNext w:val="0"/>
        <w:keepLines w:val="0"/>
        <w:pageBreakBefore w:val="0"/>
        <w:kinsoku/>
        <w:wordWrap/>
        <w:overflowPunct/>
        <w:topLinePunct w:val="0"/>
        <w:bidi w:val="0"/>
        <w:snapToGrid/>
        <w:spacing w:line="440" w:lineRule="exact"/>
        <w:ind w:firstLine="437"/>
        <w:textAlignment w:val="auto"/>
        <w:outlineLvl w:val="2"/>
        <w:rPr>
          <w:rFonts w:hint="eastAsia" w:ascii="宋体" w:hAnsi="宋体" w:eastAsia="宋体" w:cs="宋体"/>
          <w:b/>
          <w:bCs/>
          <w:color w:val="000000" w:themeColor="text1"/>
          <w:sz w:val="24"/>
          <w:szCs w:val="24"/>
          <w:highlight w:val="none"/>
          <w14:textFill>
            <w14:solidFill>
              <w14:schemeClr w14:val="tx1"/>
            </w14:solidFill>
          </w14:textFill>
        </w:rPr>
      </w:pPr>
      <w:bookmarkStart w:id="171" w:name="_Toc12773"/>
      <w:bookmarkStart w:id="172" w:name="_Toc18567"/>
      <w:bookmarkStart w:id="173" w:name="_Toc487900373"/>
      <w:bookmarkStart w:id="174" w:name="_Toc10330"/>
      <w:bookmarkStart w:id="175" w:name="_Toc279701263"/>
      <w:bookmarkStart w:id="176" w:name="_Toc259093692"/>
      <w:r>
        <w:rPr>
          <w:rFonts w:hint="eastAsia" w:ascii="宋体" w:hAnsi="宋体" w:eastAsia="宋体" w:cs="宋体"/>
          <w:b/>
          <w:bCs/>
          <w:color w:val="000000" w:themeColor="text1"/>
          <w:sz w:val="24"/>
          <w:szCs w:val="24"/>
          <w:highlight w:val="none"/>
          <w14:textFill>
            <w14:solidFill>
              <w14:schemeClr w14:val="tx1"/>
            </w14:solidFill>
          </w14:textFill>
        </w:rPr>
        <w:t xml:space="preserve">2.16 </w:t>
      </w:r>
      <w:r>
        <w:rPr>
          <w:rFonts w:hint="eastAsia" w:ascii="宋体" w:hAnsi="宋体" w:eastAsia="宋体" w:cs="宋体"/>
          <w:b/>
          <w:bCs/>
          <w:color w:val="000000" w:themeColor="text1"/>
          <w:sz w:val="24"/>
          <w:szCs w:val="24"/>
          <w:highlight w:val="none"/>
          <w:lang w:val="zh-CN"/>
          <w14:textFill>
            <w14:solidFill>
              <w14:schemeClr w14:val="tx1"/>
            </w14:solidFill>
          </w14:textFill>
        </w:rPr>
        <w:t>合同使用的文字和适用的法律</w:t>
      </w:r>
      <w:bookmarkEnd w:id="171"/>
      <w:bookmarkEnd w:id="172"/>
      <w:bookmarkEnd w:id="173"/>
      <w:bookmarkEnd w:id="174"/>
      <w:bookmarkEnd w:id="175"/>
      <w:bookmarkEnd w:id="176"/>
    </w:p>
    <w:p w14:paraId="769EFB8D">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2.16.1合同使用汉语书就、变更和解释；</w:t>
      </w:r>
    </w:p>
    <w:p w14:paraId="6E2E9D55">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2.16.2合同适用中华人民共和国法律。</w:t>
      </w:r>
    </w:p>
    <w:p w14:paraId="759F2BE9">
      <w:pPr>
        <w:keepNext w:val="0"/>
        <w:keepLines w:val="0"/>
        <w:pageBreakBefore w:val="0"/>
        <w:kinsoku/>
        <w:wordWrap/>
        <w:overflowPunct/>
        <w:topLinePunct w:val="0"/>
        <w:bidi w:val="0"/>
        <w:snapToGrid/>
        <w:spacing w:line="440" w:lineRule="exact"/>
        <w:ind w:firstLine="437"/>
        <w:textAlignment w:val="auto"/>
        <w:outlineLvl w:val="2"/>
        <w:rPr>
          <w:rFonts w:hint="eastAsia" w:ascii="宋体" w:hAnsi="宋体" w:eastAsia="宋体" w:cs="宋体"/>
          <w:b/>
          <w:color w:val="000000" w:themeColor="text1"/>
          <w:sz w:val="24"/>
          <w:szCs w:val="24"/>
          <w:highlight w:val="none"/>
          <w14:textFill>
            <w14:solidFill>
              <w14:schemeClr w14:val="tx1"/>
            </w14:solidFill>
          </w14:textFill>
        </w:rPr>
      </w:pPr>
      <w:bookmarkStart w:id="177" w:name="_Toc279701264"/>
      <w:bookmarkStart w:id="178" w:name="_Toc259093693"/>
      <w:bookmarkStart w:id="179" w:name="_Toc12004"/>
      <w:bookmarkStart w:id="180" w:name="_Toc16673"/>
      <w:bookmarkStart w:id="181" w:name="_Toc3148"/>
      <w:bookmarkStart w:id="182" w:name="_Toc487900374"/>
      <w:r>
        <w:rPr>
          <w:rFonts w:hint="eastAsia" w:ascii="宋体" w:hAnsi="宋体" w:eastAsia="宋体" w:cs="宋体"/>
          <w:b/>
          <w:bCs/>
          <w:color w:val="000000" w:themeColor="text1"/>
          <w:sz w:val="24"/>
          <w:szCs w:val="24"/>
          <w:highlight w:val="none"/>
          <w:lang w:val="zh-CN"/>
          <w14:textFill>
            <w14:solidFill>
              <w14:schemeClr w14:val="tx1"/>
            </w14:solidFill>
          </w14:textFill>
        </w:rPr>
        <w:t>2.17 履约保证金</w:t>
      </w:r>
      <w:bookmarkEnd w:id="177"/>
      <w:bookmarkEnd w:id="178"/>
      <w:bookmarkEnd w:id="179"/>
      <w:bookmarkEnd w:id="180"/>
      <w:bookmarkEnd w:id="181"/>
    </w:p>
    <w:p w14:paraId="41269545">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2.17.1采购文件要求乙方提交履约保证金的，乙方应按</w:t>
      </w:r>
      <w:r>
        <w:rPr>
          <w:rFonts w:hint="eastAsia" w:ascii="宋体" w:hAnsi="宋体" w:eastAsia="宋体" w:cs="宋体"/>
          <w:b/>
          <w:i/>
          <w:color w:val="000000" w:themeColor="text1"/>
          <w:sz w:val="24"/>
          <w:szCs w:val="24"/>
          <w:highlight w:val="none"/>
          <w:u w:val="single"/>
          <w14:textFill>
            <w14:solidFill>
              <w14:schemeClr w14:val="tx1"/>
            </w14:solidFill>
          </w14:textFill>
        </w:rPr>
        <w:t>合同专用条款</w:t>
      </w:r>
      <w:r>
        <w:rPr>
          <w:rFonts w:hint="eastAsia" w:ascii="宋体" w:hAnsi="宋体" w:eastAsia="宋体" w:cs="宋体"/>
          <w:color w:val="000000" w:themeColor="text1"/>
          <w:sz w:val="24"/>
          <w:szCs w:val="24"/>
          <w:highlight w:val="none"/>
          <w14:textFill>
            <w14:solidFill>
              <w14:schemeClr w14:val="tx1"/>
            </w14:solidFill>
          </w14:textFill>
        </w:rPr>
        <w:t>约定的方式，以支票、汇票、本票或者金融机构、担保机构出具的保函等非现金形式提交；</w:t>
      </w:r>
    </w:p>
    <w:p w14:paraId="04E28D6D">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2.17.2履约保证金在</w:t>
      </w:r>
      <w:r>
        <w:rPr>
          <w:rFonts w:hint="eastAsia" w:ascii="宋体" w:hAnsi="宋体" w:eastAsia="宋体" w:cs="宋体"/>
          <w:b/>
          <w:i/>
          <w:color w:val="000000" w:themeColor="text1"/>
          <w:sz w:val="24"/>
          <w:szCs w:val="24"/>
          <w:highlight w:val="none"/>
          <w:u w:val="single"/>
          <w14:textFill>
            <w14:solidFill>
              <w14:schemeClr w14:val="tx1"/>
            </w14:solidFill>
          </w14:textFill>
        </w:rPr>
        <w:t>合同专用条款</w:t>
      </w:r>
      <w:r>
        <w:rPr>
          <w:rFonts w:hint="eastAsia" w:ascii="宋体" w:hAnsi="宋体" w:eastAsia="宋体" w:cs="宋体"/>
          <w:color w:val="000000" w:themeColor="text1"/>
          <w:sz w:val="24"/>
          <w:szCs w:val="24"/>
          <w:highlight w:val="none"/>
          <w14:textFill>
            <w14:solidFill>
              <w14:schemeClr w14:val="tx1"/>
            </w14:solidFill>
          </w14:textFill>
        </w:rPr>
        <w:t>约定期间内不予退还或者应完全有效，前述约定期间届满之日起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个工作日内，甲方应将履约保证金退还乙方</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逾期退还履约保证金</w:t>
      </w:r>
      <w:r>
        <w:rPr>
          <w:rFonts w:hint="eastAsia" w:ascii="宋体" w:hAnsi="宋体" w:eastAsia="宋体" w:cs="宋体"/>
          <w:color w:val="000000" w:themeColor="text1"/>
          <w:sz w:val="24"/>
          <w:szCs w:val="24"/>
          <w:highlight w:val="none"/>
          <w:lang w:val="en-US" w:eastAsia="zh-CN"/>
          <w14:textFill>
            <w14:solidFill>
              <w14:schemeClr w14:val="tx1"/>
            </w14:solidFill>
          </w14:textFill>
        </w:rPr>
        <w:t>应承担违约责任。</w:t>
      </w:r>
    </w:p>
    <w:p w14:paraId="63BACDB7">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82"/>
    <w:p w14:paraId="424C95CA">
      <w:pPr>
        <w:keepNext w:val="0"/>
        <w:keepLines w:val="0"/>
        <w:pageBreakBefore w:val="0"/>
        <w:kinsoku/>
        <w:wordWrap/>
        <w:overflowPunct/>
        <w:topLinePunct w:val="0"/>
        <w:bidi w:val="0"/>
        <w:snapToGrid/>
        <w:spacing w:line="440" w:lineRule="exact"/>
        <w:ind w:firstLine="437"/>
        <w:textAlignment w:val="auto"/>
        <w:outlineLvl w:val="2"/>
        <w:rPr>
          <w:rFonts w:hint="eastAsia" w:ascii="宋体" w:hAnsi="宋体" w:eastAsia="宋体" w:cs="宋体"/>
          <w:b/>
          <w:color w:val="000000" w:themeColor="text1"/>
          <w:sz w:val="24"/>
          <w:szCs w:val="24"/>
          <w:highlight w:val="none"/>
          <w14:textFill>
            <w14:solidFill>
              <w14:schemeClr w14:val="tx1"/>
            </w14:solidFill>
          </w14:textFill>
        </w:rPr>
      </w:pPr>
      <w:bookmarkStart w:id="183" w:name="_Toc14001"/>
      <w:bookmarkStart w:id="184" w:name="_Toc6885"/>
      <w:bookmarkStart w:id="185" w:name="_Toc19890"/>
      <w:r>
        <w:rPr>
          <w:rFonts w:hint="eastAsia" w:ascii="宋体" w:hAnsi="宋体" w:eastAsia="宋体" w:cs="宋体"/>
          <w:b/>
          <w:bCs/>
          <w:color w:val="000000" w:themeColor="text1"/>
          <w:sz w:val="24"/>
          <w:szCs w:val="24"/>
          <w:highlight w:val="none"/>
          <w:lang w:val="zh-CN"/>
          <w14:textFill>
            <w14:solidFill>
              <w14:schemeClr w14:val="tx1"/>
            </w14:solidFill>
          </w14:textFill>
        </w:rPr>
        <w:t>2.18 合同份数</w:t>
      </w:r>
      <w:bookmarkEnd w:id="183"/>
      <w:bookmarkEnd w:id="184"/>
      <w:bookmarkEnd w:id="185"/>
    </w:p>
    <w:p w14:paraId="7204FE3A">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合同份数按</w:t>
      </w:r>
      <w:r>
        <w:rPr>
          <w:rFonts w:hint="eastAsia" w:ascii="宋体" w:hAnsi="宋体" w:eastAsia="宋体" w:cs="宋体"/>
          <w:b/>
          <w:i/>
          <w:color w:val="000000" w:themeColor="text1"/>
          <w:sz w:val="24"/>
          <w:szCs w:val="24"/>
          <w:highlight w:val="none"/>
          <w:u w:val="single"/>
          <w14:textFill>
            <w14:solidFill>
              <w14:schemeClr w14:val="tx1"/>
            </w14:solidFill>
          </w14:textFill>
        </w:rPr>
        <w:t>合同专用条款</w:t>
      </w:r>
      <w:r>
        <w:rPr>
          <w:rFonts w:hint="eastAsia" w:ascii="宋体" w:hAnsi="宋体" w:eastAsia="宋体" w:cs="宋体"/>
          <w:color w:val="000000" w:themeColor="text1"/>
          <w:sz w:val="24"/>
          <w:szCs w:val="24"/>
          <w:highlight w:val="none"/>
          <w14:textFill>
            <w14:solidFill>
              <w14:schemeClr w14:val="tx1"/>
            </w14:solidFill>
          </w14:textFill>
        </w:rPr>
        <w:t>规定，每份均具有同等法律效力。</w:t>
      </w:r>
    </w:p>
    <w:p w14:paraId="1BA35073">
      <w:pPr>
        <w:keepNext w:val="0"/>
        <w:keepLines w:val="0"/>
        <w:pageBreakBefore w:val="0"/>
        <w:kinsoku/>
        <w:wordWrap/>
        <w:overflowPunct/>
        <w:topLinePunct w:val="0"/>
        <w:bidi w:val="0"/>
        <w:snapToGrid/>
        <w:spacing w:line="440" w:lineRule="exact"/>
        <w:jc w:val="center"/>
        <w:textAlignment w:val="auto"/>
        <w:outlineLvl w:val="1"/>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bookmarkStart w:id="186" w:name="_Toc3736"/>
      <w:r>
        <w:rPr>
          <w:rFonts w:hint="eastAsia" w:ascii="宋体" w:hAnsi="宋体" w:eastAsia="宋体" w:cs="宋体"/>
          <w:b/>
          <w:color w:val="000000" w:themeColor="text1"/>
          <w:sz w:val="24"/>
          <w:highlight w:val="none"/>
          <w14:textFill>
            <w14:solidFill>
              <w14:schemeClr w14:val="tx1"/>
            </w14:solidFill>
          </w14:textFill>
        </w:rPr>
        <w:t>第三部分 合同专用条款</w:t>
      </w:r>
      <w:bookmarkEnd w:id="186"/>
    </w:p>
    <w:p w14:paraId="7E133168">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7"/>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14:paraId="135CA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4" w:type="dxa"/>
            <w:tcBorders>
              <w:left w:val="single" w:color="auto" w:sz="4" w:space="0"/>
            </w:tcBorders>
            <w:vAlign w:val="center"/>
          </w:tcPr>
          <w:p w14:paraId="45FB0E91">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条款号</w:t>
            </w:r>
          </w:p>
        </w:tc>
        <w:tc>
          <w:tcPr>
            <w:tcW w:w="7568" w:type="dxa"/>
            <w:vAlign w:val="center"/>
          </w:tcPr>
          <w:p w14:paraId="7AA7BBD6">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约定内容</w:t>
            </w:r>
          </w:p>
        </w:tc>
      </w:tr>
      <w:tr w14:paraId="7550C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4DD36C90">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2.11.3</w:t>
            </w:r>
          </w:p>
        </w:tc>
        <w:tc>
          <w:tcPr>
            <w:tcW w:w="7568" w:type="dxa"/>
            <w:vAlign w:val="center"/>
          </w:tcPr>
          <w:p w14:paraId="5D4E168A">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因不可抗力致使合同有变更必要的，双方当事人应在不可抗力发生的3个工作日内以书面形式变更合同</w:t>
            </w:r>
          </w:p>
        </w:tc>
      </w:tr>
      <w:tr w14:paraId="0CA51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4FBB823B">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2.11.4</w:t>
            </w:r>
          </w:p>
        </w:tc>
        <w:tc>
          <w:tcPr>
            <w:tcW w:w="7568" w:type="dxa"/>
            <w:vAlign w:val="center"/>
          </w:tcPr>
          <w:p w14:paraId="7523A19F">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受不可抗力影响的一方在不可抗力发生后，应在不可抗力发生的1个工作日内以书面形式通知对方当事人，并在1个工作日内，将有关部门出具的证明文件送达对方当事人</w:t>
            </w:r>
          </w:p>
        </w:tc>
      </w:tr>
      <w:tr w14:paraId="62F8E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20CFF858">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2.15</w:t>
            </w:r>
          </w:p>
        </w:tc>
        <w:tc>
          <w:tcPr>
            <w:tcW w:w="7568" w:type="dxa"/>
            <w:vAlign w:val="center"/>
          </w:tcPr>
          <w:p w14:paraId="48265BB8">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2.15.1乙方按照月定期提交服务报告，甲方按照在收到报告后，结合当月考核情况定期验收予以支付服务费用；</w:t>
            </w:r>
          </w:p>
          <w:p w14:paraId="39F804EE">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2.15.3检验和验收标准、程序等具体内容以及前述验收书的效力：验收书的内容以检验和验收标准、程序结合项目具体内容出具，以验收书作为结算依据</w:t>
            </w:r>
          </w:p>
        </w:tc>
      </w:tr>
      <w:tr w14:paraId="45B88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7E6F1447">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2.18</w:t>
            </w:r>
          </w:p>
        </w:tc>
        <w:tc>
          <w:tcPr>
            <w:tcW w:w="7568" w:type="dxa"/>
            <w:vAlign w:val="center"/>
          </w:tcPr>
          <w:p w14:paraId="02BA5F31">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合同一式捌份，甲乙双方各执四份。</w:t>
            </w:r>
          </w:p>
        </w:tc>
      </w:tr>
      <w:tr w14:paraId="5C7F0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77BE872D">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7568" w:type="dxa"/>
            <w:vAlign w:val="center"/>
          </w:tcPr>
          <w:p w14:paraId="4303614C">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乙方须在签订合同后完成与原物业单位的工作对接，以及投入工作的前期与甲方相关对接，做到全员上岗投入使用，不得出现缺岗或岗位缺人等现象，如出现，甲方不予支付任何费用，产生的损失由乙方自负。</w:t>
            </w:r>
          </w:p>
        </w:tc>
      </w:tr>
      <w:tr w14:paraId="776AE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31E09E91">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568" w:type="dxa"/>
            <w:vAlign w:val="center"/>
          </w:tcPr>
          <w:p w14:paraId="2C3E6471">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（签订合同时可补充）</w:t>
            </w:r>
          </w:p>
        </w:tc>
      </w:tr>
      <w:tr w14:paraId="32983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1F4C6809">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568" w:type="dxa"/>
            <w:vAlign w:val="center"/>
          </w:tcPr>
          <w:p w14:paraId="02082035">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p>
        </w:tc>
      </w:tr>
      <w:tr w14:paraId="5EC51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56505887">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568" w:type="dxa"/>
            <w:vAlign w:val="center"/>
          </w:tcPr>
          <w:p w14:paraId="63D5966F">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307A1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27FA6CFE">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568" w:type="dxa"/>
            <w:vAlign w:val="center"/>
          </w:tcPr>
          <w:p w14:paraId="3D280141">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3F66B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745D6743">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568" w:type="dxa"/>
            <w:vAlign w:val="center"/>
          </w:tcPr>
          <w:p w14:paraId="49227F59">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3612D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5B664948">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568" w:type="dxa"/>
            <w:tcBorders>
              <w:top w:val="single" w:color="auto" w:sz="6" w:space="0"/>
              <w:left w:val="single" w:color="auto" w:sz="6" w:space="0"/>
              <w:bottom w:val="single" w:color="auto" w:sz="6" w:space="0"/>
              <w:right w:val="single" w:color="auto" w:sz="6" w:space="0"/>
            </w:tcBorders>
            <w:vAlign w:val="center"/>
          </w:tcPr>
          <w:p w14:paraId="42F2B8B2">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46ECC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6596129C">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568" w:type="dxa"/>
            <w:tcBorders>
              <w:top w:val="single" w:color="auto" w:sz="6" w:space="0"/>
              <w:left w:val="single" w:color="auto" w:sz="6" w:space="0"/>
              <w:bottom w:val="single" w:color="auto" w:sz="6" w:space="0"/>
              <w:right w:val="single" w:color="auto" w:sz="6" w:space="0"/>
            </w:tcBorders>
            <w:vAlign w:val="center"/>
          </w:tcPr>
          <w:p w14:paraId="06566963">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tc>
      </w:tr>
    </w:tbl>
    <w:p w14:paraId="7BEC82E4">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6055F830">
      <w:pPr>
        <w:widowControl/>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p>
    <w:bookmarkEnd w:id="43"/>
    <w:p w14:paraId="0E35C911">
      <w:pPr>
        <w:spacing w:line="360" w:lineRule="auto"/>
        <w:jc w:val="center"/>
        <w:outlineLvl w:val="0"/>
        <w:rPr>
          <w:rFonts w:hint="eastAsia" w:ascii="宋体" w:hAnsi="宋体" w:eastAsia="宋体" w:cs="宋体"/>
          <w:b/>
          <w:color w:val="auto"/>
          <w:sz w:val="28"/>
          <w:highlight w:val="none"/>
        </w:rPr>
      </w:pPr>
      <w:bookmarkStart w:id="187" w:name="_Toc13555"/>
      <w:r>
        <w:rPr>
          <w:rFonts w:hint="eastAsia" w:ascii="宋体" w:hAnsi="宋体" w:eastAsia="宋体" w:cs="宋体"/>
          <w:b/>
          <w:color w:val="auto"/>
          <w:sz w:val="28"/>
          <w:highlight w:val="none"/>
        </w:rPr>
        <w:t>第六章  投标文件格式</w:t>
      </w:r>
      <w:bookmarkEnd w:id="187"/>
    </w:p>
    <w:p w14:paraId="74F6577F">
      <w:pPr>
        <w:spacing w:line="900" w:lineRule="exact"/>
        <w:jc w:val="center"/>
        <w:rPr>
          <w:rFonts w:hint="eastAsia" w:ascii="宋体" w:hAnsi="宋体" w:eastAsia="宋体" w:cs="宋体"/>
          <w:b/>
          <w:color w:val="auto"/>
          <w:sz w:val="72"/>
          <w:highlight w:val="none"/>
        </w:rPr>
      </w:pPr>
    </w:p>
    <w:p w14:paraId="13A1D531">
      <w:pPr>
        <w:rPr>
          <w:rFonts w:hint="eastAsia" w:ascii="宋体" w:hAnsi="宋体" w:eastAsia="宋体" w:cs="宋体"/>
          <w:b/>
          <w:sz w:val="28"/>
          <w:szCs w:val="28"/>
          <w:highlight w:val="none"/>
          <w:bdr w:val="single" w:color="000000" w:sz="4" w:space="0"/>
        </w:rPr>
      </w:pPr>
      <w:bookmarkStart w:id="188" w:name="_Toc17986"/>
      <w:bookmarkStart w:id="189" w:name="_Toc28960"/>
      <w:r>
        <w:rPr>
          <w:rFonts w:hint="eastAsia" w:ascii="宋体" w:hAnsi="宋体" w:eastAsia="宋体" w:cs="宋体"/>
          <w:b/>
          <w:sz w:val="28"/>
          <w:szCs w:val="28"/>
          <w:highlight w:val="none"/>
        </w:rPr>
        <w:t>一、资信证明格式文件</w:t>
      </w:r>
    </w:p>
    <w:p w14:paraId="0FC2361B">
      <w:pPr>
        <w:jc w:val="center"/>
        <w:rPr>
          <w:rFonts w:hint="eastAsia" w:ascii="宋体" w:hAnsi="宋体" w:eastAsia="宋体" w:cs="宋体"/>
          <w:sz w:val="20"/>
          <w:highlight w:val="none"/>
        </w:rPr>
      </w:pPr>
    </w:p>
    <w:p w14:paraId="068A3F35">
      <w:pPr>
        <w:rPr>
          <w:rFonts w:hint="eastAsia" w:ascii="宋体" w:hAnsi="宋体" w:eastAsia="宋体" w:cs="宋体"/>
          <w:sz w:val="20"/>
          <w:highlight w:val="none"/>
        </w:rPr>
      </w:pPr>
    </w:p>
    <w:p w14:paraId="613878BE">
      <w:pPr>
        <w:jc w:val="center"/>
        <w:rPr>
          <w:rFonts w:hint="eastAsia" w:ascii="宋体" w:hAnsi="宋体" w:eastAsia="宋体" w:cs="宋体"/>
          <w:b/>
          <w:sz w:val="44"/>
          <w:szCs w:val="44"/>
          <w:highlight w:val="none"/>
        </w:rPr>
      </w:pPr>
      <w:bookmarkStart w:id="190" w:name="_Toc449028949"/>
      <w:bookmarkStart w:id="191" w:name="_Toc350698753"/>
      <w:r>
        <w:rPr>
          <w:rFonts w:hint="eastAsia" w:ascii="宋体" w:hAnsi="宋体" w:eastAsia="宋体" w:cs="宋体"/>
          <w:b/>
          <w:sz w:val="44"/>
          <w:szCs w:val="44"/>
          <w:highlight w:val="none"/>
        </w:rPr>
        <w:t>资信证明文件</w:t>
      </w:r>
      <w:bookmarkEnd w:id="190"/>
      <w:bookmarkEnd w:id="191"/>
    </w:p>
    <w:p w14:paraId="1EF90394">
      <w:pPr>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（投标文件一）</w:t>
      </w:r>
    </w:p>
    <w:p w14:paraId="5BA6BAA2">
      <w:pPr>
        <w:jc w:val="center"/>
        <w:rPr>
          <w:rFonts w:hint="eastAsia" w:ascii="宋体" w:hAnsi="宋体" w:eastAsia="宋体" w:cs="宋体"/>
          <w:sz w:val="44"/>
          <w:szCs w:val="44"/>
          <w:highlight w:val="none"/>
        </w:rPr>
      </w:pPr>
    </w:p>
    <w:p w14:paraId="200E9BC8">
      <w:pPr>
        <w:jc w:val="center"/>
        <w:rPr>
          <w:rFonts w:hint="eastAsia" w:ascii="宋体" w:hAnsi="宋体" w:eastAsia="宋体" w:cs="宋体"/>
          <w:sz w:val="32"/>
          <w:szCs w:val="32"/>
          <w:highlight w:val="none"/>
        </w:rPr>
      </w:pP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rPr>
        <w:t>项目</w:t>
      </w:r>
    </w:p>
    <w:p w14:paraId="7D361471">
      <w:pPr>
        <w:jc w:val="center"/>
        <w:rPr>
          <w:rFonts w:hint="eastAsia" w:ascii="宋体" w:hAnsi="宋体" w:eastAsia="宋体" w:cs="宋体"/>
          <w:sz w:val="44"/>
          <w:szCs w:val="44"/>
          <w:highlight w:val="none"/>
        </w:rPr>
      </w:pPr>
      <w:r>
        <w:rPr>
          <w:rFonts w:hint="eastAsia" w:ascii="宋体" w:hAnsi="宋体" w:eastAsia="宋体" w:cs="宋体"/>
          <w:sz w:val="28"/>
          <w:szCs w:val="28"/>
          <w:highlight w:val="none"/>
        </w:rPr>
        <w:t>项目编号：</w:t>
      </w:r>
      <w:r>
        <w:rPr>
          <w:rFonts w:hint="eastAsia" w:ascii="宋体" w:hAnsi="宋体" w:eastAsia="宋体" w:cs="宋体"/>
          <w:sz w:val="28"/>
          <w:szCs w:val="28"/>
          <w:highlight w:val="none"/>
          <w:u w:val="single"/>
        </w:rPr>
        <w:t xml:space="preserve">     </w:t>
      </w:r>
    </w:p>
    <w:p w14:paraId="639B3CC6">
      <w:pPr>
        <w:rPr>
          <w:rFonts w:hint="eastAsia" w:ascii="宋体" w:hAnsi="宋体" w:eastAsia="宋体" w:cs="宋体"/>
          <w:sz w:val="28"/>
          <w:szCs w:val="28"/>
          <w:highlight w:val="none"/>
        </w:rPr>
      </w:pPr>
    </w:p>
    <w:p w14:paraId="3AE86D1C">
      <w:pPr>
        <w:rPr>
          <w:rFonts w:hint="eastAsia" w:ascii="宋体" w:hAnsi="宋体" w:eastAsia="宋体" w:cs="宋体"/>
          <w:sz w:val="28"/>
          <w:szCs w:val="28"/>
          <w:highlight w:val="none"/>
        </w:rPr>
      </w:pPr>
    </w:p>
    <w:p w14:paraId="1DB1DFF6">
      <w:pPr>
        <w:rPr>
          <w:rFonts w:hint="eastAsia" w:ascii="宋体" w:hAnsi="宋体" w:eastAsia="宋体" w:cs="宋体"/>
          <w:sz w:val="28"/>
          <w:szCs w:val="28"/>
          <w:highlight w:val="none"/>
        </w:rPr>
      </w:pPr>
    </w:p>
    <w:p w14:paraId="4134A339">
      <w:pPr>
        <w:rPr>
          <w:rFonts w:hint="eastAsia" w:ascii="宋体" w:hAnsi="宋体" w:eastAsia="宋体" w:cs="宋体"/>
          <w:sz w:val="28"/>
          <w:szCs w:val="28"/>
          <w:highlight w:val="none"/>
        </w:rPr>
      </w:pPr>
    </w:p>
    <w:p w14:paraId="6EAC1912">
      <w:pPr>
        <w:rPr>
          <w:rFonts w:hint="eastAsia" w:ascii="宋体" w:hAnsi="宋体" w:eastAsia="宋体" w:cs="宋体"/>
          <w:sz w:val="28"/>
          <w:szCs w:val="28"/>
          <w:highlight w:val="none"/>
        </w:rPr>
      </w:pPr>
    </w:p>
    <w:p w14:paraId="6816489A">
      <w:pPr>
        <w:rPr>
          <w:rFonts w:hint="eastAsia" w:ascii="宋体" w:hAnsi="宋体" w:eastAsia="宋体" w:cs="宋体"/>
          <w:sz w:val="28"/>
          <w:szCs w:val="28"/>
          <w:highlight w:val="none"/>
        </w:rPr>
      </w:pPr>
    </w:p>
    <w:p w14:paraId="1183F90F">
      <w:pPr>
        <w:rPr>
          <w:rFonts w:hint="eastAsia" w:ascii="宋体" w:hAnsi="宋体" w:eastAsia="宋体" w:cs="宋体"/>
          <w:sz w:val="28"/>
          <w:szCs w:val="28"/>
          <w:highlight w:val="none"/>
        </w:rPr>
      </w:pPr>
    </w:p>
    <w:p w14:paraId="7C9BFFCB">
      <w:pPr>
        <w:jc w:val="center"/>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投标人：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（签章）</w:t>
      </w:r>
    </w:p>
    <w:p w14:paraId="62774A63">
      <w:p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（签章）</w:t>
      </w:r>
    </w:p>
    <w:p w14:paraId="3F487D22">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129A6D9F">
      <w:pPr>
        <w:spacing w:line="720" w:lineRule="auto"/>
        <w:jc w:val="center"/>
        <w:rPr>
          <w:rFonts w:hint="eastAsia" w:ascii="宋体" w:hAnsi="宋体" w:eastAsia="宋体" w:cs="宋体"/>
          <w:b/>
          <w:sz w:val="36"/>
          <w:szCs w:val="36"/>
          <w:highlight w:val="none"/>
        </w:rPr>
      </w:pPr>
    </w:p>
    <w:p w14:paraId="5650C1B7">
      <w:pPr>
        <w:spacing w:line="400" w:lineRule="exact"/>
        <w:ind w:firstLine="4130" w:firstLineChars="935"/>
        <w:rPr>
          <w:rFonts w:hint="eastAsia" w:ascii="宋体" w:hAnsi="宋体" w:eastAsia="宋体" w:cs="宋体"/>
          <w:b/>
          <w:sz w:val="44"/>
          <w:szCs w:val="44"/>
          <w:highlight w:val="none"/>
        </w:rPr>
      </w:pPr>
    </w:p>
    <w:p w14:paraId="5BD7A23E">
      <w:pPr>
        <w:spacing w:line="400" w:lineRule="exact"/>
        <w:ind w:firstLine="4130" w:firstLineChars="935"/>
        <w:rPr>
          <w:rFonts w:hint="eastAsia" w:ascii="宋体" w:hAnsi="宋体" w:eastAsia="宋体" w:cs="宋体"/>
          <w:b/>
          <w:sz w:val="44"/>
          <w:szCs w:val="44"/>
          <w:highlight w:val="none"/>
        </w:rPr>
      </w:pPr>
    </w:p>
    <w:p w14:paraId="7445F685">
      <w:pPr>
        <w:keepNext w:val="0"/>
        <w:keepLines w:val="0"/>
        <w:pageBreakBefore/>
        <w:widowControl w:val="0"/>
        <w:kinsoku/>
        <w:wordWrap/>
        <w:overflowPunct/>
        <w:topLinePunct w:val="0"/>
        <w:autoSpaceDE/>
        <w:autoSpaceDN/>
        <w:bidi w:val="0"/>
        <w:adjustRightInd/>
        <w:snapToGrid/>
        <w:jc w:val="center"/>
        <w:textAlignment w:val="auto"/>
        <w:rPr>
          <w:rFonts w:hint="eastAsia" w:ascii="宋体" w:hAnsi="宋体" w:eastAsia="宋体" w:cs="宋体"/>
          <w:b/>
          <w:sz w:val="44"/>
          <w:szCs w:val="44"/>
          <w:highlight w:val="none"/>
        </w:rPr>
      </w:pPr>
      <w:r>
        <w:rPr>
          <w:rFonts w:hint="eastAsia" w:ascii="宋体" w:hAnsi="宋体" w:eastAsia="宋体" w:cs="宋体"/>
          <w:b/>
          <w:sz w:val="36"/>
          <w:szCs w:val="36"/>
          <w:highlight w:val="none"/>
        </w:rPr>
        <w:t>目   录</w:t>
      </w:r>
    </w:p>
    <w:p w14:paraId="6CF0A3F4">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35850A7B">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（1）投标人资格声明书（格式见附件）；</w:t>
      </w:r>
    </w:p>
    <w:p w14:paraId="5B3A257E">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（2）授权书（格式见附件）；   </w:t>
      </w:r>
    </w:p>
    <w:p w14:paraId="44213D90">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（3）投标人为企业（包括合伙企业）的，应提供有效的“营业执照”；</w:t>
      </w:r>
    </w:p>
    <w:p w14:paraId="1A3D3CBC">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投标人为事业单位的，应提供有效的“事业单位法人证书”；</w:t>
      </w:r>
    </w:p>
    <w:p w14:paraId="25FF7983">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投标人是非企业机构的，应提供有效的“执业许可证”、“登记证书”等证明文件；</w:t>
      </w:r>
    </w:p>
    <w:p w14:paraId="2FA7B087">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投标人是个体工商户的，应提供有效的“个体工商户营业执照”；</w:t>
      </w:r>
    </w:p>
    <w:p w14:paraId="567E117A">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投标人是自然人的，应提供有效的自然人身份证明；</w:t>
      </w:r>
    </w:p>
    <w:p w14:paraId="35AF6FB0">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（4）诚信投标承诺书（格式见附件）；</w:t>
      </w:r>
    </w:p>
    <w:p w14:paraId="144305F4">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（5）中小企业声明函，残疾人福利性企业（格式见附件）；</w:t>
      </w:r>
    </w:p>
    <w:p w14:paraId="27D7D0CC">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（6）省级以上监狱管理局、戒毒管理局（含新疆生产建设兵团）出具的属于监狱企业的证明（如是）；</w:t>
      </w:r>
    </w:p>
    <w:p w14:paraId="07B79ACD">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（7）招标文件中要求的资信评审和资信评分的支持资料；</w:t>
      </w:r>
    </w:p>
    <w:p w14:paraId="09D8B667">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（8）投标人认为需要提供的其他资信证明材料。</w:t>
      </w:r>
    </w:p>
    <w:p w14:paraId="48D9A47A">
      <w:pPr>
        <w:keepNext w:val="0"/>
        <w:keepLines w:val="0"/>
        <w:pageBreakBefore/>
        <w:widowControl w:val="0"/>
        <w:kinsoku/>
        <w:wordWrap/>
        <w:overflowPunct/>
        <w:topLinePunct w:val="0"/>
        <w:autoSpaceDE/>
        <w:autoSpaceDN/>
        <w:bidi w:val="0"/>
        <w:adjustRightInd/>
        <w:snapToGrid/>
        <w:spacing w:line="440" w:lineRule="exact"/>
        <w:jc w:val="center"/>
        <w:textAlignment w:val="auto"/>
        <w:outlineLvl w:val="1"/>
        <w:rPr>
          <w:rFonts w:hint="eastAsia" w:ascii="宋体" w:hAnsi="宋体" w:eastAsia="宋体" w:cs="宋体"/>
          <w:b/>
          <w:color w:val="auto"/>
          <w:sz w:val="24"/>
          <w:highlight w:val="none"/>
        </w:rPr>
      </w:pPr>
      <w:bookmarkStart w:id="192" w:name="_Toc18881"/>
      <w:r>
        <w:rPr>
          <w:rFonts w:hint="eastAsia" w:ascii="宋体" w:hAnsi="宋体" w:eastAsia="宋体" w:cs="宋体"/>
          <w:b/>
          <w:color w:val="auto"/>
          <w:sz w:val="24"/>
          <w:highlight w:val="none"/>
          <w:lang w:val="en-US" w:eastAsia="zh-CN"/>
        </w:rPr>
        <w:t>（1）投标人资格声明书</w:t>
      </w:r>
      <w:bookmarkEnd w:id="192"/>
      <w:r>
        <w:rPr>
          <w:rFonts w:hint="eastAsia" w:ascii="宋体" w:hAnsi="宋体" w:eastAsia="宋体" w:cs="宋体"/>
          <w:b/>
          <w:color w:val="auto"/>
          <w:sz w:val="24"/>
          <w:highlight w:val="none"/>
          <w:lang w:val="en-US" w:eastAsia="zh-CN"/>
        </w:rPr>
        <w:t xml:space="preserve"> </w:t>
      </w:r>
    </w:p>
    <w:p w14:paraId="4285B492">
      <w:pPr>
        <w:pStyle w:val="10"/>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highlight w:val="none"/>
          <w:lang w:eastAsia="zh-CN"/>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eastAsia="zh-CN"/>
        </w:rPr>
        <w:t>采购人</w:t>
      </w:r>
    </w:p>
    <w:p w14:paraId="2FCAC3A7">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在参与本次项目投标中，我单位承诺：</w:t>
      </w:r>
    </w:p>
    <w:p w14:paraId="0ABC9A5D">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（一）具有良好的商业信誉和健全的财务会计制度；</w:t>
      </w:r>
    </w:p>
    <w:p w14:paraId="59B5D856">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（二）具有履行合同所必需的设备和专业技术能力；</w:t>
      </w:r>
    </w:p>
    <w:p w14:paraId="21DFD57C">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（三）有依法缴纳税收和社会保障资金的良好记录；</w:t>
      </w:r>
    </w:p>
    <w:p w14:paraId="564873D7">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61684BD">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（五）我单位不属于政府采购法律、行政法规规定的公益一类事业单位、或使用事业编制且由财政拨款保障的群团组织（仅适用于政府购买服务项目）； </w:t>
      </w:r>
    </w:p>
    <w:p w14:paraId="5FD504EE">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（六）我单位不存在为采购项目提供整体设计、规范编制或者项目管理、监理、检测等服务后，再参加该采购项目的其他采购活动的情形（单一来源采购项目除外）；</w:t>
      </w:r>
    </w:p>
    <w:p w14:paraId="67B4782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（七）与我单位存在单位负责人为同一人或者存在直接控股、管理关系的其他法人单位信息如下（如有，不论其是否参加同一合同项下的政府采购活动均须填写）：</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3EAB7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C5CE3C7">
            <w:pPr>
              <w:keepNext w:val="0"/>
              <w:keepLines w:val="0"/>
              <w:pageBreakBefore w:val="0"/>
              <w:widowControl/>
              <w:suppressLineNumbers w:val="0"/>
              <w:kinsoku/>
              <w:wordWrap/>
              <w:overflowPunct/>
              <w:topLinePunct w:val="0"/>
              <w:autoSpaceDE/>
              <w:autoSpaceDN/>
              <w:bidi w:val="0"/>
              <w:adjustRightInd/>
              <w:snapToGrid/>
              <w:spacing w:before="0" w:beforeLines="50" w:after="10" w:line="440" w:lineRule="exact"/>
              <w:jc w:val="center"/>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lang w:val="en-US" w:eastAsia="zh-CN" w:bidi="ar"/>
              </w:rPr>
              <w:t>序号</w:t>
            </w:r>
          </w:p>
        </w:tc>
        <w:tc>
          <w:tcPr>
            <w:tcW w:w="2841" w:type="dxa"/>
          </w:tcPr>
          <w:p w14:paraId="0FC8AB62">
            <w:pPr>
              <w:pStyle w:val="9"/>
              <w:keepNext w:val="0"/>
              <w:keepLines w:val="0"/>
              <w:pageBreakBefore w:val="0"/>
              <w:kinsoku/>
              <w:wordWrap/>
              <w:overflowPunct/>
              <w:topLinePunct w:val="0"/>
              <w:autoSpaceDE/>
              <w:autoSpaceDN/>
              <w:bidi w:val="0"/>
              <w:adjustRightInd/>
              <w:snapToGrid/>
              <w:spacing w:before="0" w:beforeLines="50" w:after="10" w:line="440" w:lineRule="exact"/>
              <w:jc w:val="center"/>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lang w:val="en-US" w:eastAsia="zh-CN" w:bidi="ar"/>
              </w:rPr>
              <w:t>单位名称</w:t>
            </w:r>
          </w:p>
        </w:tc>
        <w:tc>
          <w:tcPr>
            <w:tcW w:w="2841" w:type="dxa"/>
          </w:tcPr>
          <w:p w14:paraId="5EF9AD7B">
            <w:pPr>
              <w:pStyle w:val="9"/>
              <w:keepNext w:val="0"/>
              <w:keepLines w:val="0"/>
              <w:pageBreakBefore w:val="0"/>
              <w:kinsoku/>
              <w:wordWrap/>
              <w:overflowPunct/>
              <w:topLinePunct w:val="0"/>
              <w:autoSpaceDE/>
              <w:autoSpaceDN/>
              <w:bidi w:val="0"/>
              <w:adjustRightInd/>
              <w:snapToGrid/>
              <w:spacing w:before="0" w:beforeLines="50" w:after="10" w:line="440" w:lineRule="exact"/>
              <w:jc w:val="center"/>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lang w:val="en-US" w:eastAsia="zh-CN" w:bidi="ar"/>
              </w:rPr>
              <w:t>相互关系</w:t>
            </w:r>
          </w:p>
        </w:tc>
      </w:tr>
      <w:tr w14:paraId="046F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C527F6E">
            <w:pPr>
              <w:pStyle w:val="9"/>
              <w:keepNext w:val="0"/>
              <w:keepLines w:val="0"/>
              <w:pageBreakBefore w:val="0"/>
              <w:kinsoku/>
              <w:wordWrap/>
              <w:overflowPunct/>
              <w:topLinePunct w:val="0"/>
              <w:autoSpaceDE/>
              <w:autoSpaceDN/>
              <w:bidi w:val="0"/>
              <w:adjustRightInd/>
              <w:snapToGrid/>
              <w:spacing w:before="0" w:beforeLines="50" w:after="10" w:line="440" w:lineRule="exact"/>
              <w:jc w:val="center"/>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vertAlign w:val="baseline"/>
                <w:lang w:val="en-US" w:eastAsia="zh-CN" w:bidi="ar"/>
              </w:rPr>
              <w:t>1</w:t>
            </w:r>
          </w:p>
        </w:tc>
        <w:tc>
          <w:tcPr>
            <w:tcW w:w="2841" w:type="dxa"/>
          </w:tcPr>
          <w:p w14:paraId="43AA00F3">
            <w:pPr>
              <w:pStyle w:val="9"/>
              <w:keepNext w:val="0"/>
              <w:keepLines w:val="0"/>
              <w:pageBreakBefore w:val="0"/>
              <w:kinsoku/>
              <w:wordWrap/>
              <w:overflowPunct/>
              <w:topLinePunct w:val="0"/>
              <w:autoSpaceDE/>
              <w:autoSpaceDN/>
              <w:bidi w:val="0"/>
              <w:adjustRightInd/>
              <w:snapToGrid/>
              <w:spacing w:before="0" w:beforeLines="50" w:after="10" w:line="440" w:lineRule="exact"/>
              <w:jc w:val="center"/>
              <w:textAlignment w:val="auto"/>
              <w:rPr>
                <w:rFonts w:hint="eastAsia" w:ascii="宋体" w:hAnsi="宋体" w:eastAsia="宋体" w:cs="宋体"/>
                <w:color w:val="000000"/>
                <w:kern w:val="0"/>
                <w:sz w:val="24"/>
                <w:szCs w:val="24"/>
                <w:highlight w:val="none"/>
                <w:vertAlign w:val="baseline"/>
                <w:lang w:val="en-US" w:eastAsia="zh-CN" w:bidi="ar"/>
              </w:rPr>
            </w:pPr>
          </w:p>
        </w:tc>
        <w:tc>
          <w:tcPr>
            <w:tcW w:w="2841" w:type="dxa"/>
          </w:tcPr>
          <w:p w14:paraId="0E45816A">
            <w:pPr>
              <w:pStyle w:val="9"/>
              <w:keepNext w:val="0"/>
              <w:keepLines w:val="0"/>
              <w:pageBreakBefore w:val="0"/>
              <w:kinsoku/>
              <w:wordWrap/>
              <w:overflowPunct/>
              <w:topLinePunct w:val="0"/>
              <w:autoSpaceDE/>
              <w:autoSpaceDN/>
              <w:bidi w:val="0"/>
              <w:adjustRightInd/>
              <w:snapToGrid/>
              <w:spacing w:before="0" w:beforeLines="50" w:after="10" w:line="440" w:lineRule="exact"/>
              <w:jc w:val="center"/>
              <w:textAlignment w:val="auto"/>
              <w:rPr>
                <w:rFonts w:hint="eastAsia" w:ascii="宋体" w:hAnsi="宋体" w:eastAsia="宋体" w:cs="宋体"/>
                <w:color w:val="000000"/>
                <w:kern w:val="0"/>
                <w:sz w:val="24"/>
                <w:szCs w:val="24"/>
                <w:highlight w:val="none"/>
                <w:vertAlign w:val="baseline"/>
                <w:lang w:val="en-US" w:eastAsia="zh-CN" w:bidi="ar"/>
              </w:rPr>
            </w:pPr>
          </w:p>
        </w:tc>
      </w:tr>
      <w:tr w14:paraId="6F41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ADC2E36">
            <w:pPr>
              <w:pStyle w:val="9"/>
              <w:keepNext w:val="0"/>
              <w:keepLines w:val="0"/>
              <w:pageBreakBefore w:val="0"/>
              <w:kinsoku/>
              <w:wordWrap/>
              <w:overflowPunct/>
              <w:topLinePunct w:val="0"/>
              <w:autoSpaceDE/>
              <w:autoSpaceDN/>
              <w:bidi w:val="0"/>
              <w:adjustRightInd/>
              <w:snapToGrid/>
              <w:spacing w:before="0" w:beforeLines="50" w:after="10" w:line="440" w:lineRule="exact"/>
              <w:jc w:val="center"/>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vertAlign w:val="baseline"/>
                <w:lang w:val="en-US" w:eastAsia="zh-CN" w:bidi="ar"/>
              </w:rPr>
              <w:t>2</w:t>
            </w:r>
          </w:p>
        </w:tc>
        <w:tc>
          <w:tcPr>
            <w:tcW w:w="2841" w:type="dxa"/>
          </w:tcPr>
          <w:p w14:paraId="11035EB6">
            <w:pPr>
              <w:pStyle w:val="9"/>
              <w:keepNext w:val="0"/>
              <w:keepLines w:val="0"/>
              <w:pageBreakBefore w:val="0"/>
              <w:kinsoku/>
              <w:wordWrap/>
              <w:overflowPunct/>
              <w:topLinePunct w:val="0"/>
              <w:autoSpaceDE/>
              <w:autoSpaceDN/>
              <w:bidi w:val="0"/>
              <w:adjustRightInd/>
              <w:snapToGrid/>
              <w:spacing w:before="0" w:beforeLines="50" w:after="10" w:line="440" w:lineRule="exact"/>
              <w:jc w:val="center"/>
              <w:textAlignment w:val="auto"/>
              <w:rPr>
                <w:rFonts w:hint="eastAsia" w:ascii="宋体" w:hAnsi="宋体" w:eastAsia="宋体" w:cs="宋体"/>
                <w:color w:val="000000"/>
                <w:kern w:val="0"/>
                <w:sz w:val="24"/>
                <w:szCs w:val="24"/>
                <w:highlight w:val="none"/>
                <w:vertAlign w:val="baseline"/>
                <w:lang w:val="en-US" w:eastAsia="zh-CN" w:bidi="ar"/>
              </w:rPr>
            </w:pPr>
          </w:p>
        </w:tc>
        <w:tc>
          <w:tcPr>
            <w:tcW w:w="2841" w:type="dxa"/>
          </w:tcPr>
          <w:p w14:paraId="5718BB74">
            <w:pPr>
              <w:pStyle w:val="9"/>
              <w:keepNext w:val="0"/>
              <w:keepLines w:val="0"/>
              <w:pageBreakBefore w:val="0"/>
              <w:kinsoku/>
              <w:wordWrap/>
              <w:overflowPunct/>
              <w:topLinePunct w:val="0"/>
              <w:autoSpaceDE/>
              <w:autoSpaceDN/>
              <w:bidi w:val="0"/>
              <w:adjustRightInd/>
              <w:snapToGrid/>
              <w:spacing w:before="0" w:beforeLines="50" w:after="10" w:line="440" w:lineRule="exact"/>
              <w:jc w:val="center"/>
              <w:textAlignment w:val="auto"/>
              <w:rPr>
                <w:rFonts w:hint="eastAsia" w:ascii="宋体" w:hAnsi="宋体" w:eastAsia="宋体" w:cs="宋体"/>
                <w:color w:val="000000"/>
                <w:kern w:val="0"/>
                <w:sz w:val="24"/>
                <w:szCs w:val="24"/>
                <w:highlight w:val="none"/>
                <w:vertAlign w:val="baseline"/>
                <w:lang w:val="en-US" w:eastAsia="zh-CN" w:bidi="ar"/>
              </w:rPr>
            </w:pPr>
          </w:p>
        </w:tc>
      </w:tr>
    </w:tbl>
    <w:p w14:paraId="1C58B30C">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470FD2B9">
      <w:pPr>
        <w:keepNext w:val="0"/>
        <w:keepLines w:val="0"/>
        <w:pageBreakBefore w:val="0"/>
        <w:kinsoku/>
        <w:wordWrap/>
        <w:overflowPunct/>
        <w:topLinePunct w:val="0"/>
        <w:autoSpaceDE/>
        <w:autoSpaceDN/>
        <w:bidi w:val="0"/>
        <w:spacing w:line="440" w:lineRule="exact"/>
        <w:ind w:firstLine="4800" w:firstLineChars="20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2FAD353C">
      <w:pPr>
        <w:keepNext w:val="0"/>
        <w:keepLines w:val="0"/>
        <w:pageBreakBefore w:val="0"/>
        <w:tabs>
          <w:tab w:val="left" w:pos="630"/>
        </w:tabs>
        <w:kinsoku/>
        <w:wordWrap/>
        <w:overflowPunct/>
        <w:topLinePunct w:val="0"/>
        <w:autoSpaceDE/>
        <w:autoSpaceDN/>
        <w:bidi w:val="0"/>
        <w:spacing w:line="440" w:lineRule="exact"/>
        <w:ind w:firstLine="4800" w:firstLineChars="20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169EBFC2">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4"/>
          <w:highlight w:val="none"/>
        </w:rPr>
      </w:pPr>
      <w:bookmarkStart w:id="193" w:name="_Toc11607"/>
      <w:r>
        <w:rPr>
          <w:rFonts w:hint="eastAsia" w:ascii="宋体" w:hAnsi="宋体" w:eastAsia="宋体" w:cs="宋体"/>
          <w:b/>
          <w:color w:val="auto"/>
          <w:sz w:val="24"/>
          <w:highlight w:val="none"/>
        </w:rPr>
        <w:br w:type="page"/>
      </w:r>
    </w:p>
    <w:p w14:paraId="075DD0D9">
      <w:pPr>
        <w:keepNext w:val="0"/>
        <w:keepLines w:val="0"/>
        <w:pageBreakBefore w:val="0"/>
        <w:kinsoku/>
        <w:wordWrap/>
        <w:overflowPunct/>
        <w:topLinePunct w:val="0"/>
        <w:autoSpaceDE/>
        <w:autoSpaceDN/>
        <w:bidi w:val="0"/>
        <w:spacing w:line="440" w:lineRule="exact"/>
        <w:jc w:val="center"/>
        <w:textAlignment w:val="auto"/>
        <w:outlineLvl w:val="1"/>
        <w:rPr>
          <w:rFonts w:hint="eastAsia" w:ascii="宋体" w:hAnsi="宋体" w:eastAsia="宋体" w:cs="宋体"/>
          <w:b/>
          <w:color w:val="auto"/>
          <w:sz w:val="24"/>
          <w:highlight w:val="none"/>
        </w:rPr>
      </w:pPr>
      <w:bookmarkStart w:id="194" w:name="_Toc24583"/>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授权书</w:t>
      </w:r>
      <w:bookmarkEnd w:id="193"/>
      <w:bookmarkEnd w:id="194"/>
    </w:p>
    <w:p w14:paraId="1974BB9D">
      <w:pPr>
        <w:pStyle w:val="14"/>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hint="eastAsia" w:ascii="宋体" w:hAnsi="宋体" w:eastAsia="宋体" w:cs="宋体"/>
          <w:color w:val="auto"/>
          <w:sz w:val="24"/>
          <w:szCs w:val="28"/>
          <w:highlight w:val="none"/>
        </w:rPr>
      </w:pPr>
    </w:p>
    <w:p w14:paraId="03C80E22">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w:t>
      </w:r>
      <w:r>
        <w:rPr>
          <w:rFonts w:hint="eastAsia" w:ascii="宋体" w:hAnsi="宋体" w:eastAsia="宋体" w:cs="宋体"/>
          <w:color w:val="auto"/>
          <w:sz w:val="24"/>
          <w:highlight w:val="none"/>
        </w:rPr>
        <w:t>授权</w:t>
      </w:r>
      <w:r>
        <w:rPr>
          <w:rFonts w:hint="eastAsia" w:ascii="宋体" w:hAnsi="宋体" w:eastAsia="宋体" w:cs="宋体"/>
          <w:color w:val="auto"/>
          <w:sz w:val="24"/>
          <w:szCs w:val="28"/>
          <w:highlight w:val="none"/>
        </w:rPr>
        <w:t>书声明：</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（投标人名称）授权</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（投标人授权代表姓名）代表我方参加本项目</w:t>
      </w:r>
      <w:r>
        <w:rPr>
          <w:rFonts w:hint="eastAsia" w:ascii="宋体" w:hAnsi="宋体" w:eastAsia="宋体" w:cs="宋体"/>
          <w:bCs/>
          <w:color w:val="auto"/>
          <w:sz w:val="24"/>
          <w:szCs w:val="28"/>
          <w:highlight w:val="none"/>
        </w:rPr>
        <w:t>采购活动</w:t>
      </w:r>
      <w:r>
        <w:rPr>
          <w:rFonts w:hint="eastAsia" w:ascii="宋体" w:hAnsi="宋体" w:eastAsia="宋体" w:cs="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5E5E24C2">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本授权书自出具之日起生效。</w:t>
      </w:r>
    </w:p>
    <w:p w14:paraId="0825F575">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授权</w:t>
      </w:r>
      <w:r>
        <w:rPr>
          <w:rFonts w:hint="eastAsia" w:ascii="宋体" w:hAnsi="宋体" w:eastAsia="宋体" w:cs="宋体"/>
          <w:color w:val="auto"/>
          <w:sz w:val="24"/>
          <w:highlight w:val="none"/>
        </w:rPr>
        <w:t>代表身份证明扫描件：</w:t>
      </w:r>
    </w:p>
    <w:p w14:paraId="55AE6B6F">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p>
    <w:p w14:paraId="557579A5">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p>
    <w:p w14:paraId="43512276">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p>
    <w:p w14:paraId="02F9A121">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u w:val="single"/>
          <w:lang w:val="zh-CN"/>
        </w:rPr>
      </w:pPr>
      <w:r>
        <w:rPr>
          <w:rFonts w:hint="eastAsia" w:ascii="宋体" w:hAnsi="宋体" w:eastAsia="宋体" w:cs="宋体"/>
          <w:color w:val="auto"/>
          <w:sz w:val="24"/>
          <w:szCs w:val="28"/>
          <w:highlight w:val="none"/>
        </w:rPr>
        <w:t>授权代表联系方式：</w:t>
      </w:r>
      <w:r>
        <w:rPr>
          <w:rFonts w:hint="eastAsia" w:ascii="宋体" w:hAnsi="宋体" w:eastAsia="宋体" w:cs="宋体"/>
          <w:color w:val="auto"/>
          <w:sz w:val="24"/>
          <w:szCs w:val="28"/>
          <w:highlight w:val="none"/>
          <w:u w:val="single"/>
        </w:rPr>
        <w:t xml:space="preserve">          （请填写手机号码）</w:t>
      </w:r>
    </w:p>
    <w:p w14:paraId="59B2F811">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lang w:val="zh-CN"/>
        </w:rPr>
      </w:pPr>
    </w:p>
    <w:p w14:paraId="084B3B8D">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rPr>
        <w:t>特此</w:t>
      </w:r>
      <w:r>
        <w:rPr>
          <w:rFonts w:hint="eastAsia" w:ascii="宋体" w:hAnsi="宋体" w:eastAsia="宋体" w:cs="宋体"/>
          <w:color w:val="auto"/>
          <w:sz w:val="24"/>
          <w:szCs w:val="28"/>
          <w:highlight w:val="none"/>
        </w:rPr>
        <w:t>声明。</w:t>
      </w:r>
    </w:p>
    <w:p w14:paraId="57DC32B1">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4"/>
          <w:szCs w:val="28"/>
          <w:highlight w:val="none"/>
        </w:rPr>
      </w:pPr>
    </w:p>
    <w:p w14:paraId="5AA97CB5">
      <w:pPr>
        <w:keepNext w:val="0"/>
        <w:keepLines w:val="0"/>
        <w:pageBreakBefore w:val="0"/>
        <w:kinsoku/>
        <w:wordWrap/>
        <w:overflowPunct/>
        <w:topLinePunct w:val="0"/>
        <w:autoSpaceDE/>
        <w:autoSpaceDN/>
        <w:bidi w:val="0"/>
        <w:spacing w:line="440" w:lineRule="exact"/>
        <w:ind w:firstLine="4800" w:firstLineChars="20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75D4CD3C">
      <w:pPr>
        <w:keepNext w:val="0"/>
        <w:keepLines w:val="0"/>
        <w:pageBreakBefore w:val="0"/>
        <w:tabs>
          <w:tab w:val="left" w:pos="630"/>
        </w:tabs>
        <w:kinsoku/>
        <w:wordWrap/>
        <w:overflowPunct/>
        <w:topLinePunct w:val="0"/>
        <w:autoSpaceDE/>
        <w:autoSpaceDN/>
        <w:bidi w:val="0"/>
        <w:spacing w:line="440" w:lineRule="exact"/>
        <w:ind w:firstLine="4800" w:firstLineChars="20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187EDAB8">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3097FF9A">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1.本项目只允许有唯一的投标人授权代表，提供身份证明扫描件；</w:t>
      </w:r>
    </w:p>
    <w:p w14:paraId="1968C99E">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2.法定代表人参加投标的无需提供授权书，提供身份证明扫描件。</w:t>
      </w:r>
    </w:p>
    <w:p w14:paraId="135B3D59">
      <w:pPr>
        <w:spacing w:line="360" w:lineRule="auto"/>
        <w:jc w:val="center"/>
        <w:outlineLvl w:val="1"/>
        <w:rPr>
          <w:rFonts w:hint="eastAsia" w:ascii="宋体" w:hAnsi="宋体" w:eastAsia="宋体" w:cs="宋体"/>
          <w:b/>
          <w:color w:val="auto"/>
          <w:sz w:val="24"/>
          <w:highlight w:val="none"/>
          <w:lang w:val="en-US" w:eastAsia="zh-CN"/>
        </w:rPr>
      </w:pPr>
      <w:r>
        <w:rPr>
          <w:rFonts w:hint="eastAsia" w:ascii="宋体" w:hAnsi="宋体" w:eastAsia="宋体" w:cs="宋体"/>
          <w:color w:val="auto"/>
          <w:sz w:val="24"/>
          <w:highlight w:val="none"/>
        </w:rPr>
        <w:br w:type="page"/>
      </w:r>
      <w:r>
        <w:rPr>
          <w:rFonts w:hint="eastAsia" w:ascii="宋体" w:hAnsi="宋体" w:eastAsia="宋体" w:cs="宋体"/>
          <w:b/>
          <w:color w:val="auto"/>
          <w:sz w:val="24"/>
          <w:highlight w:val="none"/>
          <w:lang w:val="en-US" w:eastAsia="zh-CN"/>
        </w:rPr>
        <w:t>（3）诚信投标承诺书</w:t>
      </w:r>
    </w:p>
    <w:p w14:paraId="75CCB05A">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本人以企业法定代表人的身份郑重承诺：</w:t>
      </w:r>
    </w:p>
    <w:p w14:paraId="63F31039">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一、将遵循公开、公正和诚实信用的原则自愿参加</w:t>
      </w:r>
      <w:r>
        <w:rPr>
          <w:rFonts w:hint="eastAsia" w:ascii="宋体" w:hAnsi="宋体" w:eastAsia="宋体" w:cs="宋体"/>
          <w:color w:val="auto"/>
          <w:sz w:val="24"/>
          <w:szCs w:val="28"/>
          <w:highlight w:val="none"/>
          <w:u w:val="single"/>
          <w:lang w:val="en-US" w:eastAsia="zh-CN"/>
        </w:rPr>
        <w:t xml:space="preserve">                  </w:t>
      </w:r>
      <w:r>
        <w:rPr>
          <w:rFonts w:hint="eastAsia" w:ascii="宋体" w:hAnsi="宋体" w:eastAsia="宋体" w:cs="宋体"/>
          <w:color w:val="auto"/>
          <w:sz w:val="24"/>
          <w:szCs w:val="28"/>
          <w:highlight w:val="none"/>
          <w:lang w:val="en-US" w:eastAsia="zh-CN"/>
        </w:rPr>
        <w:t xml:space="preserve"> 项目的投标，所提供的一切材料都是真实、有效、合法的；</w:t>
      </w:r>
    </w:p>
    <w:p w14:paraId="17642CA2">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7D7CBC49">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三、不出借、转让资质证书，不让他人挂靠投标，不以他人名义投标或者以其他方式弄虚作假，骗取中标；</w:t>
      </w:r>
    </w:p>
    <w:p w14:paraId="0CA709C2">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四、不与其他投标人相互串通投标报价，不排挤其他投标人的公平竞争、损害招标人的合法权益；</w:t>
      </w:r>
    </w:p>
    <w:p w14:paraId="377D5E76">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五、不与招标人、招标代理机构或其他投标人串通投标，损害国家利益、社会公共利益或者他人的合法权益；</w:t>
      </w:r>
    </w:p>
    <w:p w14:paraId="5BE66F21">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六、我公司没有下列情形：1、被人民法院列入失信被执行人的；2、我公司及其法定代表人、拟派项目经理（项目负责人）前三年有行贿犯罪行为的；3、被市场监督管理部门列入经营异常名录或者严重违法企业名单，且未被移除的；4、被税收部门列入重大税收违法案件当事人的；5、被政府采购监管部门列入政府采购严重违法失信行为记录名单的；6、在“信用中国”网站上披露仍在公示期的严重失信行为的；7、参与政府采购活动前3年在经营活动中有重大违法记录的。（若招标文件对投标人所属分公司、办事处等分支机构有上述1-7项信誉要求，在此一并承诺我公司所属分公司、办事处等分支机构没有上述1-7项情形）</w:t>
      </w:r>
    </w:p>
    <w:p w14:paraId="3B2D682B">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七、我公司没有下列情形：被滁州市县两级公管部门记入不良行为记录且在披露期内。</w:t>
      </w:r>
    </w:p>
    <w:p w14:paraId="7E3486DB">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八、严格遵守开标现场纪律，服从监管人员管理；</w:t>
      </w:r>
    </w:p>
    <w:p w14:paraId="55634339">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九、保证中标后不转包，若有分包征得招标人同意；</w:t>
      </w:r>
    </w:p>
    <w:p w14:paraId="751D575F">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十、保证中标之后，按照投标文件要求提供相关后续服务；</w:t>
      </w:r>
    </w:p>
    <w:p w14:paraId="4F4DD7CA">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十一、保证企业及所属相关人员在本次投标中无行贿等犯罪行为；</w:t>
      </w:r>
    </w:p>
    <w:p w14:paraId="5340F759">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十二、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11B1E3A2">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以上内容我已仔细阅读，本公司若有违反承诺内容的行为，自愿接受取消投标或者中标资格、记入不良行为记录等有关处理，愿意承担法律责任，给招标人造成损失的，依法承担赔偿责任。</w:t>
      </w:r>
    </w:p>
    <w:p w14:paraId="15DD82D1">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 xml:space="preserve"> </w:t>
      </w:r>
    </w:p>
    <w:p w14:paraId="4EE6C333">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开户银行：                      基本账户：</w:t>
      </w:r>
    </w:p>
    <w:p w14:paraId="4302EBC8">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投标单位（签章）：              法定代表人（签章）：</w:t>
      </w:r>
    </w:p>
    <w:p w14:paraId="29EA7F94">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 xml:space="preserve"> </w:t>
      </w:r>
    </w:p>
    <w:p w14:paraId="05501FFB">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日期：           年            月             日</w:t>
      </w:r>
    </w:p>
    <w:p w14:paraId="1E323D6A">
      <w:pPr>
        <w:keepNext w:val="0"/>
        <w:keepLines w:val="0"/>
        <w:pageBreakBefore/>
        <w:widowControl w:val="0"/>
        <w:kinsoku/>
        <w:wordWrap/>
        <w:overflowPunct/>
        <w:topLinePunct w:val="0"/>
        <w:autoSpaceDE/>
        <w:autoSpaceDN/>
        <w:bidi w:val="0"/>
        <w:adjustRightInd/>
        <w:snapToGrid/>
        <w:spacing w:line="440" w:lineRule="exact"/>
        <w:jc w:val="center"/>
        <w:textAlignment w:val="auto"/>
        <w:outlineLvl w:val="1"/>
        <w:rPr>
          <w:rFonts w:hint="eastAsia" w:ascii="宋体" w:hAnsi="宋体" w:eastAsia="宋体" w:cs="宋体"/>
          <w:color w:val="auto"/>
          <w:sz w:val="24"/>
          <w:szCs w:val="24"/>
          <w:highlight w:val="none"/>
        </w:rPr>
      </w:pPr>
      <w:bookmarkStart w:id="195" w:name="_Toc23068"/>
      <w:r>
        <w:rPr>
          <w:rFonts w:hint="eastAsia" w:ascii="宋体" w:hAnsi="宋体" w:eastAsia="宋体" w:cs="宋体"/>
          <w:b/>
          <w:color w:val="auto"/>
          <w:sz w:val="24"/>
          <w:highlight w:val="none"/>
          <w:lang w:val="en-US" w:eastAsia="zh-CN"/>
        </w:rPr>
        <w:t>（4）中小企业声明函</w:t>
      </w:r>
      <w:bookmarkEnd w:id="195"/>
    </w:p>
    <w:p w14:paraId="667078AC">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lang w:val="zh-CN"/>
        </w:rPr>
        <w:t>单位</w:t>
      </w:r>
      <w:r>
        <w:rPr>
          <w:rFonts w:hint="eastAsia" w:ascii="宋体" w:hAnsi="宋体" w:eastAsia="宋体" w:cs="宋体"/>
          <w:color w:val="auto"/>
          <w:sz w:val="24"/>
          <w:szCs w:val="24"/>
          <w:highlight w:val="none"/>
          <w:u w:val="single"/>
          <w:lang w:val="en-US" w:eastAsia="zh-CN"/>
        </w:rPr>
        <w:t>名称</w:t>
      </w:r>
      <w:r>
        <w:rPr>
          <w:rFonts w:hint="eastAsia" w:ascii="宋体" w:hAnsi="宋体" w:eastAsia="宋体" w:cs="宋体"/>
          <w:color w:val="auto"/>
          <w:sz w:val="24"/>
          <w:szCs w:val="24"/>
          <w:highlight w:val="none"/>
          <w:lang w:val="zh-CN"/>
        </w:rPr>
        <w:t>）的（</w:t>
      </w:r>
      <w:r>
        <w:rPr>
          <w:rFonts w:hint="eastAsia" w:ascii="宋体" w:hAnsi="宋体" w:eastAsia="宋体" w:cs="宋体"/>
          <w:color w:val="auto"/>
          <w:sz w:val="24"/>
          <w:szCs w:val="24"/>
          <w:highlight w:val="none"/>
          <w:u w:val="single"/>
          <w:lang w:val="zh-CN"/>
        </w:rPr>
        <w:t>项目</w:t>
      </w:r>
      <w:r>
        <w:rPr>
          <w:rFonts w:hint="eastAsia" w:ascii="宋体" w:hAnsi="宋体" w:eastAsia="宋体" w:cs="宋体"/>
          <w:color w:val="auto"/>
          <w:sz w:val="24"/>
          <w:szCs w:val="24"/>
          <w:highlight w:val="none"/>
          <w:u w:val="single"/>
          <w:lang w:val="en-US" w:eastAsia="zh-CN"/>
        </w:rPr>
        <w:t>名称</w:t>
      </w:r>
      <w:r>
        <w:rPr>
          <w:rFonts w:hint="eastAsia" w:ascii="宋体" w:hAnsi="宋体" w:eastAsia="宋体" w:cs="宋体"/>
          <w:color w:val="auto"/>
          <w:sz w:val="24"/>
          <w:szCs w:val="24"/>
          <w:highlight w:val="none"/>
          <w:lang w:val="zh-CN"/>
        </w:rPr>
        <w:t xml:space="preserve">）采购活动，服务全部由符合政策要求的中小企业承接。相关企业（含联合体中的中小企业、签订分包意向协议的中小企业）的具体情况如下： </w:t>
      </w:r>
    </w:p>
    <w:p w14:paraId="6C5C06F3">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u w:val="single"/>
          <w:lang w:val="zh-CN"/>
        </w:rPr>
        <w:t xml:space="preserve"> （标的名称） </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（采购文件中明确的所属行业）</w:t>
      </w:r>
      <w:r>
        <w:rPr>
          <w:rFonts w:hint="eastAsia" w:ascii="宋体" w:hAnsi="宋体" w:eastAsia="宋体" w:cs="宋体"/>
          <w:color w:val="auto"/>
          <w:sz w:val="24"/>
          <w:szCs w:val="24"/>
          <w:highlight w:val="none"/>
          <w:lang w:val="zh-CN"/>
        </w:rPr>
        <w:t>行业；承接企业为</w:t>
      </w:r>
      <w:r>
        <w:rPr>
          <w:rFonts w:hint="eastAsia" w:ascii="宋体" w:hAnsi="宋体" w:eastAsia="宋体" w:cs="宋体"/>
          <w:color w:val="auto"/>
          <w:sz w:val="24"/>
          <w:szCs w:val="24"/>
          <w:highlight w:val="none"/>
          <w:u w:val="single"/>
          <w:lang w:val="zh-CN"/>
        </w:rPr>
        <w:t>（企业名称）</w:t>
      </w:r>
      <w:r>
        <w:rPr>
          <w:rFonts w:hint="eastAsia" w:ascii="宋体" w:hAnsi="宋体" w:eastAsia="宋体" w:cs="宋体"/>
          <w:color w:val="auto"/>
          <w:sz w:val="24"/>
          <w:szCs w:val="24"/>
          <w:highlight w:val="none"/>
          <w:lang w:val="zh-CN"/>
        </w:rPr>
        <w:t>，从业人员</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人，营业收入为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万元，资产总额为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万元，属于</w:t>
      </w:r>
      <w:r>
        <w:rPr>
          <w:rFonts w:hint="eastAsia" w:ascii="宋体" w:hAnsi="宋体" w:eastAsia="宋体" w:cs="宋体"/>
          <w:color w:val="auto"/>
          <w:sz w:val="24"/>
          <w:szCs w:val="24"/>
          <w:highlight w:val="none"/>
          <w:u w:val="single"/>
          <w:lang w:val="zh-CN"/>
        </w:rPr>
        <w:t>（中型企业、小型企业、微型企业）</w:t>
      </w:r>
      <w:r>
        <w:rPr>
          <w:rFonts w:hint="eastAsia" w:ascii="宋体" w:hAnsi="宋体" w:eastAsia="宋体" w:cs="宋体"/>
          <w:color w:val="auto"/>
          <w:sz w:val="24"/>
          <w:szCs w:val="24"/>
          <w:highlight w:val="none"/>
          <w:lang w:val="zh-CN"/>
        </w:rPr>
        <w:t xml:space="preserve">； </w:t>
      </w:r>
    </w:p>
    <w:p w14:paraId="1759845E">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u w:val="single"/>
          <w:lang w:val="zh-CN"/>
        </w:rPr>
        <w:t xml:space="preserve"> （标的名称） </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（采购文件中明确的所属行业）</w:t>
      </w:r>
      <w:r>
        <w:rPr>
          <w:rFonts w:hint="eastAsia" w:ascii="宋体" w:hAnsi="宋体" w:eastAsia="宋体" w:cs="宋体"/>
          <w:color w:val="auto"/>
          <w:sz w:val="24"/>
          <w:szCs w:val="24"/>
          <w:highlight w:val="none"/>
          <w:lang w:val="zh-CN"/>
        </w:rPr>
        <w:t>行业；承接企业为</w:t>
      </w:r>
      <w:r>
        <w:rPr>
          <w:rFonts w:hint="eastAsia" w:ascii="宋体" w:hAnsi="宋体" w:eastAsia="宋体" w:cs="宋体"/>
          <w:color w:val="auto"/>
          <w:sz w:val="24"/>
          <w:szCs w:val="24"/>
          <w:highlight w:val="none"/>
          <w:u w:val="single"/>
          <w:lang w:val="zh-CN"/>
        </w:rPr>
        <w:t>（企业名称）</w:t>
      </w:r>
      <w:r>
        <w:rPr>
          <w:rFonts w:hint="eastAsia" w:ascii="宋体" w:hAnsi="宋体" w:eastAsia="宋体" w:cs="宋体"/>
          <w:color w:val="auto"/>
          <w:sz w:val="24"/>
          <w:szCs w:val="24"/>
          <w:highlight w:val="none"/>
          <w:lang w:val="zh-CN"/>
        </w:rPr>
        <w:t>，从业人员</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人，营业收入为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万元，资产总额为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万元，属于</w:t>
      </w:r>
      <w:r>
        <w:rPr>
          <w:rFonts w:hint="eastAsia" w:ascii="宋体" w:hAnsi="宋体" w:eastAsia="宋体" w:cs="宋体"/>
          <w:color w:val="auto"/>
          <w:sz w:val="24"/>
          <w:szCs w:val="24"/>
          <w:highlight w:val="none"/>
          <w:u w:val="single"/>
          <w:lang w:val="zh-CN"/>
        </w:rPr>
        <w:t>（中型企业、小型企业、微型企业）</w:t>
      </w:r>
      <w:r>
        <w:rPr>
          <w:rFonts w:hint="eastAsia" w:ascii="宋体" w:hAnsi="宋体" w:eastAsia="宋体" w:cs="宋体"/>
          <w:color w:val="auto"/>
          <w:sz w:val="24"/>
          <w:szCs w:val="24"/>
          <w:highlight w:val="none"/>
          <w:lang w:val="zh-CN"/>
        </w:rPr>
        <w:t xml:space="preserve">； </w:t>
      </w:r>
    </w:p>
    <w:p w14:paraId="4C003EC6">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p>
    <w:p w14:paraId="5A9EF725">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以上企业，不属于大企业的分支机构，不存在控股股东为大企业的情形，也不存在与大企业的负责人为同一人的情形。</w:t>
      </w:r>
    </w:p>
    <w:p w14:paraId="045E69BF">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本企业对上述声明内容的真实性负责。如有虚假，将依法承担相应责任。 </w:t>
      </w:r>
    </w:p>
    <w:p w14:paraId="31E422B9">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4"/>
          <w:highlight w:val="none"/>
        </w:rPr>
      </w:pPr>
    </w:p>
    <w:p w14:paraId="48AB11B3">
      <w:pPr>
        <w:keepNext w:val="0"/>
        <w:keepLines w:val="0"/>
        <w:pageBreakBefore w:val="0"/>
        <w:kinsoku/>
        <w:wordWrap/>
        <w:overflowPunct/>
        <w:topLinePunct w:val="0"/>
        <w:autoSpaceDE/>
        <w:autoSpaceDN/>
        <w:bidi w:val="0"/>
        <w:spacing w:line="440" w:lineRule="exact"/>
        <w:ind w:firstLine="4228" w:firstLineChars="176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投标人电子签章：</w:t>
      </w:r>
      <w:r>
        <w:rPr>
          <w:rFonts w:hint="eastAsia" w:ascii="宋体" w:hAnsi="宋体" w:eastAsia="宋体" w:cs="宋体"/>
          <w:color w:val="auto"/>
          <w:sz w:val="24"/>
          <w:szCs w:val="24"/>
          <w:highlight w:val="none"/>
          <w:u w:val="single"/>
        </w:rPr>
        <w:t xml:space="preserve">             </w:t>
      </w:r>
    </w:p>
    <w:p w14:paraId="4F55D3EE">
      <w:pPr>
        <w:keepNext w:val="0"/>
        <w:keepLines w:val="0"/>
        <w:pageBreakBefore w:val="0"/>
        <w:tabs>
          <w:tab w:val="left" w:pos="4620"/>
        </w:tabs>
        <w:kinsoku/>
        <w:wordWrap/>
        <w:overflowPunct/>
        <w:topLinePunct w:val="0"/>
        <w:autoSpaceDE/>
        <w:autoSpaceDN/>
        <w:bidi w:val="0"/>
        <w:spacing w:line="440" w:lineRule="exact"/>
        <w:ind w:firstLine="4252" w:firstLineChars="177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51D91A15">
      <w:pPr>
        <w:keepNext w:val="0"/>
        <w:keepLines w:val="0"/>
        <w:pageBreakBefore w:val="0"/>
        <w:tabs>
          <w:tab w:val="left" w:pos="4620"/>
        </w:tabs>
        <w:kinsoku/>
        <w:wordWrap/>
        <w:overflowPunct/>
        <w:topLinePunct w:val="0"/>
        <w:autoSpaceDE/>
        <w:autoSpaceDN/>
        <w:bidi w:val="0"/>
        <w:spacing w:line="440" w:lineRule="exact"/>
        <w:jc w:val="left"/>
        <w:textAlignment w:val="auto"/>
        <w:outlineLvl w:val="9"/>
        <w:rPr>
          <w:rFonts w:hint="eastAsia" w:ascii="宋体" w:hAnsi="宋体" w:eastAsia="宋体" w:cs="宋体"/>
          <w:b/>
          <w:color w:val="auto"/>
          <w:szCs w:val="24"/>
          <w:highlight w:val="none"/>
          <w:lang w:eastAsia="zh-CN"/>
        </w:rPr>
      </w:pPr>
      <w:r>
        <w:rPr>
          <w:rFonts w:hint="eastAsia" w:ascii="宋体" w:hAnsi="宋体" w:eastAsia="宋体" w:cs="宋体"/>
          <w:b/>
          <w:color w:val="auto"/>
          <w:szCs w:val="24"/>
          <w:highlight w:val="none"/>
          <w:lang w:eastAsia="zh-CN"/>
        </w:rPr>
        <w:t>注：</w:t>
      </w:r>
    </w:p>
    <w:p w14:paraId="6BCE0902">
      <w:pPr>
        <w:keepNext w:val="0"/>
        <w:keepLines w:val="0"/>
        <w:pageBreakBefore w:val="0"/>
        <w:tabs>
          <w:tab w:val="left" w:pos="4620"/>
        </w:tabs>
        <w:kinsoku/>
        <w:wordWrap/>
        <w:overflowPunct/>
        <w:topLinePunct w:val="0"/>
        <w:autoSpaceDE/>
        <w:autoSpaceDN/>
        <w:bidi w:val="0"/>
        <w:spacing w:line="440" w:lineRule="exac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1.从业人员、营业收入、资产总额填报上一年数据，无上一年数据的新成立企业可不填报。</w:t>
      </w:r>
    </w:p>
    <w:p w14:paraId="49D2ED59">
      <w:pPr>
        <w:keepNext w:val="0"/>
        <w:keepLines w:val="0"/>
        <w:pageBreakBefore w:val="0"/>
        <w:tabs>
          <w:tab w:val="left" w:pos="4620"/>
        </w:tabs>
        <w:kinsoku/>
        <w:wordWrap/>
        <w:overflowPunct/>
        <w:topLinePunct w:val="0"/>
        <w:autoSpaceDE/>
        <w:autoSpaceDN/>
        <w:bidi w:val="0"/>
        <w:spacing w:line="440" w:lineRule="exact"/>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szCs w:val="21"/>
          <w:highlight w:val="none"/>
          <w:lang w:val="zh-CN"/>
        </w:rPr>
        <w:t>如有虚假，将依法承担相应责任。</w:t>
      </w:r>
      <w:r>
        <w:rPr>
          <w:rFonts w:hint="eastAsia" w:ascii="宋体" w:hAnsi="宋体" w:eastAsia="宋体" w:cs="宋体"/>
          <w:b/>
          <w:bCs/>
          <w:color w:val="auto"/>
          <w:szCs w:val="21"/>
          <w:highlight w:val="none"/>
        </w:rPr>
        <w:t>投标人自行登录工业和信息化部官网进行中小企业规模类型自测（查询网址https://www.miit.gov.cn/）。</w:t>
      </w:r>
    </w:p>
    <w:p w14:paraId="12F08827">
      <w:pPr>
        <w:keepNext w:val="0"/>
        <w:keepLines w:val="0"/>
        <w:pageBreakBefore w:val="0"/>
        <w:tabs>
          <w:tab w:val="left" w:pos="4620"/>
        </w:tabs>
        <w:kinsoku/>
        <w:wordWrap/>
        <w:overflowPunct/>
        <w:topLinePunct w:val="0"/>
        <w:autoSpaceDE/>
        <w:autoSpaceDN/>
        <w:bidi w:val="0"/>
        <w:spacing w:line="440" w:lineRule="exact"/>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3.上述“</w:t>
      </w:r>
      <w:r>
        <w:rPr>
          <w:rFonts w:hint="eastAsia" w:ascii="宋体" w:hAnsi="宋体" w:eastAsia="宋体" w:cs="宋体"/>
          <w:b/>
          <w:bCs/>
          <w:color w:val="auto"/>
          <w:szCs w:val="21"/>
          <w:highlight w:val="none"/>
          <w:u w:val="single"/>
          <w:lang w:val="zh-CN"/>
        </w:rPr>
        <w:t>标的名称</w:t>
      </w:r>
      <w:r>
        <w:rPr>
          <w:rFonts w:hint="eastAsia" w:ascii="宋体" w:hAnsi="宋体" w:eastAsia="宋体" w:cs="宋体"/>
          <w:b/>
          <w:bCs/>
          <w:color w:val="auto"/>
          <w:szCs w:val="21"/>
          <w:highlight w:val="none"/>
        </w:rPr>
        <w:t>”，详见第三章采购需求前附表中明确的“标的名称”。</w:t>
      </w:r>
    </w:p>
    <w:p w14:paraId="3DDFC330">
      <w:pPr>
        <w:keepNext w:val="0"/>
        <w:keepLines w:val="0"/>
        <w:pageBreakBefore w:val="0"/>
        <w:tabs>
          <w:tab w:val="left" w:pos="4620"/>
        </w:tabs>
        <w:kinsoku/>
        <w:wordWrap/>
        <w:overflowPunct/>
        <w:topLinePunct w:val="0"/>
        <w:autoSpaceDE/>
        <w:autoSpaceDN/>
        <w:bidi w:val="0"/>
        <w:spacing w:line="440" w:lineRule="exact"/>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4.上述“</w:t>
      </w:r>
      <w:r>
        <w:rPr>
          <w:rFonts w:hint="eastAsia" w:ascii="宋体" w:hAnsi="宋体" w:eastAsia="宋体" w:cs="宋体"/>
          <w:b/>
          <w:bCs/>
          <w:color w:val="auto"/>
          <w:szCs w:val="21"/>
          <w:highlight w:val="none"/>
          <w:u w:val="single"/>
        </w:rPr>
        <w:t>采购文件中明确的所属行业</w:t>
      </w:r>
      <w:r>
        <w:rPr>
          <w:rFonts w:hint="eastAsia" w:ascii="宋体" w:hAnsi="宋体" w:eastAsia="宋体" w:cs="宋体"/>
          <w:b/>
          <w:bCs/>
          <w:color w:val="auto"/>
          <w:szCs w:val="21"/>
          <w:highlight w:val="none"/>
        </w:rPr>
        <w:t>”，详见第三章采购需求前附表中明确的“所属行业”。</w:t>
      </w:r>
    </w:p>
    <w:p w14:paraId="1FE4C455">
      <w:pPr>
        <w:keepNext w:val="0"/>
        <w:keepLines w:val="0"/>
        <w:pageBreakBefore w:val="0"/>
        <w:tabs>
          <w:tab w:val="left" w:pos="4620"/>
        </w:tabs>
        <w:kinsoku/>
        <w:wordWrap/>
        <w:overflowPunct/>
        <w:topLinePunct w:val="0"/>
        <w:autoSpaceDE/>
        <w:autoSpaceDN/>
        <w:bidi w:val="0"/>
        <w:spacing w:line="440" w:lineRule="exact"/>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5．填写示例：</w:t>
      </w:r>
      <w:r>
        <w:rPr>
          <w:rFonts w:hint="eastAsia" w:ascii="宋体" w:hAnsi="宋体" w:eastAsia="宋体" w:cs="宋体"/>
          <w:b/>
          <w:bCs/>
          <w:color w:val="auto"/>
          <w:szCs w:val="21"/>
          <w:highlight w:val="none"/>
          <w:u w:val="single"/>
        </w:rPr>
        <w:t>某标的名称</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u w:val="single"/>
        </w:rPr>
        <w:t>填写第三章采购需求前附表中明确的“标的名称”</w:t>
      </w:r>
      <w:r>
        <w:rPr>
          <w:rFonts w:hint="eastAsia" w:ascii="宋体" w:hAnsi="宋体" w:eastAsia="宋体" w:cs="宋体"/>
          <w:b/>
          <w:bCs/>
          <w:color w:val="auto"/>
          <w:szCs w:val="21"/>
          <w:highlight w:val="none"/>
        </w:rPr>
        <w:t>），属于</w:t>
      </w:r>
      <w:r>
        <w:rPr>
          <w:rFonts w:hint="eastAsia" w:ascii="宋体" w:hAnsi="宋体" w:eastAsia="宋体" w:cs="宋体"/>
          <w:b/>
          <w:bCs/>
          <w:color w:val="auto"/>
          <w:szCs w:val="21"/>
          <w:highlight w:val="none"/>
          <w:u w:val="single"/>
        </w:rPr>
        <w:t>（填写第三章采购需求前附表中明确的“所属行业”，如软件和信息技术服务业）</w:t>
      </w:r>
      <w:r>
        <w:rPr>
          <w:rFonts w:hint="eastAsia" w:ascii="宋体" w:hAnsi="宋体" w:eastAsia="宋体" w:cs="宋体"/>
          <w:b/>
          <w:bCs/>
          <w:color w:val="auto"/>
          <w:szCs w:val="21"/>
          <w:highlight w:val="none"/>
        </w:rPr>
        <w:t>行业；承接企业为</w:t>
      </w:r>
      <w:r>
        <w:rPr>
          <w:rFonts w:hint="eastAsia" w:ascii="宋体" w:hAnsi="宋体" w:eastAsia="宋体" w:cs="宋体"/>
          <w:b/>
          <w:bCs/>
          <w:color w:val="auto"/>
          <w:szCs w:val="21"/>
          <w:highlight w:val="none"/>
          <w:u w:val="single"/>
          <w:lang w:val="zh-CN"/>
        </w:rPr>
        <w:t>某</w:t>
      </w:r>
      <w:r>
        <w:rPr>
          <w:rFonts w:hint="eastAsia" w:ascii="宋体" w:hAnsi="宋体" w:eastAsia="宋体" w:cs="宋体"/>
          <w:b/>
          <w:bCs/>
          <w:color w:val="auto"/>
          <w:szCs w:val="21"/>
          <w:highlight w:val="none"/>
          <w:u w:val="single"/>
        </w:rPr>
        <w:t>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从业人员</w:t>
      </w:r>
      <w:r>
        <w:rPr>
          <w:rFonts w:hint="eastAsia" w:ascii="宋体" w:hAnsi="宋体" w:eastAsia="宋体" w:cs="宋体"/>
          <w:b/>
          <w:bCs/>
          <w:color w:val="auto"/>
          <w:szCs w:val="21"/>
          <w:highlight w:val="none"/>
          <w:u w:val="single"/>
        </w:rPr>
        <w:t>100</w:t>
      </w:r>
      <w:r>
        <w:rPr>
          <w:rFonts w:hint="eastAsia" w:ascii="宋体" w:hAnsi="宋体" w:eastAsia="宋体" w:cs="宋体"/>
          <w:b/>
          <w:bCs/>
          <w:color w:val="auto"/>
          <w:szCs w:val="21"/>
          <w:highlight w:val="none"/>
          <w:lang w:val="zh-CN"/>
        </w:rPr>
        <w:t>人</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营业收入为</w:t>
      </w:r>
      <w:r>
        <w:rPr>
          <w:rFonts w:hint="eastAsia" w:ascii="宋体" w:hAnsi="宋体" w:eastAsia="宋体" w:cs="宋体"/>
          <w:b/>
          <w:bCs/>
          <w:color w:val="auto"/>
          <w:szCs w:val="21"/>
          <w:highlight w:val="none"/>
          <w:u w:val="single"/>
        </w:rPr>
        <w:t>10000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资产总额为</w:t>
      </w:r>
      <w:r>
        <w:rPr>
          <w:rFonts w:hint="eastAsia" w:ascii="宋体" w:hAnsi="宋体" w:eastAsia="宋体" w:cs="宋体"/>
          <w:b/>
          <w:bCs/>
          <w:color w:val="auto"/>
          <w:szCs w:val="21"/>
          <w:highlight w:val="none"/>
          <w:u w:val="single"/>
        </w:rPr>
        <w:t>5000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rPr>
        <w:t>中</w:t>
      </w:r>
      <w:r>
        <w:rPr>
          <w:rFonts w:hint="eastAsia" w:ascii="宋体" w:hAnsi="宋体" w:eastAsia="宋体" w:cs="宋体"/>
          <w:b/>
          <w:bCs/>
          <w:color w:val="auto"/>
          <w:szCs w:val="21"/>
          <w:highlight w:val="none"/>
          <w:u w:val="single"/>
          <w:lang w:val="zh-CN"/>
        </w:rPr>
        <w:t>型</w:t>
      </w:r>
      <w:r>
        <w:rPr>
          <w:rFonts w:hint="eastAsia" w:ascii="宋体" w:hAnsi="宋体" w:eastAsia="宋体" w:cs="宋体"/>
          <w:b/>
          <w:bCs/>
          <w:color w:val="auto"/>
          <w:szCs w:val="21"/>
          <w:highlight w:val="none"/>
          <w:lang w:val="zh-CN"/>
        </w:rPr>
        <w:t>企业</w:t>
      </w:r>
      <w:r>
        <w:rPr>
          <w:rFonts w:hint="eastAsia" w:ascii="宋体" w:hAnsi="宋体" w:eastAsia="宋体" w:cs="宋体"/>
          <w:b/>
          <w:bCs/>
          <w:color w:val="auto"/>
          <w:szCs w:val="21"/>
          <w:highlight w:val="none"/>
        </w:rPr>
        <w:t>[投标人自行登录工业和信息化部官网进行中小企业规模类型自测（查询网址https://www.miit.gov.cn/）]</w:t>
      </w:r>
      <w:r>
        <w:rPr>
          <w:rFonts w:hint="eastAsia" w:ascii="宋体" w:hAnsi="宋体" w:eastAsia="宋体" w:cs="宋体"/>
          <w:b/>
          <w:bCs/>
          <w:color w:val="auto"/>
          <w:szCs w:val="21"/>
          <w:highlight w:val="none"/>
          <w:lang w:val="zh-CN"/>
        </w:rPr>
        <w:t>。</w:t>
      </w:r>
    </w:p>
    <w:p w14:paraId="2DA2F151">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4"/>
          <w:highlight w:val="none"/>
        </w:rPr>
      </w:pPr>
      <w:bookmarkStart w:id="196" w:name="_Toc16713"/>
      <w:r>
        <w:rPr>
          <w:rFonts w:hint="eastAsia" w:ascii="宋体" w:hAnsi="宋体" w:eastAsia="宋体" w:cs="宋体"/>
          <w:b/>
          <w:color w:val="auto"/>
          <w:sz w:val="24"/>
          <w:highlight w:val="none"/>
        </w:rPr>
        <w:br w:type="page"/>
      </w:r>
    </w:p>
    <w:p w14:paraId="66F2083C">
      <w:pPr>
        <w:keepNext w:val="0"/>
        <w:keepLines w:val="0"/>
        <w:pageBreakBefore w:val="0"/>
        <w:kinsoku/>
        <w:wordWrap/>
        <w:overflowPunct/>
        <w:topLinePunct w:val="0"/>
        <w:autoSpaceDE/>
        <w:autoSpaceDN/>
        <w:bidi w:val="0"/>
        <w:spacing w:line="440" w:lineRule="exact"/>
        <w:jc w:val="center"/>
        <w:textAlignment w:val="auto"/>
        <w:outlineLvl w:val="1"/>
        <w:rPr>
          <w:rFonts w:hint="eastAsia" w:ascii="宋体" w:hAnsi="宋体" w:eastAsia="宋体" w:cs="宋体"/>
          <w:b/>
          <w:color w:val="auto"/>
          <w:sz w:val="24"/>
          <w:highlight w:val="none"/>
          <w:lang w:val="en-US" w:eastAsia="zh-CN"/>
        </w:rPr>
      </w:pPr>
      <w:bookmarkStart w:id="197" w:name="_Toc17315"/>
      <w:r>
        <w:rPr>
          <w:rFonts w:hint="eastAsia" w:ascii="宋体" w:hAnsi="宋体" w:eastAsia="宋体" w:cs="宋体"/>
          <w:b/>
          <w:color w:val="auto"/>
          <w:sz w:val="24"/>
          <w:highlight w:val="none"/>
          <w:lang w:val="en-US" w:eastAsia="zh-CN"/>
        </w:rPr>
        <w:t>（5）残疾人福利性单位声明函</w:t>
      </w:r>
      <w:bookmarkEnd w:id="196"/>
      <w:bookmarkEnd w:id="197"/>
    </w:p>
    <w:p w14:paraId="42B5F782">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w:t>
      </w:r>
      <w:r>
        <w:rPr>
          <w:rFonts w:hint="eastAsia" w:ascii="宋体" w:hAnsi="宋体" w:eastAsia="宋体" w:cs="宋体"/>
          <w:color w:val="auto"/>
          <w:sz w:val="24"/>
          <w:highlight w:val="none"/>
        </w:rPr>
        <w:t>郑重</w:t>
      </w:r>
      <w:r>
        <w:rPr>
          <w:rFonts w:hint="eastAsia" w:ascii="宋体" w:hAnsi="宋体" w:eastAsia="宋体" w:cs="宋体"/>
          <w:color w:val="auto"/>
          <w:spacing w:val="6"/>
          <w:sz w:val="24"/>
          <w:szCs w:val="24"/>
          <w:highlight w:val="none"/>
        </w:rPr>
        <w:t>声明，根据《财政部 民政部 中国残疾人联合会关于促进残疾人就业政府采购政策的通知》（财库</w:t>
      </w:r>
      <w:r>
        <w:rPr>
          <w:rFonts w:hint="eastAsia" w:ascii="宋体" w:hAnsi="宋体" w:eastAsia="宋体" w:cs="宋体"/>
          <w:color w:val="auto"/>
          <w:sz w:val="24"/>
          <w:szCs w:val="24"/>
          <w:highlight w:val="none"/>
        </w:rPr>
        <w:t>〔2017〕141</w:t>
      </w:r>
      <w:r>
        <w:rPr>
          <w:rFonts w:hint="eastAsia" w:ascii="宋体" w:hAnsi="宋体" w:eastAsia="宋体" w:cs="宋体"/>
          <w:color w:val="auto"/>
          <w:spacing w:val="6"/>
          <w:sz w:val="24"/>
          <w:szCs w:val="24"/>
          <w:highlight w:val="none"/>
        </w:rPr>
        <w:t>号）的规定，本单位为</w:t>
      </w:r>
      <w:r>
        <w:rPr>
          <w:rFonts w:hint="eastAsia" w:ascii="宋体" w:hAnsi="宋体" w:eastAsia="宋体" w:cs="宋体"/>
          <w:bCs/>
          <w:color w:val="auto"/>
          <w:sz w:val="24"/>
          <w:szCs w:val="24"/>
          <w:highlight w:val="none"/>
        </w:rPr>
        <w:t>符合</w:t>
      </w:r>
      <w:r>
        <w:rPr>
          <w:rFonts w:hint="eastAsia" w:ascii="宋体" w:hAnsi="宋体" w:eastAsia="宋体" w:cs="宋体"/>
          <w:color w:val="auto"/>
          <w:spacing w:val="6"/>
          <w:sz w:val="24"/>
          <w:szCs w:val="24"/>
          <w:highlight w:val="none"/>
        </w:rPr>
        <w:t>条件的残疾人福利性单位，且本单位参加</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单位的</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项目采购活动提供本单位制造的货物</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lang w:val="en-US" w:eastAsia="zh-CN"/>
        </w:rPr>
        <w:t>由本单位承担工程/提供服务</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，或者提供其他残疾人福利性单位制造的货物（不包括使用非残疾人福利性单位注册商标的货物）。</w:t>
      </w:r>
    </w:p>
    <w:p w14:paraId="3CD1303B">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6466DF7A">
      <w:pPr>
        <w:keepNext w:val="0"/>
        <w:keepLines w:val="0"/>
        <w:pageBreakBefore w:val="0"/>
        <w:kinsoku/>
        <w:wordWrap/>
        <w:overflowPunct/>
        <w:topLinePunct w:val="0"/>
        <w:autoSpaceDE/>
        <w:autoSpaceDN/>
        <w:bidi w:val="0"/>
        <w:spacing w:line="440" w:lineRule="exact"/>
        <w:ind w:firstLine="4228" w:firstLineChars="1762"/>
        <w:textAlignment w:val="auto"/>
        <w:rPr>
          <w:rFonts w:hint="eastAsia" w:ascii="宋体" w:hAnsi="宋体" w:eastAsia="宋体" w:cs="宋体"/>
          <w:color w:val="auto"/>
          <w:sz w:val="24"/>
          <w:szCs w:val="24"/>
          <w:highlight w:val="none"/>
        </w:rPr>
      </w:pPr>
    </w:p>
    <w:p w14:paraId="16B4D372">
      <w:pPr>
        <w:keepNext w:val="0"/>
        <w:keepLines w:val="0"/>
        <w:pageBreakBefore w:val="0"/>
        <w:kinsoku/>
        <w:wordWrap/>
        <w:overflowPunct/>
        <w:topLinePunct w:val="0"/>
        <w:autoSpaceDE/>
        <w:autoSpaceDN/>
        <w:bidi w:val="0"/>
        <w:spacing w:line="440" w:lineRule="exact"/>
        <w:ind w:firstLine="4228" w:firstLineChars="1762"/>
        <w:textAlignment w:val="auto"/>
        <w:rPr>
          <w:rFonts w:hint="eastAsia" w:ascii="宋体" w:hAnsi="宋体" w:eastAsia="宋体" w:cs="宋体"/>
          <w:color w:val="auto"/>
          <w:sz w:val="24"/>
          <w:szCs w:val="24"/>
          <w:highlight w:val="none"/>
        </w:rPr>
      </w:pPr>
    </w:p>
    <w:p w14:paraId="2EC6BBA9">
      <w:pPr>
        <w:keepNext w:val="0"/>
        <w:keepLines w:val="0"/>
        <w:pageBreakBefore w:val="0"/>
        <w:kinsoku/>
        <w:wordWrap/>
        <w:overflowPunct/>
        <w:topLinePunct w:val="0"/>
        <w:autoSpaceDE/>
        <w:autoSpaceDN/>
        <w:bidi w:val="0"/>
        <w:spacing w:line="440" w:lineRule="exact"/>
        <w:ind w:firstLine="4228" w:firstLineChars="176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投标人电子签章：</w:t>
      </w:r>
      <w:r>
        <w:rPr>
          <w:rFonts w:hint="eastAsia" w:ascii="宋体" w:hAnsi="宋体" w:eastAsia="宋体" w:cs="宋体"/>
          <w:color w:val="auto"/>
          <w:sz w:val="24"/>
          <w:szCs w:val="24"/>
          <w:highlight w:val="none"/>
          <w:u w:val="single"/>
        </w:rPr>
        <w:t xml:space="preserve">             </w:t>
      </w:r>
    </w:p>
    <w:p w14:paraId="4D1CCBF9">
      <w:pPr>
        <w:keepNext w:val="0"/>
        <w:keepLines w:val="0"/>
        <w:pageBreakBefore w:val="0"/>
        <w:tabs>
          <w:tab w:val="left" w:pos="4620"/>
        </w:tabs>
        <w:kinsoku/>
        <w:wordWrap/>
        <w:overflowPunct/>
        <w:topLinePunct w:val="0"/>
        <w:autoSpaceDE/>
        <w:autoSpaceDN/>
        <w:bidi w:val="0"/>
        <w:spacing w:line="440" w:lineRule="exact"/>
        <w:ind w:firstLine="4252" w:firstLineChars="177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07EB71BD">
      <w:pPr>
        <w:spacing w:line="900" w:lineRule="exact"/>
        <w:jc w:val="center"/>
        <w:rPr>
          <w:rFonts w:hint="eastAsia" w:ascii="宋体" w:hAnsi="宋体" w:eastAsia="宋体" w:cs="宋体"/>
          <w:b/>
          <w:color w:val="auto"/>
          <w:sz w:val="72"/>
          <w:highlight w:val="none"/>
        </w:rPr>
      </w:pPr>
    </w:p>
    <w:p w14:paraId="1EF4CB7A">
      <w:pPr>
        <w:keepNext w:val="0"/>
        <w:keepLines w:val="0"/>
        <w:pageBreakBefore/>
        <w:widowControl w:val="0"/>
        <w:kinsoku/>
        <w:wordWrap/>
        <w:overflowPunct/>
        <w:topLinePunct w:val="0"/>
        <w:autoSpaceDE/>
        <w:autoSpaceDN/>
        <w:bidi w:val="0"/>
        <w:adjustRightInd/>
        <w:snapToGrid/>
        <w:textAlignment w:val="auto"/>
        <w:rPr>
          <w:rFonts w:hint="eastAsia" w:ascii="宋体" w:hAnsi="宋体" w:eastAsia="宋体" w:cs="宋体"/>
          <w:b/>
          <w:sz w:val="28"/>
          <w:szCs w:val="28"/>
          <w:highlight w:val="none"/>
          <w:bdr w:val="single" w:color="000000" w:sz="4" w:space="0"/>
        </w:rPr>
      </w:pPr>
      <w:r>
        <w:rPr>
          <w:rFonts w:hint="eastAsia" w:ascii="宋体" w:hAnsi="宋体" w:eastAsia="宋体" w:cs="宋体"/>
          <w:b/>
          <w:sz w:val="28"/>
          <w:szCs w:val="28"/>
          <w:highlight w:val="none"/>
          <w:lang w:val="en-US" w:eastAsia="zh-CN"/>
        </w:rPr>
        <w:t>二</w:t>
      </w:r>
      <w:r>
        <w:rPr>
          <w:rFonts w:hint="eastAsia" w:ascii="宋体" w:hAnsi="宋体" w:eastAsia="宋体" w:cs="宋体"/>
          <w:b/>
          <w:sz w:val="28"/>
          <w:szCs w:val="28"/>
          <w:highlight w:val="none"/>
        </w:rPr>
        <w:t>、</w:t>
      </w:r>
      <w:r>
        <w:rPr>
          <w:rFonts w:hint="eastAsia" w:ascii="宋体" w:hAnsi="宋体" w:eastAsia="宋体" w:cs="宋体"/>
          <w:b/>
          <w:sz w:val="28"/>
          <w:szCs w:val="28"/>
          <w:highlight w:val="none"/>
          <w:lang w:val="en-US" w:eastAsia="zh-CN"/>
        </w:rPr>
        <w:t>技术标</w:t>
      </w:r>
      <w:r>
        <w:rPr>
          <w:rFonts w:hint="eastAsia" w:ascii="宋体" w:hAnsi="宋体" w:eastAsia="宋体" w:cs="宋体"/>
          <w:b/>
          <w:sz w:val="28"/>
          <w:szCs w:val="28"/>
          <w:highlight w:val="none"/>
        </w:rPr>
        <w:t>格式文件</w:t>
      </w:r>
    </w:p>
    <w:p w14:paraId="554C4B31">
      <w:pPr>
        <w:jc w:val="center"/>
        <w:rPr>
          <w:rFonts w:hint="eastAsia" w:ascii="宋体" w:hAnsi="宋体" w:eastAsia="宋体" w:cs="宋体"/>
          <w:sz w:val="20"/>
          <w:highlight w:val="none"/>
        </w:rPr>
      </w:pPr>
    </w:p>
    <w:p w14:paraId="1613F532">
      <w:pPr>
        <w:rPr>
          <w:rFonts w:hint="eastAsia" w:ascii="宋体" w:hAnsi="宋体" w:eastAsia="宋体" w:cs="宋体"/>
          <w:sz w:val="20"/>
          <w:highlight w:val="none"/>
        </w:rPr>
      </w:pPr>
    </w:p>
    <w:p w14:paraId="53852364">
      <w:pPr>
        <w:jc w:val="center"/>
        <w:rPr>
          <w:rFonts w:hint="eastAsia" w:ascii="宋体" w:hAnsi="宋体" w:eastAsia="宋体" w:cs="宋体"/>
          <w:b/>
          <w:sz w:val="44"/>
          <w:szCs w:val="44"/>
          <w:highlight w:val="none"/>
          <w:lang w:eastAsia="zh-CN"/>
        </w:rPr>
      </w:pPr>
      <w:r>
        <w:rPr>
          <w:rFonts w:hint="eastAsia" w:ascii="宋体" w:hAnsi="宋体" w:eastAsia="宋体" w:cs="宋体"/>
          <w:b/>
          <w:sz w:val="44"/>
          <w:szCs w:val="44"/>
          <w:highlight w:val="none"/>
          <w:lang w:val="en-US" w:eastAsia="zh-CN"/>
        </w:rPr>
        <w:t>技术标</w:t>
      </w:r>
    </w:p>
    <w:p w14:paraId="26123A5C">
      <w:pPr>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（投标文件</w:t>
      </w:r>
      <w:r>
        <w:rPr>
          <w:rFonts w:hint="eastAsia" w:ascii="宋体" w:hAnsi="宋体" w:eastAsia="宋体" w:cs="宋体"/>
          <w:sz w:val="32"/>
          <w:szCs w:val="32"/>
          <w:highlight w:val="none"/>
          <w:lang w:val="en-US" w:eastAsia="zh-CN"/>
        </w:rPr>
        <w:t>二</w:t>
      </w:r>
      <w:r>
        <w:rPr>
          <w:rFonts w:hint="eastAsia" w:ascii="宋体" w:hAnsi="宋体" w:eastAsia="宋体" w:cs="宋体"/>
          <w:sz w:val="32"/>
          <w:szCs w:val="32"/>
          <w:highlight w:val="none"/>
        </w:rPr>
        <w:t>）</w:t>
      </w:r>
    </w:p>
    <w:p w14:paraId="4DDC6758">
      <w:pPr>
        <w:jc w:val="center"/>
        <w:rPr>
          <w:rFonts w:hint="eastAsia" w:ascii="宋体" w:hAnsi="宋体" w:eastAsia="宋体" w:cs="宋体"/>
          <w:sz w:val="44"/>
          <w:szCs w:val="44"/>
          <w:highlight w:val="none"/>
        </w:rPr>
      </w:pPr>
    </w:p>
    <w:p w14:paraId="3EECC89F">
      <w:pPr>
        <w:jc w:val="center"/>
        <w:rPr>
          <w:rFonts w:hint="eastAsia" w:ascii="宋体" w:hAnsi="宋体" w:eastAsia="宋体" w:cs="宋体"/>
          <w:sz w:val="32"/>
          <w:szCs w:val="32"/>
          <w:highlight w:val="none"/>
        </w:rPr>
      </w:pP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rPr>
        <w:t>项目</w:t>
      </w:r>
    </w:p>
    <w:p w14:paraId="5D603781">
      <w:pPr>
        <w:jc w:val="center"/>
        <w:rPr>
          <w:rFonts w:hint="eastAsia" w:ascii="宋体" w:hAnsi="宋体" w:eastAsia="宋体" w:cs="宋体"/>
          <w:sz w:val="44"/>
          <w:szCs w:val="44"/>
          <w:highlight w:val="none"/>
        </w:rPr>
      </w:pPr>
      <w:r>
        <w:rPr>
          <w:rFonts w:hint="eastAsia" w:ascii="宋体" w:hAnsi="宋体" w:eastAsia="宋体" w:cs="宋体"/>
          <w:sz w:val="28"/>
          <w:szCs w:val="28"/>
          <w:highlight w:val="none"/>
        </w:rPr>
        <w:t>项目编号：</w:t>
      </w:r>
      <w:r>
        <w:rPr>
          <w:rFonts w:hint="eastAsia" w:ascii="宋体" w:hAnsi="宋体" w:eastAsia="宋体" w:cs="宋体"/>
          <w:sz w:val="28"/>
          <w:szCs w:val="28"/>
          <w:highlight w:val="none"/>
          <w:u w:val="single"/>
        </w:rPr>
        <w:t xml:space="preserve">     </w:t>
      </w:r>
    </w:p>
    <w:p w14:paraId="5B2D750D">
      <w:pPr>
        <w:rPr>
          <w:rFonts w:hint="eastAsia" w:ascii="宋体" w:hAnsi="宋体" w:eastAsia="宋体" w:cs="宋体"/>
          <w:sz w:val="28"/>
          <w:szCs w:val="28"/>
          <w:highlight w:val="none"/>
        </w:rPr>
      </w:pPr>
    </w:p>
    <w:p w14:paraId="313952F4">
      <w:pPr>
        <w:rPr>
          <w:rFonts w:hint="eastAsia" w:ascii="宋体" w:hAnsi="宋体" w:eastAsia="宋体" w:cs="宋体"/>
          <w:sz w:val="28"/>
          <w:szCs w:val="28"/>
          <w:highlight w:val="none"/>
        </w:rPr>
      </w:pPr>
    </w:p>
    <w:p w14:paraId="19C9E7C7">
      <w:pPr>
        <w:rPr>
          <w:rFonts w:hint="eastAsia" w:ascii="宋体" w:hAnsi="宋体" w:eastAsia="宋体" w:cs="宋体"/>
          <w:sz w:val="28"/>
          <w:szCs w:val="28"/>
          <w:highlight w:val="none"/>
        </w:rPr>
      </w:pPr>
    </w:p>
    <w:p w14:paraId="1B254670">
      <w:pPr>
        <w:rPr>
          <w:rFonts w:hint="eastAsia" w:ascii="宋体" w:hAnsi="宋体" w:eastAsia="宋体" w:cs="宋体"/>
          <w:sz w:val="28"/>
          <w:szCs w:val="28"/>
          <w:highlight w:val="none"/>
        </w:rPr>
      </w:pPr>
    </w:p>
    <w:p w14:paraId="007BC673">
      <w:pPr>
        <w:rPr>
          <w:rFonts w:hint="eastAsia" w:ascii="宋体" w:hAnsi="宋体" w:eastAsia="宋体" w:cs="宋体"/>
          <w:sz w:val="28"/>
          <w:szCs w:val="28"/>
          <w:highlight w:val="none"/>
        </w:rPr>
      </w:pPr>
    </w:p>
    <w:p w14:paraId="33854F52">
      <w:pPr>
        <w:rPr>
          <w:rFonts w:hint="eastAsia" w:ascii="宋体" w:hAnsi="宋体" w:eastAsia="宋体" w:cs="宋体"/>
          <w:sz w:val="28"/>
          <w:szCs w:val="28"/>
          <w:highlight w:val="none"/>
        </w:rPr>
      </w:pPr>
    </w:p>
    <w:p w14:paraId="75A9CE2C">
      <w:pPr>
        <w:rPr>
          <w:rFonts w:hint="eastAsia" w:ascii="宋体" w:hAnsi="宋体" w:eastAsia="宋体" w:cs="宋体"/>
          <w:sz w:val="28"/>
          <w:szCs w:val="28"/>
          <w:highlight w:val="none"/>
        </w:rPr>
      </w:pPr>
    </w:p>
    <w:p w14:paraId="5E19B050">
      <w:pPr>
        <w:jc w:val="center"/>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投标人：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（签章）</w:t>
      </w:r>
    </w:p>
    <w:p w14:paraId="01C9464C">
      <w:p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（签章）</w:t>
      </w:r>
    </w:p>
    <w:p w14:paraId="43A6E4C7">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28388CCA">
      <w:pPr>
        <w:spacing w:line="720" w:lineRule="auto"/>
        <w:jc w:val="center"/>
        <w:rPr>
          <w:rFonts w:hint="eastAsia" w:ascii="宋体" w:hAnsi="宋体" w:eastAsia="宋体" w:cs="宋体"/>
          <w:b/>
          <w:sz w:val="36"/>
          <w:szCs w:val="36"/>
          <w:highlight w:val="none"/>
        </w:rPr>
      </w:pPr>
    </w:p>
    <w:p w14:paraId="60926BE2">
      <w:pPr>
        <w:spacing w:line="400" w:lineRule="exact"/>
        <w:ind w:firstLine="4130" w:firstLineChars="935"/>
        <w:rPr>
          <w:rFonts w:hint="eastAsia" w:ascii="宋体" w:hAnsi="宋体" w:eastAsia="宋体" w:cs="宋体"/>
          <w:b/>
          <w:sz w:val="44"/>
          <w:szCs w:val="44"/>
          <w:highlight w:val="none"/>
        </w:rPr>
      </w:pPr>
    </w:p>
    <w:p w14:paraId="3D25BFC9">
      <w:pPr>
        <w:spacing w:line="400" w:lineRule="exact"/>
        <w:ind w:firstLine="4130" w:firstLineChars="935"/>
        <w:rPr>
          <w:rFonts w:hint="eastAsia" w:ascii="宋体" w:hAnsi="宋体" w:eastAsia="宋体" w:cs="宋体"/>
          <w:b/>
          <w:sz w:val="44"/>
          <w:szCs w:val="44"/>
          <w:highlight w:val="none"/>
        </w:rPr>
      </w:pPr>
    </w:p>
    <w:p w14:paraId="5EF8B5B4">
      <w:pPr>
        <w:keepNext w:val="0"/>
        <w:keepLines w:val="0"/>
        <w:pageBreakBefore/>
        <w:widowControl w:val="0"/>
        <w:kinsoku/>
        <w:wordWrap/>
        <w:overflowPunct/>
        <w:topLinePunct w:val="0"/>
        <w:autoSpaceDE/>
        <w:autoSpaceDN/>
        <w:bidi w:val="0"/>
        <w:adjustRightInd/>
        <w:snapToGrid/>
        <w:jc w:val="center"/>
        <w:textAlignment w:val="auto"/>
        <w:rPr>
          <w:rFonts w:hint="eastAsia" w:ascii="宋体" w:hAnsi="宋体" w:eastAsia="宋体" w:cs="宋体"/>
          <w:b/>
          <w:sz w:val="44"/>
          <w:szCs w:val="44"/>
          <w:highlight w:val="none"/>
        </w:rPr>
      </w:pPr>
      <w:r>
        <w:rPr>
          <w:rFonts w:hint="eastAsia" w:ascii="宋体" w:hAnsi="宋体" w:eastAsia="宋体" w:cs="宋体"/>
          <w:b/>
          <w:sz w:val="36"/>
          <w:szCs w:val="36"/>
          <w:highlight w:val="none"/>
        </w:rPr>
        <w:t>目   录</w:t>
      </w:r>
    </w:p>
    <w:p w14:paraId="345AFD7F">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（1）投标响应表（格式见附件）；</w:t>
      </w:r>
    </w:p>
    <w:p w14:paraId="3D04B276">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（2）诚信履约承诺函（格式见附件）；</w:t>
      </w:r>
    </w:p>
    <w:p w14:paraId="4EEC75A7">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（3）招标文件中要求的技术标评审及技术标评分的支持资料；</w:t>
      </w:r>
    </w:p>
    <w:p w14:paraId="572B1305">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（4）投标人认为需要提供的其他技术证明材料（如有）。</w:t>
      </w:r>
    </w:p>
    <w:p w14:paraId="205514E6">
      <w:pPr>
        <w:keepNext w:val="0"/>
        <w:keepLines w:val="0"/>
        <w:pageBreakBefore/>
        <w:widowControl w:val="0"/>
        <w:kinsoku/>
        <w:wordWrap/>
        <w:overflowPunct/>
        <w:topLinePunct w:val="0"/>
        <w:autoSpaceDE/>
        <w:autoSpaceDN/>
        <w:bidi w:val="0"/>
        <w:adjustRightInd/>
        <w:snapToGrid/>
        <w:spacing w:line="440" w:lineRule="exact"/>
        <w:jc w:val="center"/>
        <w:textAlignment w:val="auto"/>
        <w:outlineLvl w:val="1"/>
        <w:rPr>
          <w:rFonts w:hint="eastAsia" w:ascii="宋体" w:hAnsi="宋体" w:eastAsia="宋体" w:cs="宋体"/>
          <w:b/>
          <w:color w:val="auto"/>
          <w:sz w:val="24"/>
          <w:highlight w:val="none"/>
          <w:lang w:val="en-US" w:eastAsia="zh-CN"/>
        </w:rPr>
      </w:pPr>
      <w:bookmarkStart w:id="198" w:name="_Toc15209"/>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投标响应表</w:t>
      </w:r>
      <w:bookmarkEnd w:id="198"/>
    </w:p>
    <w:p w14:paraId="26903D07">
      <w:pPr>
        <w:keepNext w:val="0"/>
        <w:keepLines w:val="0"/>
        <w:pageBreakBefore w:val="0"/>
        <w:kinsoku/>
        <w:wordWrap/>
        <w:overflowPunct/>
        <w:topLinePunct w:val="0"/>
        <w:autoSpaceDE/>
        <w:autoSpaceDN/>
        <w:bidi w:val="0"/>
        <w:spacing w:line="440" w:lineRule="exact"/>
        <w:ind w:firstLine="435"/>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1.1</w:t>
      </w:r>
      <w:r>
        <w:rPr>
          <w:rFonts w:hint="eastAsia" w:ascii="宋体" w:hAnsi="宋体" w:eastAsia="宋体" w:cs="宋体"/>
          <w:b/>
          <w:color w:val="auto"/>
          <w:sz w:val="24"/>
          <w:highlight w:val="none"/>
        </w:rPr>
        <w:t>商务响应表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036F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1FFC4898">
            <w:pPr>
              <w:pStyle w:val="14"/>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124" w:type="pct"/>
            <w:vAlign w:val="center"/>
          </w:tcPr>
          <w:p w14:paraId="59C17C6A">
            <w:pPr>
              <w:pStyle w:val="14"/>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bCs/>
                <w:color w:val="auto"/>
                <w:sz w:val="24"/>
                <w:szCs w:val="24"/>
                <w:highlight w:val="none"/>
              </w:rPr>
              <w:t>商务条款</w:t>
            </w:r>
          </w:p>
        </w:tc>
        <w:tc>
          <w:tcPr>
            <w:tcW w:w="1465" w:type="pct"/>
            <w:vAlign w:val="center"/>
          </w:tcPr>
          <w:p w14:paraId="68DA239B">
            <w:pPr>
              <w:pStyle w:val="14"/>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招标文件要求</w:t>
            </w:r>
          </w:p>
        </w:tc>
        <w:tc>
          <w:tcPr>
            <w:tcW w:w="1510" w:type="pct"/>
            <w:vAlign w:val="center"/>
          </w:tcPr>
          <w:p w14:paraId="50651E39">
            <w:pPr>
              <w:pStyle w:val="14"/>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投标人承诺</w:t>
            </w:r>
          </w:p>
        </w:tc>
        <w:tc>
          <w:tcPr>
            <w:tcW w:w="475" w:type="pct"/>
            <w:vAlign w:val="center"/>
          </w:tcPr>
          <w:p w14:paraId="22920816">
            <w:pPr>
              <w:pStyle w:val="14"/>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偏离说明</w:t>
            </w:r>
          </w:p>
        </w:tc>
      </w:tr>
      <w:tr w14:paraId="201E6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7AAE7560">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124" w:type="pct"/>
            <w:vAlign w:val="center"/>
          </w:tcPr>
          <w:p w14:paraId="0CD14650">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付款方式</w:t>
            </w:r>
          </w:p>
        </w:tc>
        <w:tc>
          <w:tcPr>
            <w:tcW w:w="1465" w:type="pct"/>
            <w:vAlign w:val="center"/>
          </w:tcPr>
          <w:p w14:paraId="74B8D104">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p>
        </w:tc>
        <w:tc>
          <w:tcPr>
            <w:tcW w:w="1510" w:type="pct"/>
            <w:vAlign w:val="center"/>
          </w:tcPr>
          <w:p w14:paraId="470252AA">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p>
        </w:tc>
        <w:tc>
          <w:tcPr>
            <w:tcW w:w="475" w:type="pct"/>
            <w:vAlign w:val="center"/>
          </w:tcPr>
          <w:p w14:paraId="0EFA15CD">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p>
        </w:tc>
      </w:tr>
      <w:tr w14:paraId="1A520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77BE41E4">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124" w:type="pct"/>
            <w:vAlign w:val="center"/>
          </w:tcPr>
          <w:p w14:paraId="4E228DC4">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服务地点</w:t>
            </w:r>
          </w:p>
        </w:tc>
        <w:tc>
          <w:tcPr>
            <w:tcW w:w="1465" w:type="pct"/>
            <w:vAlign w:val="center"/>
          </w:tcPr>
          <w:p w14:paraId="120F401F">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p>
        </w:tc>
        <w:tc>
          <w:tcPr>
            <w:tcW w:w="1510" w:type="pct"/>
            <w:vAlign w:val="center"/>
          </w:tcPr>
          <w:p w14:paraId="132B5DD6">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p>
        </w:tc>
        <w:tc>
          <w:tcPr>
            <w:tcW w:w="475" w:type="pct"/>
            <w:vAlign w:val="center"/>
          </w:tcPr>
          <w:p w14:paraId="7939AE89">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p>
        </w:tc>
      </w:tr>
      <w:tr w14:paraId="7EE2C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56ED6924">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124" w:type="pct"/>
            <w:vAlign w:val="center"/>
          </w:tcPr>
          <w:p w14:paraId="1F01A4AE">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服务期限</w:t>
            </w:r>
          </w:p>
        </w:tc>
        <w:tc>
          <w:tcPr>
            <w:tcW w:w="1465" w:type="pct"/>
            <w:vAlign w:val="center"/>
          </w:tcPr>
          <w:p w14:paraId="6F28AFCA">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p>
        </w:tc>
        <w:tc>
          <w:tcPr>
            <w:tcW w:w="1510" w:type="pct"/>
            <w:vAlign w:val="center"/>
          </w:tcPr>
          <w:p w14:paraId="0BA892E6">
            <w:pPr>
              <w:pStyle w:val="53"/>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highlight w:val="none"/>
              </w:rPr>
            </w:pPr>
          </w:p>
        </w:tc>
        <w:tc>
          <w:tcPr>
            <w:tcW w:w="475" w:type="pct"/>
            <w:vAlign w:val="center"/>
          </w:tcPr>
          <w:p w14:paraId="158C6C2A">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p>
        </w:tc>
      </w:tr>
      <w:tr w14:paraId="3DBA1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B9FACB3">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1124" w:type="pct"/>
            <w:vAlign w:val="center"/>
          </w:tcPr>
          <w:p w14:paraId="189C41CF">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p>
        </w:tc>
        <w:tc>
          <w:tcPr>
            <w:tcW w:w="1465" w:type="pct"/>
            <w:vAlign w:val="center"/>
          </w:tcPr>
          <w:p w14:paraId="0E5021B4">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p>
        </w:tc>
        <w:tc>
          <w:tcPr>
            <w:tcW w:w="1510" w:type="pct"/>
            <w:vAlign w:val="center"/>
          </w:tcPr>
          <w:p w14:paraId="47D3A813">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p>
        </w:tc>
        <w:tc>
          <w:tcPr>
            <w:tcW w:w="475" w:type="pct"/>
            <w:vAlign w:val="center"/>
          </w:tcPr>
          <w:p w14:paraId="37EB0488">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p>
        </w:tc>
      </w:tr>
    </w:tbl>
    <w:p w14:paraId="11F2CE31">
      <w:pPr>
        <w:keepNext w:val="0"/>
        <w:keepLines w:val="0"/>
        <w:pageBreakBefore w:val="0"/>
        <w:kinsoku/>
        <w:wordWrap/>
        <w:overflowPunct/>
        <w:topLinePunct w:val="0"/>
        <w:autoSpaceDE/>
        <w:autoSpaceDN/>
        <w:bidi w:val="0"/>
        <w:spacing w:line="440" w:lineRule="exact"/>
        <w:ind w:firstLine="4800" w:firstLineChars="20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5EA68F40">
      <w:pPr>
        <w:keepNext w:val="0"/>
        <w:keepLines w:val="0"/>
        <w:pageBreakBefore w:val="0"/>
        <w:tabs>
          <w:tab w:val="left" w:pos="630"/>
        </w:tabs>
        <w:kinsoku/>
        <w:wordWrap/>
        <w:overflowPunct/>
        <w:topLinePunct w:val="0"/>
        <w:autoSpaceDE/>
        <w:autoSpaceDN/>
        <w:bidi w:val="0"/>
        <w:spacing w:line="440" w:lineRule="exact"/>
        <w:ind w:firstLine="4800" w:firstLineChars="20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7B98018E">
      <w:pPr>
        <w:pStyle w:val="10"/>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
          <w:color w:val="auto"/>
          <w:sz w:val="24"/>
          <w:highlight w:val="none"/>
          <w:lang w:val="en-US" w:eastAsia="zh-CN"/>
        </w:rPr>
      </w:pPr>
      <w:r>
        <w:rPr>
          <w:rFonts w:hint="eastAsia" w:ascii="宋体" w:hAnsi="宋体" w:eastAsia="宋体" w:cs="宋体"/>
          <w:b w:val="0"/>
          <w:color w:val="auto"/>
          <w:sz w:val="24"/>
          <w:highlight w:val="none"/>
        </w:rPr>
        <w:br w:type="page"/>
      </w:r>
      <w:bookmarkStart w:id="199" w:name="_Toc26536"/>
      <w:bookmarkStart w:id="200" w:name="_Toc23860"/>
      <w:bookmarkStart w:id="201" w:name="_Hlk11701496"/>
      <w:r>
        <w:rPr>
          <w:rFonts w:hint="eastAsia" w:ascii="宋体" w:hAnsi="宋体" w:eastAsia="宋体" w:cs="宋体"/>
          <w:b/>
          <w:color w:val="auto"/>
          <w:sz w:val="24"/>
          <w:highlight w:val="none"/>
          <w:lang w:val="en-US" w:eastAsia="zh-CN"/>
        </w:rPr>
        <w:t>（2）诚信履约承诺函</w:t>
      </w:r>
      <w:bookmarkEnd w:id="199"/>
      <w:bookmarkEnd w:id="200"/>
    </w:p>
    <w:p w14:paraId="48A42CF1">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bCs/>
          <w:color w:val="auto"/>
          <w:sz w:val="24"/>
          <w:highlight w:val="none"/>
        </w:rPr>
      </w:pPr>
    </w:p>
    <w:p w14:paraId="350A1098">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bCs/>
          <w:color w:val="auto"/>
          <w:sz w:val="24"/>
          <w:highlight w:val="none"/>
          <w:u w:val="single"/>
          <w:lang w:eastAsia="zh-CN"/>
        </w:rPr>
      </w:pPr>
      <w:r>
        <w:rPr>
          <w:rFonts w:hint="eastAsia" w:ascii="宋体" w:hAnsi="宋体" w:eastAsia="宋体" w:cs="宋体"/>
          <w:b/>
          <w:bCs/>
          <w:color w:val="auto"/>
          <w:sz w:val="24"/>
          <w:highlight w:val="none"/>
        </w:rPr>
        <w:t>致：</w:t>
      </w:r>
      <w:r>
        <w:rPr>
          <w:rFonts w:hint="eastAsia" w:ascii="宋体" w:hAnsi="宋体" w:eastAsia="宋体" w:cs="宋体"/>
          <w:b/>
          <w:bCs/>
          <w:color w:val="auto"/>
          <w:sz w:val="24"/>
          <w:highlight w:val="none"/>
          <w:u w:val="none"/>
          <w:lang w:eastAsia="zh-CN"/>
        </w:rPr>
        <w:t>采购人</w:t>
      </w:r>
    </w:p>
    <w:p w14:paraId="749355CE">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19500C1E">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（1）中标或者成交后无正当理由拒不与采购人签订政府采购合同；</w:t>
      </w:r>
    </w:p>
    <w:p w14:paraId="66817369">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（2）未按照采购文件确定的事项签订政府采购合同；</w:t>
      </w:r>
    </w:p>
    <w:p w14:paraId="64DA0AC3">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（3）将政府采购合同转包；</w:t>
      </w:r>
    </w:p>
    <w:p w14:paraId="402261BA">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（4）提供假冒伪劣产品；</w:t>
      </w:r>
    </w:p>
    <w:p w14:paraId="1B660AB6">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（5）擅自变更、中止或者终止政府采购合同。</w:t>
      </w:r>
    </w:p>
    <w:p w14:paraId="626B69B2">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90DFF3F">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本承诺声明：</w:t>
      </w:r>
      <w:r>
        <w:rPr>
          <w:rFonts w:hint="eastAsia" w:ascii="宋体" w:hAnsi="宋体" w:eastAsia="宋体" w:cs="宋体"/>
          <w:bCs/>
          <w:color w:val="auto"/>
          <w:sz w:val="24"/>
          <w:highlight w:val="none"/>
          <w:u w:val="single"/>
          <w:lang w:val="en-US" w:eastAsia="zh-CN"/>
        </w:rPr>
        <w:t xml:space="preserve">                   （投标人名称）</w:t>
      </w:r>
      <w:r>
        <w:rPr>
          <w:rFonts w:hint="eastAsia" w:ascii="宋体" w:hAnsi="宋体" w:eastAsia="宋体" w:cs="宋体"/>
          <w:bCs/>
          <w:color w:val="auto"/>
          <w:sz w:val="24"/>
          <w:highlight w:val="none"/>
          <w:lang w:val="en-US" w:eastAsia="zh-CN"/>
        </w:rPr>
        <w:t>对本招标文件的相关要求完全响应，</w:t>
      </w:r>
      <w:r>
        <w:rPr>
          <w:rFonts w:hint="eastAsia" w:ascii="宋体" w:hAnsi="宋体" w:eastAsia="宋体" w:cs="宋体"/>
          <w:bCs/>
          <w:color w:val="auto"/>
          <w:sz w:val="24"/>
          <w:highlight w:val="none"/>
        </w:rPr>
        <w:t>配备人员</w:t>
      </w:r>
      <w:r>
        <w:rPr>
          <w:rFonts w:hint="eastAsia" w:ascii="宋体" w:hAnsi="宋体" w:eastAsia="宋体" w:cs="宋体"/>
          <w:bCs/>
          <w:color w:val="auto"/>
          <w:sz w:val="24"/>
          <w:highlight w:val="none"/>
          <w:lang w:val="en-US" w:eastAsia="zh-CN"/>
        </w:rPr>
        <w:t>数量和要求</w:t>
      </w:r>
      <w:r>
        <w:rPr>
          <w:rFonts w:hint="eastAsia" w:ascii="宋体" w:hAnsi="宋体" w:eastAsia="宋体" w:cs="宋体"/>
          <w:bCs/>
          <w:color w:val="auto"/>
          <w:sz w:val="24"/>
          <w:highlight w:val="none"/>
        </w:rPr>
        <w:t>不低于采购需求的要求</w:t>
      </w:r>
      <w:r>
        <w:rPr>
          <w:rFonts w:hint="eastAsia" w:ascii="宋体" w:hAnsi="宋体" w:eastAsia="宋体" w:cs="宋体"/>
          <w:bCs/>
          <w:color w:val="auto"/>
          <w:sz w:val="24"/>
          <w:highlight w:val="none"/>
          <w:lang w:val="en-US" w:eastAsia="zh-CN"/>
        </w:rPr>
        <w:t>。若有幸中标将严格按照以上承诺进行供货和服务。</w:t>
      </w:r>
    </w:p>
    <w:p w14:paraId="4DCEDE0D">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Cs/>
          <w:color w:val="auto"/>
          <w:sz w:val="24"/>
          <w:highlight w:val="none"/>
        </w:rPr>
      </w:pPr>
    </w:p>
    <w:p w14:paraId="28E9AFFE">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Cs/>
          <w:color w:val="auto"/>
          <w:sz w:val="24"/>
          <w:highlight w:val="none"/>
        </w:rPr>
      </w:pPr>
    </w:p>
    <w:p w14:paraId="2D0CED81">
      <w:pPr>
        <w:keepNext w:val="0"/>
        <w:keepLines w:val="0"/>
        <w:pageBreakBefore w:val="0"/>
        <w:kinsoku/>
        <w:wordWrap/>
        <w:overflowPunct/>
        <w:topLinePunct w:val="0"/>
        <w:autoSpaceDE/>
        <w:autoSpaceDN/>
        <w:bidi w:val="0"/>
        <w:spacing w:line="440" w:lineRule="exact"/>
        <w:ind w:firstLine="4320" w:firstLineChars="1800"/>
        <w:textAlignment w:val="auto"/>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投标人电子签章：</w:t>
      </w:r>
      <w:r>
        <w:rPr>
          <w:rFonts w:hint="eastAsia" w:ascii="宋体" w:hAnsi="宋体" w:eastAsia="宋体" w:cs="宋体"/>
          <w:bCs/>
          <w:color w:val="auto"/>
          <w:sz w:val="24"/>
          <w:highlight w:val="none"/>
          <w:u w:val="single"/>
        </w:rPr>
        <w:t xml:space="preserve">             </w:t>
      </w:r>
    </w:p>
    <w:p w14:paraId="39BFB299">
      <w:pPr>
        <w:keepNext w:val="0"/>
        <w:keepLines w:val="0"/>
        <w:pageBreakBefore w:val="0"/>
        <w:kinsoku/>
        <w:wordWrap/>
        <w:overflowPunct/>
        <w:topLinePunct w:val="0"/>
        <w:autoSpaceDE/>
        <w:autoSpaceDN/>
        <w:bidi w:val="0"/>
        <w:spacing w:line="440" w:lineRule="exact"/>
        <w:ind w:firstLine="4320" w:firstLineChars="18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r>
        <w:rPr>
          <w:rFonts w:hint="eastAsia" w:ascii="宋体" w:hAnsi="宋体" w:eastAsia="宋体" w:cs="宋体"/>
          <w:bCs/>
          <w:color w:val="auto"/>
          <w:sz w:val="24"/>
          <w:highlight w:val="none"/>
          <w:u w:val="single"/>
        </w:rPr>
        <w:t xml:space="preserve">             </w:t>
      </w:r>
    </w:p>
    <w:p w14:paraId="7DF653BD">
      <w:pPr>
        <w:keepNext w:val="0"/>
        <w:keepLines w:val="0"/>
        <w:pageBreakBefore w:val="0"/>
        <w:widowControl/>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bookmarkEnd w:id="201"/>
    <w:p w14:paraId="58846667">
      <w:pPr>
        <w:keepNext w:val="0"/>
        <w:keepLines w:val="0"/>
        <w:pageBreakBefore/>
        <w:widowControl w:val="0"/>
        <w:kinsoku/>
        <w:wordWrap/>
        <w:overflowPunct/>
        <w:topLinePunct w:val="0"/>
        <w:autoSpaceDE/>
        <w:autoSpaceDN/>
        <w:bidi w:val="0"/>
        <w:adjustRightInd/>
        <w:snapToGrid/>
        <w:textAlignment w:val="auto"/>
        <w:rPr>
          <w:rFonts w:hint="eastAsia" w:ascii="宋体" w:hAnsi="宋体" w:eastAsia="宋体" w:cs="宋体"/>
          <w:b/>
          <w:sz w:val="28"/>
          <w:szCs w:val="28"/>
          <w:highlight w:val="none"/>
          <w:bdr w:val="single" w:color="000000" w:sz="4" w:space="0"/>
        </w:rPr>
      </w:pPr>
      <w:r>
        <w:rPr>
          <w:rFonts w:hint="eastAsia" w:ascii="宋体" w:hAnsi="宋体" w:eastAsia="宋体" w:cs="宋体"/>
          <w:b/>
          <w:sz w:val="28"/>
          <w:szCs w:val="28"/>
          <w:highlight w:val="none"/>
          <w:lang w:val="en-US" w:eastAsia="zh-CN"/>
        </w:rPr>
        <w:t>三</w:t>
      </w:r>
      <w:r>
        <w:rPr>
          <w:rFonts w:hint="eastAsia" w:ascii="宋体" w:hAnsi="宋体" w:eastAsia="宋体" w:cs="宋体"/>
          <w:b/>
          <w:sz w:val="28"/>
          <w:szCs w:val="28"/>
          <w:highlight w:val="none"/>
        </w:rPr>
        <w:t>、</w:t>
      </w:r>
      <w:r>
        <w:rPr>
          <w:rFonts w:hint="eastAsia" w:ascii="宋体" w:hAnsi="宋体" w:eastAsia="宋体" w:cs="宋体"/>
          <w:b/>
          <w:sz w:val="28"/>
          <w:szCs w:val="28"/>
          <w:highlight w:val="none"/>
          <w:lang w:val="en-US" w:eastAsia="zh-CN"/>
        </w:rPr>
        <w:t>商务标</w:t>
      </w:r>
      <w:r>
        <w:rPr>
          <w:rFonts w:hint="eastAsia" w:ascii="宋体" w:hAnsi="宋体" w:eastAsia="宋体" w:cs="宋体"/>
          <w:b/>
          <w:sz w:val="28"/>
          <w:szCs w:val="28"/>
          <w:highlight w:val="none"/>
        </w:rPr>
        <w:t>格式文件</w:t>
      </w:r>
    </w:p>
    <w:p w14:paraId="7E8538B8">
      <w:pPr>
        <w:jc w:val="center"/>
        <w:rPr>
          <w:rFonts w:hint="eastAsia" w:ascii="宋体" w:hAnsi="宋体" w:eastAsia="宋体" w:cs="宋体"/>
          <w:sz w:val="20"/>
          <w:highlight w:val="none"/>
        </w:rPr>
      </w:pPr>
    </w:p>
    <w:p w14:paraId="6C474E93">
      <w:pPr>
        <w:rPr>
          <w:rFonts w:hint="eastAsia" w:ascii="宋体" w:hAnsi="宋体" w:eastAsia="宋体" w:cs="宋体"/>
          <w:sz w:val="20"/>
          <w:highlight w:val="none"/>
        </w:rPr>
      </w:pPr>
    </w:p>
    <w:p w14:paraId="0D1B0245">
      <w:pPr>
        <w:jc w:val="center"/>
        <w:rPr>
          <w:rFonts w:hint="eastAsia" w:ascii="宋体" w:hAnsi="宋体" w:eastAsia="宋体" w:cs="宋体"/>
          <w:b/>
          <w:sz w:val="44"/>
          <w:szCs w:val="44"/>
          <w:highlight w:val="none"/>
          <w:lang w:eastAsia="zh-CN"/>
        </w:rPr>
      </w:pPr>
      <w:r>
        <w:rPr>
          <w:rFonts w:hint="eastAsia" w:ascii="宋体" w:hAnsi="宋体" w:eastAsia="宋体" w:cs="宋体"/>
          <w:b/>
          <w:sz w:val="44"/>
          <w:szCs w:val="44"/>
          <w:highlight w:val="none"/>
          <w:lang w:val="en-US" w:eastAsia="zh-CN"/>
        </w:rPr>
        <w:t>商务标</w:t>
      </w:r>
    </w:p>
    <w:p w14:paraId="3C087AF3">
      <w:pPr>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（投标文件</w:t>
      </w:r>
      <w:r>
        <w:rPr>
          <w:rFonts w:hint="eastAsia" w:ascii="宋体" w:hAnsi="宋体" w:eastAsia="宋体" w:cs="宋体"/>
          <w:sz w:val="32"/>
          <w:szCs w:val="32"/>
          <w:highlight w:val="none"/>
          <w:lang w:val="en-US" w:eastAsia="zh-CN"/>
        </w:rPr>
        <w:t>三</w:t>
      </w:r>
      <w:r>
        <w:rPr>
          <w:rFonts w:hint="eastAsia" w:ascii="宋体" w:hAnsi="宋体" w:eastAsia="宋体" w:cs="宋体"/>
          <w:sz w:val="32"/>
          <w:szCs w:val="32"/>
          <w:highlight w:val="none"/>
        </w:rPr>
        <w:t>）</w:t>
      </w:r>
    </w:p>
    <w:p w14:paraId="7B742A28">
      <w:pPr>
        <w:jc w:val="center"/>
        <w:rPr>
          <w:rFonts w:hint="eastAsia" w:ascii="宋体" w:hAnsi="宋体" w:eastAsia="宋体" w:cs="宋体"/>
          <w:sz w:val="44"/>
          <w:szCs w:val="44"/>
          <w:highlight w:val="none"/>
        </w:rPr>
      </w:pPr>
    </w:p>
    <w:p w14:paraId="60F1647A">
      <w:pPr>
        <w:jc w:val="center"/>
        <w:rPr>
          <w:rFonts w:hint="eastAsia" w:ascii="宋体" w:hAnsi="宋体" w:eastAsia="宋体" w:cs="宋体"/>
          <w:sz w:val="32"/>
          <w:szCs w:val="32"/>
          <w:highlight w:val="none"/>
        </w:rPr>
      </w:pP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rPr>
        <w:t>项目</w:t>
      </w:r>
    </w:p>
    <w:p w14:paraId="3A14DE05">
      <w:pPr>
        <w:jc w:val="center"/>
        <w:rPr>
          <w:rFonts w:hint="eastAsia" w:ascii="宋体" w:hAnsi="宋体" w:eastAsia="宋体" w:cs="宋体"/>
          <w:sz w:val="44"/>
          <w:szCs w:val="44"/>
          <w:highlight w:val="none"/>
        </w:rPr>
      </w:pPr>
      <w:r>
        <w:rPr>
          <w:rFonts w:hint="eastAsia" w:ascii="宋体" w:hAnsi="宋体" w:eastAsia="宋体" w:cs="宋体"/>
          <w:sz w:val="28"/>
          <w:szCs w:val="28"/>
          <w:highlight w:val="none"/>
        </w:rPr>
        <w:t>项目编号：</w:t>
      </w:r>
      <w:r>
        <w:rPr>
          <w:rFonts w:hint="eastAsia" w:ascii="宋体" w:hAnsi="宋体" w:eastAsia="宋体" w:cs="宋体"/>
          <w:sz w:val="28"/>
          <w:szCs w:val="28"/>
          <w:highlight w:val="none"/>
          <w:u w:val="single"/>
        </w:rPr>
        <w:t xml:space="preserve">     </w:t>
      </w:r>
    </w:p>
    <w:p w14:paraId="22854967">
      <w:pPr>
        <w:rPr>
          <w:rFonts w:hint="eastAsia" w:ascii="宋体" w:hAnsi="宋体" w:eastAsia="宋体" w:cs="宋体"/>
          <w:sz w:val="28"/>
          <w:szCs w:val="28"/>
          <w:highlight w:val="none"/>
        </w:rPr>
      </w:pPr>
    </w:p>
    <w:p w14:paraId="30F5DAF8">
      <w:pPr>
        <w:rPr>
          <w:rFonts w:hint="eastAsia" w:ascii="宋体" w:hAnsi="宋体" w:eastAsia="宋体" w:cs="宋体"/>
          <w:sz w:val="28"/>
          <w:szCs w:val="28"/>
          <w:highlight w:val="none"/>
        </w:rPr>
      </w:pPr>
    </w:p>
    <w:p w14:paraId="14DE6011">
      <w:pPr>
        <w:rPr>
          <w:rFonts w:hint="eastAsia" w:ascii="宋体" w:hAnsi="宋体" w:eastAsia="宋体" w:cs="宋体"/>
          <w:sz w:val="28"/>
          <w:szCs w:val="28"/>
          <w:highlight w:val="none"/>
        </w:rPr>
      </w:pPr>
    </w:p>
    <w:p w14:paraId="5E6B89CF">
      <w:pPr>
        <w:rPr>
          <w:rFonts w:hint="eastAsia" w:ascii="宋体" w:hAnsi="宋体" w:eastAsia="宋体" w:cs="宋体"/>
          <w:sz w:val="28"/>
          <w:szCs w:val="28"/>
          <w:highlight w:val="none"/>
        </w:rPr>
      </w:pPr>
    </w:p>
    <w:p w14:paraId="561CAB09">
      <w:pPr>
        <w:rPr>
          <w:rFonts w:hint="eastAsia" w:ascii="宋体" w:hAnsi="宋体" w:eastAsia="宋体" w:cs="宋体"/>
          <w:sz w:val="28"/>
          <w:szCs w:val="28"/>
          <w:highlight w:val="none"/>
        </w:rPr>
      </w:pPr>
    </w:p>
    <w:p w14:paraId="6BA3F416">
      <w:pPr>
        <w:rPr>
          <w:rFonts w:hint="eastAsia" w:ascii="宋体" w:hAnsi="宋体" w:eastAsia="宋体" w:cs="宋体"/>
          <w:sz w:val="28"/>
          <w:szCs w:val="28"/>
          <w:highlight w:val="none"/>
        </w:rPr>
      </w:pPr>
    </w:p>
    <w:p w14:paraId="06E903A2">
      <w:pPr>
        <w:rPr>
          <w:rFonts w:hint="eastAsia" w:ascii="宋体" w:hAnsi="宋体" w:eastAsia="宋体" w:cs="宋体"/>
          <w:sz w:val="28"/>
          <w:szCs w:val="28"/>
          <w:highlight w:val="none"/>
        </w:rPr>
      </w:pPr>
    </w:p>
    <w:p w14:paraId="28732A18">
      <w:pPr>
        <w:jc w:val="center"/>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投标人：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（签章）</w:t>
      </w:r>
    </w:p>
    <w:p w14:paraId="12A0F44E">
      <w:p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（签章）</w:t>
      </w:r>
    </w:p>
    <w:p w14:paraId="0B7A9104">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3FBDBE80">
      <w:pPr>
        <w:spacing w:line="720" w:lineRule="auto"/>
        <w:jc w:val="center"/>
        <w:rPr>
          <w:rFonts w:hint="eastAsia" w:ascii="宋体" w:hAnsi="宋体" w:eastAsia="宋体" w:cs="宋体"/>
          <w:b/>
          <w:sz w:val="36"/>
          <w:szCs w:val="36"/>
          <w:highlight w:val="none"/>
        </w:rPr>
      </w:pPr>
    </w:p>
    <w:p w14:paraId="475ACA94">
      <w:pPr>
        <w:spacing w:line="400" w:lineRule="exact"/>
        <w:ind w:firstLine="4130" w:firstLineChars="935"/>
        <w:rPr>
          <w:rFonts w:hint="eastAsia" w:ascii="宋体" w:hAnsi="宋体" w:eastAsia="宋体" w:cs="宋体"/>
          <w:b/>
          <w:sz w:val="44"/>
          <w:szCs w:val="44"/>
          <w:highlight w:val="none"/>
        </w:rPr>
      </w:pPr>
    </w:p>
    <w:p w14:paraId="0DFB3862">
      <w:pPr>
        <w:spacing w:line="400" w:lineRule="exact"/>
        <w:ind w:firstLine="4130" w:firstLineChars="935"/>
        <w:rPr>
          <w:rFonts w:hint="eastAsia" w:ascii="宋体" w:hAnsi="宋体" w:eastAsia="宋体" w:cs="宋体"/>
          <w:b/>
          <w:sz w:val="44"/>
          <w:szCs w:val="44"/>
          <w:highlight w:val="none"/>
        </w:rPr>
      </w:pPr>
    </w:p>
    <w:p w14:paraId="64AF886B">
      <w:pPr>
        <w:keepNext w:val="0"/>
        <w:keepLines w:val="0"/>
        <w:pageBreakBefore/>
        <w:widowControl w:val="0"/>
        <w:kinsoku/>
        <w:wordWrap/>
        <w:overflowPunct/>
        <w:topLinePunct w:val="0"/>
        <w:autoSpaceDE/>
        <w:autoSpaceDN/>
        <w:bidi w:val="0"/>
        <w:adjustRightInd/>
        <w:snapToGrid/>
        <w:jc w:val="center"/>
        <w:textAlignment w:val="auto"/>
        <w:rPr>
          <w:rFonts w:hint="eastAsia" w:ascii="宋体" w:hAnsi="宋体" w:eastAsia="宋体" w:cs="宋体"/>
          <w:b/>
          <w:sz w:val="44"/>
          <w:szCs w:val="44"/>
          <w:highlight w:val="none"/>
        </w:rPr>
      </w:pPr>
      <w:r>
        <w:rPr>
          <w:rFonts w:hint="eastAsia" w:ascii="宋体" w:hAnsi="宋体" w:eastAsia="宋体" w:cs="宋体"/>
          <w:b/>
          <w:sz w:val="36"/>
          <w:szCs w:val="36"/>
          <w:highlight w:val="none"/>
        </w:rPr>
        <w:t>目   录</w:t>
      </w:r>
    </w:p>
    <w:p w14:paraId="26330ACB">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（1）开标一览表（格式见附件）；</w:t>
      </w:r>
    </w:p>
    <w:p w14:paraId="3DC0EC9F">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（2）投标函（格式见附件）；</w:t>
      </w:r>
    </w:p>
    <w:p w14:paraId="4B38788E">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（3）投标分项报价表（格式见附件）；</w:t>
      </w:r>
    </w:p>
    <w:p w14:paraId="15CC4DDB">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（4）招标文件商务评审中要求提供的其他相关资料；</w:t>
      </w:r>
    </w:p>
    <w:p w14:paraId="4D38859F">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（5）投标人认为需要提供的其他材料。</w:t>
      </w:r>
    </w:p>
    <w:p w14:paraId="13BC248B">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0495FDC">
      <w:pPr>
        <w:keepNext w:val="0"/>
        <w:keepLines w:val="0"/>
        <w:pageBreakBefore/>
        <w:widowControl w:val="0"/>
        <w:kinsoku/>
        <w:wordWrap/>
        <w:overflowPunct/>
        <w:topLinePunct w:val="0"/>
        <w:autoSpaceDE/>
        <w:autoSpaceDN/>
        <w:bidi w:val="0"/>
        <w:adjustRightInd/>
        <w:snapToGrid/>
        <w:spacing w:line="440" w:lineRule="exact"/>
        <w:jc w:val="center"/>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开标一览表</w:t>
      </w:r>
      <w:bookmarkEnd w:id="188"/>
      <w:bookmarkEnd w:id="189"/>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189D8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352" w:type="pct"/>
            <w:tcBorders>
              <w:top w:val="single" w:color="auto" w:sz="4" w:space="0"/>
              <w:bottom w:val="single" w:color="auto" w:sz="4" w:space="0"/>
              <w:right w:val="single" w:color="auto" w:sz="4" w:space="0"/>
            </w:tcBorders>
            <w:vAlign w:val="center"/>
          </w:tcPr>
          <w:p w14:paraId="5116E959">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p>
        </w:tc>
        <w:tc>
          <w:tcPr>
            <w:tcW w:w="3648" w:type="pct"/>
            <w:tcBorders>
              <w:top w:val="single" w:color="auto" w:sz="4" w:space="0"/>
              <w:bottom w:val="single" w:color="auto" w:sz="4" w:space="0"/>
              <w:right w:val="single" w:color="auto" w:sz="4" w:space="0"/>
            </w:tcBorders>
            <w:vAlign w:val="center"/>
          </w:tcPr>
          <w:p w14:paraId="3906BE1A">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bCs/>
                <w:color w:val="auto"/>
                <w:sz w:val="24"/>
                <w:highlight w:val="none"/>
                <w:u w:val="single"/>
              </w:rPr>
            </w:pPr>
          </w:p>
        </w:tc>
      </w:tr>
      <w:tr w14:paraId="6A37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55CC902C">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投标人全称</w:t>
            </w:r>
          </w:p>
        </w:tc>
        <w:tc>
          <w:tcPr>
            <w:tcW w:w="3648" w:type="pct"/>
            <w:tcBorders>
              <w:top w:val="nil"/>
            </w:tcBorders>
            <w:vAlign w:val="center"/>
          </w:tcPr>
          <w:p w14:paraId="35607BB3">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 w:val="24"/>
                <w:highlight w:val="none"/>
              </w:rPr>
            </w:pPr>
          </w:p>
        </w:tc>
      </w:tr>
      <w:tr w14:paraId="54B3B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0211FEBF">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投标范围</w:t>
            </w:r>
          </w:p>
        </w:tc>
        <w:tc>
          <w:tcPr>
            <w:tcW w:w="3648" w:type="pct"/>
            <w:tcBorders>
              <w:top w:val="nil"/>
            </w:tcBorders>
            <w:vAlign w:val="center"/>
          </w:tcPr>
          <w:p w14:paraId="10509181">
            <w:pPr>
              <w:keepNext w:val="0"/>
              <w:keepLines w:val="0"/>
              <w:pageBreakBefore w:val="0"/>
              <w:widowControl/>
              <w:kinsoku/>
              <w:wordWrap/>
              <w:overflowPunct/>
              <w:topLinePunct w:val="0"/>
              <w:autoSpaceDE/>
              <w:autoSpaceDN/>
              <w:bidi w:val="0"/>
              <w:adjustRightInd/>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全部</w:t>
            </w:r>
          </w:p>
        </w:tc>
      </w:tr>
      <w:tr w14:paraId="65FDF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295929F3">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w:t>
            </w:r>
          </w:p>
        </w:tc>
        <w:tc>
          <w:tcPr>
            <w:tcW w:w="3648" w:type="pct"/>
            <w:tcBorders>
              <w:top w:val="nil"/>
            </w:tcBorders>
            <w:vAlign w:val="center"/>
          </w:tcPr>
          <w:p w14:paraId="7C2F3410">
            <w:pPr>
              <w:keepNext w:val="0"/>
              <w:keepLines w:val="0"/>
              <w:pageBreakBefore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三年）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 xml:space="preserve">                     </w:t>
            </w:r>
          </w:p>
          <w:p w14:paraId="754A5B6F">
            <w:pPr>
              <w:keepNext w:val="0"/>
              <w:keepLines w:val="0"/>
              <w:pageBreakBefore w:val="0"/>
              <w:kinsoku/>
              <w:wordWrap/>
              <w:overflowPunct/>
              <w:topLinePunct w:val="0"/>
              <w:autoSpaceDE/>
              <w:autoSpaceDN/>
              <w:bidi w:val="0"/>
              <w:adjustRightInd/>
              <w:spacing w:line="440" w:lineRule="exact"/>
              <w:ind w:right="-670"/>
              <w:textAlignment w:val="auto"/>
              <w:rPr>
                <w:rFonts w:hint="eastAsia" w:ascii="宋体" w:hAnsi="宋体" w:eastAsia="宋体" w:cs="宋体"/>
                <w:color w:val="auto"/>
                <w:sz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三年）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 xml:space="preserve">                     </w:t>
            </w:r>
          </w:p>
        </w:tc>
      </w:tr>
      <w:tr w14:paraId="59315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4CF8A441">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其他</w:t>
            </w:r>
          </w:p>
        </w:tc>
        <w:tc>
          <w:tcPr>
            <w:tcW w:w="3648" w:type="pct"/>
            <w:tcBorders>
              <w:top w:val="nil"/>
            </w:tcBorders>
            <w:vAlign w:val="center"/>
          </w:tcPr>
          <w:p w14:paraId="22EC567A">
            <w:pPr>
              <w:keepNext w:val="0"/>
              <w:keepLines w:val="0"/>
              <w:pageBreakBefore w:val="0"/>
              <w:kinsoku/>
              <w:wordWrap/>
              <w:overflowPunct/>
              <w:topLinePunct w:val="0"/>
              <w:autoSpaceDE/>
              <w:autoSpaceDN/>
              <w:bidi w:val="0"/>
              <w:adjustRightInd/>
              <w:spacing w:line="440" w:lineRule="exact"/>
              <w:jc w:val="left"/>
              <w:textAlignment w:val="auto"/>
              <w:rPr>
                <w:rFonts w:hint="eastAsia" w:ascii="宋体" w:hAnsi="宋体" w:eastAsia="宋体" w:cs="宋体"/>
                <w:color w:val="auto"/>
                <w:sz w:val="24"/>
                <w:szCs w:val="28"/>
                <w:highlight w:val="none"/>
              </w:rPr>
            </w:pPr>
          </w:p>
        </w:tc>
      </w:tr>
    </w:tbl>
    <w:p w14:paraId="76AE17B6">
      <w:pPr>
        <w:keepNext w:val="0"/>
        <w:keepLines w:val="0"/>
        <w:pageBreakBefore w:val="0"/>
        <w:widowControl w:val="0"/>
        <w:kinsoku/>
        <w:wordWrap/>
        <w:overflowPunct/>
        <w:topLinePunct w:val="0"/>
        <w:autoSpaceDE/>
        <w:autoSpaceDN/>
        <w:bidi w:val="0"/>
        <w:adjustRightInd/>
        <w:snapToGrid/>
        <w:spacing w:line="440" w:lineRule="exact"/>
        <w:ind w:firstLine="4800" w:firstLineChars="20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6ED64631">
      <w:pPr>
        <w:keepNext w:val="0"/>
        <w:keepLines w:val="0"/>
        <w:pageBreakBefore w:val="0"/>
        <w:widowControl w:val="0"/>
        <w:tabs>
          <w:tab w:val="left" w:pos="630"/>
        </w:tabs>
        <w:kinsoku/>
        <w:wordWrap/>
        <w:overflowPunct/>
        <w:topLinePunct w:val="0"/>
        <w:autoSpaceDE/>
        <w:autoSpaceDN/>
        <w:bidi w:val="0"/>
        <w:adjustRightInd/>
        <w:snapToGrid/>
        <w:spacing w:line="440" w:lineRule="exact"/>
        <w:ind w:firstLine="4800" w:firstLineChars="20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2DE29A0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注：</w:t>
      </w:r>
    </w:p>
    <w:p w14:paraId="516B075B">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1.此表用于开标唱标之用。</w:t>
      </w:r>
    </w:p>
    <w:p w14:paraId="0360AC0E">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2.表中投标报价即为优惠后报价，并作为评审及定标依据。任何有选择或有条件的投标报价，或者表中某一包别填写多个报价，均为无效报价。</w:t>
      </w:r>
    </w:p>
    <w:p w14:paraId="046D4B64">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.表中大写金额与小写金额不一致的，以大写金额为准。</w:t>
      </w:r>
      <w:r>
        <w:rPr>
          <w:rFonts w:hint="eastAsia" w:ascii="宋体" w:hAnsi="宋体" w:eastAsia="宋体" w:cs="宋体"/>
          <w:color w:val="auto"/>
          <w:sz w:val="24"/>
          <w:highlight w:val="none"/>
        </w:rPr>
        <w:br w:type="page"/>
      </w:r>
    </w:p>
    <w:p w14:paraId="3212EAF9">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eastAsia" w:ascii="宋体" w:hAnsi="宋体" w:eastAsia="宋体" w:cs="宋体"/>
          <w:b/>
          <w:color w:val="auto"/>
          <w:sz w:val="24"/>
          <w:highlight w:val="none"/>
        </w:rPr>
      </w:pPr>
      <w:bookmarkStart w:id="202" w:name="_Toc6120"/>
      <w:bookmarkStart w:id="203" w:name="_Toc6441"/>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投标函</w:t>
      </w:r>
      <w:bookmarkEnd w:id="202"/>
      <w:bookmarkEnd w:id="203"/>
    </w:p>
    <w:p w14:paraId="4F342A00">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eastAsia="zh-CN"/>
        </w:rPr>
        <w:t>采购人</w:t>
      </w:r>
    </w:p>
    <w:p w14:paraId="56A9F9B9">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根据贵方的招标公告和投标邀请，我方兹宣布同意如下：</w:t>
      </w:r>
    </w:p>
    <w:p w14:paraId="0871E896">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7161928B">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.我方已详细审核全部招标文件，包括招标文件</w:t>
      </w:r>
      <w:r>
        <w:rPr>
          <w:rFonts w:hint="eastAsia" w:ascii="宋体" w:hAnsi="宋体" w:eastAsia="宋体" w:cs="宋体"/>
          <w:color w:val="auto"/>
          <w:sz w:val="24"/>
          <w:highlight w:val="none"/>
          <w:lang w:val="en-US" w:eastAsia="zh-CN"/>
        </w:rPr>
        <w:t>附件及更正公告（如有）</w:t>
      </w:r>
      <w:r>
        <w:rPr>
          <w:rFonts w:hint="eastAsia" w:ascii="宋体" w:hAnsi="宋体" w:eastAsia="宋体" w:cs="宋体"/>
          <w:color w:val="auto"/>
          <w:sz w:val="24"/>
          <w:highlight w:val="none"/>
        </w:rPr>
        <w:t>，我方正式认可并遵守本次招标文件，并对招标文件各项条款、规定及要求均无异议。</w:t>
      </w:r>
    </w:p>
    <w:p w14:paraId="19E9BC55">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.我方同意从招标文件规定的开标日期起遵循本招标文件，并在招标文件规定的投标有效期之前均具有约束力。</w:t>
      </w:r>
    </w:p>
    <w:p w14:paraId="132771DC">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我方声明投标文件所提供的一切资料均真实无误、及时、有效，企业运营正常。由于我方提供资料不实而造成的责任和后果由我方承担。我方同意按照贵方提出的要求，提供与投标有关的任何证据、数据或资料。</w:t>
      </w:r>
    </w:p>
    <w:p w14:paraId="4D5A8E45">
      <w:pPr>
        <w:keepNext w:val="0"/>
        <w:keepLines w:val="0"/>
        <w:pageBreakBefore w:val="0"/>
        <w:widowControl w:val="0"/>
        <w:kinsoku/>
        <w:wordWrap/>
        <w:overflowPunct/>
        <w:topLinePunct w:val="0"/>
        <w:autoSpaceDE/>
        <w:autoSpaceDN/>
        <w:bidi w:val="0"/>
        <w:adjustRightInd/>
        <w:snapToGrid/>
        <w:spacing w:line="440" w:lineRule="exact"/>
        <w:ind w:firstLine="4800" w:firstLineChars="2000"/>
        <w:textAlignment w:val="auto"/>
        <w:rPr>
          <w:rFonts w:hint="eastAsia" w:ascii="宋体" w:hAnsi="宋体" w:eastAsia="宋体" w:cs="宋体"/>
          <w:color w:val="auto"/>
          <w:sz w:val="24"/>
          <w:highlight w:val="none"/>
        </w:rPr>
      </w:pPr>
    </w:p>
    <w:p w14:paraId="2FFF2C2C">
      <w:pPr>
        <w:keepNext w:val="0"/>
        <w:keepLines w:val="0"/>
        <w:pageBreakBefore w:val="0"/>
        <w:widowControl w:val="0"/>
        <w:kinsoku/>
        <w:wordWrap/>
        <w:overflowPunct/>
        <w:topLinePunct w:val="0"/>
        <w:autoSpaceDE/>
        <w:autoSpaceDN/>
        <w:bidi w:val="0"/>
        <w:adjustRightInd/>
        <w:snapToGrid/>
        <w:spacing w:line="440" w:lineRule="exact"/>
        <w:ind w:firstLine="4800" w:firstLineChars="20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7AC48AB5">
      <w:pPr>
        <w:keepNext w:val="0"/>
        <w:keepLines w:val="0"/>
        <w:pageBreakBefore w:val="0"/>
        <w:widowControl w:val="0"/>
        <w:kinsoku/>
        <w:wordWrap/>
        <w:overflowPunct/>
        <w:topLinePunct w:val="0"/>
        <w:autoSpaceDE/>
        <w:autoSpaceDN/>
        <w:bidi w:val="0"/>
        <w:adjustRightInd/>
        <w:snapToGrid/>
        <w:spacing w:line="440" w:lineRule="exact"/>
        <w:ind w:firstLine="4800" w:firstLineChars="20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014B66A9">
      <w:pPr>
        <w:keepNext w:val="0"/>
        <w:keepLines w:val="0"/>
        <w:pageBreakBefore w:val="0"/>
        <w:widowControl/>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br w:type="page"/>
      </w:r>
    </w:p>
    <w:p w14:paraId="6C657B57">
      <w:pPr>
        <w:keepNext w:val="0"/>
        <w:keepLines w:val="0"/>
        <w:pageBreakBefore w:val="0"/>
        <w:kinsoku/>
        <w:wordWrap/>
        <w:overflowPunct/>
        <w:topLinePunct w:val="0"/>
        <w:autoSpaceDE/>
        <w:autoSpaceDN/>
        <w:bidi w:val="0"/>
        <w:spacing w:line="440" w:lineRule="exact"/>
        <w:jc w:val="center"/>
        <w:textAlignment w:val="auto"/>
        <w:outlineLvl w:val="1"/>
        <w:rPr>
          <w:rFonts w:hint="eastAsia" w:ascii="宋体" w:hAnsi="宋体" w:eastAsia="宋体" w:cs="宋体"/>
          <w:b/>
          <w:color w:val="auto"/>
          <w:sz w:val="24"/>
          <w:highlight w:val="none"/>
        </w:rPr>
      </w:pPr>
      <w:bookmarkStart w:id="204" w:name="_Toc32226"/>
      <w:bookmarkStart w:id="205" w:name="_Toc31027"/>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投标分项报价表</w:t>
      </w:r>
      <w:bookmarkEnd w:id="204"/>
      <w:bookmarkEnd w:id="205"/>
    </w:p>
    <w:p w14:paraId="27967BAB">
      <w:pPr>
        <w:keepNext w:val="0"/>
        <w:keepLines w:val="0"/>
        <w:pageBreakBefore w:val="0"/>
        <w:kinsoku/>
        <w:wordWrap/>
        <w:overflowPunct/>
        <w:topLinePunct w:val="0"/>
        <w:autoSpaceDE/>
        <w:autoSpaceDN/>
        <w:bidi w:val="0"/>
        <w:spacing w:line="440" w:lineRule="exact"/>
        <w:ind w:firstLine="435"/>
        <w:jc w:val="center"/>
        <w:textAlignment w:val="auto"/>
        <w:rPr>
          <w:rFonts w:hint="eastAsia" w:ascii="宋体" w:hAnsi="宋体" w:eastAsia="宋体" w:cs="宋体"/>
          <w:b/>
          <w:color w:val="auto"/>
          <w:sz w:val="24"/>
          <w:highlight w:val="none"/>
        </w:rPr>
      </w:pPr>
      <w:r>
        <w:rPr>
          <w:rFonts w:hint="eastAsia" w:ascii="宋体" w:hAnsi="宋体" w:eastAsia="宋体" w:cs="宋体"/>
          <w:i/>
          <w:color w:val="auto"/>
          <w:sz w:val="24"/>
          <w:highlight w:val="none"/>
        </w:rPr>
        <w:t>（仅供参考，投标人可自行制作格式）</w:t>
      </w:r>
    </w:p>
    <w:tbl>
      <w:tblPr>
        <w:tblStyle w:val="27"/>
        <w:tblW w:w="10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355"/>
        <w:gridCol w:w="780"/>
        <w:gridCol w:w="1305"/>
        <w:gridCol w:w="2025"/>
        <w:gridCol w:w="3190"/>
      </w:tblGrid>
      <w:tr w14:paraId="3EC94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91" w:type="dxa"/>
            <w:noWrap w:val="0"/>
            <w:vAlign w:val="center"/>
          </w:tcPr>
          <w:p w14:paraId="643DA8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序号</w:t>
            </w:r>
          </w:p>
        </w:tc>
        <w:tc>
          <w:tcPr>
            <w:tcW w:w="2355" w:type="dxa"/>
            <w:noWrap w:val="0"/>
            <w:vAlign w:val="center"/>
          </w:tcPr>
          <w:p w14:paraId="08F719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名称</w:t>
            </w:r>
          </w:p>
        </w:tc>
        <w:tc>
          <w:tcPr>
            <w:tcW w:w="780" w:type="dxa"/>
            <w:noWrap w:val="0"/>
            <w:vAlign w:val="center"/>
          </w:tcPr>
          <w:p w14:paraId="42F030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数量</w:t>
            </w:r>
          </w:p>
        </w:tc>
        <w:tc>
          <w:tcPr>
            <w:tcW w:w="1305" w:type="dxa"/>
            <w:noWrap w:val="0"/>
            <w:vAlign w:val="center"/>
          </w:tcPr>
          <w:p w14:paraId="6047148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单价</w:t>
            </w:r>
          </w:p>
          <w:p w14:paraId="4C2CCAE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（元/月）</w:t>
            </w:r>
          </w:p>
        </w:tc>
        <w:tc>
          <w:tcPr>
            <w:tcW w:w="2025" w:type="dxa"/>
            <w:noWrap w:val="0"/>
            <w:vAlign w:val="center"/>
          </w:tcPr>
          <w:p w14:paraId="658DAF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合价（12个月）</w:t>
            </w:r>
          </w:p>
          <w:p w14:paraId="26EA5F6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（元）</w:t>
            </w:r>
          </w:p>
        </w:tc>
        <w:tc>
          <w:tcPr>
            <w:tcW w:w="3190" w:type="dxa"/>
            <w:noWrap w:val="0"/>
            <w:vAlign w:val="center"/>
          </w:tcPr>
          <w:p w14:paraId="4CB434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备注</w:t>
            </w:r>
          </w:p>
        </w:tc>
      </w:tr>
      <w:tr w14:paraId="03A6B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91" w:type="dxa"/>
            <w:noWrap w:val="0"/>
            <w:vAlign w:val="center"/>
          </w:tcPr>
          <w:p w14:paraId="1FE5B28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1</w:t>
            </w:r>
          </w:p>
        </w:tc>
        <w:tc>
          <w:tcPr>
            <w:tcW w:w="2355" w:type="dxa"/>
            <w:noWrap w:val="0"/>
            <w:vAlign w:val="center"/>
          </w:tcPr>
          <w:p w14:paraId="62E86F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人员工资（包含工资、劳动者个人缴纳的社会保险费和住房公积金）</w:t>
            </w:r>
          </w:p>
        </w:tc>
        <w:tc>
          <w:tcPr>
            <w:tcW w:w="780" w:type="dxa"/>
            <w:noWrap w:val="0"/>
            <w:vAlign w:val="center"/>
          </w:tcPr>
          <w:p w14:paraId="0E4360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24人</w:t>
            </w:r>
          </w:p>
        </w:tc>
        <w:tc>
          <w:tcPr>
            <w:tcW w:w="1305" w:type="dxa"/>
            <w:noWrap w:val="0"/>
            <w:vAlign w:val="center"/>
          </w:tcPr>
          <w:p w14:paraId="560288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p>
        </w:tc>
        <w:tc>
          <w:tcPr>
            <w:tcW w:w="2025" w:type="dxa"/>
            <w:noWrap w:val="0"/>
            <w:vAlign w:val="center"/>
          </w:tcPr>
          <w:p w14:paraId="5A9354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p>
        </w:tc>
        <w:tc>
          <w:tcPr>
            <w:tcW w:w="3190" w:type="dxa"/>
            <w:noWrap w:val="0"/>
            <w:vAlign w:val="center"/>
          </w:tcPr>
          <w:p w14:paraId="397583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按照人均工资计算，但不得低于</w:t>
            </w:r>
            <w:r>
              <w:rPr>
                <w:rFonts w:hint="eastAsia" w:ascii="宋体" w:hAnsi="宋体" w:eastAsia="宋体" w:cs="宋体"/>
                <w:szCs w:val="21"/>
                <w:highlight w:val="none"/>
                <w:lang w:val="en-US" w:eastAsia="zh-CN"/>
              </w:rPr>
              <w:t>滁州市</w:t>
            </w:r>
            <w:r>
              <w:rPr>
                <w:rFonts w:hint="eastAsia" w:ascii="宋体" w:hAnsi="宋体" w:eastAsia="宋体" w:cs="宋体"/>
                <w:szCs w:val="21"/>
                <w:highlight w:val="none"/>
              </w:rPr>
              <w:t>最低工资标准，具体详见招标文件要求。</w:t>
            </w:r>
          </w:p>
        </w:tc>
      </w:tr>
      <w:tr w14:paraId="01C78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91" w:type="dxa"/>
            <w:noWrap w:val="0"/>
            <w:vAlign w:val="center"/>
          </w:tcPr>
          <w:p w14:paraId="62052E6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2</w:t>
            </w:r>
          </w:p>
        </w:tc>
        <w:tc>
          <w:tcPr>
            <w:tcW w:w="2355" w:type="dxa"/>
            <w:noWrap w:val="0"/>
            <w:vAlign w:val="center"/>
          </w:tcPr>
          <w:p w14:paraId="0B1553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人员社会保险（企业部分）</w:t>
            </w:r>
          </w:p>
        </w:tc>
        <w:tc>
          <w:tcPr>
            <w:tcW w:w="780" w:type="dxa"/>
            <w:noWrap w:val="0"/>
            <w:vAlign w:val="center"/>
          </w:tcPr>
          <w:p w14:paraId="3DF88A4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24人</w:t>
            </w:r>
          </w:p>
        </w:tc>
        <w:tc>
          <w:tcPr>
            <w:tcW w:w="1305" w:type="dxa"/>
            <w:noWrap w:val="0"/>
            <w:vAlign w:val="center"/>
          </w:tcPr>
          <w:p w14:paraId="314FA5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p>
        </w:tc>
        <w:tc>
          <w:tcPr>
            <w:tcW w:w="2025" w:type="dxa"/>
            <w:noWrap w:val="0"/>
            <w:vAlign w:val="center"/>
          </w:tcPr>
          <w:p w14:paraId="5D41B6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p>
        </w:tc>
        <w:tc>
          <w:tcPr>
            <w:tcW w:w="3190" w:type="dxa"/>
            <w:noWrap w:val="0"/>
            <w:vAlign w:val="center"/>
          </w:tcPr>
          <w:p w14:paraId="338BB4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不得低于</w:t>
            </w:r>
            <w:r>
              <w:rPr>
                <w:rFonts w:hint="eastAsia" w:ascii="宋体" w:hAnsi="宋体" w:eastAsia="宋体" w:cs="宋体"/>
                <w:szCs w:val="21"/>
                <w:highlight w:val="none"/>
                <w:lang w:val="en-US" w:eastAsia="zh-CN"/>
              </w:rPr>
              <w:t>滁州市</w:t>
            </w:r>
            <w:r>
              <w:rPr>
                <w:rFonts w:hint="eastAsia" w:ascii="宋体" w:hAnsi="宋体" w:eastAsia="宋体" w:cs="宋体"/>
                <w:szCs w:val="21"/>
                <w:highlight w:val="none"/>
              </w:rPr>
              <w:t>社会保险缴费标准，具体详见招标文件要求。</w:t>
            </w:r>
          </w:p>
        </w:tc>
      </w:tr>
      <w:tr w14:paraId="29D0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91" w:type="dxa"/>
            <w:noWrap w:val="0"/>
            <w:vAlign w:val="center"/>
          </w:tcPr>
          <w:p w14:paraId="6ECE3E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w:t>
            </w:r>
          </w:p>
        </w:tc>
        <w:tc>
          <w:tcPr>
            <w:tcW w:w="2355" w:type="dxa"/>
            <w:noWrap w:val="0"/>
            <w:vAlign w:val="center"/>
          </w:tcPr>
          <w:p w14:paraId="20F3569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绿化养护费（包括但不限于绿化修剪机械费、材料费）</w:t>
            </w:r>
          </w:p>
        </w:tc>
        <w:tc>
          <w:tcPr>
            <w:tcW w:w="780" w:type="dxa"/>
            <w:noWrap w:val="0"/>
            <w:vAlign w:val="center"/>
          </w:tcPr>
          <w:p w14:paraId="4A413F9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1项</w:t>
            </w:r>
          </w:p>
        </w:tc>
        <w:tc>
          <w:tcPr>
            <w:tcW w:w="1305" w:type="dxa"/>
            <w:noWrap w:val="0"/>
            <w:vAlign w:val="center"/>
          </w:tcPr>
          <w:p w14:paraId="1F5150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p>
        </w:tc>
        <w:tc>
          <w:tcPr>
            <w:tcW w:w="2025" w:type="dxa"/>
            <w:noWrap w:val="0"/>
            <w:vAlign w:val="center"/>
          </w:tcPr>
          <w:p w14:paraId="5DB9BE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p>
        </w:tc>
        <w:tc>
          <w:tcPr>
            <w:tcW w:w="3190" w:type="dxa"/>
            <w:noWrap w:val="0"/>
            <w:vAlign w:val="center"/>
          </w:tcPr>
          <w:p w14:paraId="6890615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投标人根据招标文件的要求和实际需求自拟</w:t>
            </w:r>
          </w:p>
        </w:tc>
      </w:tr>
      <w:tr w14:paraId="5F74F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91" w:type="dxa"/>
            <w:noWrap w:val="0"/>
            <w:vAlign w:val="center"/>
          </w:tcPr>
          <w:p w14:paraId="642AA5E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w:t>
            </w:r>
          </w:p>
        </w:tc>
        <w:tc>
          <w:tcPr>
            <w:tcW w:w="2355" w:type="dxa"/>
            <w:noWrap w:val="0"/>
            <w:vAlign w:val="center"/>
          </w:tcPr>
          <w:p w14:paraId="392694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日常水电维修管理、耗材及设备维护保养</w:t>
            </w:r>
          </w:p>
        </w:tc>
        <w:tc>
          <w:tcPr>
            <w:tcW w:w="780" w:type="dxa"/>
            <w:noWrap w:val="0"/>
            <w:vAlign w:val="center"/>
          </w:tcPr>
          <w:p w14:paraId="07A523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1项</w:t>
            </w:r>
          </w:p>
        </w:tc>
        <w:tc>
          <w:tcPr>
            <w:tcW w:w="1305" w:type="dxa"/>
            <w:noWrap w:val="0"/>
            <w:vAlign w:val="center"/>
          </w:tcPr>
          <w:p w14:paraId="6DBFB26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p>
        </w:tc>
        <w:tc>
          <w:tcPr>
            <w:tcW w:w="2025" w:type="dxa"/>
            <w:noWrap w:val="0"/>
            <w:vAlign w:val="center"/>
          </w:tcPr>
          <w:p w14:paraId="4013AD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p>
        </w:tc>
        <w:tc>
          <w:tcPr>
            <w:tcW w:w="3190" w:type="dxa"/>
            <w:noWrap w:val="0"/>
            <w:vAlign w:val="center"/>
          </w:tcPr>
          <w:p w14:paraId="0A4A1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投标人根据招标文件的要求和实际需求自拟</w:t>
            </w:r>
          </w:p>
        </w:tc>
      </w:tr>
      <w:tr w14:paraId="75818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91" w:type="dxa"/>
            <w:noWrap w:val="0"/>
            <w:vAlign w:val="center"/>
          </w:tcPr>
          <w:p w14:paraId="1A642B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w:t>
            </w:r>
          </w:p>
        </w:tc>
        <w:tc>
          <w:tcPr>
            <w:tcW w:w="2355" w:type="dxa"/>
            <w:noWrap w:val="0"/>
            <w:vAlign w:val="center"/>
          </w:tcPr>
          <w:p w14:paraId="26126C6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税金</w:t>
            </w:r>
          </w:p>
        </w:tc>
        <w:tc>
          <w:tcPr>
            <w:tcW w:w="780" w:type="dxa"/>
            <w:noWrap w:val="0"/>
            <w:vAlign w:val="center"/>
          </w:tcPr>
          <w:p w14:paraId="17FBC41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1项</w:t>
            </w:r>
          </w:p>
        </w:tc>
        <w:tc>
          <w:tcPr>
            <w:tcW w:w="1305" w:type="dxa"/>
            <w:noWrap w:val="0"/>
            <w:vAlign w:val="center"/>
          </w:tcPr>
          <w:p w14:paraId="2C7775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w:t>
            </w:r>
          </w:p>
        </w:tc>
        <w:tc>
          <w:tcPr>
            <w:tcW w:w="2025" w:type="dxa"/>
            <w:noWrap w:val="0"/>
            <w:vAlign w:val="center"/>
          </w:tcPr>
          <w:p w14:paraId="0DA64A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p>
        </w:tc>
        <w:tc>
          <w:tcPr>
            <w:tcW w:w="3190" w:type="dxa"/>
            <w:noWrap w:val="0"/>
            <w:vAlign w:val="center"/>
          </w:tcPr>
          <w:p w14:paraId="5C8B64C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+2+3+4</w:t>
            </w:r>
            <w:r>
              <w:rPr>
                <w:rFonts w:hint="eastAsia" w:ascii="宋体" w:hAnsi="宋体" w:eastAsia="宋体" w:cs="宋体"/>
                <w:szCs w:val="21"/>
                <w:highlight w:val="none"/>
              </w:rPr>
              <w:t>）合价×6.72%</w:t>
            </w:r>
          </w:p>
        </w:tc>
      </w:tr>
      <w:tr w14:paraId="5CD6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231" w:type="dxa"/>
            <w:gridSpan w:val="4"/>
            <w:noWrap w:val="0"/>
            <w:vAlign w:val="center"/>
          </w:tcPr>
          <w:p w14:paraId="231FEC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一年</w:t>
            </w:r>
            <w:r>
              <w:rPr>
                <w:rFonts w:hint="eastAsia" w:ascii="宋体" w:hAnsi="宋体" w:eastAsia="宋体" w:cs="宋体"/>
                <w:szCs w:val="21"/>
                <w:highlight w:val="none"/>
              </w:rPr>
              <w:t>投标报价：物业服务费用合计（1</w:t>
            </w:r>
            <w:r>
              <w:rPr>
                <w:rFonts w:hint="eastAsia" w:ascii="宋体" w:hAnsi="宋体" w:eastAsia="宋体" w:cs="宋体"/>
                <w:szCs w:val="21"/>
                <w:highlight w:val="none"/>
                <w:lang w:val="en-US" w:eastAsia="zh-CN"/>
              </w:rPr>
              <w:t>+2+3+4+5</w:t>
            </w:r>
            <w:r>
              <w:rPr>
                <w:rFonts w:hint="eastAsia" w:ascii="宋体" w:hAnsi="宋体" w:eastAsia="宋体" w:cs="宋体"/>
                <w:szCs w:val="21"/>
                <w:highlight w:val="none"/>
              </w:rPr>
              <w:t>）（元）</w:t>
            </w:r>
          </w:p>
        </w:tc>
        <w:tc>
          <w:tcPr>
            <w:tcW w:w="5215" w:type="dxa"/>
            <w:gridSpan w:val="2"/>
            <w:noWrap w:val="0"/>
            <w:vAlign w:val="center"/>
          </w:tcPr>
          <w:p w14:paraId="73C677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p>
        </w:tc>
      </w:tr>
      <w:tr w14:paraId="2AA01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231" w:type="dxa"/>
            <w:gridSpan w:val="4"/>
            <w:noWrap w:val="0"/>
            <w:vAlign w:val="center"/>
          </w:tcPr>
          <w:p w14:paraId="1B00599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三年</w:t>
            </w:r>
            <w:r>
              <w:rPr>
                <w:rFonts w:hint="eastAsia" w:ascii="宋体" w:hAnsi="宋体" w:eastAsia="宋体" w:cs="宋体"/>
                <w:szCs w:val="21"/>
                <w:highlight w:val="none"/>
              </w:rPr>
              <w:t>投标报价：物业服务费用合计（1</w:t>
            </w:r>
            <w:r>
              <w:rPr>
                <w:rFonts w:hint="eastAsia" w:ascii="宋体" w:hAnsi="宋体" w:eastAsia="宋体" w:cs="宋体"/>
                <w:szCs w:val="21"/>
                <w:highlight w:val="none"/>
                <w:lang w:val="en-US" w:eastAsia="zh-CN"/>
              </w:rPr>
              <w:t>+2+3+4+5</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3年</w:t>
            </w:r>
            <w:r>
              <w:rPr>
                <w:rFonts w:hint="eastAsia" w:ascii="宋体" w:hAnsi="宋体" w:eastAsia="宋体" w:cs="宋体"/>
                <w:szCs w:val="21"/>
                <w:highlight w:val="none"/>
              </w:rPr>
              <w:t>（元）</w:t>
            </w:r>
          </w:p>
        </w:tc>
        <w:tc>
          <w:tcPr>
            <w:tcW w:w="5215" w:type="dxa"/>
            <w:gridSpan w:val="2"/>
            <w:noWrap w:val="0"/>
            <w:vAlign w:val="center"/>
          </w:tcPr>
          <w:p w14:paraId="1383A8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p>
        </w:tc>
      </w:tr>
    </w:tbl>
    <w:p w14:paraId="284218DD">
      <w:pPr>
        <w:keepNext w:val="0"/>
        <w:keepLines w:val="0"/>
        <w:pageBreakBefore w:val="0"/>
        <w:kinsoku/>
        <w:wordWrap/>
        <w:overflowPunct/>
        <w:topLinePunct w:val="0"/>
        <w:autoSpaceDE/>
        <w:autoSpaceDN/>
        <w:bidi w:val="0"/>
        <w:spacing w:line="440" w:lineRule="exact"/>
        <w:ind w:firstLine="4800" w:firstLineChars="20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01F8587E">
      <w:pPr>
        <w:keepNext w:val="0"/>
        <w:keepLines w:val="0"/>
        <w:pageBreakBefore w:val="0"/>
        <w:tabs>
          <w:tab w:val="left" w:pos="630"/>
        </w:tabs>
        <w:kinsoku/>
        <w:wordWrap/>
        <w:overflowPunct/>
        <w:topLinePunct w:val="0"/>
        <w:autoSpaceDE/>
        <w:autoSpaceDN/>
        <w:bidi w:val="0"/>
        <w:spacing w:line="440" w:lineRule="exact"/>
        <w:ind w:firstLine="4800" w:firstLineChars="2000"/>
        <w:textAlignment w:val="auto"/>
        <w:rPr>
          <w:rFonts w:hint="eastAsia" w:ascii="宋体" w:hAnsi="宋体" w:eastAsia="宋体" w:cs="宋体"/>
          <w:b/>
          <w:bCs/>
          <w:color w:val="auto"/>
          <w:sz w:val="24"/>
          <w:szCs w:val="28"/>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25238DCA">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color w:val="auto"/>
          <w:sz w:val="24"/>
          <w:szCs w:val="28"/>
          <w:highlight w:val="none"/>
          <w:lang w:eastAsia="zh-CN"/>
        </w:rPr>
      </w:pPr>
    </w:p>
    <w:p w14:paraId="3C3BC14A">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szCs w:val="28"/>
          <w:highlight w:val="none"/>
          <w:lang w:eastAsia="zh-CN"/>
        </w:rPr>
        <w:t>注：</w:t>
      </w:r>
      <w:r>
        <w:rPr>
          <w:rFonts w:hint="eastAsia" w:ascii="宋体" w:hAnsi="宋体" w:eastAsia="宋体" w:cs="宋体"/>
          <w:b/>
          <w:bCs/>
          <w:color w:val="auto"/>
          <w:sz w:val="24"/>
          <w:szCs w:val="28"/>
          <w:highlight w:val="none"/>
          <w:lang w:val="en-US" w:eastAsia="zh-CN"/>
        </w:rPr>
        <w:t>1.</w:t>
      </w:r>
      <w:r>
        <w:rPr>
          <w:rFonts w:hint="eastAsia" w:ascii="宋体" w:hAnsi="宋体" w:eastAsia="宋体" w:cs="宋体"/>
          <w:color w:val="auto"/>
          <w:sz w:val="24"/>
          <w:highlight w:val="none"/>
        </w:rPr>
        <w:t>所列服务为对应本项目需求的全部服务内容。如有漏项或缺项，投标人承担全部责任。</w:t>
      </w:r>
    </w:p>
    <w:p w14:paraId="1000B97C">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sz w:val="24"/>
          <w:highlight w:val="none"/>
          <w:lang w:val="en-US" w:eastAsia="zh-CN"/>
        </w:rPr>
      </w:pPr>
      <w:bookmarkStart w:id="206" w:name="_Toc20329"/>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投标人投标报价中所有岗位人员基本工资和社保标准最低不得低于滁州市人社局发布的最低标准：①人员基本工资不得低于1930元/月（包含工资、劳动者个人缴纳的社会保险费和住房公积金）；②企业应承担的社保不得低于970.51元/月；③投标人税金统一按一般纳税人核定标准计算（税率按6.72%计入）；④本项目统一按此标准计算，各投标人存在的差额部分自行考虑承担。请各投标人自行核算以上政策性费用及规定费用，如投标人对以上费用有疑问，请在本项目质疑截止时间前提出。如无疑问，投标报价应不低于上述政策性费用及规定费用价格，否则投标无效。投标人必须和拟派的所有岗位人员按照相关规定签订劳动合同并为其缴纳社保，否则产生的相关纠纷由投标人自行承担。投标人投标时充分考虑企业利润，如因企业漏报或主动让利，产生的相关纠纷由投标人自行承担。滁州市人社局对滁州市人员最低工资及五险进行调整时，中标人适当作相应调整。</w:t>
      </w:r>
    </w:p>
    <w:p w14:paraId="1A3F43FB">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bookmarkEnd w:id="206"/>
    <w:p w14:paraId="583658A0">
      <w:pPr>
        <w:keepNext w:val="0"/>
        <w:keepLines w:val="0"/>
        <w:pageBreakBefore w:val="0"/>
        <w:kinsoku/>
        <w:wordWrap/>
        <w:overflowPunct/>
        <w:topLinePunct w:val="0"/>
        <w:autoSpaceDE/>
        <w:autoSpaceDN/>
        <w:bidi w:val="0"/>
        <w:spacing w:line="440" w:lineRule="exact"/>
        <w:jc w:val="center"/>
        <w:textAlignment w:val="auto"/>
        <w:outlineLvl w:val="0"/>
        <w:rPr>
          <w:rFonts w:hint="eastAsia" w:ascii="宋体" w:hAnsi="宋体" w:eastAsia="宋体" w:cs="宋体"/>
          <w:b/>
          <w:bCs/>
          <w:color w:val="auto"/>
          <w:sz w:val="28"/>
          <w:highlight w:val="none"/>
        </w:rPr>
      </w:pPr>
      <w:bookmarkStart w:id="207" w:name="_Toc6435"/>
      <w:bookmarkStart w:id="208" w:name="_Toc20819"/>
      <w:r>
        <w:rPr>
          <w:rFonts w:hint="eastAsia" w:ascii="宋体" w:hAnsi="宋体" w:eastAsia="宋体" w:cs="宋体"/>
          <w:b/>
          <w:color w:val="auto"/>
          <w:sz w:val="28"/>
          <w:highlight w:val="none"/>
        </w:rPr>
        <w:t>第</w:t>
      </w:r>
      <w:r>
        <w:rPr>
          <w:rFonts w:hint="eastAsia" w:ascii="宋体" w:hAnsi="宋体" w:eastAsia="宋体" w:cs="宋体"/>
          <w:b/>
          <w:color w:val="auto"/>
          <w:sz w:val="28"/>
          <w:highlight w:val="none"/>
          <w:lang w:val="en-US" w:eastAsia="zh-CN"/>
        </w:rPr>
        <w:t>七</w:t>
      </w:r>
      <w:r>
        <w:rPr>
          <w:rFonts w:hint="eastAsia" w:ascii="宋体" w:hAnsi="宋体" w:eastAsia="宋体" w:cs="宋体"/>
          <w:b/>
          <w:color w:val="auto"/>
          <w:sz w:val="28"/>
          <w:highlight w:val="none"/>
        </w:rPr>
        <w:t>章</w:t>
      </w:r>
      <w:r>
        <w:rPr>
          <w:rFonts w:hint="eastAsia" w:ascii="宋体" w:hAnsi="宋体" w:eastAsia="宋体" w:cs="宋体"/>
          <w:b/>
          <w:bCs/>
          <w:color w:val="auto"/>
          <w:sz w:val="28"/>
          <w:highlight w:val="none"/>
        </w:rPr>
        <w:t xml:space="preserve">  政府采购</w:t>
      </w:r>
      <w:r>
        <w:rPr>
          <w:rFonts w:hint="eastAsia" w:ascii="宋体" w:hAnsi="宋体" w:eastAsia="宋体" w:cs="宋体"/>
          <w:b/>
          <w:color w:val="auto"/>
          <w:sz w:val="28"/>
          <w:highlight w:val="none"/>
        </w:rPr>
        <w:t>供应</w:t>
      </w:r>
      <w:r>
        <w:rPr>
          <w:rFonts w:hint="eastAsia" w:ascii="宋体" w:hAnsi="宋体" w:eastAsia="宋体" w:cs="宋体"/>
          <w:b/>
          <w:bCs/>
          <w:color w:val="auto"/>
          <w:sz w:val="28"/>
          <w:highlight w:val="none"/>
        </w:rPr>
        <w:t>商询问函和质疑函范本</w:t>
      </w:r>
      <w:bookmarkEnd w:id="207"/>
      <w:bookmarkEnd w:id="208"/>
    </w:p>
    <w:p w14:paraId="6E2D2E79">
      <w:pPr>
        <w:keepNext w:val="0"/>
        <w:keepLines w:val="0"/>
        <w:pageBreakBefore w:val="0"/>
        <w:kinsoku/>
        <w:wordWrap/>
        <w:overflowPunct/>
        <w:topLinePunct w:val="0"/>
        <w:autoSpaceDE/>
        <w:autoSpaceDN/>
        <w:bidi w:val="0"/>
        <w:spacing w:line="440" w:lineRule="exact"/>
        <w:jc w:val="center"/>
        <w:textAlignment w:val="auto"/>
        <w:outlineLvl w:val="1"/>
        <w:rPr>
          <w:rFonts w:hint="eastAsia" w:ascii="宋体" w:hAnsi="宋体" w:eastAsia="宋体" w:cs="宋体"/>
          <w:b/>
          <w:bCs/>
          <w:color w:val="auto"/>
          <w:sz w:val="32"/>
          <w:szCs w:val="44"/>
          <w:highlight w:val="none"/>
        </w:rPr>
      </w:pPr>
      <w:bookmarkStart w:id="209" w:name="_Toc6955"/>
      <w:bookmarkStart w:id="210" w:name="_Toc27159"/>
      <w:r>
        <w:rPr>
          <w:rFonts w:hint="eastAsia" w:ascii="宋体" w:hAnsi="宋体" w:eastAsia="宋体" w:cs="宋体"/>
          <w:b/>
          <w:bCs/>
          <w:color w:val="auto"/>
          <w:sz w:val="32"/>
          <w:szCs w:val="44"/>
          <w:highlight w:val="none"/>
        </w:rPr>
        <w:t>询问函范本</w:t>
      </w:r>
      <w:bookmarkEnd w:id="209"/>
      <w:bookmarkEnd w:id="210"/>
    </w:p>
    <w:p w14:paraId="0C402DDC">
      <w:pPr>
        <w:keepNext w:val="0"/>
        <w:keepLines w:val="0"/>
        <w:pageBreakBefore w:val="0"/>
        <w:kinsoku/>
        <w:wordWrap/>
        <w:overflowPunct/>
        <w:topLinePunct w:val="0"/>
        <w:autoSpaceDE/>
        <w:autoSpaceDN/>
        <w:bidi w:val="0"/>
        <w:adjustRightInd w:val="0"/>
        <w:snapToGrid w:val="0"/>
        <w:spacing w:line="440" w:lineRule="exact"/>
        <w:ind w:firstLine="480" w:firstLineChars="200"/>
        <w:jc w:val="center"/>
        <w:textAlignment w:val="auto"/>
        <w:rPr>
          <w:rFonts w:hint="eastAsia" w:ascii="宋体" w:hAnsi="宋体" w:eastAsia="宋体" w:cs="宋体"/>
          <w:b/>
          <w:bCs/>
          <w:color w:val="auto"/>
          <w:sz w:val="32"/>
          <w:szCs w:val="44"/>
          <w:highlight w:val="none"/>
        </w:rPr>
      </w:pPr>
      <w:r>
        <w:rPr>
          <w:rFonts w:hint="eastAsia" w:ascii="宋体" w:hAnsi="宋体" w:eastAsia="宋体" w:cs="宋体"/>
          <w:i/>
          <w:iCs/>
          <w:color w:val="auto"/>
          <w:sz w:val="24"/>
          <w:szCs w:val="24"/>
          <w:highlight w:val="none"/>
        </w:rPr>
        <w:t>（如为对采购文件或采购程序的询问或疑问，请按询问函范本或电子交易系统中网上询问格式附件进行提交）</w:t>
      </w:r>
    </w:p>
    <w:p w14:paraId="28B8376E">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b/>
          <w:bCs/>
          <w:color w:val="auto"/>
          <w:sz w:val="24"/>
          <w:szCs w:val="24"/>
          <w:highlight w:val="none"/>
          <w:u w:val="single"/>
          <w:lang w:eastAsia="zh-CN"/>
        </w:rPr>
      </w:pPr>
      <w:r>
        <w:rPr>
          <w:rFonts w:hint="eastAsia" w:ascii="宋体" w:hAnsi="宋体" w:eastAsia="宋体" w:cs="宋体"/>
          <w:b/>
          <w:bCs/>
          <w:color w:val="auto"/>
          <w:sz w:val="24"/>
          <w:szCs w:val="24"/>
          <w:highlight w:val="none"/>
          <w:lang w:val="en-US" w:eastAsia="zh-CN"/>
        </w:rPr>
        <w:t>致：</w:t>
      </w:r>
      <w:r>
        <w:rPr>
          <w:rFonts w:hint="eastAsia" w:ascii="宋体" w:hAnsi="宋体" w:eastAsia="宋体" w:cs="宋体"/>
          <w:b/>
          <w:bCs/>
          <w:color w:val="auto"/>
          <w:sz w:val="24"/>
          <w:szCs w:val="24"/>
          <w:highlight w:val="none"/>
          <w:u w:val="none"/>
          <w:lang w:eastAsia="zh-CN"/>
        </w:rPr>
        <w:t>采购人</w:t>
      </w:r>
    </w:p>
    <w:p w14:paraId="6A34E00E">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我单位拟参与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i/>
          <w:iCs/>
          <w:color w:val="auto"/>
          <w:sz w:val="24"/>
          <w:szCs w:val="24"/>
          <w:highlight w:val="none"/>
          <w:u w:val="none"/>
          <w:lang w:val="en-US" w:eastAsia="zh-CN"/>
        </w:rPr>
        <w:t>项目名称、编号</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的采购活动，现有以下内容(或条款)存在疑问(或无法理解)，特提出询问。</w:t>
      </w:r>
    </w:p>
    <w:p w14:paraId="1E08C2F0">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highlight w:val="none"/>
        </w:rPr>
      </w:pPr>
      <w:bookmarkStart w:id="211" w:name="_Toc13899"/>
      <w:r>
        <w:rPr>
          <w:rFonts w:hint="eastAsia" w:ascii="宋体" w:hAnsi="宋体" w:eastAsia="宋体" w:cs="宋体"/>
          <w:color w:val="auto"/>
          <w:sz w:val="24"/>
          <w:szCs w:val="24"/>
          <w:highlight w:val="none"/>
        </w:rPr>
        <w:t>一、(事项一)</w:t>
      </w:r>
      <w:bookmarkEnd w:id="211"/>
    </w:p>
    <w:p w14:paraId="0D3F94AA">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1、(内容或条款)</w:t>
      </w:r>
    </w:p>
    <w:p w14:paraId="607FFB61">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2、(说明疑问或无法理解原因)</w:t>
      </w:r>
    </w:p>
    <w:p w14:paraId="3D899A9E">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3、(建议)</w:t>
      </w:r>
    </w:p>
    <w:p w14:paraId="26C17ED7">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highlight w:val="none"/>
        </w:rPr>
      </w:pPr>
      <w:bookmarkStart w:id="212" w:name="_Toc3352"/>
      <w:r>
        <w:rPr>
          <w:rFonts w:hint="eastAsia" w:ascii="宋体" w:hAnsi="宋体" w:eastAsia="宋体" w:cs="宋体"/>
          <w:color w:val="auto"/>
          <w:sz w:val="24"/>
          <w:szCs w:val="24"/>
          <w:highlight w:val="none"/>
        </w:rPr>
        <w:t>二、(事项二)</w:t>
      </w:r>
      <w:bookmarkEnd w:id="212"/>
    </w:p>
    <w:p w14:paraId="772D7508">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11BA27CC">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随附相关证明材料如下： </w:t>
      </w:r>
    </w:p>
    <w:p w14:paraId="302F0CFE">
      <w:pPr>
        <w:keepNext w:val="0"/>
        <w:keepLines w:val="0"/>
        <w:pageBreakBefore w:val="0"/>
        <w:kinsoku/>
        <w:wordWrap/>
        <w:overflowPunct/>
        <w:topLinePunct w:val="0"/>
        <w:autoSpaceDE/>
        <w:autoSpaceDN/>
        <w:bidi w:val="0"/>
        <w:spacing w:line="440" w:lineRule="exact"/>
        <w:ind w:firstLine="4228" w:firstLineChars="1762"/>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 系 人：</w:t>
      </w:r>
      <w:r>
        <w:rPr>
          <w:rFonts w:hint="eastAsia" w:ascii="宋体" w:hAnsi="宋体" w:eastAsia="宋体" w:cs="宋体"/>
          <w:color w:val="auto"/>
          <w:sz w:val="24"/>
          <w:highlight w:val="none"/>
          <w:u w:val="single"/>
        </w:rPr>
        <w:t xml:space="preserve">              </w:t>
      </w:r>
    </w:p>
    <w:p w14:paraId="580A770D">
      <w:pPr>
        <w:keepNext w:val="0"/>
        <w:keepLines w:val="0"/>
        <w:pageBreakBefore w:val="0"/>
        <w:kinsoku/>
        <w:wordWrap/>
        <w:overflowPunct/>
        <w:topLinePunct w:val="0"/>
        <w:autoSpaceDE/>
        <w:autoSpaceDN/>
        <w:bidi w:val="0"/>
        <w:spacing w:line="440" w:lineRule="exact"/>
        <w:ind w:firstLine="4228" w:firstLineChars="1762"/>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w:t>
      </w:r>
    </w:p>
    <w:p w14:paraId="5F1C2A86">
      <w:pPr>
        <w:keepNext w:val="0"/>
        <w:keepLines w:val="0"/>
        <w:pageBreakBefore w:val="0"/>
        <w:tabs>
          <w:tab w:val="left" w:pos="630"/>
        </w:tabs>
        <w:kinsoku/>
        <w:wordWrap/>
        <w:overflowPunct/>
        <w:topLinePunct w:val="0"/>
        <w:autoSpaceDE/>
        <w:autoSpaceDN/>
        <w:bidi w:val="0"/>
        <w:spacing w:line="440" w:lineRule="exact"/>
        <w:ind w:firstLine="4228" w:firstLineChars="1762"/>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2F0C9EE3">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bCs/>
          <w:color w:val="auto"/>
          <w:sz w:val="32"/>
          <w:szCs w:val="44"/>
          <w:highlight w:val="none"/>
        </w:rPr>
      </w:pPr>
      <w:r>
        <w:rPr>
          <w:rFonts w:hint="eastAsia" w:ascii="宋体" w:hAnsi="宋体" w:eastAsia="宋体" w:cs="宋体"/>
          <w:b/>
          <w:bCs/>
          <w:color w:val="auto"/>
          <w:sz w:val="32"/>
          <w:szCs w:val="44"/>
          <w:highlight w:val="none"/>
        </w:rPr>
        <w:br w:type="page"/>
      </w:r>
    </w:p>
    <w:p w14:paraId="3C1CD8AF">
      <w:pPr>
        <w:keepNext w:val="0"/>
        <w:keepLines w:val="0"/>
        <w:pageBreakBefore w:val="0"/>
        <w:kinsoku/>
        <w:wordWrap/>
        <w:overflowPunct/>
        <w:topLinePunct w:val="0"/>
        <w:autoSpaceDE/>
        <w:autoSpaceDN/>
        <w:bidi w:val="0"/>
        <w:spacing w:line="440" w:lineRule="exact"/>
        <w:jc w:val="center"/>
        <w:textAlignment w:val="auto"/>
        <w:outlineLvl w:val="1"/>
        <w:rPr>
          <w:rFonts w:hint="eastAsia" w:ascii="宋体" w:hAnsi="宋体" w:eastAsia="宋体" w:cs="宋体"/>
          <w:b/>
          <w:bCs/>
          <w:color w:val="auto"/>
          <w:sz w:val="32"/>
          <w:szCs w:val="44"/>
          <w:highlight w:val="none"/>
        </w:rPr>
      </w:pPr>
      <w:bookmarkStart w:id="213" w:name="_Toc1575"/>
      <w:bookmarkStart w:id="214" w:name="_Toc857"/>
      <w:r>
        <w:rPr>
          <w:rFonts w:hint="eastAsia" w:ascii="宋体" w:hAnsi="宋体" w:eastAsia="宋体" w:cs="宋体"/>
          <w:b/>
          <w:bCs/>
          <w:color w:val="auto"/>
          <w:sz w:val="32"/>
          <w:szCs w:val="44"/>
          <w:highlight w:val="none"/>
        </w:rPr>
        <w:t>质疑函范本</w:t>
      </w:r>
      <w:bookmarkEnd w:id="213"/>
      <w:bookmarkEnd w:id="214"/>
    </w:p>
    <w:p w14:paraId="35DA6657">
      <w:pPr>
        <w:keepNext w:val="0"/>
        <w:keepLines w:val="0"/>
        <w:pageBreakBefore w:val="0"/>
        <w:kinsoku/>
        <w:wordWrap/>
        <w:overflowPunct/>
        <w:topLinePunct w:val="0"/>
        <w:autoSpaceDE/>
        <w:autoSpaceDN/>
        <w:bidi w:val="0"/>
        <w:adjustRightInd w:val="0"/>
        <w:snapToGrid w:val="0"/>
        <w:spacing w:before="312" w:beforeLines="100" w:line="440" w:lineRule="exact"/>
        <w:textAlignment w:val="auto"/>
        <w:outlineLvl w:val="9"/>
        <w:rPr>
          <w:rFonts w:hint="eastAsia" w:ascii="宋体" w:hAnsi="宋体" w:eastAsia="宋体" w:cs="宋体"/>
          <w:b/>
          <w:bCs/>
          <w:color w:val="auto"/>
          <w:sz w:val="24"/>
          <w:szCs w:val="24"/>
          <w:highlight w:val="none"/>
        </w:rPr>
      </w:pPr>
      <w:bookmarkStart w:id="215" w:name="_Toc21381"/>
      <w:r>
        <w:rPr>
          <w:rFonts w:hint="eastAsia" w:ascii="宋体" w:hAnsi="宋体" w:eastAsia="宋体" w:cs="宋体"/>
          <w:b/>
          <w:bCs/>
          <w:color w:val="auto"/>
          <w:sz w:val="24"/>
          <w:szCs w:val="24"/>
          <w:highlight w:val="none"/>
        </w:rPr>
        <w:t>一、质疑供应商基本信息</w:t>
      </w:r>
      <w:bookmarkEnd w:id="215"/>
    </w:p>
    <w:p w14:paraId="71434E34">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02F692F0">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0D9CEB9B">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36ADE6B5">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632F4C75">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52F37F86">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0E077B31">
      <w:pPr>
        <w:keepNext w:val="0"/>
        <w:keepLines w:val="0"/>
        <w:pageBreakBefore w:val="0"/>
        <w:kinsoku/>
        <w:wordWrap/>
        <w:overflowPunct/>
        <w:topLinePunct w:val="0"/>
        <w:autoSpaceDE/>
        <w:autoSpaceDN/>
        <w:bidi w:val="0"/>
        <w:adjustRightInd w:val="0"/>
        <w:snapToGrid w:val="0"/>
        <w:spacing w:line="440" w:lineRule="exact"/>
        <w:textAlignment w:val="auto"/>
        <w:outlineLvl w:val="9"/>
        <w:rPr>
          <w:rFonts w:hint="eastAsia" w:ascii="宋体" w:hAnsi="宋体" w:eastAsia="宋体" w:cs="宋体"/>
          <w:b/>
          <w:bCs/>
          <w:color w:val="auto"/>
          <w:sz w:val="24"/>
          <w:szCs w:val="24"/>
          <w:highlight w:val="none"/>
        </w:rPr>
      </w:pPr>
      <w:bookmarkStart w:id="216" w:name="_Toc28415"/>
      <w:r>
        <w:rPr>
          <w:rFonts w:hint="eastAsia" w:ascii="宋体" w:hAnsi="宋体" w:eastAsia="宋体" w:cs="宋体"/>
          <w:b/>
          <w:bCs/>
          <w:color w:val="auto"/>
          <w:sz w:val="24"/>
          <w:szCs w:val="24"/>
          <w:highlight w:val="none"/>
        </w:rPr>
        <w:t>二、质疑项目基本情况</w:t>
      </w:r>
      <w:bookmarkEnd w:id="216"/>
    </w:p>
    <w:p w14:paraId="2DCD774C">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35BE4BEB">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6685C955">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p>
    <w:p w14:paraId="229C1D35">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采购文件获取日期：</w:t>
      </w:r>
      <w:r>
        <w:rPr>
          <w:rFonts w:hint="eastAsia" w:ascii="宋体" w:hAnsi="宋体" w:eastAsia="宋体" w:cs="宋体"/>
          <w:color w:val="auto"/>
          <w:sz w:val="24"/>
          <w:szCs w:val="24"/>
          <w:highlight w:val="none"/>
          <w:u w:val="dotted"/>
        </w:rPr>
        <w:t xml:space="preserve">                                           </w:t>
      </w:r>
    </w:p>
    <w:p w14:paraId="45A09F8A">
      <w:pPr>
        <w:keepNext w:val="0"/>
        <w:keepLines w:val="0"/>
        <w:pageBreakBefore w:val="0"/>
        <w:kinsoku/>
        <w:wordWrap/>
        <w:overflowPunct/>
        <w:topLinePunct w:val="0"/>
        <w:autoSpaceDE/>
        <w:autoSpaceDN/>
        <w:bidi w:val="0"/>
        <w:adjustRightInd w:val="0"/>
        <w:snapToGrid w:val="0"/>
        <w:spacing w:line="440" w:lineRule="exact"/>
        <w:textAlignment w:val="auto"/>
        <w:outlineLvl w:val="9"/>
        <w:rPr>
          <w:rFonts w:hint="eastAsia" w:ascii="宋体" w:hAnsi="宋体" w:eastAsia="宋体" w:cs="宋体"/>
          <w:b/>
          <w:bCs/>
          <w:color w:val="auto"/>
          <w:sz w:val="24"/>
          <w:szCs w:val="24"/>
          <w:highlight w:val="none"/>
        </w:rPr>
      </w:pPr>
      <w:bookmarkStart w:id="217" w:name="_Toc19014"/>
      <w:r>
        <w:rPr>
          <w:rFonts w:hint="eastAsia" w:ascii="宋体" w:hAnsi="宋体" w:eastAsia="宋体" w:cs="宋体"/>
          <w:b/>
          <w:bCs/>
          <w:color w:val="auto"/>
          <w:sz w:val="24"/>
          <w:szCs w:val="24"/>
          <w:highlight w:val="none"/>
        </w:rPr>
        <w:t>三、质疑事项具体内容</w:t>
      </w:r>
      <w:bookmarkEnd w:id="217"/>
    </w:p>
    <w:p w14:paraId="71903849">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4CC6F97A">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101E8D87">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6F38A330">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3EB7F51E">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5A29C7BD">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519E6776">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D2C4FB4">
      <w:pPr>
        <w:keepNext w:val="0"/>
        <w:keepLines w:val="0"/>
        <w:pageBreakBefore w:val="0"/>
        <w:kinsoku/>
        <w:wordWrap/>
        <w:overflowPunct/>
        <w:topLinePunct w:val="0"/>
        <w:autoSpaceDE/>
        <w:autoSpaceDN/>
        <w:bidi w:val="0"/>
        <w:adjustRightInd w:val="0"/>
        <w:snapToGrid w:val="0"/>
        <w:spacing w:line="440" w:lineRule="exact"/>
        <w:textAlignment w:val="auto"/>
        <w:outlineLvl w:val="9"/>
        <w:rPr>
          <w:rFonts w:hint="eastAsia" w:ascii="宋体" w:hAnsi="宋体" w:eastAsia="宋体" w:cs="宋体"/>
          <w:b/>
          <w:bCs/>
          <w:color w:val="auto"/>
          <w:sz w:val="24"/>
          <w:szCs w:val="24"/>
          <w:highlight w:val="none"/>
        </w:rPr>
      </w:pPr>
      <w:bookmarkStart w:id="218" w:name="_Toc17919"/>
      <w:r>
        <w:rPr>
          <w:rFonts w:hint="eastAsia" w:ascii="宋体" w:hAnsi="宋体" w:eastAsia="宋体" w:cs="宋体"/>
          <w:b/>
          <w:bCs/>
          <w:color w:val="auto"/>
          <w:sz w:val="24"/>
          <w:szCs w:val="24"/>
          <w:highlight w:val="none"/>
        </w:rPr>
        <w:t>四、与质疑事项相关的质疑请求</w:t>
      </w:r>
      <w:bookmarkEnd w:id="218"/>
    </w:p>
    <w:p w14:paraId="321F6088">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2918518E">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1250AA75">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6F9A8CFC">
      <w:pPr>
        <w:keepNext w:val="0"/>
        <w:keepLines w:val="0"/>
        <w:pageBreakBefore w:val="0"/>
        <w:widowControl/>
        <w:kinsoku/>
        <w:wordWrap/>
        <w:overflowPunct/>
        <w:topLinePunct w:val="0"/>
        <w:autoSpaceDE/>
        <w:autoSpaceDN/>
        <w:bidi w:val="0"/>
        <w:spacing w:line="440" w:lineRule="exact"/>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7C8879C4">
      <w:pPr>
        <w:keepNext w:val="0"/>
        <w:keepLines w:val="0"/>
        <w:pageBreakBefore w:val="0"/>
        <w:kinsoku/>
        <w:wordWrap/>
        <w:overflowPunct/>
        <w:topLinePunct w:val="0"/>
        <w:autoSpaceDE/>
        <w:autoSpaceDN/>
        <w:bidi w:val="0"/>
        <w:spacing w:line="440" w:lineRule="exact"/>
        <w:textAlignment w:val="auto"/>
        <w:outlineLvl w:val="0"/>
        <w:rPr>
          <w:rFonts w:hint="eastAsia" w:ascii="宋体" w:hAnsi="宋体" w:eastAsia="宋体" w:cs="宋体"/>
          <w:b/>
          <w:color w:val="auto"/>
          <w:sz w:val="28"/>
          <w:szCs w:val="32"/>
          <w:highlight w:val="none"/>
        </w:rPr>
      </w:pPr>
      <w:bookmarkStart w:id="219" w:name="_Toc22239"/>
      <w:bookmarkStart w:id="220" w:name="_Toc9754"/>
      <w:r>
        <w:rPr>
          <w:rFonts w:hint="eastAsia" w:ascii="宋体" w:hAnsi="宋体" w:eastAsia="宋体" w:cs="宋体"/>
          <w:b/>
          <w:color w:val="auto"/>
          <w:sz w:val="28"/>
          <w:szCs w:val="32"/>
          <w:highlight w:val="none"/>
        </w:rPr>
        <w:t>质疑函制作说明：</w:t>
      </w:r>
      <w:bookmarkEnd w:id="219"/>
      <w:bookmarkEnd w:id="220"/>
    </w:p>
    <w:p w14:paraId="09766F79">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40578F02">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9AEC391">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1E6B3830">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364CF947">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0C173CD0">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1E356C6">
      <w:pPr>
        <w:keepNext w:val="0"/>
        <w:keepLines w:val="0"/>
        <w:pageBreakBefore/>
        <w:widowControl w:val="0"/>
        <w:kinsoku/>
        <w:wordWrap/>
        <w:overflowPunct/>
        <w:topLinePunct w:val="0"/>
        <w:autoSpaceDE/>
        <w:autoSpaceDN/>
        <w:bidi w:val="0"/>
        <w:adjustRightInd/>
        <w:snapToGrid/>
        <w:ind w:right="-92" w:rightChars="-44"/>
        <w:textAlignment w:val="auto"/>
        <w:rPr>
          <w:rFonts w:hint="eastAsia" w:ascii="宋体" w:hAnsi="宋体" w:eastAsia="宋体" w:cs="宋体"/>
          <w:b w:val="0"/>
          <w:bCs/>
          <w:color w:val="000000"/>
          <w:sz w:val="32"/>
          <w:szCs w:val="32"/>
          <w:highlight w:val="none"/>
        </w:rPr>
      </w:pPr>
      <w:r>
        <w:rPr>
          <w:rFonts w:hint="eastAsia" w:ascii="宋体" w:hAnsi="宋体" w:eastAsia="宋体" w:cs="宋体"/>
          <w:b w:val="0"/>
          <w:bCs/>
          <w:color w:val="000000"/>
          <w:sz w:val="32"/>
          <w:szCs w:val="32"/>
          <w:highlight w:val="none"/>
        </w:rPr>
        <w:t>附件一</w:t>
      </w:r>
    </w:p>
    <w:p w14:paraId="04FFD86B">
      <w:pPr>
        <w:ind w:right="-92" w:rightChars="-44"/>
        <w:jc w:val="center"/>
        <w:rPr>
          <w:rFonts w:hint="eastAsia" w:ascii="宋体" w:hAnsi="宋体" w:eastAsia="宋体" w:cs="宋体"/>
          <w:b w:val="0"/>
          <w:bCs/>
          <w:color w:val="000000"/>
          <w:sz w:val="32"/>
          <w:szCs w:val="32"/>
          <w:highlight w:val="none"/>
        </w:rPr>
      </w:pPr>
      <w:r>
        <w:rPr>
          <w:rFonts w:hint="eastAsia" w:ascii="宋体" w:hAnsi="宋体" w:eastAsia="宋体" w:cs="宋体"/>
          <w:b w:val="0"/>
          <w:bCs/>
          <w:color w:val="000000"/>
          <w:sz w:val="32"/>
          <w:szCs w:val="32"/>
          <w:highlight w:val="none"/>
        </w:rPr>
        <w:t>关于联合惩戒失信行为 加强信用查询管理的通知</w:t>
      </w:r>
    </w:p>
    <w:p w14:paraId="182A4132">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一、失信行为联合惩戒的范围和查询渠道</w:t>
      </w:r>
    </w:p>
    <w:p w14:paraId="6B0E636E">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在我市公共资源交易活动中对存在下列失信行为的投标人、法定代表人及其项目负责人实施联合惩戒，禁止参与我市公共资源交易活动。</w:t>
      </w:r>
    </w:p>
    <w:p w14:paraId="4F529A7F">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（一）工程建设项目</w:t>
      </w:r>
    </w:p>
    <w:p w14:paraId="4A9E3123">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1、“信用中国”网站（www.creditchina.gov.cn）查询以下失信行为：</w:t>
      </w:r>
    </w:p>
    <w:p w14:paraId="091CF6A2">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①投标人被人民法院列入失信被执行人的；</w:t>
      </w:r>
    </w:p>
    <w:p w14:paraId="5546A312">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②投标人被税务部门列入重大税收违法案件当事人的；</w:t>
      </w:r>
    </w:p>
    <w:p w14:paraId="793D8F9B">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③投标人被人力资源社会保障行政部门列入拖欠农民工工资“黑名单”的；</w:t>
      </w:r>
    </w:p>
    <w:p w14:paraId="63871EA3">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④在“信用中国”网站上披露的仍在公示期的严重失信行为的。</w:t>
      </w:r>
    </w:p>
    <w:p w14:paraId="719886C9">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2、国家企业信用信息公示系统网站（www.gsxt.gov.cn）查询以下失信行为：</w:t>
      </w:r>
    </w:p>
    <w:p w14:paraId="178A5CC2">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①被市场监督管理部门列入经营异常名录或者严重违法企业名单的。</w:t>
      </w:r>
    </w:p>
    <w:p w14:paraId="46114500">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3、滁州市公共资源交易中心网（http://ggzy.chuzhou.gov.cn/）查询以下失信行为：</w:t>
      </w:r>
    </w:p>
    <w:p w14:paraId="208C4924">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①被滁州市县两级公管部门取消在一定期限内的投标资格且在取消期限内的；</w:t>
      </w:r>
    </w:p>
    <w:p w14:paraId="661228E9">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②被滁州市县两级公管部门记入不良行为记录或者信用信息记录，且在披露期内的。</w:t>
      </w:r>
    </w:p>
    <w:p w14:paraId="1F011531">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4、由竞争主体进行承诺，不进行现场网上信用查询的失信行为：</w:t>
      </w:r>
    </w:p>
    <w:p w14:paraId="6FF44192">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①近三年列入行贿犯罪档案的单位和个人；</w:t>
      </w:r>
    </w:p>
    <w:p w14:paraId="3E12CCD3">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②被滁州市县两级各行业主管部门取消在一定期限内的投标资格且在取消期限内的；</w:t>
      </w:r>
    </w:p>
    <w:p w14:paraId="758E6970">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③因拖欠农民工工资被县级及以上有关行政主管部门限制投标资格且在限制期限内的。</w:t>
      </w:r>
    </w:p>
    <w:p w14:paraId="3A56DBC1">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（二）政府采购项目</w:t>
      </w:r>
    </w:p>
    <w:p w14:paraId="57C520B9">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1、“信用中国”网站（www.creditchina.gov.cn）查询以下失信行为：</w:t>
      </w:r>
    </w:p>
    <w:p w14:paraId="5BE02F90">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①投标人被人民法院列入失信被执行人的；</w:t>
      </w:r>
    </w:p>
    <w:p w14:paraId="29D3103E">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②投标人被税务部门列入重大税收违法案件当事人的；</w:t>
      </w:r>
    </w:p>
    <w:p w14:paraId="1093890E">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③在“信用中国”网站上披露的仍在公示期的严重失信行为的。</w:t>
      </w:r>
    </w:p>
    <w:p w14:paraId="4BAD208D">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2、国家企业信用信息公示系统网站（www.gsxt.gov.cn）查询以下失信行为：</w:t>
      </w:r>
    </w:p>
    <w:p w14:paraId="4F5312A3">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①被市场监督管理部门列入经营异常名录或者严重违法企业名单的。</w:t>
      </w:r>
    </w:p>
    <w:p w14:paraId="6F8599FB">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3、中国政府采购网站（www.ccgp.gov.cn）查询以下失信行为：</w:t>
      </w:r>
    </w:p>
    <w:p w14:paraId="29B3975A">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①政府采购严重违法失信行为</w:t>
      </w:r>
    </w:p>
    <w:p w14:paraId="4A879839">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4、滁州市公共资源交易中心网（http://ggzy.chuzhou.gov.cn/）查询以下失信行为：</w:t>
      </w:r>
    </w:p>
    <w:p w14:paraId="02A6A29D">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①被滁州市县两级公管部门取消在一定期限内的投标资格且在取消期限内的；</w:t>
      </w:r>
    </w:p>
    <w:p w14:paraId="6F4C39A8">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②被滁州市县两级公管部门记入不良行为记录或者信用信息记录，且在披露期内的。</w:t>
      </w:r>
    </w:p>
    <w:p w14:paraId="510895F0">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5、由竞争主体进行承诺，不进行现场网上信用查询的失信行为：</w:t>
      </w:r>
    </w:p>
    <w:p w14:paraId="0790399A">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①近三年列入行贿犯罪档案的单位和个人；</w:t>
      </w:r>
    </w:p>
    <w:p w14:paraId="57028122">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②被滁州市县两级各行业主管部门取消在一定期限内的投标资格且在取消期限内的。</w:t>
      </w:r>
    </w:p>
    <w:p w14:paraId="4EA04D16">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二、在开评标活动中的查询程序</w:t>
      </w:r>
    </w:p>
    <w:p w14:paraId="1DA1834F">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1、实行有限数量制资格审查的项目，由项目单位（代理机构）对入围的投标人、法定代表人及其项目负责人是否存在上述要求查询的失信行为进行网上核查；若核查结果与投标人承诺不一致，则提交评标委员会取消其入围资格，依次进行替补，并对替补单位进行核查。评审结论以核查后入围的结果重新计算最终评标基准值。</w:t>
      </w:r>
    </w:p>
    <w:p w14:paraId="48CBC690">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2、不实行有限数量制资格审查的项目，由项目单位（代理机构）对评审最终得分排序前3名（含）的预中标候选人、法定代表人及其项目负责人是否存在上述要求查询的失信行为进行网上核查。若核查结果与投标人承诺不一致，则提交评标委员会取消其预中标候选人资格，依次替补，并再次对替补单位进行核查。核查结果不改变原评标基准值。</w:t>
      </w:r>
    </w:p>
    <w:p w14:paraId="28FB5568">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3、项目单位及其委托的代理机构应当做好信用查询结果截图和记录留存。</w:t>
      </w:r>
    </w:p>
    <w:p w14:paraId="150B4C55">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4、交易中心见证人员对预中标候选人信用查询结果进行复查，发现问题及时纠正，并按规定程序追究相关单位和人员责任。</w:t>
      </w:r>
    </w:p>
    <w:p w14:paraId="0CA86EF5">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5、结果公告须提供有评标委员会、代理机构及交易中心现场见证人员查询记录三方签字表方可发布。</w:t>
      </w:r>
    </w:p>
    <w:p w14:paraId="326591EC">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三、相关要求</w:t>
      </w:r>
    </w:p>
    <w:p w14:paraId="1665F992">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1、参与公共资源交易活动的竞争主体根据上述范围查询的内容进行自查或承诺，出具《诚信投标承诺书》（诚信投标承诺书包括但不限于上述自查或承诺内容）并注明承诺日期（投标截止时间前5日内）。</w:t>
      </w:r>
    </w:p>
    <w:p w14:paraId="44C200C6">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4BD6B168">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2、“信用中国”查询的严重失信行为判定依据为各行业主管部门下发的联合惩戒文件中规定的行为（按附件2执行）。</w:t>
      </w:r>
    </w:p>
    <w:p w14:paraId="7B936AE9">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3、资格预审的项目以递交资格预审申请文件截止时间查询为准；资格后审的项目以递交投标文件截止时间查询为准。</w:t>
      </w:r>
    </w:p>
    <w:p w14:paraId="34710FB0">
      <w:pPr>
        <w:ind w:right="-92" w:rightChars="-44"/>
        <w:rPr>
          <w:rFonts w:hint="eastAsia" w:ascii="宋体" w:hAnsi="宋体" w:eastAsia="宋体" w:cs="宋体"/>
          <w:b w:val="0"/>
          <w:bCs/>
          <w:color w:val="000000"/>
          <w:szCs w:val="21"/>
          <w:highlight w:val="none"/>
        </w:rPr>
      </w:pPr>
    </w:p>
    <w:p w14:paraId="1DE4E332">
      <w:pPr>
        <w:ind w:right="-92" w:rightChars="-44"/>
        <w:rPr>
          <w:rFonts w:hint="eastAsia" w:ascii="宋体" w:hAnsi="宋体" w:eastAsia="宋体" w:cs="宋体"/>
          <w:b w:val="0"/>
          <w:bCs/>
          <w:color w:val="000000"/>
          <w:szCs w:val="21"/>
          <w:highlight w:val="none"/>
        </w:rPr>
      </w:pPr>
    </w:p>
    <w:p w14:paraId="5428EC7F">
      <w:pPr>
        <w:ind w:right="-92" w:rightChars="-44"/>
        <w:rPr>
          <w:rFonts w:hint="eastAsia" w:ascii="宋体" w:hAnsi="宋体" w:eastAsia="宋体" w:cs="宋体"/>
          <w:b w:val="0"/>
          <w:bCs/>
          <w:color w:val="000000"/>
          <w:sz w:val="32"/>
          <w:szCs w:val="32"/>
          <w:highlight w:val="none"/>
        </w:rPr>
      </w:pPr>
    </w:p>
    <w:p w14:paraId="70261372">
      <w:pPr>
        <w:ind w:right="-92" w:rightChars="-44"/>
        <w:rPr>
          <w:rFonts w:hint="eastAsia" w:ascii="宋体" w:hAnsi="宋体" w:eastAsia="宋体" w:cs="宋体"/>
          <w:b w:val="0"/>
          <w:bCs/>
          <w:color w:val="000000"/>
          <w:sz w:val="32"/>
          <w:szCs w:val="32"/>
          <w:highlight w:val="none"/>
        </w:rPr>
      </w:pPr>
      <w:r>
        <w:rPr>
          <w:rFonts w:hint="eastAsia" w:ascii="宋体" w:hAnsi="宋体" w:eastAsia="宋体" w:cs="宋体"/>
          <w:b w:val="0"/>
          <w:bCs/>
          <w:color w:val="000000"/>
          <w:sz w:val="32"/>
          <w:szCs w:val="32"/>
          <w:highlight w:val="none"/>
        </w:rPr>
        <w:t>附件二</w:t>
      </w:r>
    </w:p>
    <w:p w14:paraId="265617FC">
      <w:pPr>
        <w:ind w:right="-92" w:rightChars="-44"/>
        <w:jc w:val="center"/>
        <w:rPr>
          <w:rFonts w:hint="eastAsia" w:ascii="宋体" w:hAnsi="宋体" w:eastAsia="宋体" w:cs="宋体"/>
          <w:b w:val="0"/>
          <w:bCs/>
          <w:color w:val="000000"/>
          <w:sz w:val="32"/>
          <w:szCs w:val="32"/>
          <w:highlight w:val="none"/>
        </w:rPr>
      </w:pPr>
      <w:r>
        <w:rPr>
          <w:rFonts w:hint="eastAsia" w:ascii="宋体" w:hAnsi="宋体" w:eastAsia="宋体" w:cs="宋体"/>
          <w:b w:val="0"/>
          <w:bCs/>
          <w:color w:val="000000"/>
          <w:sz w:val="32"/>
          <w:szCs w:val="32"/>
          <w:highlight w:val="none"/>
        </w:rPr>
        <w:t>“信用中国”查询的严重失信行为类别及判定依据</w:t>
      </w:r>
    </w:p>
    <w:p w14:paraId="72F6BDB7">
      <w:pPr>
        <w:ind w:right="-92" w:rightChars="-44"/>
        <w:jc w:val="center"/>
        <w:rPr>
          <w:rFonts w:hint="eastAsia" w:ascii="宋体" w:hAnsi="宋体" w:eastAsia="宋体" w:cs="宋体"/>
          <w:b w:val="0"/>
          <w:bCs/>
          <w:color w:val="000000"/>
          <w:szCs w:val="21"/>
          <w:highlight w:val="none"/>
        </w:rPr>
      </w:pPr>
    </w:p>
    <w:p w14:paraId="406BE362">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“信用中国”查询的严重失信行为判定依据为各行业主管部门下发的联合惩戒文件中规定的行为。下面将部分类别的严重失信行为列举如下：</w:t>
      </w:r>
    </w:p>
    <w:p w14:paraId="6BE760F4">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一、安全生产领域严重失信行为：</w:t>
      </w:r>
    </w:p>
    <w:p w14:paraId="3CBA3420">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（一）发生较大及以上生产安全责任事故，或1年内累计发生3起及以上造成人员死亡的一般生产安全责任事故的；</w:t>
      </w:r>
    </w:p>
    <w:p w14:paraId="2F263511">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（二）未按规定取得安全生产许可，擅自开展生产经营建设活动的；</w:t>
      </w:r>
    </w:p>
    <w:p w14:paraId="009BE97A">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（三）发现重大生产安全事故隐患，或职业病危害严重超标，不及时整改，仍组织从业人员冒险作业的；</w:t>
      </w:r>
    </w:p>
    <w:p w14:paraId="7901B7B8">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（四）采取隐蔽、欺骗或阻碍等方式逃避、对抗安全监管监察的;</w:t>
      </w:r>
    </w:p>
    <w:p w14:paraId="42DF9104">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（五）被责令停产停业整顿，仍然从事生产经营建设活动的；</w:t>
      </w:r>
    </w:p>
    <w:p w14:paraId="498C5F16">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（六）瞒报、谎报、迟报生产安全事故的；</w:t>
      </w:r>
    </w:p>
    <w:p w14:paraId="66CFFE31">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（七）矿山、危险化学品、金属冶炼等高危行业建设项目安全设施未经验收合格即投入生产和使用的；</w:t>
      </w:r>
    </w:p>
    <w:p w14:paraId="3DC5432E">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（八）矿山生产经营单位存在超层越界开采、以探代采行为的；</w:t>
      </w:r>
    </w:p>
    <w:p w14:paraId="31D35EF7">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（九）发生事故后，故意破坏事故现场，伪造有关证据资料，妨碍、对抗事故调查，或主要负责人逃逸的；</w:t>
      </w:r>
    </w:p>
    <w:p w14:paraId="3272C301">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（十）安全生产和职业健康技术服务机构出具虚假报告或证明，违规转让或出借资质的。</w:t>
      </w:r>
    </w:p>
    <w:p w14:paraId="0300C6FC">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依据：《对安全生产领域失信行为开展联合惩戒的实施办法》（安监总办〔2017〕49号）第二条</w:t>
      </w:r>
    </w:p>
    <w:p w14:paraId="3161D814">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二、环境保护领域严重失信行为：</w:t>
      </w:r>
    </w:p>
    <w:p w14:paraId="68029B43">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（一）因为环境违法构成</w:t>
      </w:r>
      <w:r>
        <w:rPr>
          <w:rFonts w:hint="eastAsia" w:ascii="宋体" w:hAnsi="宋体" w:eastAsia="宋体" w:cs="宋体"/>
          <w:b w:val="0"/>
          <w:bCs/>
          <w:color w:val="000000"/>
          <w:sz w:val="24"/>
          <w:highlight w:val="none"/>
        </w:rPr>
        <w:fldChar w:fldCharType="begin"/>
      </w:r>
      <w:r>
        <w:rPr>
          <w:rFonts w:hint="eastAsia" w:ascii="宋体" w:hAnsi="宋体" w:eastAsia="宋体" w:cs="宋体"/>
          <w:b w:val="0"/>
          <w:bCs/>
          <w:color w:val="000000"/>
          <w:sz w:val="24"/>
          <w:highlight w:val="none"/>
        </w:rPr>
        <w:instrText xml:space="preserve"> HYPERLINK "https://baike.sogou.com/m/fullLemma?lid=10403954&amp;g_ut=3" \t "https://baike.sogou.com/m/_blank" </w:instrText>
      </w:r>
      <w:r>
        <w:rPr>
          <w:rFonts w:hint="eastAsia" w:ascii="宋体" w:hAnsi="宋体" w:eastAsia="宋体" w:cs="宋体"/>
          <w:b w:val="0"/>
          <w:bCs/>
          <w:color w:val="000000"/>
          <w:sz w:val="24"/>
          <w:highlight w:val="none"/>
        </w:rPr>
        <w:fldChar w:fldCharType="separate"/>
      </w:r>
      <w:r>
        <w:rPr>
          <w:rFonts w:hint="eastAsia" w:ascii="宋体" w:hAnsi="宋体" w:eastAsia="宋体" w:cs="宋体"/>
          <w:b w:val="0"/>
          <w:bCs/>
          <w:color w:val="000000"/>
          <w:sz w:val="24"/>
          <w:highlight w:val="none"/>
        </w:rPr>
        <w:t>环境犯罪</w:t>
      </w:r>
      <w:r>
        <w:rPr>
          <w:rFonts w:hint="eastAsia" w:ascii="宋体" w:hAnsi="宋体" w:eastAsia="宋体" w:cs="宋体"/>
          <w:b w:val="0"/>
          <w:bCs/>
          <w:color w:val="000000"/>
          <w:sz w:val="24"/>
          <w:highlight w:val="none"/>
        </w:rPr>
        <w:fldChar w:fldCharType="end"/>
      </w:r>
      <w:r>
        <w:rPr>
          <w:rFonts w:hint="eastAsia" w:ascii="宋体" w:hAnsi="宋体" w:eastAsia="宋体" w:cs="宋体"/>
          <w:b w:val="0"/>
          <w:bCs/>
          <w:color w:val="000000"/>
          <w:sz w:val="24"/>
          <w:highlight w:val="none"/>
        </w:rPr>
        <w:t>的；</w:t>
      </w:r>
    </w:p>
    <w:p w14:paraId="71A7D433">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（二）</w:t>
      </w:r>
      <w:r>
        <w:rPr>
          <w:rFonts w:hint="eastAsia" w:ascii="宋体" w:hAnsi="宋体" w:eastAsia="宋体" w:cs="宋体"/>
          <w:b w:val="0"/>
          <w:bCs/>
          <w:color w:val="000000"/>
          <w:sz w:val="24"/>
          <w:highlight w:val="none"/>
        </w:rPr>
        <w:fldChar w:fldCharType="begin"/>
      </w:r>
      <w:r>
        <w:rPr>
          <w:rFonts w:hint="eastAsia" w:ascii="宋体" w:hAnsi="宋体" w:eastAsia="宋体" w:cs="宋体"/>
          <w:b w:val="0"/>
          <w:bCs/>
          <w:color w:val="000000"/>
          <w:sz w:val="24"/>
          <w:highlight w:val="none"/>
        </w:rPr>
        <w:instrText xml:space="preserve"> HYPERLINK "https://baike.sogou.com/m/fullLemma?lid=76033123&amp;g_ut=3" \t "https://baike.sogou.com/m/_blank" </w:instrText>
      </w:r>
      <w:r>
        <w:rPr>
          <w:rFonts w:hint="eastAsia" w:ascii="宋体" w:hAnsi="宋体" w:eastAsia="宋体" w:cs="宋体"/>
          <w:b w:val="0"/>
          <w:bCs/>
          <w:color w:val="000000"/>
          <w:sz w:val="24"/>
          <w:highlight w:val="none"/>
        </w:rPr>
        <w:fldChar w:fldCharType="separate"/>
      </w:r>
      <w:r>
        <w:rPr>
          <w:rFonts w:hint="eastAsia" w:ascii="宋体" w:hAnsi="宋体" w:eastAsia="宋体" w:cs="宋体"/>
          <w:b w:val="0"/>
          <w:bCs/>
          <w:color w:val="000000"/>
          <w:sz w:val="24"/>
          <w:highlight w:val="none"/>
        </w:rPr>
        <w:t>建设项目环境影响评价</w:t>
      </w:r>
      <w:r>
        <w:rPr>
          <w:rFonts w:hint="eastAsia" w:ascii="宋体" w:hAnsi="宋体" w:eastAsia="宋体" w:cs="宋体"/>
          <w:b w:val="0"/>
          <w:bCs/>
          <w:color w:val="000000"/>
          <w:sz w:val="24"/>
          <w:highlight w:val="none"/>
        </w:rPr>
        <w:fldChar w:fldCharType="end"/>
      </w:r>
      <w:r>
        <w:rPr>
          <w:rFonts w:hint="eastAsia" w:ascii="宋体" w:hAnsi="宋体" w:eastAsia="宋体" w:cs="宋体"/>
          <w:b w:val="0"/>
          <w:bCs/>
          <w:color w:val="000000"/>
          <w:sz w:val="24"/>
          <w:highlight w:val="none"/>
        </w:rPr>
        <w:t>文件未按规定通过审批，擅自开工建设的；</w:t>
      </w:r>
    </w:p>
    <w:p w14:paraId="6444DF82">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（三）建设项目环保设施未建成、环保措施未落实、未通过</w:t>
      </w:r>
      <w:r>
        <w:rPr>
          <w:rFonts w:hint="eastAsia" w:ascii="宋体" w:hAnsi="宋体" w:eastAsia="宋体" w:cs="宋体"/>
          <w:b w:val="0"/>
          <w:bCs/>
          <w:color w:val="000000"/>
          <w:sz w:val="24"/>
          <w:highlight w:val="none"/>
        </w:rPr>
        <w:fldChar w:fldCharType="begin"/>
      </w:r>
      <w:r>
        <w:rPr>
          <w:rFonts w:hint="eastAsia" w:ascii="宋体" w:hAnsi="宋体" w:eastAsia="宋体" w:cs="宋体"/>
          <w:b w:val="0"/>
          <w:bCs/>
          <w:color w:val="000000"/>
          <w:sz w:val="24"/>
          <w:highlight w:val="none"/>
        </w:rPr>
        <w:instrText xml:space="preserve"> HYPERLINK "https://baike.sogou.com/m/fullLemma?lid=6470550&amp;g_ut=3" \t "https://baike.sogou.com/m/_blank" </w:instrText>
      </w:r>
      <w:r>
        <w:rPr>
          <w:rFonts w:hint="eastAsia" w:ascii="宋体" w:hAnsi="宋体" w:eastAsia="宋体" w:cs="宋体"/>
          <w:b w:val="0"/>
          <w:bCs/>
          <w:color w:val="000000"/>
          <w:sz w:val="24"/>
          <w:highlight w:val="none"/>
        </w:rPr>
        <w:fldChar w:fldCharType="separate"/>
      </w:r>
      <w:r>
        <w:rPr>
          <w:rFonts w:hint="eastAsia" w:ascii="宋体" w:hAnsi="宋体" w:eastAsia="宋体" w:cs="宋体"/>
          <w:b w:val="0"/>
          <w:bCs/>
          <w:color w:val="000000"/>
          <w:sz w:val="24"/>
          <w:highlight w:val="none"/>
        </w:rPr>
        <w:t>竣工环保验收</w:t>
      </w:r>
      <w:r>
        <w:rPr>
          <w:rFonts w:hint="eastAsia" w:ascii="宋体" w:hAnsi="宋体" w:eastAsia="宋体" w:cs="宋体"/>
          <w:b w:val="0"/>
          <w:bCs/>
          <w:color w:val="000000"/>
          <w:sz w:val="24"/>
          <w:highlight w:val="none"/>
        </w:rPr>
        <w:fldChar w:fldCharType="end"/>
      </w:r>
      <w:r>
        <w:rPr>
          <w:rFonts w:hint="eastAsia" w:ascii="宋体" w:hAnsi="宋体" w:eastAsia="宋体" w:cs="宋体"/>
          <w:b w:val="0"/>
          <w:bCs/>
          <w:color w:val="000000"/>
          <w:sz w:val="24"/>
          <w:highlight w:val="none"/>
        </w:rPr>
        <w:t>或者验收不合格，主体工程正式投入生产或者使用的；</w:t>
      </w:r>
    </w:p>
    <w:p w14:paraId="63323429">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（四）建设项目性质、规模、地点、采用的生产工艺或者防治污染、防止生态破坏的措施发生重大变动，未重新报批环境影响评价文件，擅自投入生产或者使用的；</w:t>
      </w:r>
    </w:p>
    <w:p w14:paraId="2F240172">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（五）主要污染物排放总量超过控制指标的；</w:t>
      </w:r>
    </w:p>
    <w:p w14:paraId="1E4A90D2">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（六）私设暗管或者利用</w:t>
      </w:r>
      <w:r>
        <w:rPr>
          <w:rFonts w:hint="eastAsia" w:ascii="宋体" w:hAnsi="宋体" w:eastAsia="宋体" w:cs="宋体"/>
          <w:b w:val="0"/>
          <w:bCs/>
          <w:color w:val="000000"/>
          <w:sz w:val="24"/>
          <w:highlight w:val="none"/>
        </w:rPr>
        <w:fldChar w:fldCharType="begin"/>
      </w:r>
      <w:r>
        <w:rPr>
          <w:rFonts w:hint="eastAsia" w:ascii="宋体" w:hAnsi="宋体" w:eastAsia="宋体" w:cs="宋体"/>
          <w:b w:val="0"/>
          <w:bCs/>
          <w:color w:val="000000"/>
          <w:sz w:val="24"/>
          <w:highlight w:val="none"/>
        </w:rPr>
        <w:instrText xml:space="preserve"> HYPERLINK "https://baike.sogou.com/m/fullLemma?lid=41657319&amp;g_ut=3" \t "https://baike.sogou.com/m/_blank" </w:instrText>
      </w:r>
      <w:r>
        <w:rPr>
          <w:rFonts w:hint="eastAsia" w:ascii="宋体" w:hAnsi="宋体" w:eastAsia="宋体" w:cs="宋体"/>
          <w:b w:val="0"/>
          <w:bCs/>
          <w:color w:val="000000"/>
          <w:sz w:val="24"/>
          <w:highlight w:val="none"/>
        </w:rPr>
        <w:fldChar w:fldCharType="separate"/>
      </w:r>
      <w:r>
        <w:rPr>
          <w:rFonts w:hint="eastAsia" w:ascii="宋体" w:hAnsi="宋体" w:eastAsia="宋体" w:cs="宋体"/>
          <w:b w:val="0"/>
          <w:bCs/>
          <w:color w:val="000000"/>
          <w:sz w:val="24"/>
          <w:highlight w:val="none"/>
        </w:rPr>
        <w:t>渗井</w:t>
      </w:r>
      <w:r>
        <w:rPr>
          <w:rFonts w:hint="eastAsia" w:ascii="宋体" w:hAnsi="宋体" w:eastAsia="宋体" w:cs="宋体"/>
          <w:b w:val="0"/>
          <w:bCs/>
          <w:color w:val="000000"/>
          <w:sz w:val="24"/>
          <w:highlight w:val="none"/>
        </w:rPr>
        <w:fldChar w:fldCharType="end"/>
      </w:r>
      <w:r>
        <w:rPr>
          <w:rFonts w:hint="eastAsia" w:ascii="宋体" w:hAnsi="宋体" w:eastAsia="宋体" w:cs="宋体"/>
          <w:b w:val="0"/>
          <w:bCs/>
          <w:color w:val="000000"/>
          <w:sz w:val="24"/>
          <w:highlight w:val="none"/>
        </w:rPr>
        <w:t>、渗坑、裂隙、溶洞等排放、倾倒、处置水污染物，或者通过私设旁路排放</w:t>
      </w:r>
      <w:r>
        <w:rPr>
          <w:rFonts w:hint="eastAsia" w:ascii="宋体" w:hAnsi="宋体" w:eastAsia="宋体" w:cs="宋体"/>
          <w:b w:val="0"/>
          <w:bCs/>
          <w:color w:val="000000"/>
          <w:sz w:val="24"/>
          <w:highlight w:val="none"/>
        </w:rPr>
        <w:fldChar w:fldCharType="begin"/>
      </w:r>
      <w:r>
        <w:rPr>
          <w:rFonts w:hint="eastAsia" w:ascii="宋体" w:hAnsi="宋体" w:eastAsia="宋体" w:cs="宋体"/>
          <w:b w:val="0"/>
          <w:bCs/>
          <w:color w:val="000000"/>
          <w:sz w:val="24"/>
          <w:highlight w:val="none"/>
        </w:rPr>
        <w:instrText xml:space="preserve"> HYPERLINK "https://baike.sogou.com/m/fullLemma?lid=7758328&amp;g_ut=3" \t "https://baike.sogou.com/m/_blank" </w:instrText>
      </w:r>
      <w:r>
        <w:rPr>
          <w:rFonts w:hint="eastAsia" w:ascii="宋体" w:hAnsi="宋体" w:eastAsia="宋体" w:cs="宋体"/>
          <w:b w:val="0"/>
          <w:bCs/>
          <w:color w:val="000000"/>
          <w:sz w:val="24"/>
          <w:highlight w:val="none"/>
        </w:rPr>
        <w:fldChar w:fldCharType="separate"/>
      </w:r>
      <w:r>
        <w:rPr>
          <w:rFonts w:hint="eastAsia" w:ascii="宋体" w:hAnsi="宋体" w:eastAsia="宋体" w:cs="宋体"/>
          <w:b w:val="0"/>
          <w:bCs/>
          <w:color w:val="000000"/>
          <w:sz w:val="24"/>
          <w:highlight w:val="none"/>
        </w:rPr>
        <w:t>大气污染物</w:t>
      </w:r>
      <w:r>
        <w:rPr>
          <w:rFonts w:hint="eastAsia" w:ascii="宋体" w:hAnsi="宋体" w:eastAsia="宋体" w:cs="宋体"/>
          <w:b w:val="0"/>
          <w:bCs/>
          <w:color w:val="000000"/>
          <w:sz w:val="24"/>
          <w:highlight w:val="none"/>
        </w:rPr>
        <w:fldChar w:fldCharType="end"/>
      </w:r>
      <w:r>
        <w:rPr>
          <w:rFonts w:hint="eastAsia" w:ascii="宋体" w:hAnsi="宋体" w:eastAsia="宋体" w:cs="宋体"/>
          <w:b w:val="0"/>
          <w:bCs/>
          <w:color w:val="000000"/>
          <w:sz w:val="24"/>
          <w:highlight w:val="none"/>
        </w:rPr>
        <w:t>的；</w:t>
      </w:r>
    </w:p>
    <w:p w14:paraId="1B7D3772">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（七）非法排放、倾倒、处置危险废物，或者向无</w:t>
      </w:r>
      <w:r>
        <w:rPr>
          <w:rFonts w:hint="eastAsia" w:ascii="宋体" w:hAnsi="宋体" w:eastAsia="宋体" w:cs="宋体"/>
          <w:b w:val="0"/>
          <w:bCs/>
          <w:color w:val="000000"/>
          <w:sz w:val="24"/>
          <w:highlight w:val="none"/>
        </w:rPr>
        <w:fldChar w:fldCharType="begin"/>
      </w:r>
      <w:r>
        <w:rPr>
          <w:rFonts w:hint="eastAsia" w:ascii="宋体" w:hAnsi="宋体" w:eastAsia="宋体" w:cs="宋体"/>
          <w:b w:val="0"/>
          <w:bCs/>
          <w:color w:val="000000"/>
          <w:sz w:val="24"/>
          <w:highlight w:val="none"/>
        </w:rPr>
        <w:instrText xml:space="preserve"> HYPERLINK "https://baike.sogou.com/m/fullLemma?lid=5923292&amp;g_ut=3" \t "https://baike.sogou.com/m/_blank" </w:instrText>
      </w:r>
      <w:r>
        <w:rPr>
          <w:rFonts w:hint="eastAsia" w:ascii="宋体" w:hAnsi="宋体" w:eastAsia="宋体" w:cs="宋体"/>
          <w:b w:val="0"/>
          <w:bCs/>
          <w:color w:val="000000"/>
          <w:sz w:val="24"/>
          <w:highlight w:val="none"/>
        </w:rPr>
        <w:fldChar w:fldCharType="separate"/>
      </w:r>
      <w:r>
        <w:rPr>
          <w:rFonts w:hint="eastAsia" w:ascii="宋体" w:hAnsi="宋体" w:eastAsia="宋体" w:cs="宋体"/>
          <w:b w:val="0"/>
          <w:bCs/>
          <w:color w:val="000000"/>
          <w:sz w:val="24"/>
          <w:highlight w:val="none"/>
        </w:rPr>
        <w:t>经营许可证</w:t>
      </w:r>
      <w:r>
        <w:rPr>
          <w:rFonts w:hint="eastAsia" w:ascii="宋体" w:hAnsi="宋体" w:eastAsia="宋体" w:cs="宋体"/>
          <w:b w:val="0"/>
          <w:bCs/>
          <w:color w:val="000000"/>
          <w:sz w:val="24"/>
          <w:highlight w:val="none"/>
        </w:rPr>
        <w:fldChar w:fldCharType="end"/>
      </w:r>
      <w:r>
        <w:rPr>
          <w:rFonts w:hint="eastAsia" w:ascii="宋体" w:hAnsi="宋体" w:eastAsia="宋体" w:cs="宋体"/>
          <w:b w:val="0"/>
          <w:bCs/>
          <w:color w:val="000000"/>
          <w:sz w:val="24"/>
          <w:highlight w:val="none"/>
        </w:rPr>
        <w:t>或者超出经营许可范围的单位或个人提供或者委托其收集、贮存、利用、处置危险废物的；</w:t>
      </w:r>
    </w:p>
    <w:p w14:paraId="3EC069EA">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（八）</w:t>
      </w:r>
      <w:r>
        <w:rPr>
          <w:rFonts w:hint="eastAsia" w:ascii="宋体" w:hAnsi="宋体" w:eastAsia="宋体" w:cs="宋体"/>
          <w:b w:val="0"/>
          <w:bCs/>
          <w:color w:val="000000"/>
          <w:sz w:val="24"/>
          <w:highlight w:val="none"/>
        </w:rPr>
        <w:fldChar w:fldCharType="begin"/>
      </w:r>
      <w:r>
        <w:rPr>
          <w:rFonts w:hint="eastAsia" w:ascii="宋体" w:hAnsi="宋体" w:eastAsia="宋体" w:cs="宋体"/>
          <w:b w:val="0"/>
          <w:bCs/>
          <w:color w:val="000000"/>
          <w:sz w:val="24"/>
          <w:highlight w:val="none"/>
        </w:rPr>
        <w:instrText xml:space="preserve"> HYPERLINK "https://baike.sogou.com/m/fullLemma?lid=167759803&amp;g_ut=3" \t "https://baike.sogou.com/m/_blank" </w:instrText>
      </w:r>
      <w:r>
        <w:rPr>
          <w:rFonts w:hint="eastAsia" w:ascii="宋体" w:hAnsi="宋体" w:eastAsia="宋体" w:cs="宋体"/>
          <w:b w:val="0"/>
          <w:bCs/>
          <w:color w:val="000000"/>
          <w:sz w:val="24"/>
          <w:highlight w:val="none"/>
        </w:rPr>
        <w:fldChar w:fldCharType="separate"/>
      </w:r>
      <w:r>
        <w:rPr>
          <w:rFonts w:hint="eastAsia" w:ascii="宋体" w:hAnsi="宋体" w:eastAsia="宋体" w:cs="宋体"/>
          <w:b w:val="0"/>
          <w:bCs/>
          <w:color w:val="000000"/>
          <w:sz w:val="24"/>
          <w:highlight w:val="none"/>
        </w:rPr>
        <w:t>环境违法行为</w:t>
      </w:r>
      <w:r>
        <w:rPr>
          <w:rFonts w:hint="eastAsia" w:ascii="宋体" w:hAnsi="宋体" w:eastAsia="宋体" w:cs="宋体"/>
          <w:b w:val="0"/>
          <w:bCs/>
          <w:color w:val="000000"/>
          <w:sz w:val="24"/>
          <w:highlight w:val="none"/>
        </w:rPr>
        <w:fldChar w:fldCharType="end"/>
      </w:r>
      <w:r>
        <w:rPr>
          <w:rFonts w:hint="eastAsia" w:ascii="宋体" w:hAnsi="宋体" w:eastAsia="宋体" w:cs="宋体"/>
          <w:b w:val="0"/>
          <w:bCs/>
          <w:color w:val="000000"/>
          <w:sz w:val="24"/>
          <w:highlight w:val="none"/>
        </w:rPr>
        <w:t>造成集中式生活饮用水水源取水中断的；</w:t>
      </w:r>
    </w:p>
    <w:p w14:paraId="7673F7D6">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（九）环境违法行为对生活饮用水水源保护区、自然保护区、</w:t>
      </w:r>
      <w:r>
        <w:rPr>
          <w:rFonts w:hint="eastAsia" w:ascii="宋体" w:hAnsi="宋体" w:eastAsia="宋体" w:cs="宋体"/>
          <w:b w:val="0"/>
          <w:bCs/>
          <w:color w:val="000000"/>
          <w:sz w:val="24"/>
          <w:highlight w:val="none"/>
        </w:rPr>
        <w:fldChar w:fldCharType="begin"/>
      </w:r>
      <w:r>
        <w:rPr>
          <w:rFonts w:hint="eastAsia" w:ascii="宋体" w:hAnsi="宋体" w:eastAsia="宋体" w:cs="宋体"/>
          <w:b w:val="0"/>
          <w:bCs/>
          <w:color w:val="000000"/>
          <w:sz w:val="24"/>
          <w:highlight w:val="none"/>
        </w:rPr>
        <w:instrText xml:space="preserve"> HYPERLINK "https://baike.sogou.com/m/fullLemma?lid=155199213&amp;g_ut=3" \t "https://baike.sogou.com/m/_blank" </w:instrText>
      </w:r>
      <w:r>
        <w:rPr>
          <w:rFonts w:hint="eastAsia" w:ascii="宋体" w:hAnsi="宋体" w:eastAsia="宋体" w:cs="宋体"/>
          <w:b w:val="0"/>
          <w:bCs/>
          <w:color w:val="000000"/>
          <w:sz w:val="24"/>
          <w:highlight w:val="none"/>
        </w:rPr>
        <w:fldChar w:fldCharType="separate"/>
      </w:r>
      <w:r>
        <w:rPr>
          <w:rFonts w:hint="eastAsia" w:ascii="宋体" w:hAnsi="宋体" w:eastAsia="宋体" w:cs="宋体"/>
          <w:b w:val="0"/>
          <w:bCs/>
          <w:color w:val="000000"/>
          <w:sz w:val="24"/>
          <w:highlight w:val="none"/>
        </w:rPr>
        <w:t>国家重点生态功能区</w:t>
      </w:r>
      <w:r>
        <w:rPr>
          <w:rFonts w:hint="eastAsia" w:ascii="宋体" w:hAnsi="宋体" w:eastAsia="宋体" w:cs="宋体"/>
          <w:b w:val="0"/>
          <w:bCs/>
          <w:color w:val="000000"/>
          <w:sz w:val="24"/>
          <w:highlight w:val="none"/>
        </w:rPr>
        <w:fldChar w:fldCharType="end"/>
      </w:r>
      <w:r>
        <w:rPr>
          <w:rFonts w:hint="eastAsia" w:ascii="宋体" w:hAnsi="宋体" w:eastAsia="宋体" w:cs="宋体"/>
          <w:b w:val="0"/>
          <w:bCs/>
          <w:color w:val="000000"/>
          <w:sz w:val="24"/>
          <w:highlight w:val="none"/>
        </w:rPr>
        <w:t>、风景名胜区、居住功能区、</w:t>
      </w:r>
      <w:r>
        <w:rPr>
          <w:rFonts w:hint="eastAsia" w:ascii="宋体" w:hAnsi="宋体" w:eastAsia="宋体" w:cs="宋体"/>
          <w:b w:val="0"/>
          <w:bCs/>
          <w:color w:val="000000"/>
          <w:sz w:val="24"/>
          <w:highlight w:val="none"/>
        </w:rPr>
        <w:fldChar w:fldCharType="begin"/>
      </w:r>
      <w:r>
        <w:rPr>
          <w:rFonts w:hint="eastAsia" w:ascii="宋体" w:hAnsi="宋体" w:eastAsia="宋体" w:cs="宋体"/>
          <w:b w:val="0"/>
          <w:bCs/>
          <w:color w:val="000000"/>
          <w:sz w:val="24"/>
          <w:highlight w:val="none"/>
        </w:rPr>
        <w:instrText xml:space="preserve"> HYPERLINK "https://baike.sogou.com/m/fullLemma?lid=7757164&amp;g_ut=3" \t "https://baike.sogou.com/m/_blank" </w:instrText>
      </w:r>
      <w:r>
        <w:rPr>
          <w:rFonts w:hint="eastAsia" w:ascii="宋体" w:hAnsi="宋体" w:eastAsia="宋体" w:cs="宋体"/>
          <w:b w:val="0"/>
          <w:bCs/>
          <w:color w:val="000000"/>
          <w:sz w:val="24"/>
          <w:highlight w:val="none"/>
        </w:rPr>
        <w:fldChar w:fldCharType="separate"/>
      </w:r>
      <w:r>
        <w:rPr>
          <w:rFonts w:hint="eastAsia" w:ascii="宋体" w:hAnsi="宋体" w:eastAsia="宋体" w:cs="宋体"/>
          <w:b w:val="0"/>
          <w:bCs/>
          <w:color w:val="000000"/>
          <w:sz w:val="24"/>
          <w:highlight w:val="none"/>
        </w:rPr>
        <w:t>基本农田保护区</w:t>
      </w:r>
      <w:r>
        <w:rPr>
          <w:rFonts w:hint="eastAsia" w:ascii="宋体" w:hAnsi="宋体" w:eastAsia="宋体" w:cs="宋体"/>
          <w:b w:val="0"/>
          <w:bCs/>
          <w:color w:val="000000"/>
          <w:sz w:val="24"/>
          <w:highlight w:val="none"/>
        </w:rPr>
        <w:fldChar w:fldCharType="end"/>
      </w:r>
      <w:r>
        <w:rPr>
          <w:rFonts w:hint="eastAsia" w:ascii="宋体" w:hAnsi="宋体" w:eastAsia="宋体" w:cs="宋体"/>
          <w:b w:val="0"/>
          <w:bCs/>
          <w:color w:val="000000"/>
          <w:sz w:val="24"/>
          <w:highlight w:val="none"/>
        </w:rPr>
        <w:t>等环境敏感区造成重大不利影响的；</w:t>
      </w:r>
    </w:p>
    <w:p w14:paraId="767EEB84">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（十）违法从事自然资源开发、交通基础设施建设，以及其他开发建设活动，造成严重生态破坏的；</w:t>
      </w:r>
    </w:p>
    <w:p w14:paraId="1A141565">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（十一）发生较大及以上突发环境事件的；</w:t>
      </w:r>
    </w:p>
    <w:p w14:paraId="1A01E38E">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（十二）被环保部门挂牌督办，整改逾期未完成的；</w:t>
      </w:r>
    </w:p>
    <w:p w14:paraId="75855A5C">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（十三）以暴力、威胁等方式拒绝、阻挠环保部门工作人员现场检查的；</w:t>
      </w:r>
    </w:p>
    <w:p w14:paraId="20315FA5">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（十四）违反重污染天气应急预案有关规定，对重污染天气响应不力的。</w:t>
      </w:r>
    </w:p>
    <w:p w14:paraId="1BFF323E">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依据：《关于对环境保护领域失信生产经营单位及其有关人员开展联合惩戒的合作备忘录》、《企业环境信用评价办法（试行）》（环发〔2013〕150号）</w:t>
      </w:r>
    </w:p>
    <w:p w14:paraId="3D6C2618">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三、公共资源交易领域严重失信行为</w:t>
      </w:r>
    </w:p>
    <w:p w14:paraId="4C770C0E">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（一）违反法律规定，必须进行招标的项目而不招标的，将必须进行招标的项目化整为零或者以其他任何方式规避招标的； </w:t>
      </w:r>
    </w:p>
    <w:p w14:paraId="1E56B3FD">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（二）采购代理机构违反法律规定，泄露应当保密的与招标投标活动有关的情况和资料的，或者与招标人、投标人串通损害 国家利益、社会公共利益或者他人合法权益的；</w:t>
      </w:r>
    </w:p>
    <w:p w14:paraId="43F5D0D5">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 （三）招标人以不合理的条件限制或者排斥潜在投标人的，对潜在投标人实行歧视待遇的，强制要求投标人组成联合体共同 投标的，或者限制投标人之间竞争的；</w:t>
      </w:r>
    </w:p>
    <w:p w14:paraId="4A304BBB">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 （四）依法必须进行招标的项目的招标人向他人透露已获取招标文件的潜在投标人的名称、数量或者可能影响公平竞争的有 关招标投标的其他情况的，或者泄露标底的；</w:t>
      </w:r>
    </w:p>
    <w:p w14:paraId="01F82A09">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 （五）投标人相互串通投标或者与招标人串通投标的，投标人以向招标人或者评标委员会成员行贿的手段谋取中标的； </w:t>
      </w:r>
    </w:p>
    <w:p w14:paraId="244D78BC">
      <w:pPr>
        <w:spacing w:line="440" w:lineRule="exact"/>
        <w:ind w:right="-92" w:rightChars="-44" w:firstLine="763" w:firstLineChars="318"/>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（六）投标人以他人名义投标或者以其他方式弄虚作假，骗取中标的；</w:t>
      </w:r>
    </w:p>
    <w:p w14:paraId="71347435">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 （七）依法必须进行招标的项目，招标人违反法律规定，与投标人就投标价格、投标方案等实质性内容进行谈判的；</w:t>
      </w:r>
    </w:p>
    <w:p w14:paraId="41D04360">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54B05C1A">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（九）招标人在评标委员会依法推荐的中标候选人以外确定中标人的，依法必须进行招标的项目在所有投标被评标委员会否 决后自行确定中标人的； </w:t>
      </w:r>
    </w:p>
    <w:p w14:paraId="43238786">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（十）中标人将中标项目转让给他人的，将中标项目肢解后分别转让给他人的，违反法律规定将中标项目的部分主体、关键 性工作分包给他人的，或者分包人再次分包的； </w:t>
      </w:r>
    </w:p>
    <w:p w14:paraId="5CBAD3DA">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（十一）招标人与中标人不按照招标文件和中标人的投标文件订立合同的，或者招标人、中标人订立背离合同实质性内容的 协议的； </w:t>
      </w:r>
    </w:p>
    <w:p w14:paraId="40475EE7">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（十二）中标人不按照与招标人订立的合同履行义务，情节严重的； </w:t>
      </w:r>
    </w:p>
    <w:p w14:paraId="2CCDD8B3">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7AA849E4">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5FA15561">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 （十五）采购人对应当实行集中采购的政府采购项目，不委托集中采购机构实行集中采购的； </w:t>
      </w:r>
    </w:p>
    <w:p w14:paraId="1E096D3B">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（十六）采购人、采购代理机构违反法律规定隐匿、销毁应当保存的采购文件或者伪造、变造采购文件的； </w:t>
      </w:r>
    </w:p>
    <w:p w14:paraId="59800DEE">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148BA790">
      <w:pPr>
        <w:spacing w:line="440" w:lineRule="exact"/>
        <w:ind w:left="765" w:leftChars="307" w:right="-92" w:rightChars="-44" w:hanging="120" w:hangingChars="50"/>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（十八）疫苗生产企业向县级疾病预防控制机构以外的单位或者个人销售第二类疫苗的； </w:t>
      </w:r>
    </w:p>
    <w:p w14:paraId="733EE914">
      <w:pPr>
        <w:spacing w:line="440" w:lineRule="exact"/>
        <w:ind w:left="765" w:leftChars="307" w:right="-92" w:rightChars="-44" w:hanging="120" w:hangingChars="50"/>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（十九）存在其他违反公共资源交易法律法规行为的。</w:t>
      </w:r>
    </w:p>
    <w:p w14:paraId="409D5913">
      <w:pPr>
        <w:spacing w:line="440" w:lineRule="exact"/>
        <w:ind w:right="-92" w:rightChars="-44" w:firstLine="763" w:firstLineChars="318"/>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依据：《关于对公共资源交易领域严重失信主体开展联合惩戒的备忘录》</w:t>
      </w:r>
    </w:p>
    <w:p w14:paraId="33F19C87">
      <w:pPr>
        <w:spacing w:line="440" w:lineRule="exact"/>
        <w:ind w:right="-92" w:rightChars="-44" w:firstLine="645"/>
        <w:jc w:val="left"/>
        <w:rPr>
          <w:rFonts w:hint="eastAsia" w:ascii="宋体" w:hAnsi="宋体" w:eastAsia="宋体" w:cs="宋体"/>
          <w:b w:val="0"/>
          <w:bCs/>
          <w:color w:val="000000"/>
          <w:sz w:val="24"/>
          <w:highlight w:val="none"/>
        </w:rPr>
      </w:pPr>
    </w:p>
    <w:p w14:paraId="538F51D2">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四、社会保险领域严重失信行为</w:t>
      </w:r>
    </w:p>
    <w:p w14:paraId="1E3B5810">
      <w:pPr>
        <w:spacing w:line="440" w:lineRule="exact"/>
        <w:ind w:left="765" w:leftChars="307" w:right="-92" w:rightChars="-44" w:hanging="120" w:hangingChars="50"/>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（一）用人单位未按相关规定参加社会保险且拒不整改的； </w:t>
      </w:r>
    </w:p>
    <w:p w14:paraId="41554CD4">
      <w:pPr>
        <w:spacing w:line="440" w:lineRule="exact"/>
        <w:ind w:left="765" w:leftChars="307" w:right="-92" w:rightChars="-44" w:hanging="120" w:hangingChars="50"/>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（二）用人单位未如实申报社会保险缴费基数且拒不整改的； </w:t>
      </w:r>
    </w:p>
    <w:p w14:paraId="4FBAA7F5">
      <w:pPr>
        <w:spacing w:line="440" w:lineRule="exact"/>
        <w:ind w:left="765" w:leftChars="307" w:right="-92" w:rightChars="-44" w:hanging="120" w:hangingChars="50"/>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（三）应缴纳社会保险费却拒不缴纳的； </w:t>
      </w:r>
    </w:p>
    <w:p w14:paraId="65649998">
      <w:pPr>
        <w:spacing w:line="440" w:lineRule="exact"/>
        <w:ind w:left="765" w:leftChars="307" w:right="-92" w:rightChars="-44" w:hanging="120" w:hangingChars="50"/>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（四）隐匿、转移、侵占、挪用社会保险费款、基金或者违规 投资运营的；</w:t>
      </w:r>
    </w:p>
    <w:p w14:paraId="79A9B265">
      <w:pPr>
        <w:spacing w:line="440" w:lineRule="exact"/>
        <w:ind w:left="765" w:leftChars="307" w:right="-92" w:rightChars="-44" w:hanging="120" w:hangingChars="50"/>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（五）以欺诈、伪造证明材料或者其他手段参加、申报社会保 险和骗取社会保险基金支出或社会保险待遇的； </w:t>
      </w:r>
    </w:p>
    <w:p w14:paraId="1B680464">
      <w:pPr>
        <w:spacing w:line="440" w:lineRule="exact"/>
        <w:ind w:left="765" w:leftChars="307" w:right="-92" w:rightChars="-44" w:hanging="120" w:hangingChars="50"/>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（六）非法获取、出售或变相交易社会保险个人权益数据的； </w:t>
      </w:r>
    </w:p>
    <w:p w14:paraId="349F1FEB">
      <w:pPr>
        <w:spacing w:line="440" w:lineRule="exact"/>
        <w:ind w:left="765" w:leftChars="307" w:right="-92" w:rightChars="-44" w:hanging="120" w:hangingChars="50"/>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（七）社会保险服务机构违反服务协议或相关规定的； </w:t>
      </w:r>
    </w:p>
    <w:p w14:paraId="006B0795">
      <w:pPr>
        <w:spacing w:line="440" w:lineRule="exact"/>
        <w:ind w:left="765" w:leftChars="307" w:right="-92" w:rightChars="-44" w:hanging="120" w:hangingChars="50"/>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（八）拒绝协助社会保险行政部门、经办机构对事故和问题进 行调查核实的；拒绝接受或协助税务部门对社会保险实施监督检查， 不如实提供与社会保险相关各项资料的； </w:t>
      </w:r>
    </w:p>
    <w:p w14:paraId="38679E5A">
      <w:pPr>
        <w:spacing w:line="440" w:lineRule="exact"/>
        <w:ind w:left="765" w:leftChars="307" w:right="-92" w:rightChars="-44" w:hanging="120" w:hangingChars="50"/>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（九）其他违反法律法规规定的。</w:t>
      </w:r>
    </w:p>
    <w:p w14:paraId="21EDCB72">
      <w:pPr>
        <w:spacing w:line="440" w:lineRule="exact"/>
        <w:ind w:left="1198" w:leftChars="342" w:right="-92" w:rightChars="-44" w:hanging="480" w:hangingChars="200"/>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依据：《关于对社会保险领域严重失信企业及其有关人员实施联合惩戒的合作备忘录》</w:t>
      </w:r>
    </w:p>
    <w:p w14:paraId="75DE744A">
      <w:pPr>
        <w:spacing w:line="440" w:lineRule="exact"/>
        <w:ind w:left="765" w:leftChars="307" w:right="-92" w:rightChars="-44" w:hanging="120" w:hangingChars="50"/>
        <w:jc w:val="left"/>
        <w:rPr>
          <w:rFonts w:hint="eastAsia" w:ascii="宋体" w:hAnsi="宋体" w:eastAsia="宋体" w:cs="宋体"/>
          <w:b w:val="0"/>
          <w:bCs/>
          <w:color w:val="000000"/>
          <w:sz w:val="24"/>
          <w:highlight w:val="none"/>
        </w:rPr>
      </w:pPr>
    </w:p>
    <w:p w14:paraId="57D5E3B1">
      <w:pPr>
        <w:spacing w:line="440" w:lineRule="exact"/>
        <w:ind w:right="-92" w:rightChars="-44"/>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     五、建筑市场领域严重失信行为</w:t>
      </w:r>
    </w:p>
    <w:p w14:paraId="2872C750">
      <w:pPr>
        <w:spacing w:line="440" w:lineRule="exact"/>
        <w:ind w:right="-92" w:rightChars="-44" w:firstLine="480" w:firstLineChars="200"/>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（一）利用虚假材料、以欺骗手段取得企业资质的；</w:t>
      </w:r>
    </w:p>
    <w:p w14:paraId="4955B6F1">
      <w:pPr>
        <w:spacing w:line="440" w:lineRule="exact"/>
        <w:ind w:right="-92" w:rightChars="-44" w:firstLine="480" w:firstLineChars="200"/>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（二）发生转包、出借资质，受到行政处罚的；</w:t>
      </w:r>
    </w:p>
    <w:p w14:paraId="63F840BF">
      <w:pPr>
        <w:spacing w:line="440" w:lineRule="exact"/>
        <w:ind w:right="-92" w:rightChars="-44" w:firstLine="480" w:firstLineChars="200"/>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（三）发生重大及以上工程质量安全事故，或1年内累计发生2次及以上较大工程质量安全事故，或发生性质恶劣、危害性严重、社会影响大的较大工程质量安全事故，受到行政处罚的；</w:t>
      </w:r>
    </w:p>
    <w:p w14:paraId="5F9F3DA3">
      <w:pPr>
        <w:spacing w:line="440" w:lineRule="exact"/>
        <w:ind w:right="-92" w:rightChars="-44" w:firstLine="480" w:firstLineChars="200"/>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（四）经法院判决或仲裁机构裁决，认定为拖欠工程款,且拒不履行生效法律文书确定的义务的。</w:t>
      </w:r>
    </w:p>
    <w:p w14:paraId="6E2A24C0">
      <w:pPr>
        <w:spacing w:line="440" w:lineRule="exact"/>
        <w:ind w:right="-92" w:rightChars="-44" w:firstLine="480" w:firstLineChars="200"/>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各级住房城乡建设主管部门应当参照建筑市场主体“黑名单”，对被人力资源社会保障主管部门列入拖欠农民工工资“黑名单”的建筑市场各方主体加强监管。</w:t>
      </w:r>
    </w:p>
    <w:p w14:paraId="3731CD09">
      <w:pPr>
        <w:spacing w:line="440" w:lineRule="exact"/>
        <w:ind w:right="-92" w:rightChars="-44" w:firstLine="480" w:firstLineChars="200"/>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依据：《建筑市场信用管理暂行办法》</w:t>
      </w:r>
    </w:p>
    <w:p w14:paraId="3DF97FA0">
      <w:pPr>
        <w:spacing w:line="44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六、政府采购严重失信行为</w:t>
      </w:r>
    </w:p>
    <w:p w14:paraId="7DCC4B32">
      <w:pPr>
        <w:spacing w:line="440" w:lineRule="exact"/>
        <w:ind w:right="-92" w:rightChars="-44"/>
        <w:rPr>
          <w:rFonts w:hint="eastAsia" w:ascii="宋体" w:hAnsi="宋体" w:eastAsia="宋体" w:cs="宋体"/>
          <w:b w:val="0"/>
          <w:bCs/>
          <w:color w:val="000000"/>
          <w:sz w:val="24"/>
          <w:highlight w:val="none"/>
        </w:rPr>
      </w:pPr>
    </w:p>
    <w:p w14:paraId="0E35EC81">
      <w:pPr>
        <w:spacing w:line="440" w:lineRule="exact"/>
        <w:ind w:right="-92" w:rightChars="-44" w:firstLine="615"/>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供应商、采购代理机构在三年内受到财政部门作出下列情形之一的行政处罚，列入政府采购严重违法失信行为记录名单。</w:t>
      </w:r>
    </w:p>
    <w:p w14:paraId="3A20FDDF">
      <w:pPr>
        <w:spacing w:line="440" w:lineRule="exact"/>
        <w:ind w:right="-92" w:rightChars="-44" w:firstLine="615"/>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（一）三万元以上罚款；</w:t>
      </w:r>
    </w:p>
    <w:p w14:paraId="24BE2AF8">
      <w:pPr>
        <w:spacing w:line="440" w:lineRule="exact"/>
        <w:ind w:right="-92" w:rightChars="-44" w:firstLine="615"/>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（二）在一至三年内禁止参加政府采购活动（处罚期限届满的除外）；</w:t>
      </w:r>
    </w:p>
    <w:p w14:paraId="50297B7F">
      <w:pPr>
        <w:spacing w:line="440" w:lineRule="exact"/>
        <w:ind w:right="-92" w:rightChars="-44" w:firstLine="615"/>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（三）在一至三年内禁止代理政府采购业务（处罚期限届满的除外）；</w:t>
      </w:r>
    </w:p>
    <w:p w14:paraId="5D101F0C">
      <w:pPr>
        <w:spacing w:line="440" w:lineRule="exact"/>
        <w:ind w:right="-92" w:rightChars="-44" w:firstLine="615"/>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（四）撤销政府采购代理机构资格（仅针对《政府采购法》第78条修改前作出的处罚决定）。</w:t>
      </w:r>
    </w:p>
    <w:p w14:paraId="22AD4C05">
      <w:pPr>
        <w:spacing w:line="440" w:lineRule="exact"/>
        <w:ind w:right="-92" w:rightChars="-44" w:firstLine="480" w:firstLineChars="200"/>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依据：《关于报送政府采购严重违法失信行为信息记录的通知》</w:t>
      </w:r>
    </w:p>
    <w:p w14:paraId="357E4778">
      <w:pPr>
        <w:spacing w:line="440" w:lineRule="exact"/>
        <w:ind w:right="-92" w:rightChars="-44" w:firstLine="615"/>
        <w:rPr>
          <w:rFonts w:hint="eastAsia" w:ascii="宋体" w:hAnsi="宋体" w:eastAsia="宋体" w:cs="宋体"/>
          <w:b w:val="0"/>
          <w:bCs/>
          <w:color w:val="000000"/>
          <w:sz w:val="24"/>
          <w:highlight w:val="none"/>
        </w:rPr>
      </w:pPr>
    </w:p>
    <w:p w14:paraId="2092E792">
      <w:pPr>
        <w:spacing w:line="44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七、水利建设领域严重失信行为</w:t>
      </w:r>
    </w:p>
    <w:p w14:paraId="0C0EC7E1">
      <w:pPr>
        <w:spacing w:line="440" w:lineRule="exact"/>
        <w:ind w:right="-92" w:rightChars="-44" w:firstLine="615"/>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（一）出借、借用资质证书进行投标或承接工程的；</w:t>
      </w:r>
    </w:p>
    <w:p w14:paraId="3477B103">
      <w:pPr>
        <w:spacing w:line="440" w:lineRule="exact"/>
        <w:ind w:right="-92" w:rightChars="-44" w:firstLine="615"/>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（二）围标、串标的；</w:t>
      </w:r>
    </w:p>
    <w:p w14:paraId="3B3E2F05">
      <w:pPr>
        <w:spacing w:line="440" w:lineRule="exact"/>
        <w:ind w:right="-92" w:rightChars="-44" w:firstLine="615"/>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（三）转包或违法分包所承揽工程的；</w:t>
      </w:r>
    </w:p>
    <w:p w14:paraId="48931163">
      <w:pPr>
        <w:spacing w:line="440" w:lineRule="exact"/>
        <w:ind w:right="-92" w:rightChars="-44" w:firstLine="615"/>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（四）有行贿、受贿违法记录的；</w:t>
      </w:r>
    </w:p>
    <w:p w14:paraId="364107C1">
      <w:pPr>
        <w:spacing w:line="440" w:lineRule="exact"/>
        <w:ind w:right="-92" w:rightChars="-44" w:firstLine="615"/>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（五）对重（特）大质量事故、生产安全事故负有直接责任的；</w:t>
      </w:r>
    </w:p>
    <w:p w14:paraId="3537A518">
      <w:pPr>
        <w:spacing w:line="440" w:lineRule="exact"/>
        <w:ind w:right="-92" w:rightChars="-44" w:firstLine="615"/>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（六）公开信息隐瞒真实情况、弄虚作假的。</w:t>
      </w:r>
    </w:p>
    <w:p w14:paraId="758B2D43">
      <w:pPr>
        <w:spacing w:line="440" w:lineRule="exact"/>
        <w:ind w:right="-92" w:rightChars="-44" w:firstLine="615"/>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依据：《水利建设市场主体信用评价管理暂行办法》</w:t>
      </w:r>
    </w:p>
    <w:p w14:paraId="1DA174B3">
      <w:pPr>
        <w:spacing w:line="440" w:lineRule="exact"/>
        <w:ind w:right="-92" w:rightChars="-44" w:firstLine="615"/>
        <w:rPr>
          <w:rFonts w:hint="eastAsia" w:ascii="宋体" w:hAnsi="宋体" w:eastAsia="宋体" w:cs="宋体"/>
          <w:b w:val="0"/>
          <w:bCs/>
          <w:color w:val="000000"/>
          <w:sz w:val="24"/>
          <w:highlight w:val="none"/>
        </w:rPr>
      </w:pPr>
    </w:p>
    <w:p w14:paraId="6A9A5FB4">
      <w:pPr>
        <w:spacing w:line="440" w:lineRule="exact"/>
        <w:ind w:right="-92" w:rightChars="-44" w:firstLine="615"/>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未列出的其他类别严重失信行为，由招标人（代理机构）根据各类别行业主管部门下发的联合惩戒文件进行判断。</w:t>
      </w:r>
    </w:p>
    <w:p w14:paraId="283D6076">
      <w:pPr>
        <w:pStyle w:val="9"/>
        <w:rPr>
          <w:rFonts w:hint="eastAsia" w:ascii="宋体" w:hAnsi="宋体" w:eastAsia="宋体" w:cs="宋体"/>
          <w:b w:val="0"/>
          <w:bCs/>
          <w:color w:val="auto"/>
          <w:sz w:val="24"/>
          <w:highlight w:val="none"/>
        </w:rPr>
      </w:pPr>
    </w:p>
    <w:p w14:paraId="463175D8">
      <w:pPr>
        <w:pStyle w:val="9"/>
        <w:rPr>
          <w:rFonts w:hint="eastAsia" w:ascii="宋体" w:hAnsi="宋体" w:eastAsia="宋体" w:cs="宋体"/>
          <w:b w:val="0"/>
          <w:bCs/>
          <w:highlight w:val="none"/>
        </w:rPr>
      </w:pPr>
    </w:p>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C53C4">
    <w:pPr>
      <w:pStyle w:val="17"/>
      <w:jc w:val="center"/>
      <w:rPr>
        <w:rFonts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3EA20">
    <w:pPr>
      <w:pStyle w:val="1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C59250">
                          <w:pPr>
                            <w:pStyle w:val="17"/>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lang w:val="en-US" w:eastAsia="zh-CN"/>
                            </w:rPr>
                            <w:t>79</w:t>
                          </w:r>
                          <w:r>
                            <w:rPr>
                              <w:rFonts w:hint="eastAsia" w:ascii="宋体" w:hAnsi="宋体" w:eastAsia="宋体" w:cs="宋体"/>
                              <w:sz w:val="21"/>
                              <w:szCs w:val="21"/>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8C59250">
                    <w:pPr>
                      <w:pStyle w:val="17"/>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lang w:val="en-US" w:eastAsia="zh-CN"/>
                      </w:rPr>
                      <w:t>79</w:t>
                    </w:r>
                    <w:r>
                      <w:rPr>
                        <w:rFonts w:hint="eastAsia" w:ascii="宋体" w:hAnsi="宋体" w:eastAsia="宋体" w:cs="宋体"/>
                        <w:sz w:val="21"/>
                        <w:szCs w:val="21"/>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B550E">
    <w:pPr>
      <w:pStyle w:val="18"/>
      <w:pBdr>
        <w:bottom w:val="none" w:color="auto" w:sz="0" w:space="1"/>
      </w:pBdr>
      <w:jc w:val="left"/>
      <w:rPr>
        <w:rFonts w:asciiTheme="minorEastAsia" w:hAnsiTheme="minorEastAsia"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B7EE2">
    <w:pPr>
      <w:pStyle w:val="18"/>
      <w:pBdr>
        <w:bottom w:val="none" w:color="auto" w:sz="0" w:space="1"/>
      </w:pBdr>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C0396B"/>
    <w:multiLevelType w:val="singleLevel"/>
    <w:tmpl w:val="0EC0396B"/>
    <w:lvl w:ilvl="0" w:tentative="0">
      <w:start w:val="5"/>
      <w:numFmt w:val="decimal"/>
      <w:suff w:val="nothing"/>
      <w:lvlText w:val="（%1）"/>
      <w:lvlJc w:val="left"/>
    </w:lvl>
  </w:abstractNum>
  <w:abstractNum w:abstractNumId="1">
    <w:nsid w:val="2A064A37"/>
    <w:multiLevelType w:val="singleLevel"/>
    <w:tmpl w:val="2A064A37"/>
    <w:lvl w:ilvl="0" w:tentative="0">
      <w:start w:val="3"/>
      <w:numFmt w:val="chineseCounting"/>
      <w:suff w:val="space"/>
      <w:lvlText w:val="第%1章"/>
      <w:lvlJc w:val="left"/>
      <w:rPr>
        <w:rFonts w:hint="eastAsia"/>
      </w:rPr>
    </w:lvl>
  </w:abstractNum>
  <w:abstractNum w:abstractNumId="2">
    <w:nsid w:val="39442EAC"/>
    <w:multiLevelType w:val="singleLevel"/>
    <w:tmpl w:val="39442EAC"/>
    <w:lvl w:ilvl="0" w:tentative="0">
      <w:start w:val="1"/>
      <w:numFmt w:val="decimal"/>
      <w:suff w:val="nothing"/>
      <w:lvlText w:val="（%1）"/>
      <w:lvlJc w:val="left"/>
    </w:lvl>
  </w:abstractNum>
  <w:abstractNum w:abstractNumId="3">
    <w:nsid w:val="4941FACF"/>
    <w:multiLevelType w:val="singleLevel"/>
    <w:tmpl w:val="4941FACF"/>
    <w:lvl w:ilvl="0" w:tentative="0">
      <w:start w:val="2"/>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MDcwYWJmYjExZWQzNTVmZDAzZTYwM2JlMzJmZDYifQ=="/>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6810"/>
    <w:rsid w:val="00260860"/>
    <w:rsid w:val="00260B9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EB3"/>
    <w:rsid w:val="00591688"/>
    <w:rsid w:val="00592509"/>
    <w:rsid w:val="00594986"/>
    <w:rsid w:val="00597B15"/>
    <w:rsid w:val="005A044C"/>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34106F"/>
    <w:rsid w:val="01A12229"/>
    <w:rsid w:val="020E5975"/>
    <w:rsid w:val="0214602E"/>
    <w:rsid w:val="03486B27"/>
    <w:rsid w:val="040A094E"/>
    <w:rsid w:val="04E36C96"/>
    <w:rsid w:val="053814D9"/>
    <w:rsid w:val="056800F4"/>
    <w:rsid w:val="056F201D"/>
    <w:rsid w:val="05A51033"/>
    <w:rsid w:val="05B664D4"/>
    <w:rsid w:val="062D3EC0"/>
    <w:rsid w:val="065C2940"/>
    <w:rsid w:val="07076C01"/>
    <w:rsid w:val="071C12AC"/>
    <w:rsid w:val="074E231E"/>
    <w:rsid w:val="07A934B3"/>
    <w:rsid w:val="082A56D7"/>
    <w:rsid w:val="08B15E54"/>
    <w:rsid w:val="09523172"/>
    <w:rsid w:val="0980799C"/>
    <w:rsid w:val="0A0F6376"/>
    <w:rsid w:val="0A353CEA"/>
    <w:rsid w:val="0A6A18DB"/>
    <w:rsid w:val="0AEF3828"/>
    <w:rsid w:val="0BBB665B"/>
    <w:rsid w:val="0BD342DB"/>
    <w:rsid w:val="0CB7664E"/>
    <w:rsid w:val="0E816EC5"/>
    <w:rsid w:val="0EEA6FC1"/>
    <w:rsid w:val="0EF97BEC"/>
    <w:rsid w:val="0F954485"/>
    <w:rsid w:val="0FB63A2F"/>
    <w:rsid w:val="0FBF344F"/>
    <w:rsid w:val="104D3FBF"/>
    <w:rsid w:val="10505F32"/>
    <w:rsid w:val="105A27E6"/>
    <w:rsid w:val="1072728E"/>
    <w:rsid w:val="119B0711"/>
    <w:rsid w:val="12197477"/>
    <w:rsid w:val="12BE27B4"/>
    <w:rsid w:val="130C65B6"/>
    <w:rsid w:val="132E0DA8"/>
    <w:rsid w:val="13587E2C"/>
    <w:rsid w:val="1466407E"/>
    <w:rsid w:val="14834E28"/>
    <w:rsid w:val="148E7D65"/>
    <w:rsid w:val="151D4243"/>
    <w:rsid w:val="15231BF9"/>
    <w:rsid w:val="1590464C"/>
    <w:rsid w:val="16F92C0A"/>
    <w:rsid w:val="179F5278"/>
    <w:rsid w:val="180712E0"/>
    <w:rsid w:val="19E46234"/>
    <w:rsid w:val="1A3B68AA"/>
    <w:rsid w:val="1A3E1C1E"/>
    <w:rsid w:val="1B880F59"/>
    <w:rsid w:val="1BD367AA"/>
    <w:rsid w:val="1C074BB1"/>
    <w:rsid w:val="1C141836"/>
    <w:rsid w:val="1E6B6A14"/>
    <w:rsid w:val="1E74728F"/>
    <w:rsid w:val="1EB21086"/>
    <w:rsid w:val="20550D9A"/>
    <w:rsid w:val="21714B53"/>
    <w:rsid w:val="218E2416"/>
    <w:rsid w:val="22574D18"/>
    <w:rsid w:val="226915FE"/>
    <w:rsid w:val="22E14C32"/>
    <w:rsid w:val="24B97929"/>
    <w:rsid w:val="2520252D"/>
    <w:rsid w:val="26163BC1"/>
    <w:rsid w:val="285F40CA"/>
    <w:rsid w:val="2882040D"/>
    <w:rsid w:val="28C01ECB"/>
    <w:rsid w:val="28EC3ECC"/>
    <w:rsid w:val="29BF71E3"/>
    <w:rsid w:val="2A127B63"/>
    <w:rsid w:val="2A3D2278"/>
    <w:rsid w:val="2AAA4765"/>
    <w:rsid w:val="2AC21606"/>
    <w:rsid w:val="2AF63C5E"/>
    <w:rsid w:val="2B7E7608"/>
    <w:rsid w:val="2B7F04E9"/>
    <w:rsid w:val="2C305555"/>
    <w:rsid w:val="2C9A21B9"/>
    <w:rsid w:val="2CE20523"/>
    <w:rsid w:val="2D496D68"/>
    <w:rsid w:val="2E6672CB"/>
    <w:rsid w:val="2E7A48DE"/>
    <w:rsid w:val="2EDC3ED8"/>
    <w:rsid w:val="2F2D046C"/>
    <w:rsid w:val="2F6351B4"/>
    <w:rsid w:val="2FCF199E"/>
    <w:rsid w:val="30483E83"/>
    <w:rsid w:val="30AA0E97"/>
    <w:rsid w:val="315A1B3C"/>
    <w:rsid w:val="31744EBD"/>
    <w:rsid w:val="334E4CD8"/>
    <w:rsid w:val="337A75D6"/>
    <w:rsid w:val="343C0775"/>
    <w:rsid w:val="34AA76A9"/>
    <w:rsid w:val="356C50EC"/>
    <w:rsid w:val="361108CD"/>
    <w:rsid w:val="3700166C"/>
    <w:rsid w:val="3727617F"/>
    <w:rsid w:val="375969FE"/>
    <w:rsid w:val="38694EE9"/>
    <w:rsid w:val="3B365CC9"/>
    <w:rsid w:val="3B9A7B88"/>
    <w:rsid w:val="3BC114FF"/>
    <w:rsid w:val="3C2660C6"/>
    <w:rsid w:val="3D2C7AC8"/>
    <w:rsid w:val="3D855D12"/>
    <w:rsid w:val="3D8B42FF"/>
    <w:rsid w:val="3D8C02DD"/>
    <w:rsid w:val="3DC20089"/>
    <w:rsid w:val="3DF36A6E"/>
    <w:rsid w:val="3F1138E1"/>
    <w:rsid w:val="3F792F1E"/>
    <w:rsid w:val="40824826"/>
    <w:rsid w:val="40910275"/>
    <w:rsid w:val="40E63923"/>
    <w:rsid w:val="42B443F4"/>
    <w:rsid w:val="42F43FD4"/>
    <w:rsid w:val="43A91E5B"/>
    <w:rsid w:val="43E05361"/>
    <w:rsid w:val="44323612"/>
    <w:rsid w:val="44BC3308"/>
    <w:rsid w:val="45BA48DB"/>
    <w:rsid w:val="463A3650"/>
    <w:rsid w:val="469F0116"/>
    <w:rsid w:val="475259B7"/>
    <w:rsid w:val="48831CF9"/>
    <w:rsid w:val="491A6083"/>
    <w:rsid w:val="49A165B8"/>
    <w:rsid w:val="49B1408D"/>
    <w:rsid w:val="4A7D4FD2"/>
    <w:rsid w:val="4A913C9A"/>
    <w:rsid w:val="4AE22D2F"/>
    <w:rsid w:val="4B1F70AC"/>
    <w:rsid w:val="4B240F94"/>
    <w:rsid w:val="4B386AE5"/>
    <w:rsid w:val="4B550CFB"/>
    <w:rsid w:val="4BA75287"/>
    <w:rsid w:val="4BED70D6"/>
    <w:rsid w:val="4C3C565C"/>
    <w:rsid w:val="4C43618A"/>
    <w:rsid w:val="4C800A2A"/>
    <w:rsid w:val="4CCC79C7"/>
    <w:rsid w:val="4D6C5E8D"/>
    <w:rsid w:val="4D7555C7"/>
    <w:rsid w:val="4E8D54F0"/>
    <w:rsid w:val="4EAE6DA0"/>
    <w:rsid w:val="4FD037EF"/>
    <w:rsid w:val="5016514B"/>
    <w:rsid w:val="502857C7"/>
    <w:rsid w:val="50476D3D"/>
    <w:rsid w:val="505446A7"/>
    <w:rsid w:val="50E064FC"/>
    <w:rsid w:val="511659A4"/>
    <w:rsid w:val="51B578E5"/>
    <w:rsid w:val="51CB1C78"/>
    <w:rsid w:val="51FD6A51"/>
    <w:rsid w:val="526B680A"/>
    <w:rsid w:val="53150D15"/>
    <w:rsid w:val="5352083E"/>
    <w:rsid w:val="53F05F28"/>
    <w:rsid w:val="541A5D30"/>
    <w:rsid w:val="553E632F"/>
    <w:rsid w:val="55F068CD"/>
    <w:rsid w:val="566C3136"/>
    <w:rsid w:val="568D04F2"/>
    <w:rsid w:val="588D6DD7"/>
    <w:rsid w:val="59971F55"/>
    <w:rsid w:val="59A1303F"/>
    <w:rsid w:val="59DF66A0"/>
    <w:rsid w:val="5A526582"/>
    <w:rsid w:val="5A5F5C77"/>
    <w:rsid w:val="5BBE39CD"/>
    <w:rsid w:val="5BC11A60"/>
    <w:rsid w:val="5C7A4D54"/>
    <w:rsid w:val="5CD23B73"/>
    <w:rsid w:val="5E723A11"/>
    <w:rsid w:val="5EF158F1"/>
    <w:rsid w:val="5F127819"/>
    <w:rsid w:val="5F63752A"/>
    <w:rsid w:val="60CD36B1"/>
    <w:rsid w:val="60F1503F"/>
    <w:rsid w:val="61025188"/>
    <w:rsid w:val="61057D5F"/>
    <w:rsid w:val="614D4977"/>
    <w:rsid w:val="63C60FC0"/>
    <w:rsid w:val="641A2BDD"/>
    <w:rsid w:val="64BA3D7A"/>
    <w:rsid w:val="64F179BC"/>
    <w:rsid w:val="65C94C55"/>
    <w:rsid w:val="665704D3"/>
    <w:rsid w:val="673148E2"/>
    <w:rsid w:val="675445CD"/>
    <w:rsid w:val="67C065A4"/>
    <w:rsid w:val="67D359C9"/>
    <w:rsid w:val="68FE36DD"/>
    <w:rsid w:val="694E1B7E"/>
    <w:rsid w:val="694E60FC"/>
    <w:rsid w:val="69E41830"/>
    <w:rsid w:val="69EF4042"/>
    <w:rsid w:val="6AE65B91"/>
    <w:rsid w:val="6C304B0A"/>
    <w:rsid w:val="6C410A63"/>
    <w:rsid w:val="6C675CE6"/>
    <w:rsid w:val="6CEF35AF"/>
    <w:rsid w:val="6D4F4321"/>
    <w:rsid w:val="6DFF7360"/>
    <w:rsid w:val="6E39324E"/>
    <w:rsid w:val="6E7A5F73"/>
    <w:rsid w:val="6F2E3798"/>
    <w:rsid w:val="6FD74228"/>
    <w:rsid w:val="70FE5EDF"/>
    <w:rsid w:val="71633091"/>
    <w:rsid w:val="72B56DCF"/>
    <w:rsid w:val="73081CA5"/>
    <w:rsid w:val="74545B7C"/>
    <w:rsid w:val="7487762D"/>
    <w:rsid w:val="749F2380"/>
    <w:rsid w:val="75385498"/>
    <w:rsid w:val="769962BD"/>
    <w:rsid w:val="76BC207F"/>
    <w:rsid w:val="76EB4904"/>
    <w:rsid w:val="777378F5"/>
    <w:rsid w:val="777A2D3C"/>
    <w:rsid w:val="78537BEA"/>
    <w:rsid w:val="78967BD6"/>
    <w:rsid w:val="79074B81"/>
    <w:rsid w:val="794F0939"/>
    <w:rsid w:val="79AF0FCA"/>
    <w:rsid w:val="79EF2560"/>
    <w:rsid w:val="7AF9279C"/>
    <w:rsid w:val="7B1A0118"/>
    <w:rsid w:val="7B365F3C"/>
    <w:rsid w:val="7C072E2B"/>
    <w:rsid w:val="7CC51958"/>
    <w:rsid w:val="7CEC40B6"/>
    <w:rsid w:val="7E222935"/>
    <w:rsid w:val="7E2552FF"/>
    <w:rsid w:val="7E2936C3"/>
    <w:rsid w:val="7E2E365C"/>
    <w:rsid w:val="7E610E09"/>
    <w:rsid w:val="7E6411B9"/>
    <w:rsid w:val="7FEE2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60"/>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62"/>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7"/>
    <w:autoRedefine/>
    <w:qFormat/>
    <w:uiPriority w:val="0"/>
    <w:pPr>
      <w:keepNext/>
      <w:keepLines/>
      <w:spacing w:before="280" w:after="290" w:line="376" w:lineRule="auto"/>
      <w:outlineLvl w:val="3"/>
    </w:pPr>
    <w:rPr>
      <w:b/>
      <w:bCs/>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sz w:val="18"/>
      <w:szCs w:val="18"/>
    </w:rPr>
  </w:style>
  <w:style w:type="paragraph" w:styleId="7">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59"/>
    <w:autoRedefine/>
    <w:qFormat/>
    <w:uiPriority w:val="0"/>
    <w:pPr>
      <w:jc w:val="left"/>
    </w:pPr>
    <w:rPr>
      <w:rFonts w:ascii="Arial" w:hAnsi="Arial" w:eastAsia="黑体" w:cs="Arial"/>
    </w:rPr>
  </w:style>
  <w:style w:type="paragraph" w:styleId="9">
    <w:name w:val="Body Text"/>
    <w:basedOn w:val="1"/>
    <w:next w:val="10"/>
    <w:autoRedefine/>
    <w:qFormat/>
    <w:uiPriority w:val="0"/>
    <w:pPr>
      <w:spacing w:after="120"/>
    </w:pPr>
    <w:rPr>
      <w:rFonts w:ascii="@微软简标宋" w:hAnsi="@微软简标宋" w:eastAsia="@微软简标宋" w:cs="@微软简标宋"/>
      <w:szCs w:val="24"/>
      <w:lang w:val="zh-CN"/>
    </w:rPr>
  </w:style>
  <w:style w:type="paragraph" w:styleId="10">
    <w:name w:val="Date"/>
    <w:basedOn w:val="1"/>
    <w:next w:val="1"/>
    <w:link w:val="56"/>
    <w:autoRedefine/>
    <w:qFormat/>
    <w:uiPriority w:val="0"/>
    <w:rPr>
      <w:rFonts w:ascii="Arial" w:hAnsi="Arial" w:eastAsia="宋体" w:cs="Arial"/>
      <w:b/>
      <w:sz w:val="28"/>
    </w:rPr>
  </w:style>
  <w:style w:type="paragraph" w:styleId="11">
    <w:name w:val="Body Text Indent"/>
    <w:basedOn w:val="1"/>
    <w:next w:val="12"/>
    <w:qFormat/>
    <w:uiPriority w:val="0"/>
    <w:pPr>
      <w:widowControl w:val="0"/>
      <w:spacing w:after="120" w:afterLines="0" w:line="240" w:lineRule="auto"/>
      <w:ind w:left="420" w:leftChars="200"/>
      <w:textAlignment w:val="auto"/>
    </w:pPr>
    <w:rPr>
      <w:color w:val="auto"/>
      <w:kern w:val="2"/>
      <w:szCs w:val="24"/>
      <w:u w:val="none" w:color="auto"/>
    </w:rPr>
  </w:style>
  <w:style w:type="paragraph" w:styleId="12">
    <w:name w:val="envelope return"/>
    <w:basedOn w:val="1"/>
    <w:qFormat/>
    <w:uiPriority w:val="0"/>
    <w:pPr>
      <w:snapToGrid w:val="0"/>
    </w:pPr>
    <w:rPr>
      <w:rFonts w:ascii="Arial" w:hAnsi="Arial"/>
    </w:rPr>
  </w:style>
  <w:style w:type="paragraph" w:styleId="13">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4">
    <w:name w:val="Plain Text"/>
    <w:basedOn w:val="1"/>
    <w:next w:val="1"/>
    <w:link w:val="49"/>
    <w:autoRedefine/>
    <w:qFormat/>
    <w:uiPriority w:val="99"/>
    <w:rPr>
      <w:rFonts w:ascii="宋体" w:hAnsi="Courier New" w:eastAsiaTheme="minorEastAsia" w:cstheme="minorBidi"/>
      <w:szCs w:val="22"/>
    </w:rPr>
  </w:style>
  <w:style w:type="paragraph" w:styleId="15">
    <w:name w:val="Body Text Indent 2"/>
    <w:basedOn w:val="1"/>
    <w:next w:val="1"/>
    <w:qFormat/>
    <w:uiPriority w:val="0"/>
    <w:pPr>
      <w:spacing w:after="120" w:line="480" w:lineRule="auto"/>
      <w:ind w:left="420" w:leftChars="200"/>
    </w:pPr>
  </w:style>
  <w:style w:type="paragraph" w:styleId="16">
    <w:name w:val="Balloon Text"/>
    <w:basedOn w:val="1"/>
    <w:link w:val="43"/>
    <w:autoRedefine/>
    <w:semiHidden/>
    <w:unhideWhenUsed/>
    <w:qFormat/>
    <w:uiPriority w:val="99"/>
    <w:rPr>
      <w:sz w:val="18"/>
      <w:szCs w:val="18"/>
    </w:rPr>
  </w:style>
  <w:style w:type="paragraph" w:styleId="17">
    <w:name w:val="footer"/>
    <w:basedOn w:val="1"/>
    <w:link w:val="48"/>
    <w:autoRedefine/>
    <w:unhideWhenUsed/>
    <w:qFormat/>
    <w:uiPriority w:val="99"/>
    <w:pPr>
      <w:tabs>
        <w:tab w:val="center" w:pos="4153"/>
        <w:tab w:val="right" w:pos="8306"/>
      </w:tabs>
      <w:snapToGrid w:val="0"/>
      <w:jc w:val="left"/>
    </w:pPr>
    <w:rPr>
      <w:sz w:val="18"/>
      <w:szCs w:val="18"/>
    </w:rPr>
  </w:style>
  <w:style w:type="paragraph" w:styleId="18">
    <w:name w:val="header"/>
    <w:basedOn w:val="1"/>
    <w:link w:val="4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0">
    <w:name w:val="List"/>
    <w:basedOn w:val="1"/>
    <w:next w:val="1"/>
    <w:qFormat/>
    <w:uiPriority w:val="0"/>
    <w:pPr>
      <w:widowControl w:val="0"/>
      <w:spacing w:line="240" w:lineRule="auto"/>
      <w:ind w:left="420" w:hanging="420"/>
      <w:textAlignment w:val="auto"/>
    </w:pPr>
    <w:rPr>
      <w:rFonts w:ascii="Arial" w:hAnsi="Arial" w:eastAsia="楷体_GB2312"/>
      <w:color w:val="auto"/>
      <w:kern w:val="2"/>
      <w:sz w:val="28"/>
      <w:u w:val="none" w:color="auto"/>
    </w:rPr>
  </w:style>
  <w:style w:type="paragraph" w:styleId="21">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2">
    <w:name w:val="Normal (Web)"/>
    <w:basedOn w:val="1"/>
    <w:autoRedefine/>
    <w:qFormat/>
    <w:uiPriority w:val="0"/>
    <w:pPr>
      <w:spacing w:before="100" w:beforeAutospacing="1" w:after="100" w:afterAutospacing="1"/>
      <w:jc w:val="left"/>
    </w:pPr>
    <w:rPr>
      <w:rFonts w:cs="Times New Roman"/>
      <w:kern w:val="0"/>
      <w:sz w:val="24"/>
    </w:rPr>
  </w:style>
  <w:style w:type="paragraph" w:styleId="23">
    <w:name w:val="index 1"/>
    <w:basedOn w:val="1"/>
    <w:next w:val="1"/>
    <w:autoRedefine/>
    <w:qFormat/>
    <w:uiPriority w:val="0"/>
    <w:pPr>
      <w:jc w:val="center"/>
    </w:pPr>
    <w:rPr>
      <w:rFonts w:ascii="Arial" w:hAnsi="Arial" w:eastAsia="Arial" w:cs="Arial"/>
      <w:b/>
      <w:bCs/>
      <w:sz w:val="28"/>
    </w:rPr>
  </w:style>
  <w:style w:type="paragraph" w:styleId="24">
    <w:name w:val="annotation subject"/>
    <w:basedOn w:val="8"/>
    <w:next w:val="8"/>
    <w:link w:val="70"/>
    <w:autoRedefine/>
    <w:semiHidden/>
    <w:unhideWhenUsed/>
    <w:qFormat/>
    <w:uiPriority w:val="99"/>
    <w:rPr>
      <w:rFonts w:ascii="@仿宋_GB2312" w:hAnsi="@仿宋_GB2312" w:eastAsia="@仿宋_GB2312" w:cs="@仿宋_GB2312"/>
      <w:b/>
      <w:bCs/>
    </w:rPr>
  </w:style>
  <w:style w:type="paragraph" w:styleId="25">
    <w:name w:val="Body Text First Indent"/>
    <w:basedOn w:val="9"/>
    <w:autoRedefine/>
    <w:unhideWhenUsed/>
    <w:qFormat/>
    <w:uiPriority w:val="99"/>
    <w:pPr>
      <w:ind w:firstLine="420" w:firstLineChars="100"/>
    </w:pPr>
  </w:style>
  <w:style w:type="paragraph" w:styleId="26">
    <w:name w:val="Body Text First Indent 2"/>
    <w:basedOn w:val="11"/>
    <w:next w:val="1"/>
    <w:qFormat/>
    <w:uiPriority w:val="0"/>
    <w:pPr>
      <w:keepNext w:val="0"/>
      <w:keepLines w:val="0"/>
      <w:widowControl w:val="0"/>
      <w:suppressLineNumbers w:val="0"/>
      <w:spacing w:after="120" w:afterLines="0" w:afterAutospacing="0"/>
      <w:ind w:left="420" w:leftChars="200" w:firstLine="420" w:firstLineChars="200"/>
      <w:jc w:val="both"/>
    </w:pPr>
    <w:rPr>
      <w:rFonts w:hint="default" w:ascii="Times New Roman" w:hAnsi="Times New Roman" w:cs="Times New Roman"/>
      <w:kern w:val="2"/>
      <w:sz w:val="21"/>
      <w:szCs w:val="21"/>
      <w:lang w:val="en-US" w:eastAsia="zh-CN" w:bidi="ar"/>
    </w:rPr>
  </w:style>
  <w:style w:type="table" w:styleId="28">
    <w:name w:val="Table Grid"/>
    <w:basedOn w:val="27"/>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autoRedefine/>
    <w:qFormat/>
    <w:uiPriority w:val="0"/>
    <w:rPr>
      <w:b/>
      <w:bCs/>
    </w:rPr>
  </w:style>
  <w:style w:type="character" w:styleId="31">
    <w:name w:val="FollowedHyperlink"/>
    <w:basedOn w:val="29"/>
    <w:semiHidden/>
    <w:unhideWhenUsed/>
    <w:qFormat/>
    <w:uiPriority w:val="99"/>
    <w:rPr>
      <w:color w:val="5C5C5C"/>
      <w:u w:val="none"/>
    </w:rPr>
  </w:style>
  <w:style w:type="character" w:styleId="32">
    <w:name w:val="Emphasis"/>
    <w:basedOn w:val="29"/>
    <w:qFormat/>
    <w:uiPriority w:val="20"/>
    <w:rPr>
      <w:b/>
      <w:bCs/>
    </w:rPr>
  </w:style>
  <w:style w:type="character" w:styleId="33">
    <w:name w:val="HTML Definition"/>
    <w:basedOn w:val="29"/>
    <w:semiHidden/>
    <w:unhideWhenUsed/>
    <w:qFormat/>
    <w:uiPriority w:val="99"/>
  </w:style>
  <w:style w:type="character" w:styleId="34">
    <w:name w:val="HTML Typewriter"/>
    <w:basedOn w:val="29"/>
    <w:semiHidden/>
    <w:unhideWhenUsed/>
    <w:qFormat/>
    <w:uiPriority w:val="99"/>
    <w:rPr>
      <w:rFonts w:hint="default" w:ascii="monospace" w:hAnsi="monospace" w:eastAsia="monospace" w:cs="monospace"/>
      <w:sz w:val="20"/>
    </w:rPr>
  </w:style>
  <w:style w:type="character" w:styleId="35">
    <w:name w:val="HTML Acronym"/>
    <w:basedOn w:val="29"/>
    <w:semiHidden/>
    <w:unhideWhenUsed/>
    <w:qFormat/>
    <w:uiPriority w:val="99"/>
  </w:style>
  <w:style w:type="character" w:styleId="36">
    <w:name w:val="HTML Variable"/>
    <w:basedOn w:val="29"/>
    <w:semiHidden/>
    <w:unhideWhenUsed/>
    <w:qFormat/>
    <w:uiPriority w:val="99"/>
  </w:style>
  <w:style w:type="character" w:styleId="37">
    <w:name w:val="Hyperlink"/>
    <w:basedOn w:val="29"/>
    <w:autoRedefine/>
    <w:unhideWhenUsed/>
    <w:qFormat/>
    <w:uiPriority w:val="99"/>
    <w:rPr>
      <w:color w:val="0000FF" w:themeColor="hyperlink"/>
      <w:u w:val="single"/>
      <w14:textFill>
        <w14:solidFill>
          <w14:schemeClr w14:val="hlink"/>
        </w14:solidFill>
      </w14:textFill>
    </w:rPr>
  </w:style>
  <w:style w:type="character" w:styleId="38">
    <w:name w:val="HTML Code"/>
    <w:basedOn w:val="29"/>
    <w:semiHidden/>
    <w:unhideWhenUsed/>
    <w:qFormat/>
    <w:uiPriority w:val="99"/>
    <w:rPr>
      <w:rFonts w:ascii="monospace" w:hAnsi="monospace" w:eastAsia="monospace" w:cs="monospace"/>
      <w:sz w:val="20"/>
    </w:rPr>
  </w:style>
  <w:style w:type="character" w:styleId="39">
    <w:name w:val="annotation reference"/>
    <w:basedOn w:val="29"/>
    <w:autoRedefine/>
    <w:semiHidden/>
    <w:unhideWhenUsed/>
    <w:qFormat/>
    <w:uiPriority w:val="99"/>
    <w:rPr>
      <w:sz w:val="21"/>
      <w:szCs w:val="21"/>
    </w:rPr>
  </w:style>
  <w:style w:type="character" w:styleId="40">
    <w:name w:val="HTML Cite"/>
    <w:basedOn w:val="29"/>
    <w:semiHidden/>
    <w:unhideWhenUsed/>
    <w:qFormat/>
    <w:uiPriority w:val="99"/>
  </w:style>
  <w:style w:type="character" w:styleId="41">
    <w:name w:val="HTML Keyboard"/>
    <w:basedOn w:val="29"/>
    <w:semiHidden/>
    <w:unhideWhenUsed/>
    <w:qFormat/>
    <w:uiPriority w:val="99"/>
    <w:rPr>
      <w:rFonts w:hint="default" w:ascii="monospace" w:hAnsi="monospace" w:eastAsia="monospace" w:cs="monospace"/>
      <w:sz w:val="20"/>
    </w:rPr>
  </w:style>
  <w:style w:type="character" w:styleId="42">
    <w:name w:val="HTML Sample"/>
    <w:basedOn w:val="29"/>
    <w:semiHidden/>
    <w:unhideWhenUsed/>
    <w:qFormat/>
    <w:uiPriority w:val="99"/>
    <w:rPr>
      <w:rFonts w:hint="default" w:ascii="monospace" w:hAnsi="monospace" w:eastAsia="monospace" w:cs="monospace"/>
    </w:rPr>
  </w:style>
  <w:style w:type="character" w:customStyle="1" w:styleId="43">
    <w:name w:val="批注框文本 Char"/>
    <w:basedOn w:val="29"/>
    <w:link w:val="16"/>
    <w:autoRedefine/>
    <w:semiHidden/>
    <w:qFormat/>
    <w:uiPriority w:val="99"/>
    <w:rPr>
      <w:rFonts w:ascii="@仿宋_GB2312" w:hAnsi="@仿宋_GB2312" w:eastAsia="@仿宋_GB2312" w:cs="@仿宋_GB2312"/>
      <w:sz w:val="18"/>
      <w:szCs w:val="18"/>
    </w:rPr>
  </w:style>
  <w:style w:type="paragraph" w:customStyle="1" w:styleId="44">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5">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6">
    <w:name w:val="D&amp;L"/>
    <w:basedOn w:val="18"/>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7">
    <w:name w:val="页眉 Char"/>
    <w:basedOn w:val="29"/>
    <w:link w:val="18"/>
    <w:autoRedefine/>
    <w:qFormat/>
    <w:uiPriority w:val="99"/>
    <w:rPr>
      <w:rFonts w:ascii="@仿宋_GB2312" w:hAnsi="@仿宋_GB2312" w:eastAsia="@仿宋_GB2312" w:cs="@仿宋_GB2312"/>
      <w:sz w:val="18"/>
      <w:szCs w:val="18"/>
    </w:rPr>
  </w:style>
  <w:style w:type="character" w:customStyle="1" w:styleId="48">
    <w:name w:val="页脚 Char"/>
    <w:basedOn w:val="29"/>
    <w:link w:val="17"/>
    <w:autoRedefine/>
    <w:qFormat/>
    <w:uiPriority w:val="99"/>
    <w:rPr>
      <w:rFonts w:ascii="@仿宋_GB2312" w:hAnsi="@仿宋_GB2312" w:eastAsia="@仿宋_GB2312" w:cs="@仿宋_GB2312"/>
      <w:sz w:val="18"/>
      <w:szCs w:val="18"/>
    </w:rPr>
  </w:style>
  <w:style w:type="character" w:customStyle="1" w:styleId="49">
    <w:name w:val="纯文本 Char"/>
    <w:link w:val="14"/>
    <w:autoRedefine/>
    <w:qFormat/>
    <w:uiPriority w:val="0"/>
    <w:rPr>
      <w:rFonts w:ascii="宋体" w:hAnsi="Courier New"/>
    </w:rPr>
  </w:style>
  <w:style w:type="character" w:customStyle="1" w:styleId="50">
    <w:name w:val="纯文本 字符1"/>
    <w:basedOn w:val="29"/>
    <w:autoRedefine/>
    <w:semiHidden/>
    <w:qFormat/>
    <w:uiPriority w:val="99"/>
    <w:rPr>
      <w:rFonts w:hAnsi="Courier New" w:cs="Courier New" w:asciiTheme="minorEastAsia"/>
      <w:szCs w:val="20"/>
    </w:rPr>
  </w:style>
  <w:style w:type="character" w:customStyle="1" w:styleId="51">
    <w:name w:val="未处理的提及1"/>
    <w:basedOn w:val="29"/>
    <w:autoRedefine/>
    <w:semiHidden/>
    <w:unhideWhenUsed/>
    <w:qFormat/>
    <w:uiPriority w:val="99"/>
    <w:rPr>
      <w:color w:val="605E5C"/>
      <w:shd w:val="clear" w:color="auto" w:fill="E1DFDD"/>
    </w:rPr>
  </w:style>
  <w:style w:type="paragraph" w:styleId="52">
    <w:name w:val="List Paragraph"/>
    <w:basedOn w:val="1"/>
    <w:autoRedefine/>
    <w:qFormat/>
    <w:uiPriority w:val="34"/>
    <w:pPr>
      <w:ind w:firstLine="420" w:firstLineChars="200"/>
    </w:pPr>
  </w:style>
  <w:style w:type="paragraph" w:customStyle="1" w:styleId="53">
    <w:name w:val="Char Char Char Char Char Char Char1 Char"/>
    <w:basedOn w:val="1"/>
    <w:autoRedefine/>
    <w:qFormat/>
    <w:uiPriority w:val="0"/>
    <w:rPr>
      <w:rFonts w:ascii="Arial" w:hAnsi="Arial" w:eastAsia="宋体" w:cs="Arial"/>
      <w:sz w:val="24"/>
    </w:rPr>
  </w:style>
  <w:style w:type="table" w:customStyle="1" w:styleId="54">
    <w:name w:val="网格表 1 浅色1"/>
    <w:basedOn w:val="27"/>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5">
    <w:name w:val="日期 字符"/>
    <w:basedOn w:val="29"/>
    <w:autoRedefine/>
    <w:semiHidden/>
    <w:qFormat/>
    <w:uiPriority w:val="99"/>
    <w:rPr>
      <w:rFonts w:ascii="@仿宋_GB2312" w:hAnsi="@仿宋_GB2312" w:eastAsia="@仿宋_GB2312" w:cs="@仿宋_GB2312"/>
      <w:szCs w:val="20"/>
    </w:rPr>
  </w:style>
  <w:style w:type="character" w:customStyle="1" w:styleId="56">
    <w:name w:val="日期 Char"/>
    <w:link w:val="10"/>
    <w:autoRedefine/>
    <w:qFormat/>
    <w:uiPriority w:val="0"/>
    <w:rPr>
      <w:rFonts w:ascii="Arial" w:hAnsi="Arial" w:eastAsia="宋体" w:cs="Arial"/>
      <w:b/>
      <w:sz w:val="28"/>
      <w:szCs w:val="20"/>
    </w:rPr>
  </w:style>
  <w:style w:type="character" w:customStyle="1" w:styleId="57">
    <w:name w:val="纯文本 Char1"/>
    <w:autoRedefine/>
    <w:qFormat/>
    <w:locked/>
    <w:uiPriority w:val="99"/>
    <w:rPr>
      <w:rFonts w:ascii="Arial" w:hAnsi="Arial" w:eastAsia="Arial"/>
      <w:kern w:val="2"/>
      <w:sz w:val="21"/>
      <w:lang w:val="en-US" w:eastAsia="zh-CN" w:bidi="ar-SA"/>
    </w:rPr>
  </w:style>
  <w:style w:type="character" w:customStyle="1" w:styleId="58">
    <w:name w:val="批注文字 Char"/>
    <w:basedOn w:val="29"/>
    <w:autoRedefine/>
    <w:semiHidden/>
    <w:qFormat/>
    <w:uiPriority w:val="99"/>
    <w:rPr>
      <w:rFonts w:ascii="@仿宋_GB2312" w:hAnsi="@仿宋_GB2312" w:eastAsia="@仿宋_GB2312" w:cs="@仿宋_GB2312"/>
      <w:szCs w:val="20"/>
    </w:rPr>
  </w:style>
  <w:style w:type="character" w:customStyle="1" w:styleId="59">
    <w:name w:val="批注文字 Char1"/>
    <w:link w:val="8"/>
    <w:autoRedefine/>
    <w:qFormat/>
    <w:uiPriority w:val="0"/>
    <w:rPr>
      <w:rFonts w:ascii="Arial" w:hAnsi="Arial" w:eastAsia="黑体" w:cs="Arial"/>
      <w:szCs w:val="20"/>
    </w:rPr>
  </w:style>
  <w:style w:type="character" w:customStyle="1" w:styleId="60">
    <w:name w:val="标题 1 Char"/>
    <w:basedOn w:val="29"/>
    <w:link w:val="2"/>
    <w:autoRedefine/>
    <w:qFormat/>
    <w:uiPriority w:val="9"/>
    <w:rPr>
      <w:rFonts w:ascii="@仿宋_GB2312" w:hAnsi="@仿宋_GB2312" w:eastAsia="@仿宋_GB2312" w:cs="@仿宋_GB2312"/>
      <w:b/>
      <w:bCs/>
      <w:kern w:val="44"/>
      <w:sz w:val="44"/>
      <w:szCs w:val="44"/>
    </w:rPr>
  </w:style>
  <w:style w:type="paragraph" w:customStyle="1" w:styleId="61">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2">
    <w:name w:val="标题 3 Char"/>
    <w:basedOn w:val="29"/>
    <w:link w:val="4"/>
    <w:autoRedefine/>
    <w:semiHidden/>
    <w:qFormat/>
    <w:uiPriority w:val="9"/>
    <w:rPr>
      <w:rFonts w:ascii="@仿宋_GB2312" w:hAnsi="@仿宋_GB2312" w:eastAsia="@仿宋_GB2312" w:cs="@仿宋_GB2312"/>
      <w:b/>
      <w:bCs/>
      <w:sz w:val="32"/>
      <w:szCs w:val="32"/>
    </w:rPr>
  </w:style>
  <w:style w:type="character" w:customStyle="1" w:styleId="63">
    <w:name w:val="fontstyle01"/>
    <w:basedOn w:val="29"/>
    <w:autoRedefine/>
    <w:qFormat/>
    <w:uiPriority w:val="0"/>
    <w:rPr>
      <w:rFonts w:hint="eastAsia" w:ascii="宋体" w:hAnsi="宋体" w:eastAsia="宋体"/>
      <w:color w:val="000000"/>
      <w:sz w:val="22"/>
      <w:szCs w:val="22"/>
    </w:rPr>
  </w:style>
  <w:style w:type="character" w:customStyle="1" w:styleId="64">
    <w:name w:val="fontstyle21"/>
    <w:basedOn w:val="29"/>
    <w:autoRedefine/>
    <w:qFormat/>
    <w:uiPriority w:val="0"/>
    <w:rPr>
      <w:rFonts w:hint="default" w:ascii="TimesNewRomanPSMT" w:hAnsi="TimesNewRomanPSMT"/>
      <w:color w:val="000000"/>
      <w:sz w:val="22"/>
      <w:szCs w:val="22"/>
    </w:rPr>
  </w:style>
  <w:style w:type="character" w:customStyle="1" w:styleId="65">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6">
    <w:name w:val="标题 4 字符"/>
    <w:basedOn w:val="29"/>
    <w:autoRedefine/>
    <w:semiHidden/>
    <w:qFormat/>
    <w:uiPriority w:val="9"/>
    <w:rPr>
      <w:rFonts w:asciiTheme="majorHAnsi" w:hAnsiTheme="majorHAnsi" w:eastAsiaTheme="majorEastAsia" w:cstheme="majorBidi"/>
      <w:b/>
      <w:bCs/>
      <w:sz w:val="28"/>
      <w:szCs w:val="28"/>
    </w:rPr>
  </w:style>
  <w:style w:type="character" w:customStyle="1" w:styleId="67">
    <w:name w:val="标题 4 Char1"/>
    <w:link w:val="5"/>
    <w:autoRedefine/>
    <w:qFormat/>
    <w:uiPriority w:val="0"/>
    <w:rPr>
      <w:rFonts w:ascii="@仿宋_GB2312" w:hAnsi="@仿宋_GB2312" w:eastAsia="@仿宋_GB2312" w:cs="@仿宋_GB2312"/>
      <w:b/>
      <w:bCs/>
      <w:sz w:val="28"/>
      <w:szCs w:val="28"/>
    </w:rPr>
  </w:style>
  <w:style w:type="character" w:customStyle="1" w:styleId="68">
    <w:name w:val="标题 4 Char"/>
    <w:autoRedefine/>
    <w:qFormat/>
    <w:uiPriority w:val="0"/>
    <w:rPr>
      <w:rFonts w:ascii="Arial" w:hAnsi="Arial" w:eastAsia="Arial"/>
      <w:b/>
      <w:bCs/>
      <w:kern w:val="2"/>
      <w:sz w:val="28"/>
      <w:szCs w:val="28"/>
      <w:lang w:val="en-US" w:eastAsia="zh-CN" w:bidi="ar-SA"/>
    </w:rPr>
  </w:style>
  <w:style w:type="table" w:customStyle="1" w:styleId="69">
    <w:name w:val="网格型1"/>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0">
    <w:name w:val="批注主题 Char"/>
    <w:basedOn w:val="59"/>
    <w:link w:val="24"/>
    <w:autoRedefine/>
    <w:semiHidden/>
    <w:qFormat/>
    <w:uiPriority w:val="99"/>
    <w:rPr>
      <w:rFonts w:ascii="@仿宋_GB2312" w:hAnsi="@仿宋_GB2312" w:eastAsia="@仿宋_GB2312" w:cs="@仿宋_GB2312"/>
      <w:b/>
      <w:bCs/>
      <w:szCs w:val="20"/>
    </w:rPr>
  </w:style>
  <w:style w:type="table" w:customStyle="1" w:styleId="71">
    <w:name w:val="Table Normal"/>
    <w:autoRedefine/>
    <w:semiHidden/>
    <w:unhideWhenUsed/>
    <w:qFormat/>
    <w:uiPriority w:val="0"/>
    <w:tblPr>
      <w:tblCellMar>
        <w:top w:w="0" w:type="dxa"/>
        <w:left w:w="0" w:type="dxa"/>
        <w:bottom w:w="0" w:type="dxa"/>
        <w:right w:w="0" w:type="dxa"/>
      </w:tblCellMar>
    </w:tblPr>
  </w:style>
  <w:style w:type="paragraph" w:customStyle="1" w:styleId="72">
    <w:name w:val="Table Text"/>
    <w:basedOn w:val="1"/>
    <w:autoRedefine/>
    <w:semiHidden/>
    <w:qFormat/>
    <w:uiPriority w:val="0"/>
    <w:rPr>
      <w:rFonts w:ascii="Arial" w:hAnsi="Arial" w:eastAsia="Arial" w:cs="Arial"/>
      <w:sz w:val="21"/>
      <w:szCs w:val="21"/>
      <w:lang w:val="en-US" w:eastAsia="en-US" w:bidi="ar-SA"/>
    </w:rPr>
  </w:style>
  <w:style w:type="paragraph" w:customStyle="1" w:styleId="73">
    <w:name w:val="Table Paragraph"/>
    <w:basedOn w:val="1"/>
    <w:qFormat/>
    <w:uiPriority w:val="0"/>
    <w:rPr>
      <w:rFonts w:ascii="宋体" w:hAnsi="宋体" w:eastAsia="宋体" w:cs="宋体"/>
      <w:lang w:val="zh-CN" w:eastAsia="zh-CN" w:bidi="zh-CN"/>
    </w:rPr>
  </w:style>
  <w:style w:type="paragraph" w:customStyle="1" w:styleId="74">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宋体"/>
      <w:sz w:val="24"/>
      <w:szCs w:val="24"/>
      <w:lang w:val="en-US" w:eastAsia="zh-CN" w:bidi="ar-SA"/>
    </w:rPr>
  </w:style>
  <w:style w:type="paragraph" w:customStyle="1" w:styleId="75">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76">
    <w:name w:val="UserStyle_6"/>
    <w:qFormat/>
    <w:uiPriority w:val="0"/>
    <w:pPr>
      <w:spacing w:line="440" w:lineRule="exact"/>
      <w:ind w:left="357" w:hanging="357"/>
      <w:jc w:val="both"/>
      <w:textAlignment w:val="baseline"/>
    </w:pPr>
    <w:rPr>
      <w:rFonts w:ascii="Times New Roman" w:hAnsi="Times New Roman" w:eastAsia="宋体" w:cs="Times New Roman"/>
      <w:kern w:val="2"/>
      <w:sz w:val="21"/>
      <w:szCs w:val="22"/>
      <w:lang w:val="en-US" w:eastAsia="zh-CN" w:bidi="ar-SA"/>
    </w:rPr>
  </w:style>
  <w:style w:type="character" w:customStyle="1" w:styleId="77">
    <w:name w:val="NormalCharacter"/>
    <w:semiHidden/>
    <w:qFormat/>
    <w:uiPriority w:val="0"/>
  </w:style>
  <w:style w:type="character" w:customStyle="1" w:styleId="78">
    <w:name w:val="hover"/>
    <w:basedOn w:val="29"/>
    <w:qFormat/>
    <w:uiPriority w:val="0"/>
  </w:style>
  <w:style w:type="character" w:customStyle="1" w:styleId="79">
    <w:name w:val="hover1"/>
    <w:basedOn w:val="29"/>
    <w:qFormat/>
    <w:uiPriority w:val="0"/>
    <w:rPr>
      <w:color w:val="2590EB"/>
    </w:rPr>
  </w:style>
  <w:style w:type="character" w:customStyle="1" w:styleId="80">
    <w:name w:val="hover2"/>
    <w:basedOn w:val="29"/>
    <w:qFormat/>
    <w:uiPriority w:val="0"/>
    <w:rPr>
      <w:color w:val="2590EB"/>
    </w:rPr>
  </w:style>
  <w:style w:type="character" w:customStyle="1" w:styleId="81">
    <w:name w:val="hover3"/>
    <w:basedOn w:val="29"/>
    <w:qFormat/>
    <w:uiPriority w:val="0"/>
    <w:rPr>
      <w:color w:val="2590EB"/>
      <w:shd w:val="clear" w:fill="E9F4FD"/>
    </w:rPr>
  </w:style>
  <w:style w:type="character" w:customStyle="1" w:styleId="82">
    <w:name w:val="hover4"/>
    <w:basedOn w:val="29"/>
    <w:qFormat/>
    <w:uiPriority w:val="0"/>
    <w:rPr>
      <w:color w:val="2590EB"/>
      <w:shd w:val="clear" w:fill="E9F4F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AC3C6-84CB-4D2E-AFC0-C8AD46F7C0B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80</Pages>
  <Words>43346</Words>
  <Characters>45427</Characters>
  <Lines>244</Lines>
  <Paragraphs>68</Paragraphs>
  <TotalTime>3</TotalTime>
  <ScaleCrop>false</ScaleCrop>
  <LinksUpToDate>false</LinksUpToDate>
  <CharactersWithSpaces>47880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傻傻一辈子</cp:lastModifiedBy>
  <cp:lastPrinted>2019-12-07T15:18:00Z</cp:lastPrinted>
  <dcterms:modified xsi:type="dcterms:W3CDTF">2024-09-14T08:08:53Z</dcterms:modified>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1ECEA165F94845FFAF35C1C96E4FB9B0_12</vt:lpwstr>
  </property>
</Properties>
</file>