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96602400"/>
      <w:bookmarkStart w:id="1" w:name="_Toc247085669"/>
      <w:bookmarkStart w:id="2" w:name="_Toc506107265"/>
      <w:bookmarkStart w:id="3" w:name="_Toc15058843"/>
      <w:bookmarkStart w:id="4" w:name="_Toc246996898"/>
      <w:bookmarkStart w:id="5" w:name="_Toc324404811"/>
      <w:bookmarkStart w:id="6" w:name="_Toc461631222"/>
      <w:bookmarkStart w:id="7" w:name="OLE_LINK4"/>
      <w:bookmarkStart w:id="8" w:name="OLE_LINK2"/>
      <w:bookmarkStart w:id="9" w:name="OLE_LINK5"/>
      <w:bookmarkStart w:id="10" w:name="OLE_LINK1"/>
      <w:bookmarkStart w:id="11" w:name="OLE_LINK3"/>
    </w:p>
    <w:p w14:paraId="03BEA7F1">
      <w:pPr>
        <w:pStyle w:val="2"/>
        <w:ind w:firstLine="420"/>
        <w:rPr>
          <w:highlight w:val="none"/>
        </w:rPr>
      </w:pPr>
    </w:p>
    <w:p w14:paraId="2A2621CC">
      <w:pPr>
        <w:pStyle w:val="2"/>
        <w:ind w:left="0" w:leftChars="0" w:firstLine="0" w:firstLineChars="0"/>
        <w:jc w:val="center"/>
        <w:rPr>
          <w:highlight w:val="none"/>
        </w:rPr>
      </w:pPr>
      <w:r>
        <w:rPr>
          <w:rFonts w:hint="eastAsia" w:hAnsi="宋体" w:cs="宋体"/>
          <w:b/>
          <w:color w:val="auto"/>
          <w:kern w:val="0"/>
          <w:sz w:val="52"/>
          <w:szCs w:val="52"/>
          <w:highlight w:val="none"/>
          <w:lang w:eastAsia="zh-CN"/>
        </w:rPr>
        <w:t>滁州市第三污水处理厂分布式光伏工程设备采购项目</w:t>
      </w:r>
    </w:p>
    <w:p w14:paraId="2AAF52B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项目编号：HXJY1110001044904001</w:t>
      </w:r>
    </w:p>
    <w:p w14:paraId="307F53F6">
      <w:pPr>
        <w:pStyle w:val="2"/>
        <w:jc w:val="center"/>
        <w:rPr>
          <w:rFonts w:hint="default" w:eastAsia="宋体"/>
          <w:color w:val="auto"/>
          <w:highlight w:val="none"/>
          <w:lang w:val="en-US" w:eastAsia="zh-CN"/>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p>
    <w:p w14:paraId="57C971B3">
      <w:pPr>
        <w:pStyle w:val="2"/>
        <w:ind w:left="0" w:leftChars="0" w:firstLine="0" w:firstLineChars="0"/>
        <w:rPr>
          <w:highlight w:val="none"/>
        </w:rPr>
      </w:pPr>
    </w:p>
    <w:p w14:paraId="00CEC72B">
      <w:pPr>
        <w:rPr>
          <w:highlight w:val="none"/>
        </w:rPr>
      </w:pPr>
    </w:p>
    <w:p w14:paraId="0FB3EFCA">
      <w:pPr>
        <w:pStyle w:val="2"/>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5</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10</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20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79632527"/>
      <w:bookmarkStart w:id="14" w:name="_Toc144974479"/>
      <w:bookmarkStart w:id="15" w:name="_Toc152045511"/>
    </w:p>
    <w:p w14:paraId="3C53E9AE">
      <w:pPr>
        <w:pStyle w:val="31"/>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1"/>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p>
    <w:p w14:paraId="4117FED1">
      <w:pPr>
        <w:pStyle w:val="31"/>
        <w:tabs>
          <w:tab w:val="right" w:leader="dot" w:pos="946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20</w:t>
      </w:r>
    </w:p>
    <w:p w14:paraId="278F67BB">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2</w:t>
      </w:r>
    </w:p>
    <w:p w14:paraId="50BF535A">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1</w:t>
      </w:r>
    </w:p>
    <w:p w14:paraId="3AB8456F">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"_Toc95223525"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第</w:t>
      </w:r>
      <w:r>
        <w:rPr>
          <w:rStyle w:val="58"/>
          <w:rFonts w:hint="eastAsia" w:ascii="宋体" w:hAnsi="宋体" w:cs="宋体"/>
          <w:color w:val="000000"/>
          <w:kern w:val="44"/>
          <w:sz w:val="28"/>
          <w:highlight w:val="none"/>
          <w:lang w:val="en-US" w:eastAsia="zh-CN"/>
        </w:rPr>
        <w:t>六</w:t>
      </w:r>
      <w:r>
        <w:rPr>
          <w:rStyle w:val="58"/>
          <w:rFonts w:hint="eastAsia" w:ascii="宋体" w:hAnsi="宋体" w:cs="宋体"/>
          <w:color w:val="000000"/>
          <w:kern w:val="44"/>
          <w:sz w:val="28"/>
          <w:highlight w:val="none"/>
        </w:rPr>
        <w:t>章 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5</w:t>
      </w:r>
    </w:p>
    <w:p w14:paraId="7B73DFB9">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46</w:t>
      </w:r>
    </w:p>
    <w:p w14:paraId="63D8DA84">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"_Toc95223547"</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eastAsia="黑体"/>
          <w:color w:val="000000"/>
          <w:sz w:val="28"/>
          <w:highlight w:val="none"/>
        </w:rPr>
        <w:t>第</w:t>
      </w:r>
      <w:r>
        <w:rPr>
          <w:rStyle w:val="58"/>
          <w:rFonts w:hint="eastAsia" w:eastAsia="黑体"/>
          <w:color w:val="000000"/>
          <w:sz w:val="28"/>
          <w:highlight w:val="none"/>
          <w:lang w:val="en-US" w:eastAsia="zh-CN"/>
        </w:rPr>
        <w:t>八</w:t>
      </w:r>
      <w:r>
        <w:rPr>
          <w:rStyle w:val="58"/>
          <w:rFonts w:hint="eastAsia" w:eastAsia="黑体"/>
          <w:color w:val="000000"/>
          <w:sz w:val="28"/>
          <w:highlight w:val="none"/>
        </w:rPr>
        <w:t>章</w:t>
      </w:r>
      <w:r>
        <w:rPr>
          <w:rStyle w:val="58"/>
          <w:rFonts w:eastAsia="黑体"/>
          <w:color w:val="000000"/>
          <w:sz w:val="28"/>
          <w:highlight w:val="none"/>
        </w:rPr>
        <w:t xml:space="preserve"> </w:t>
      </w:r>
      <w:r>
        <w:rPr>
          <w:rStyle w:val="58"/>
          <w:rFonts w:hint="eastAsia" w:eastAsia="黑体"/>
          <w:color w:val="000000"/>
          <w:sz w:val="28"/>
          <w:highlight w:val="none"/>
        </w:rPr>
        <w:t xml:space="preserve"> 招标人、招标代理机构对本招标文件的确认</w:t>
      </w:r>
      <w:bookmarkStart w:id="17" w:name="_Hlt95223550"/>
      <w:bookmarkStart w:id="18" w:name="_Hlt95223551"/>
      <w:r>
        <w:rPr>
          <w:color w:val="000000"/>
          <w:sz w:val="28"/>
          <w:highlight w:val="none"/>
        </w:rPr>
        <w:tab/>
      </w:r>
      <w:bookmarkEnd w:id="17"/>
      <w:bookmarkEnd w:id="18"/>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8</w:t>
      </w:r>
    </w:p>
    <w:p w14:paraId="328C7EE3">
      <w:pPr>
        <w:pStyle w:val="31"/>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1"/>
        <w:tabs>
          <w:tab w:val="right" w:leader="dot" w:pos="946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3</w:t>
      </w:r>
    </w:p>
    <w:p w14:paraId="5052B2D4">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246996173"/>
      <w:bookmarkStart w:id="21" w:name="_Toc506107267"/>
      <w:bookmarkStart w:id="22" w:name="_Toc152042303"/>
      <w:bookmarkStart w:id="23" w:name="_Toc152045527"/>
      <w:bookmarkStart w:id="24" w:name="_Toc144974495"/>
      <w:bookmarkStart w:id="25" w:name="_Toc35424883"/>
      <w:bookmarkStart w:id="26" w:name="_Toc35425050"/>
      <w:bookmarkStart w:id="27" w:name="_Toc15058844"/>
      <w:bookmarkStart w:id="28" w:name="_Toc179632544"/>
      <w:bookmarkStart w:id="29" w:name="_Toc246996916"/>
      <w:bookmarkStart w:id="30" w:name="_Toc247085687"/>
      <w:bookmarkStart w:id="31" w:name="_Toc324404813"/>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滁州市第三污水处理厂分布式光伏工程设备采购项目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滁州市第三污水处理厂分布式光伏工程设备采购项目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cs="宋体"/>
                <w:color w:val="auto"/>
                <w:sz w:val="21"/>
                <w:szCs w:val="21"/>
                <w:highlight w:val="none"/>
                <w:lang w:eastAsia="zh-CN"/>
              </w:rPr>
              <w:t>滁州市第三污水处理厂</w:t>
            </w:r>
            <w:r>
              <w:rPr>
                <w:rFonts w:hint="eastAsia" w:hAnsi="宋体" w:cs="宋体"/>
                <w:color w:val="auto"/>
                <w:sz w:val="21"/>
                <w:szCs w:val="21"/>
                <w:highlight w:val="none"/>
                <w:lang w:eastAsia="zh-CN"/>
              </w:rPr>
              <w:t>，</w:t>
            </w:r>
            <w:r>
              <w:rPr>
                <w:rFonts w:hint="eastAsia" w:ascii="宋体" w:hAnsi="宋体" w:eastAsia="宋体" w:cs="宋体"/>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本项目利用滁州市第三污水处理厂区内办公楼、提升泵房、沉淀池、加药间、臭氧发生间、变配电间等建筑物屋顶空间铺设光伏组件，拟采用“自发自用、余电上网”模式并网，规划装机容量638.19kwp。</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约60万元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hAnsi="宋体" w:cs="宋体"/>
                <w:color w:val="auto"/>
                <w:szCs w:val="21"/>
                <w:highlight w:val="none"/>
                <w:lang w:val="en-US" w:eastAsia="zh-CN"/>
              </w:rPr>
              <w:t>招标文件和采购清单中</w:t>
            </w:r>
            <w:r>
              <w:rPr>
                <w:rFonts w:hint="eastAsia" w:ascii="宋体" w:hAnsi="宋体" w:cs="宋体"/>
                <w:color w:val="auto"/>
                <w:szCs w:val="21"/>
                <w:highlight w:val="none"/>
                <w:lang w:val="en-US" w:eastAsia="zh-CN"/>
              </w:rPr>
              <w:t>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设备采购</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highlight w:val="none"/>
                <w:lang w:val="en-US" w:eastAsia="zh-CN"/>
              </w:rPr>
              <w:t>具有独立承揽民事责任能力且具有</w:t>
            </w:r>
            <w:r>
              <w:rPr>
                <w:rFonts w:hint="eastAsia" w:ascii="宋体" w:hAnsi="宋体" w:eastAsia="宋体" w:cs="宋体"/>
                <w:highlight w:val="none"/>
                <w:lang w:val="en-US" w:eastAsia="zh-CN"/>
              </w:rPr>
              <w:t>相应供货和服务能力</w:t>
            </w:r>
            <w:r>
              <w:rPr>
                <w:rFonts w:hint="eastAsia" w:ascii="宋体" w:hAnsi="宋体" w:cs="宋体"/>
                <w:highlight w:val="none"/>
                <w:lang w:val="en-US" w:eastAsia="zh-CN"/>
              </w:rPr>
              <w:t>。</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20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27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请于公告发布之日起从滁州市城投工程咨询管理有限公司</w:t>
            </w:r>
            <w:r>
              <w:rPr>
                <w:rFonts w:hint="eastAsia" w:cs="Times New Roman"/>
                <w:highlight w:val="none"/>
                <w:lang w:val="en-US" w:eastAsia="zh-CN"/>
              </w:rPr>
              <w:t>网站</w:t>
            </w:r>
            <w:r>
              <w:rPr>
                <w:rFonts w:hint="eastAsia" w:ascii="Times New Roman" w:hAnsi="Times New Roman" w:eastAsia="宋体" w:cs="Times New Roman"/>
                <w:highlight w:val="none"/>
                <w:lang w:val="en-US" w:eastAsia="zh-CN"/>
              </w:rPr>
              <w:t>（https://www.czctgczx.com/）下载</w:t>
            </w:r>
            <w:r>
              <w:rPr>
                <w:rFonts w:hint="eastAsia" w:cs="Times New Roman"/>
                <w:highlight w:val="none"/>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方式：（1）投标人须登录新点电子交易平台【滁州专区】查询、获取</w:t>
            </w:r>
            <w:r>
              <w:rPr>
                <w:rFonts w:hint="eastAsia" w:cs="Times New Roman"/>
                <w:highlight w:val="none"/>
                <w:lang w:val="en-US" w:eastAsia="zh-CN"/>
              </w:rPr>
              <w:t>招标</w:t>
            </w:r>
            <w:r>
              <w:rPr>
                <w:rFonts w:hint="eastAsia" w:ascii="Times New Roman" w:hAnsi="Times New Roman" w:eastAsia="宋体" w:cs="Times New Roman"/>
                <w:highlight w:val="none"/>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1.1</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滁州市第三污水处理厂分布式光伏工程设备采购项目</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4"/>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506107268"/>
      <w:bookmarkStart w:id="34" w:name="_Toc246996917"/>
      <w:bookmarkStart w:id="35" w:name="_Toc179632545"/>
      <w:bookmarkStart w:id="36" w:name="_Toc246996174"/>
      <w:bookmarkStart w:id="37" w:name="_Toc144974496"/>
      <w:bookmarkStart w:id="38" w:name="_Toc324404814"/>
      <w:bookmarkStart w:id="39" w:name="_Toc152045528"/>
      <w:bookmarkStart w:id="40" w:name="_Toc152042304"/>
      <w:bookmarkStart w:id="41" w:name="_Toc247085688"/>
      <w:bookmarkStart w:id="42" w:name="_Toc35424884"/>
      <w:bookmarkStart w:id="43" w:name="_Toc15058845"/>
      <w:bookmarkStart w:id="44" w:name="_Toc35425051"/>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144974497"/>
            <w:bookmarkStart w:id="46" w:name="_Toc152042305"/>
            <w:bookmarkStart w:id="47" w:name="_Toc247085689"/>
            <w:bookmarkStart w:id="48" w:name="_Toc246996175"/>
            <w:bookmarkStart w:id="49" w:name="_Toc152045529"/>
            <w:bookmarkStart w:id="50" w:name="_Toc179632546"/>
            <w:bookmarkStart w:id="51" w:name="_Toc246996918"/>
            <w:bookmarkStart w:id="52" w:name="_Toc324404815"/>
            <w:bookmarkStart w:id="53" w:name="_Toc506107269"/>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不高于15个日历天</w:t>
            </w:r>
            <w:r>
              <w:rPr>
                <w:rFonts w:hint="eastAsia" w:ascii="宋体" w:hAnsi="宋体" w:cs="宋体"/>
                <w:color w:val="auto"/>
                <w:sz w:val="21"/>
                <w:szCs w:val="21"/>
                <w:highlight w:val="none"/>
                <w:lang w:eastAsia="zh-CN"/>
              </w:rPr>
              <w:t>。</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val="en-US" w:eastAsia="zh-CN"/>
              </w:rPr>
              <w:t>供货</w:t>
            </w:r>
            <w:r>
              <w:rPr>
                <w:rFonts w:hint="eastAsia" w:ascii="宋体" w:hAnsi="宋体" w:cs="宋体"/>
                <w:color w:val="auto"/>
                <w:sz w:val="21"/>
                <w:szCs w:val="21"/>
                <w:highlight w:val="none"/>
              </w:rPr>
              <w:t>日期：双方签订合同时明确</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详见</w:t>
            </w: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 技术标准和要求</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2"/>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22</w:t>
            </w:r>
            <w:r>
              <w:rPr>
                <w:rFonts w:hint="eastAsia" w:ascii="宋体" w:hAnsi="宋体" w:eastAsia="宋体" w:cs="宋体"/>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23</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eastAsia="宋体" w:cs="宋体"/>
                <w:color w:val="auto"/>
                <w:sz w:val="21"/>
                <w:szCs w:val="21"/>
                <w:highlight w:val="none"/>
                <w:lang w:val="en-US" w:eastAsia="zh-CN"/>
              </w:rPr>
              <w:t>光伏组件综合单价最高限价：0.77</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/W；光伏逆变器综合单价最高限价：0.18元/W。</w:t>
            </w:r>
            <w:r>
              <w:rPr>
                <w:rFonts w:hint="eastAsia" w:ascii="宋体" w:hAnsi="宋体" w:eastAsia="宋体" w:cs="宋体"/>
                <w:color w:val="auto"/>
                <w:kern w:val="0"/>
                <w:sz w:val="21"/>
                <w:szCs w:val="21"/>
                <w:highlight w:val="none"/>
                <w:lang w:val="en-US" w:eastAsia="zh-CN"/>
              </w:rPr>
              <w:t>投标报价高于或等于最高限价的，按无效投标处理。</w:t>
            </w:r>
          </w:p>
          <w:p w14:paraId="62B51156">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p w14:paraId="0E676924">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最终结算方式=按照项目通过竣工验收且实际并网发电的装机容量*</w:t>
            </w:r>
            <w:r>
              <w:rPr>
                <w:rFonts w:hint="eastAsia" w:ascii="宋体" w:hAnsi="宋体" w:eastAsia="宋体" w:cs="宋体"/>
                <w:color w:val="auto"/>
                <w:sz w:val="21"/>
                <w:szCs w:val="21"/>
                <w:highlight w:val="none"/>
                <w:lang w:val="en-US" w:eastAsia="zh-CN"/>
              </w:rPr>
              <w:t>光伏组件综合单价</w:t>
            </w:r>
            <w:r>
              <w:rPr>
                <w:rFonts w:hint="eastAsia" w:ascii="宋体" w:hAnsi="宋体" w:eastAsia="宋体" w:cs="宋体"/>
                <w:color w:val="auto"/>
                <w:kern w:val="0"/>
                <w:sz w:val="21"/>
                <w:szCs w:val="21"/>
                <w:highlight w:val="none"/>
                <w:lang w:val="en-US" w:eastAsia="zh-CN"/>
              </w:rPr>
              <w:t>（含税）+按照项目通过竣工验收且实际并网发电的装机容量*</w:t>
            </w:r>
            <w:r>
              <w:rPr>
                <w:rFonts w:hint="eastAsia" w:ascii="宋体" w:hAnsi="宋体" w:eastAsia="宋体" w:cs="宋体"/>
                <w:color w:val="auto"/>
                <w:sz w:val="21"/>
                <w:szCs w:val="21"/>
                <w:highlight w:val="none"/>
                <w:lang w:val="en-US" w:eastAsia="zh-CN"/>
              </w:rPr>
              <w:t>光伏逆变器综合单价</w:t>
            </w:r>
            <w:r>
              <w:rPr>
                <w:rFonts w:hint="eastAsia" w:ascii="宋体" w:hAnsi="宋体" w:eastAsia="宋体" w:cs="宋体"/>
                <w:color w:val="auto"/>
                <w:kern w:val="0"/>
                <w:sz w:val="21"/>
                <w:szCs w:val="21"/>
                <w:highlight w:val="none"/>
                <w:lang w:val="en-US" w:eastAsia="zh-CN"/>
              </w:rPr>
              <w:t>（含税）</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27</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27</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27</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cs="宋体"/>
                <w:color w:val="auto"/>
                <w:highlight w:val="none"/>
                <w:lang w:val="en-US" w:eastAsia="zh-CN"/>
              </w:rPr>
              <w:t>全容量组件和逆变器到货进场后，经招标人、中标人、监理单位、施工单位四方开箱检验、交货验收</w:t>
            </w:r>
            <w:r>
              <w:rPr>
                <w:rFonts w:hint="eastAsia" w:ascii="宋体" w:hAnsi="宋体" w:cs="宋体"/>
                <w:color w:val="auto"/>
                <w:highlight w:val="none"/>
              </w:rPr>
              <w:t>合格</w:t>
            </w:r>
            <w:r>
              <w:rPr>
                <w:rFonts w:hint="eastAsia" w:ascii="宋体" w:hAnsi="宋体" w:cs="宋体"/>
                <w:color w:val="auto"/>
                <w:highlight w:val="none"/>
                <w:lang w:val="en-US" w:eastAsia="zh-CN"/>
              </w:rPr>
              <w:t>后支付合同价款</w:t>
            </w:r>
            <w:r>
              <w:rPr>
                <w:rFonts w:hint="eastAsia" w:ascii="宋体" w:hAnsi="宋体" w:cs="宋体"/>
                <w:color w:val="auto"/>
                <w:highlight w:val="none"/>
              </w:rPr>
              <w:t>的</w:t>
            </w:r>
            <w:r>
              <w:rPr>
                <w:rFonts w:hint="eastAsia" w:ascii="宋体" w:hAnsi="宋体" w:cs="宋体"/>
                <w:color w:val="auto"/>
                <w:highlight w:val="none"/>
                <w:lang w:val="en-US" w:eastAsia="zh-CN"/>
              </w:rPr>
              <w:t>8</w:t>
            </w:r>
            <w:r>
              <w:rPr>
                <w:rFonts w:hint="eastAsia" w:ascii="宋体" w:hAnsi="宋体" w:cs="宋体"/>
                <w:color w:val="auto"/>
                <w:highlight w:val="none"/>
              </w:rPr>
              <w:t>0%；竣工验收后，</w:t>
            </w:r>
            <w:r>
              <w:rPr>
                <w:rFonts w:hint="eastAsia" w:ascii="宋体" w:hAnsi="宋体" w:cs="宋体"/>
                <w:color w:val="auto"/>
                <w:highlight w:val="none"/>
                <w:lang w:val="en-US" w:eastAsia="zh-CN"/>
              </w:rPr>
              <w:t>并</w:t>
            </w:r>
            <w:r>
              <w:rPr>
                <w:rFonts w:hint="eastAsia" w:ascii="宋体" w:hAnsi="宋体" w:cs="宋体"/>
                <w:color w:val="auto"/>
                <w:highlight w:val="none"/>
              </w:rPr>
              <w:t>经</w:t>
            </w:r>
            <w:r>
              <w:rPr>
                <w:rFonts w:hint="eastAsia" w:ascii="宋体" w:hAnsi="宋体" w:cs="宋体"/>
                <w:color w:val="auto"/>
                <w:highlight w:val="none"/>
                <w:lang w:val="en-US" w:eastAsia="zh-CN"/>
              </w:rPr>
              <w:t>审计</w:t>
            </w:r>
            <w:r>
              <w:rPr>
                <w:rFonts w:hint="eastAsia" w:ascii="宋体" w:hAnsi="宋体" w:cs="宋体"/>
                <w:color w:val="auto"/>
                <w:highlight w:val="none"/>
              </w:rPr>
              <w:t>结算</w:t>
            </w:r>
            <w:r>
              <w:rPr>
                <w:rFonts w:hint="eastAsia" w:ascii="宋体" w:hAnsi="宋体" w:cs="宋体"/>
                <w:color w:val="auto"/>
                <w:highlight w:val="none"/>
                <w:lang w:val="en-US" w:eastAsia="zh-CN"/>
              </w:rPr>
              <w:t>后</w:t>
            </w:r>
            <w:r>
              <w:rPr>
                <w:rFonts w:hint="eastAsia" w:ascii="宋体" w:hAnsi="宋体" w:cs="宋体"/>
                <w:color w:val="auto"/>
                <w:highlight w:val="none"/>
              </w:rPr>
              <w:t>支付到结算价款的</w:t>
            </w:r>
            <w:r>
              <w:rPr>
                <w:rFonts w:hint="eastAsia" w:ascii="宋体" w:hAnsi="宋体" w:cs="宋体"/>
                <w:color w:val="auto"/>
                <w:highlight w:val="none"/>
                <w:lang w:val="en-US" w:eastAsia="zh-CN"/>
              </w:rPr>
              <w:t>90</w:t>
            </w:r>
            <w:r>
              <w:rPr>
                <w:rFonts w:hint="eastAsia" w:ascii="宋体" w:hAnsi="宋体" w:cs="宋体"/>
                <w:color w:val="auto"/>
                <w:highlight w:val="none"/>
              </w:rPr>
              <w:t>%</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剩余</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在产品</w:t>
            </w:r>
            <w:r>
              <w:rPr>
                <w:rFonts w:hint="eastAsia" w:ascii="宋体" w:hAnsi="宋体" w:eastAsia="宋体" w:cs="宋体"/>
                <w:color w:val="auto"/>
                <w:szCs w:val="21"/>
                <w:highlight w:val="none"/>
                <w:lang w:val="en-US" w:eastAsia="zh-CN"/>
              </w:rPr>
              <w:t xml:space="preserve">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4500</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w:t>
            </w:r>
            <w:r>
              <w:rPr>
                <w:rFonts w:hint="eastAsia" w:ascii="宋体" w:cs="Times New Roman"/>
                <w:color w:val="auto"/>
                <w:sz w:val="21"/>
                <w:szCs w:val="21"/>
                <w:highlight w:val="none"/>
                <w:lang w:val="en-US" w:eastAsia="zh-CN"/>
              </w:rPr>
              <w:t>履约</w:t>
            </w:r>
            <w:r>
              <w:rPr>
                <w:rFonts w:hint="eastAsia" w:ascii="宋体" w:hAnsi="Times New Roman" w:eastAsia="宋体" w:cs="Times New Roman"/>
                <w:color w:val="auto"/>
                <w:sz w:val="21"/>
                <w:szCs w:val="21"/>
                <w:highlight w:val="none"/>
              </w:rPr>
              <w:t>过程中不具有限定性。</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rPr>
              <w:t>、</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bookmarkStart w:id="54" w:name="_Toc35425053"/>
            <w:bookmarkStart w:id="55" w:name="_Toc35424887"/>
            <w:bookmarkStart w:id="56" w:name="_Toc15058846"/>
            <w:bookmarkStart w:id="57" w:name="_Toc5813"/>
            <w:bookmarkStart w:id="58" w:name="_Toc78803322"/>
            <w:r>
              <w:rPr>
                <w:rFonts w:hint="eastAsia" w:ascii="宋体" w:hAnsi="宋体" w:cs="宋体"/>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highlight w:val="none"/>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7"/>
        <w:ind w:firstLine="422" w:firstLineChars="200"/>
        <w:rPr>
          <w:rFonts w:ascii="宋体" w:hAnsi="宋体" w:eastAsia="宋体" w:cs="宋体"/>
          <w:kern w:val="44"/>
          <w:highlight w:val="none"/>
        </w:rPr>
      </w:pPr>
      <w:bookmarkStart w:id="59" w:name="_Toc144974498"/>
      <w:bookmarkStart w:id="60" w:name="_Toc246996919"/>
      <w:bookmarkStart w:id="61" w:name="_Toc35424888"/>
      <w:bookmarkStart w:id="62" w:name="_Toc179632547"/>
      <w:bookmarkStart w:id="63" w:name="_Toc247085690"/>
      <w:bookmarkStart w:id="64" w:name="_Toc78803323"/>
      <w:bookmarkStart w:id="65" w:name="_Toc324404816"/>
      <w:bookmarkStart w:id="66" w:name="_Toc4678"/>
      <w:bookmarkStart w:id="67" w:name="_Toc246996176"/>
      <w:bookmarkStart w:id="68" w:name="_Toc506107270"/>
      <w:bookmarkStart w:id="69" w:name="_Toc35425054"/>
      <w:bookmarkStart w:id="70" w:name="_Toc296602421"/>
      <w:bookmarkStart w:id="71" w:name="_Toc152042306"/>
      <w:bookmarkStart w:id="72" w:name="_Toc15058847"/>
      <w:bookmarkStart w:id="73" w:name="_Toc152045530"/>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7"/>
        <w:ind w:firstLine="422" w:firstLineChars="200"/>
        <w:rPr>
          <w:rFonts w:ascii="宋体" w:hAnsi="宋体" w:eastAsia="宋体" w:cs="宋体"/>
          <w:highlight w:val="none"/>
        </w:rPr>
      </w:pPr>
      <w:bookmarkStart w:id="74" w:name="_Toc152042307"/>
      <w:bookmarkStart w:id="75" w:name="_Toc247085691"/>
      <w:bookmarkStart w:id="76" w:name="_Toc144974499"/>
      <w:bookmarkStart w:id="77" w:name="_Toc506107271"/>
      <w:bookmarkStart w:id="78" w:name="_Toc296602422"/>
      <w:bookmarkStart w:id="79" w:name="_Toc35425055"/>
      <w:bookmarkStart w:id="80" w:name="_Toc246996920"/>
      <w:bookmarkStart w:id="81" w:name="_Toc35424889"/>
      <w:bookmarkStart w:id="82" w:name="_Toc7142"/>
      <w:bookmarkStart w:id="83" w:name="_Toc179632548"/>
      <w:bookmarkStart w:id="84" w:name="_Toc78803324"/>
      <w:bookmarkStart w:id="85" w:name="_Toc324404817"/>
      <w:bookmarkStart w:id="86" w:name="_Toc152045531"/>
      <w:bookmarkStart w:id="87" w:name="_Toc15058848"/>
      <w:bookmarkStart w:id="88" w:name="_Toc246996177"/>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7"/>
        <w:ind w:firstLine="422" w:firstLineChars="200"/>
        <w:rPr>
          <w:rFonts w:ascii="宋体" w:hAnsi="宋体" w:eastAsia="宋体" w:cs="宋体"/>
          <w:highlight w:val="none"/>
        </w:rPr>
      </w:pPr>
      <w:bookmarkStart w:id="89" w:name="_Toc35425056"/>
      <w:bookmarkStart w:id="90" w:name="_Toc296602423"/>
      <w:bookmarkStart w:id="91" w:name="_Toc179632549"/>
      <w:bookmarkStart w:id="92" w:name="_Toc35424890"/>
      <w:bookmarkStart w:id="93" w:name="_Toc246996178"/>
      <w:bookmarkStart w:id="94" w:name="_Toc324404818"/>
      <w:bookmarkStart w:id="95" w:name="_Toc15058849"/>
      <w:bookmarkStart w:id="96" w:name="_Toc247085692"/>
      <w:bookmarkStart w:id="97" w:name="_Toc6330"/>
      <w:bookmarkStart w:id="98" w:name="_Toc246996921"/>
      <w:bookmarkStart w:id="99" w:name="_Toc506107272"/>
      <w:bookmarkStart w:id="100" w:name="_Toc78803325"/>
      <w:bookmarkStart w:id="101" w:name="_Toc144974500"/>
      <w:bookmarkStart w:id="102" w:name="_Toc152042308"/>
      <w:bookmarkStart w:id="103" w:name="_Toc152045532"/>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供货</w:t>
      </w:r>
      <w:r>
        <w:rPr>
          <w:rFonts w:hint="eastAsia" w:ascii="宋体" w:hAnsi="宋体" w:cs="宋体"/>
          <w:szCs w:val="21"/>
          <w:highlight w:val="none"/>
        </w:rPr>
        <w:t>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7"/>
        <w:ind w:firstLine="422" w:firstLineChars="200"/>
        <w:rPr>
          <w:rFonts w:ascii="宋体" w:hAnsi="宋体" w:eastAsia="宋体" w:cs="宋体"/>
          <w:highlight w:val="none"/>
        </w:rPr>
      </w:pPr>
      <w:bookmarkStart w:id="104" w:name="_Toc144974502"/>
      <w:bookmarkStart w:id="105" w:name="_Toc179632551"/>
      <w:bookmarkStart w:id="106" w:name="_Toc15058850"/>
      <w:bookmarkStart w:id="107" w:name="_Toc324404819"/>
      <w:bookmarkStart w:id="108" w:name="_Toc246996179"/>
      <w:bookmarkStart w:id="109" w:name="_Toc506107273"/>
      <w:bookmarkStart w:id="110" w:name="_Toc152045534"/>
      <w:bookmarkStart w:id="111" w:name="_Toc247085693"/>
      <w:bookmarkStart w:id="112" w:name="_Toc246996922"/>
      <w:bookmarkStart w:id="113" w:name="_Toc35425057"/>
      <w:bookmarkStart w:id="114" w:name="_Toc26897"/>
      <w:bookmarkStart w:id="115" w:name="_Toc152042310"/>
      <w:bookmarkStart w:id="116" w:name="_Toc78803326"/>
      <w:bookmarkStart w:id="117" w:name="_Toc35424891"/>
      <w:bookmarkStart w:id="118" w:name="_Toc296602424"/>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506107274"/>
      <w:bookmarkStart w:id="120" w:name="_Toc78803327"/>
      <w:bookmarkStart w:id="121" w:name="_Toc35425058"/>
      <w:bookmarkStart w:id="122" w:name="_Toc144974503"/>
      <w:bookmarkStart w:id="123" w:name="_Toc152045535"/>
      <w:bookmarkStart w:id="124" w:name="_Toc324404820"/>
      <w:bookmarkStart w:id="125" w:name="_Toc246996180"/>
      <w:bookmarkStart w:id="126" w:name="_Toc152042311"/>
      <w:bookmarkStart w:id="127" w:name="_Toc10179"/>
      <w:bookmarkStart w:id="128" w:name="_Toc296602425"/>
      <w:bookmarkStart w:id="129" w:name="_Toc247085694"/>
      <w:bookmarkStart w:id="130" w:name="_Toc35424892"/>
      <w:bookmarkStart w:id="131" w:name="_Toc15058851"/>
      <w:bookmarkStart w:id="132" w:name="_Toc246996923"/>
      <w:bookmarkStart w:id="133" w:name="_Toc179632552"/>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7"/>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7"/>
        <w:ind w:firstLine="422" w:firstLineChars="200"/>
        <w:rPr>
          <w:rFonts w:ascii="宋体" w:hAnsi="宋体" w:eastAsia="宋体" w:cs="宋体"/>
          <w:highlight w:val="none"/>
        </w:rPr>
      </w:pPr>
      <w:bookmarkStart w:id="134" w:name="_Toc152045536"/>
      <w:bookmarkStart w:id="135" w:name="_Toc296602426"/>
      <w:bookmarkStart w:id="136" w:name="_Toc15058852"/>
      <w:bookmarkStart w:id="137" w:name="_Toc35424893"/>
      <w:bookmarkStart w:id="138" w:name="_Toc179632553"/>
      <w:bookmarkStart w:id="139" w:name="_Toc78803328"/>
      <w:bookmarkStart w:id="140" w:name="_Toc4092"/>
      <w:bookmarkStart w:id="141" w:name="_Toc144974504"/>
      <w:bookmarkStart w:id="142" w:name="_Toc247085695"/>
      <w:bookmarkStart w:id="143" w:name="_Toc246996181"/>
      <w:bookmarkStart w:id="144" w:name="_Toc324404821"/>
      <w:bookmarkStart w:id="145" w:name="_Toc246996924"/>
      <w:bookmarkStart w:id="146" w:name="_Toc152042312"/>
      <w:bookmarkStart w:id="147" w:name="_Toc506107275"/>
      <w:bookmarkStart w:id="148" w:name="_Toc35425059"/>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7"/>
        <w:ind w:firstLine="422" w:firstLineChars="200"/>
        <w:rPr>
          <w:rFonts w:ascii="宋体" w:hAnsi="宋体" w:eastAsia="宋体" w:cs="宋体"/>
          <w:highlight w:val="none"/>
        </w:rPr>
      </w:pPr>
      <w:bookmarkStart w:id="149" w:name="_Toc144974505"/>
      <w:bookmarkStart w:id="150" w:name="_Toc296602427"/>
      <w:bookmarkStart w:id="151" w:name="_Toc247085696"/>
      <w:bookmarkStart w:id="152" w:name="_Toc152042313"/>
      <w:bookmarkStart w:id="153" w:name="_Toc152045537"/>
      <w:bookmarkStart w:id="154" w:name="_Toc246996925"/>
      <w:bookmarkStart w:id="155" w:name="_Toc506107276"/>
      <w:bookmarkStart w:id="156" w:name="_Toc78803329"/>
      <w:bookmarkStart w:id="157" w:name="_Toc35425060"/>
      <w:bookmarkStart w:id="158" w:name="_Toc179632554"/>
      <w:bookmarkStart w:id="159" w:name="_Toc324404822"/>
      <w:bookmarkStart w:id="160" w:name="_Toc35424894"/>
      <w:bookmarkStart w:id="161" w:name="_Toc4119"/>
      <w:bookmarkStart w:id="162" w:name="_Toc246996182"/>
      <w:bookmarkStart w:id="163" w:name="_Toc15058853"/>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6996183"/>
      <w:bookmarkStart w:id="165" w:name="_Toc152042314"/>
      <w:bookmarkStart w:id="166" w:name="_Toc144974506"/>
      <w:bookmarkStart w:id="167" w:name="_Toc179632555"/>
      <w:bookmarkStart w:id="168" w:name="_Toc247085697"/>
      <w:bookmarkStart w:id="169" w:name="_Toc152045538"/>
      <w:bookmarkStart w:id="170" w:name="_Toc246996926"/>
      <w:r>
        <w:rPr>
          <w:rFonts w:hint="eastAsia" w:ascii="宋体" w:hAnsi="宋体" w:cs="宋体"/>
          <w:szCs w:val="21"/>
          <w:highlight w:val="none"/>
        </w:rPr>
        <w:t>招标投标文件使用的语言文字为中文。专用术语使用外文的，应附有中文注释。</w:t>
      </w:r>
    </w:p>
    <w:p w14:paraId="07887133">
      <w:pPr>
        <w:pStyle w:val="7"/>
        <w:ind w:firstLine="422" w:firstLineChars="200"/>
        <w:rPr>
          <w:rFonts w:ascii="宋体" w:hAnsi="宋体" w:eastAsia="宋体" w:cs="宋体"/>
          <w:highlight w:val="none"/>
        </w:rPr>
      </w:pPr>
      <w:bookmarkStart w:id="171" w:name="_Toc296602428"/>
      <w:bookmarkStart w:id="172" w:name="_Toc35425061"/>
      <w:bookmarkStart w:id="173" w:name="_Toc13408"/>
      <w:bookmarkStart w:id="174" w:name="_Toc78803330"/>
      <w:bookmarkStart w:id="175" w:name="_Toc324404823"/>
      <w:bookmarkStart w:id="176" w:name="_Toc15058854"/>
      <w:bookmarkStart w:id="177" w:name="_Toc506107277"/>
      <w:bookmarkStart w:id="178" w:name="_Toc35424895"/>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7"/>
        <w:ind w:firstLine="422" w:firstLineChars="200"/>
        <w:rPr>
          <w:rFonts w:ascii="宋体" w:hAnsi="宋体" w:eastAsia="宋体" w:cs="宋体"/>
          <w:highlight w:val="none"/>
        </w:rPr>
      </w:pPr>
      <w:bookmarkStart w:id="179" w:name="_Toc35424896"/>
      <w:bookmarkStart w:id="180" w:name="_Toc152042315"/>
      <w:bookmarkStart w:id="181" w:name="_Toc11493"/>
      <w:bookmarkStart w:id="182" w:name="_Toc247513962"/>
      <w:bookmarkStart w:id="183" w:name="_Toc15058855"/>
      <w:bookmarkStart w:id="184" w:name="_Toc144974507"/>
      <w:bookmarkStart w:id="185" w:name="_Toc247592876"/>
      <w:bookmarkStart w:id="186" w:name="_Toc247527563"/>
      <w:bookmarkStart w:id="187" w:name="_Toc324404824"/>
      <w:bookmarkStart w:id="188" w:name="_Toc296602429"/>
      <w:bookmarkStart w:id="189" w:name="_Toc506107278"/>
      <w:bookmarkStart w:id="190" w:name="_Toc35425062"/>
      <w:bookmarkStart w:id="191" w:name="_Toc78803331"/>
      <w:bookmarkStart w:id="192" w:name="_Toc152045539"/>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247527564"/>
      <w:bookmarkStart w:id="194" w:name="_Toc247592877"/>
      <w:bookmarkStart w:id="195" w:name="_Toc152042316"/>
      <w:bookmarkStart w:id="196" w:name="_Toc247513963"/>
      <w:bookmarkStart w:id="197" w:name="_Toc15058856"/>
      <w:bookmarkStart w:id="198" w:name="_Toc35425063"/>
      <w:bookmarkStart w:id="199" w:name="_Toc78803332"/>
      <w:bookmarkStart w:id="200" w:name="_Toc144974508"/>
      <w:bookmarkStart w:id="201" w:name="_Toc296602430"/>
      <w:bookmarkStart w:id="202" w:name="_Toc35424897"/>
      <w:bookmarkStart w:id="203" w:name="_Toc506107279"/>
      <w:bookmarkStart w:id="204" w:name="_Toc22954"/>
      <w:bookmarkStart w:id="205" w:name="_Toc324404825"/>
      <w:bookmarkStart w:id="206" w:name="_Toc152045540"/>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7"/>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60061444"/>
      <w:bookmarkStart w:id="209" w:name="_Toc83301699"/>
      <w:bookmarkStart w:id="210" w:name="_Toc324404826"/>
      <w:bookmarkStart w:id="211" w:name="_Toc35424898"/>
      <w:bookmarkStart w:id="212" w:name="_Toc296602431"/>
      <w:bookmarkStart w:id="213" w:name="_Toc506107280"/>
      <w:bookmarkStart w:id="214" w:name="_Toc15058857"/>
      <w:bookmarkStart w:id="215" w:name="_Toc78803333"/>
      <w:bookmarkStart w:id="216" w:name="_Toc32016"/>
      <w:bookmarkStart w:id="217" w:name="_Toc35425064"/>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7"/>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7"/>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7"/>
        <w:spacing w:beforeLines="50" w:afterLines="50"/>
        <w:ind w:firstLine="482" w:firstLineChars="200"/>
        <w:rPr>
          <w:rFonts w:ascii="宋体" w:hAnsi="宋体" w:eastAsia="宋体" w:cs="宋体"/>
          <w:sz w:val="24"/>
          <w:szCs w:val="24"/>
          <w:highlight w:val="none"/>
        </w:rPr>
      </w:pPr>
      <w:bookmarkStart w:id="218" w:name="_Toc506107281"/>
      <w:bookmarkStart w:id="219" w:name="_Toc15058858"/>
      <w:bookmarkStart w:id="220" w:name="_Toc35424899"/>
      <w:bookmarkStart w:id="221" w:name="_Toc246996930"/>
      <w:bookmarkStart w:id="222" w:name="_Toc152042318"/>
      <w:bookmarkStart w:id="223" w:name="_Toc324404827"/>
      <w:bookmarkStart w:id="224" w:name="_Toc246996187"/>
      <w:bookmarkStart w:id="225" w:name="_Toc78803334"/>
      <w:bookmarkStart w:id="226" w:name="_Toc4012"/>
      <w:bookmarkStart w:id="227" w:name="_Toc179632560"/>
      <w:bookmarkStart w:id="228" w:name="_Toc247085701"/>
      <w:bookmarkStart w:id="229" w:name="_Toc144974510"/>
      <w:bookmarkStart w:id="230" w:name="_Toc35425065"/>
      <w:bookmarkStart w:id="231" w:name="_Toc152045542"/>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7"/>
        <w:ind w:firstLine="422" w:firstLineChars="200"/>
        <w:rPr>
          <w:rFonts w:ascii="宋体" w:hAnsi="宋体" w:eastAsia="宋体" w:cs="宋体"/>
          <w:highlight w:val="none"/>
        </w:rPr>
      </w:pPr>
      <w:bookmarkStart w:id="232" w:name="_Toc246996931"/>
      <w:bookmarkStart w:id="233" w:name="_Toc506107282"/>
      <w:bookmarkStart w:id="234" w:name="_Toc246996188"/>
      <w:bookmarkStart w:id="235" w:name="_Toc247085702"/>
      <w:bookmarkStart w:id="236" w:name="_Toc78803335"/>
      <w:bookmarkStart w:id="237" w:name="_Toc13213"/>
      <w:bookmarkStart w:id="238" w:name="_Toc296602433"/>
      <w:bookmarkStart w:id="239" w:name="_Toc324404828"/>
      <w:bookmarkStart w:id="240" w:name="_Toc35424900"/>
      <w:bookmarkStart w:id="241" w:name="_Toc35425066"/>
      <w:bookmarkStart w:id="242" w:name="_Toc15058859"/>
      <w:bookmarkStart w:id="243" w:name="_Toc144974511"/>
      <w:bookmarkStart w:id="244" w:name="_Toc179632561"/>
      <w:bookmarkStart w:id="245" w:name="_Toc152042319"/>
      <w:bookmarkStart w:id="246" w:name="_Toc152045543"/>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7"/>
        <w:ind w:firstLine="422" w:firstLineChars="200"/>
        <w:rPr>
          <w:rFonts w:hint="eastAsia" w:ascii="宋体" w:hAnsi="宋体" w:eastAsia="宋体" w:cs="宋体"/>
          <w:highlight w:val="none"/>
        </w:rPr>
      </w:pPr>
      <w:bookmarkStart w:id="247" w:name="_Toc78803336"/>
      <w:bookmarkStart w:id="248" w:name="_Toc15058860"/>
      <w:bookmarkStart w:id="249" w:name="_Toc144974512"/>
      <w:bookmarkStart w:id="250" w:name="_Toc179632562"/>
      <w:bookmarkStart w:id="251" w:name="_Toc35425067"/>
      <w:bookmarkStart w:id="252" w:name="_Toc32239"/>
      <w:bookmarkStart w:id="253" w:name="_Toc324404829"/>
      <w:bookmarkStart w:id="254" w:name="_Toc506107283"/>
      <w:bookmarkStart w:id="255" w:name="_Toc152042320"/>
      <w:bookmarkStart w:id="256" w:name="_Toc296602434"/>
      <w:bookmarkStart w:id="257" w:name="_Toc246996189"/>
      <w:bookmarkStart w:id="258" w:name="_Toc247085703"/>
      <w:bookmarkStart w:id="259" w:name="_Toc35424901"/>
      <w:bookmarkStart w:id="260" w:name="_Toc152045544"/>
      <w:bookmarkStart w:id="261" w:name="_Toc246996932"/>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7"/>
        <w:ind w:firstLine="422" w:firstLineChars="200"/>
        <w:rPr>
          <w:rFonts w:hint="eastAsia" w:ascii="宋体" w:hAnsi="宋体" w:eastAsia="宋体" w:cs="宋体"/>
          <w:highlight w:val="none"/>
          <w:lang w:eastAsia="zh-CN"/>
        </w:rPr>
      </w:pPr>
      <w:bookmarkStart w:id="262" w:name="_Toc246996190"/>
      <w:bookmarkStart w:id="263" w:name="_Toc324404830"/>
      <w:bookmarkStart w:id="264" w:name="_Toc152042321"/>
      <w:bookmarkStart w:id="265" w:name="_Toc144974513"/>
      <w:bookmarkStart w:id="266" w:name="_Toc15058861"/>
      <w:bookmarkStart w:id="267" w:name="_Toc35425068"/>
      <w:bookmarkStart w:id="268" w:name="_Toc247085704"/>
      <w:bookmarkStart w:id="269" w:name="_Toc78803337"/>
      <w:bookmarkStart w:id="270" w:name="_Toc24633"/>
      <w:bookmarkStart w:id="271" w:name="_Toc179632563"/>
      <w:bookmarkStart w:id="272" w:name="_Toc506107284"/>
      <w:bookmarkStart w:id="273" w:name="_Toc152045545"/>
      <w:bookmarkStart w:id="274" w:name="_Toc35424902"/>
      <w:bookmarkStart w:id="275" w:name="_Toc246996933"/>
      <w:bookmarkStart w:id="276" w:name="_Toc296602435"/>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5425069"/>
      <w:bookmarkStart w:id="278" w:name="_Toc78803338"/>
      <w:bookmarkStart w:id="279" w:name="_Toc324404831"/>
      <w:bookmarkStart w:id="280" w:name="_Toc35424903"/>
      <w:bookmarkStart w:id="281" w:name="_Toc2696"/>
      <w:bookmarkStart w:id="282" w:name="_Toc15058862"/>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7"/>
        <w:spacing w:beforeLines="50" w:afterLines="50"/>
        <w:ind w:firstLine="482" w:firstLineChars="200"/>
        <w:rPr>
          <w:rFonts w:ascii="宋体" w:hAnsi="宋体" w:eastAsia="宋体" w:cs="宋体"/>
          <w:sz w:val="24"/>
          <w:szCs w:val="24"/>
          <w:highlight w:val="none"/>
        </w:rPr>
      </w:pPr>
      <w:bookmarkStart w:id="283" w:name="_Toc506107285"/>
      <w:bookmarkStart w:id="284" w:name="_Toc144974514"/>
      <w:bookmarkStart w:id="285" w:name="_Toc35425070"/>
      <w:bookmarkStart w:id="286" w:name="_Toc246996191"/>
      <w:bookmarkStart w:id="287" w:name="_Toc15058863"/>
      <w:bookmarkStart w:id="288" w:name="_Toc246996934"/>
      <w:bookmarkStart w:id="289" w:name="_Toc324404832"/>
      <w:bookmarkStart w:id="290" w:name="_Toc78803339"/>
      <w:bookmarkStart w:id="291" w:name="_Toc35424904"/>
      <w:bookmarkStart w:id="292" w:name="_Toc152042322"/>
      <w:bookmarkStart w:id="293" w:name="_Toc247085705"/>
      <w:bookmarkStart w:id="294" w:name="_Toc6464"/>
      <w:bookmarkStart w:id="295" w:name="_Toc152045546"/>
      <w:bookmarkStart w:id="296" w:name="_Toc17963256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7"/>
        <w:ind w:firstLine="422" w:firstLineChars="200"/>
        <w:rPr>
          <w:rFonts w:ascii="宋体" w:hAnsi="宋体" w:eastAsia="宋体" w:cs="宋体"/>
          <w:highlight w:val="none"/>
        </w:rPr>
      </w:pPr>
      <w:bookmarkStart w:id="297" w:name="_Toc35425071"/>
      <w:bookmarkStart w:id="298" w:name="_Toc15058864"/>
      <w:bookmarkStart w:id="299" w:name="_Toc324404833"/>
      <w:bookmarkStart w:id="300" w:name="_Toc247085706"/>
      <w:bookmarkStart w:id="301" w:name="_Toc144974515"/>
      <w:bookmarkStart w:id="302" w:name="_Toc179632565"/>
      <w:bookmarkStart w:id="303" w:name="_Toc78803340"/>
      <w:bookmarkStart w:id="304" w:name="_Toc157"/>
      <w:bookmarkStart w:id="305" w:name="_Toc152045547"/>
      <w:bookmarkStart w:id="306" w:name="_Toc246996192"/>
      <w:bookmarkStart w:id="307" w:name="_Toc35424905"/>
      <w:bookmarkStart w:id="308" w:name="_Toc246996935"/>
      <w:bookmarkStart w:id="309" w:name="_Toc152042323"/>
      <w:bookmarkStart w:id="310" w:name="_Toc296602437"/>
      <w:bookmarkStart w:id="311" w:name="_Toc506107286"/>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s="宋体"/>
          <w:szCs w:val="21"/>
          <w:highlight w:val="none"/>
        </w:rPr>
        <w:t>“投标文件格式”。</w:t>
      </w:r>
    </w:p>
    <w:p w14:paraId="68B92645">
      <w:pPr>
        <w:pStyle w:val="7"/>
        <w:ind w:firstLine="422" w:firstLineChars="200"/>
        <w:rPr>
          <w:rFonts w:ascii="宋体" w:hAnsi="宋体" w:eastAsia="宋体" w:cs="宋体"/>
          <w:highlight w:val="none"/>
        </w:rPr>
      </w:pPr>
      <w:bookmarkStart w:id="312" w:name="_Toc179632566"/>
      <w:bookmarkStart w:id="313" w:name="_Toc324404834"/>
      <w:bookmarkStart w:id="314" w:name="_Toc15058865"/>
      <w:bookmarkStart w:id="315" w:name="_Toc152042324"/>
      <w:bookmarkStart w:id="316" w:name="_Toc247085707"/>
      <w:bookmarkStart w:id="317" w:name="_Toc246996936"/>
      <w:bookmarkStart w:id="318" w:name="_Toc296602438"/>
      <w:bookmarkStart w:id="319" w:name="_Toc246996193"/>
      <w:bookmarkStart w:id="320" w:name="_Toc35425072"/>
      <w:bookmarkStart w:id="321" w:name="_Toc78803341"/>
      <w:bookmarkStart w:id="322" w:name="_Toc144974516"/>
      <w:bookmarkStart w:id="323" w:name="_Toc152045548"/>
      <w:bookmarkStart w:id="324" w:name="_Toc6829"/>
      <w:bookmarkStart w:id="325" w:name="_Toc506107287"/>
      <w:bookmarkStart w:id="326" w:name="_Toc35424906"/>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144974517"/>
      <w:bookmarkStart w:id="328" w:name="_Toc247085708"/>
      <w:bookmarkStart w:id="329" w:name="_Toc35424907"/>
      <w:bookmarkStart w:id="330" w:name="_Toc506107288"/>
      <w:bookmarkStart w:id="331" w:name="_Toc152045549"/>
      <w:bookmarkStart w:id="332" w:name="_Toc246996937"/>
      <w:bookmarkStart w:id="333" w:name="_Toc31735"/>
      <w:bookmarkStart w:id="334" w:name="_Toc15058866"/>
      <w:bookmarkStart w:id="335" w:name="_Toc152042325"/>
      <w:bookmarkStart w:id="336" w:name="_Toc296602439"/>
      <w:bookmarkStart w:id="337" w:name="_Toc179632567"/>
      <w:bookmarkStart w:id="338" w:name="_Toc78803342"/>
      <w:bookmarkStart w:id="339" w:name="_Toc35425073"/>
      <w:bookmarkStart w:id="340" w:name="_Toc246996194"/>
      <w:bookmarkStart w:id="341" w:name="_Toc32440483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eastAsia="zh-CN"/>
        </w:rPr>
        <w:t>“投标文件格式”的要求在投标函中进行报价并填写工程量清单相应表格。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7"/>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44974518"/>
      <w:bookmarkStart w:id="343" w:name="_Toc152045550"/>
      <w:bookmarkStart w:id="344" w:name="_Toc35424908"/>
      <w:bookmarkStart w:id="345" w:name="_Toc324404836"/>
      <w:bookmarkStart w:id="346" w:name="_Toc10714"/>
      <w:bookmarkStart w:id="347" w:name="_Toc506107289"/>
      <w:bookmarkStart w:id="348" w:name="_Toc296602440"/>
      <w:bookmarkStart w:id="349" w:name="_Toc246996938"/>
      <w:bookmarkStart w:id="350" w:name="_Toc78803343"/>
      <w:bookmarkStart w:id="351" w:name="_Toc15058867"/>
      <w:bookmarkStart w:id="352" w:name="_Toc246996195"/>
      <w:bookmarkStart w:id="353" w:name="_Toc247085709"/>
      <w:bookmarkStart w:id="354" w:name="_Toc152042326"/>
      <w:bookmarkStart w:id="355" w:name="_Toc35425074"/>
      <w:bookmarkStart w:id="356" w:name="_Toc17963256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7"/>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bookmarkStart w:id="357" w:name="_Toc78803344"/>
      <w:bookmarkStart w:id="358" w:name="_Toc19037"/>
      <w:bookmarkStart w:id="359" w:name="_Toc15058868"/>
      <w:bookmarkStart w:id="360" w:name="_Toc296602442"/>
      <w:bookmarkStart w:id="361" w:name="_Toc324404837"/>
      <w:bookmarkStart w:id="362" w:name="_Toc35424909"/>
      <w:bookmarkStart w:id="363" w:name="_Toc506107290"/>
      <w:bookmarkStart w:id="364" w:name="_Toc35425075"/>
      <w:bookmarkStart w:id="365" w:name="_Toc144974521"/>
      <w:bookmarkStart w:id="366" w:name="_Toc152045553"/>
      <w:bookmarkStart w:id="367" w:name="_Toc152042329"/>
      <w:bookmarkStart w:id="368" w:name="_Toc247085711"/>
      <w:bookmarkStart w:id="369" w:name="_Toc179632571"/>
      <w:bookmarkStart w:id="370" w:name="_Toc246996940"/>
      <w:bookmarkStart w:id="371" w:name="_Toc246996197"/>
      <w:r>
        <w:rPr>
          <w:rFonts w:hint="eastAsia" w:ascii="宋体" w:hAnsi="宋体" w:cs="宋体"/>
          <w:color w:val="000000"/>
          <w:szCs w:val="21"/>
          <w:highlight w:val="none"/>
        </w:rPr>
        <w:t xml:space="preserve">3.4.1 </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规定递交投标保证金的，投标人在递交投标文件的同时，应按</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highlight w:val="none"/>
        </w:rPr>
      </w:pPr>
      <w:r>
        <w:rPr>
          <w:rFonts w:hint="eastAsia" w:ascii="宋体" w:hAnsi="宋体" w:cs="宋体"/>
          <w:color w:val="000000"/>
          <w:szCs w:val="21"/>
          <w:highlight w:val="none"/>
        </w:rPr>
        <w:t xml:space="preserve">    无论采取何种形式的投标保证金，投标保证金有效期均应与投标有效期一致（</w:t>
      </w:r>
      <w:r>
        <w:rPr>
          <w:rFonts w:hint="eastAsia"/>
          <w:color w:val="000000"/>
          <w:highlight w:val="none"/>
        </w:rPr>
        <w:t>采用投标电子保函的保证期截止时间不得早于该项目投标有效期的截止时间</w:t>
      </w:r>
      <w:r>
        <w:rPr>
          <w:rFonts w:hint="eastAsia" w:ascii="宋体" w:hAnsi="宋体" w:cs="宋体"/>
          <w:color w:val="000000"/>
          <w:szCs w:val="21"/>
          <w:highlight w:val="none"/>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w:t>
      </w:r>
      <w:r>
        <w:rPr>
          <w:rFonts w:hint="eastAsia" w:ascii="宋体" w:hAnsi="宋体" w:eastAsia="宋体" w:cs="宋体"/>
          <w:color w:val="000000"/>
          <w:szCs w:val="21"/>
          <w:highlight w:val="none"/>
          <w:lang w:val="en-US" w:eastAsia="zh-CN"/>
        </w:rPr>
        <w:t>中标通知书发放后五个工作日内退还</w:t>
      </w:r>
      <w:r>
        <w:rPr>
          <w:rFonts w:hint="eastAsia" w:ascii="宋体" w:hAnsi="宋体" w:eastAsia="宋体" w:cs="宋体"/>
          <w:color w:val="000000"/>
          <w:szCs w:val="21"/>
          <w:highlight w:val="none"/>
        </w:rPr>
        <w:t>保证金到达原交纳的账户；中标人的投标保证金，</w:t>
      </w:r>
      <w:r>
        <w:rPr>
          <w:rFonts w:hint="eastAsia" w:ascii="宋体" w:hAnsi="宋体" w:eastAsia="宋体" w:cs="宋体"/>
          <w:color w:val="000000"/>
          <w:szCs w:val="21"/>
          <w:highlight w:val="none"/>
          <w:lang w:val="en-US" w:eastAsia="zh-CN"/>
        </w:rPr>
        <w:t>订合同后五个工作日内</w:t>
      </w:r>
      <w:r>
        <w:rPr>
          <w:rFonts w:hint="eastAsia" w:ascii="宋体" w:hAnsi="宋体" w:eastAsia="宋体" w:cs="宋体"/>
          <w:color w:val="000000"/>
          <w:szCs w:val="21"/>
          <w:highlight w:val="none"/>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31A74824">
      <w:pPr>
        <w:pStyle w:val="7"/>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79632573"/>
      <w:bookmarkStart w:id="373" w:name="_Toc152042331"/>
      <w:bookmarkStart w:id="374" w:name="_Toc144974523"/>
      <w:bookmarkStart w:id="375" w:name="_Toc246996942"/>
      <w:bookmarkStart w:id="376" w:name="_Toc152045555"/>
      <w:bookmarkStart w:id="377" w:name="_Toc324404838"/>
      <w:bookmarkStart w:id="378" w:name="_Toc246996199"/>
      <w:bookmarkStart w:id="379" w:name="_Toc247085713"/>
      <w:r>
        <w:rPr>
          <w:rFonts w:hint="eastAsia" w:ascii="宋体" w:hAnsi="宋体" w:eastAsia="宋体" w:cs="宋体"/>
          <w:szCs w:val="21"/>
          <w:highlight w:val="none"/>
          <w:lang w:val="en-US" w:eastAsia="zh-CN"/>
        </w:rPr>
        <w:t>3.5.1投标文件应按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7"/>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7"/>
        <w:spacing w:beforeLines="50" w:afterLines="50"/>
        <w:ind w:firstLine="482" w:firstLineChars="200"/>
        <w:rPr>
          <w:rFonts w:hint="eastAsia" w:ascii="宋体" w:hAnsi="宋体" w:eastAsia="宋体" w:cs="宋体"/>
          <w:sz w:val="24"/>
          <w:szCs w:val="24"/>
          <w:highlight w:val="none"/>
        </w:rPr>
      </w:pPr>
      <w:bookmarkStart w:id="380" w:name="_Toc506107291"/>
      <w:bookmarkStart w:id="381" w:name="_Toc35424910"/>
      <w:bookmarkStart w:id="382" w:name="_Toc78803345"/>
      <w:bookmarkStart w:id="383" w:name="_Toc35425076"/>
      <w:bookmarkStart w:id="384" w:name="_Toc19455"/>
      <w:bookmarkStart w:id="385" w:name="_Toc15058869"/>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7"/>
        <w:ind w:firstLine="422" w:firstLineChars="200"/>
        <w:rPr>
          <w:rFonts w:hint="eastAsia" w:ascii="宋体" w:hAnsi="宋体" w:eastAsia="宋体" w:cs="宋体"/>
          <w:highlight w:val="none"/>
        </w:rPr>
      </w:pPr>
      <w:bookmarkStart w:id="386" w:name="_Toc60061458"/>
      <w:bookmarkStart w:id="387" w:name="_Toc95223361"/>
      <w:bookmarkStart w:id="388" w:name="_Toc83301713"/>
      <w:bookmarkStart w:id="389" w:name="_Toc78803346"/>
      <w:bookmarkStart w:id="390" w:name="_Toc35425077"/>
      <w:bookmarkStart w:id="391" w:name="_Toc35424911"/>
      <w:bookmarkStart w:id="392" w:name="_Toc14473"/>
      <w:bookmarkStart w:id="393" w:name="_Toc15058870"/>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7"/>
        <w:ind w:firstLine="422" w:firstLineChars="200"/>
        <w:rPr>
          <w:rFonts w:hint="eastAsia" w:ascii="宋体" w:hAnsi="宋体" w:eastAsia="宋体" w:cs="宋体"/>
          <w:highlight w:val="none"/>
        </w:rPr>
      </w:pPr>
      <w:bookmarkStart w:id="394" w:name="_Toc152045556"/>
      <w:bookmarkStart w:id="395" w:name="_Toc247085714"/>
      <w:bookmarkStart w:id="396" w:name="_Toc83301714"/>
      <w:bookmarkStart w:id="397" w:name="_Toc324404839"/>
      <w:bookmarkStart w:id="398" w:name="_Toc246996200"/>
      <w:bookmarkStart w:id="399" w:name="_Toc246996943"/>
      <w:bookmarkStart w:id="400" w:name="_Toc60061459"/>
      <w:bookmarkStart w:id="401" w:name="_Toc506107292"/>
      <w:bookmarkStart w:id="402" w:name="_Toc179632574"/>
      <w:bookmarkStart w:id="403" w:name="_Toc152042332"/>
      <w:bookmarkStart w:id="404" w:name="_Toc296602444"/>
      <w:bookmarkStart w:id="405" w:name="_Toc144974524"/>
      <w:bookmarkStart w:id="406" w:name="_Toc95223362"/>
      <w:bookmarkStart w:id="407" w:name="_Toc15058871"/>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179632575"/>
      <w:bookmarkStart w:id="409" w:name="_Toc144974525"/>
      <w:bookmarkStart w:id="410" w:name="_Toc246996944"/>
      <w:bookmarkStart w:id="411" w:name="_Toc296602445"/>
      <w:bookmarkStart w:id="412" w:name="_Toc152042333"/>
      <w:bookmarkStart w:id="413" w:name="_Toc247085715"/>
      <w:bookmarkStart w:id="414" w:name="_Toc152045557"/>
      <w:bookmarkStart w:id="415" w:name="_Toc246996201"/>
      <w:bookmarkStart w:id="416" w:name="_Toc324404840"/>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7"/>
        <w:ind w:firstLine="422" w:firstLineChars="200"/>
        <w:rPr>
          <w:rFonts w:hint="eastAsia" w:ascii="宋体" w:hAnsi="宋体" w:eastAsia="宋体" w:cs="宋体"/>
          <w:highlight w:val="none"/>
        </w:rPr>
      </w:pPr>
      <w:bookmarkStart w:id="417" w:name="_Toc15058872"/>
      <w:bookmarkStart w:id="418" w:name="_Toc95223363"/>
      <w:bookmarkStart w:id="419" w:name="_Toc83301715"/>
      <w:bookmarkStart w:id="420" w:name="_Toc60061460"/>
      <w:bookmarkStart w:id="421" w:name="_Toc506107293"/>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7"/>
        <w:ind w:firstLine="422" w:firstLineChars="200"/>
        <w:rPr>
          <w:rFonts w:hint="eastAsia" w:ascii="宋体" w:hAnsi="宋体" w:eastAsia="宋体" w:cs="宋体"/>
          <w:highlight w:val="none"/>
        </w:rPr>
      </w:pPr>
      <w:bookmarkStart w:id="422" w:name="_Toc83301716"/>
      <w:bookmarkStart w:id="423" w:name="_Toc95223364"/>
      <w:bookmarkStart w:id="424" w:name="_Toc60061461"/>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7"/>
        <w:spacing w:beforeLines="50" w:afterLines="50"/>
        <w:ind w:firstLine="482" w:firstLineChars="200"/>
        <w:rPr>
          <w:rFonts w:ascii="宋体" w:hAnsi="宋体" w:eastAsia="宋体" w:cs="宋体"/>
          <w:sz w:val="24"/>
          <w:szCs w:val="24"/>
          <w:highlight w:val="none"/>
        </w:rPr>
      </w:pPr>
      <w:bookmarkStart w:id="425" w:name="_Toc506107295"/>
      <w:bookmarkStart w:id="426" w:name="_Toc152045559"/>
      <w:bookmarkStart w:id="427" w:name="_Toc246996203"/>
      <w:bookmarkStart w:id="428" w:name="_Toc324404842"/>
      <w:bookmarkStart w:id="429" w:name="_Toc15058874"/>
      <w:bookmarkStart w:id="430" w:name="_Toc78803348"/>
      <w:bookmarkStart w:id="431" w:name="_Toc35425081"/>
      <w:bookmarkStart w:id="432" w:name="_Toc35424915"/>
      <w:bookmarkStart w:id="433" w:name="_Toc247085717"/>
      <w:bookmarkStart w:id="434" w:name="_Toc246996946"/>
      <w:bookmarkStart w:id="435" w:name="_Toc29639"/>
      <w:bookmarkStart w:id="436" w:name="_Toc152042335"/>
      <w:bookmarkStart w:id="437" w:name="_Toc179632577"/>
      <w:bookmarkStart w:id="438" w:name="_Toc144974527"/>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7"/>
        <w:ind w:firstLine="422" w:firstLineChars="200"/>
        <w:rPr>
          <w:rFonts w:ascii="宋体" w:hAnsi="宋体" w:eastAsia="宋体" w:cs="宋体"/>
          <w:highlight w:val="none"/>
        </w:rPr>
      </w:pPr>
      <w:bookmarkStart w:id="439" w:name="_Toc324404843"/>
      <w:bookmarkStart w:id="440" w:name="_Toc246996204"/>
      <w:bookmarkStart w:id="441" w:name="_Toc247085718"/>
      <w:bookmarkStart w:id="442" w:name="_Toc15058875"/>
      <w:bookmarkStart w:id="443" w:name="_Toc179632578"/>
      <w:bookmarkStart w:id="444" w:name="_Toc35424916"/>
      <w:bookmarkStart w:id="445" w:name="_Toc246996947"/>
      <w:bookmarkStart w:id="446" w:name="_Toc35425082"/>
      <w:bookmarkStart w:id="447" w:name="_Toc506107296"/>
      <w:bookmarkStart w:id="448" w:name="_Toc144974528"/>
      <w:bookmarkStart w:id="449" w:name="_Toc78803349"/>
      <w:bookmarkStart w:id="450" w:name="_Toc152045560"/>
      <w:bookmarkStart w:id="451" w:name="_Toc13691"/>
      <w:bookmarkStart w:id="452" w:name="_Toc152042336"/>
      <w:bookmarkStart w:id="453" w:name="_Toc29660244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247085719"/>
      <w:bookmarkStart w:id="455" w:name="_Toc506107297"/>
      <w:bookmarkStart w:id="456" w:name="_Toc179632579"/>
      <w:bookmarkStart w:id="457" w:name="_Toc35425083"/>
      <w:bookmarkStart w:id="458" w:name="_Toc35424917"/>
      <w:bookmarkStart w:id="459" w:name="_Toc324404844"/>
      <w:bookmarkStart w:id="460" w:name="_Toc15058876"/>
      <w:bookmarkStart w:id="461" w:name="_Toc32451"/>
      <w:bookmarkStart w:id="462" w:name="_Toc152042337"/>
      <w:bookmarkStart w:id="463" w:name="_Toc152045561"/>
      <w:bookmarkStart w:id="464" w:name="_Toc78803350"/>
      <w:bookmarkStart w:id="465" w:name="_Toc246996948"/>
      <w:bookmarkStart w:id="466" w:name="_Toc296602449"/>
      <w:bookmarkStart w:id="467" w:name="_Toc246996205"/>
      <w:bookmarkStart w:id="468" w:name="_Toc144974529"/>
      <w:r>
        <w:rPr>
          <w:rFonts w:hint="eastAsia" w:ascii="宋体" w:hAnsi="宋体" w:cs="宋体"/>
          <w:color w:val="000000"/>
          <w:szCs w:val="21"/>
          <w:highlight w:val="none"/>
        </w:rPr>
        <w:t>招标人在第一章“招标公告”规定的投标截止时间前（开标时间）和地点</w:t>
      </w:r>
      <w:r>
        <w:rPr>
          <w:color w:val="000000"/>
          <w:highlight w:val="none"/>
        </w:rPr>
        <w:t>通过交易系统公开开标</w:t>
      </w:r>
      <w:r>
        <w:rPr>
          <w:rFonts w:hint="eastAsia" w:ascii="宋体" w:hAnsi="宋体" w:cs="宋体"/>
          <w:color w:val="000000"/>
          <w:szCs w:val="21"/>
          <w:highlight w:val="none"/>
        </w:rPr>
        <w:t>。</w:t>
      </w:r>
    </w:p>
    <w:p w14:paraId="72027328">
      <w:pPr>
        <w:pStyle w:val="7"/>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324404846"/>
      <w:bookmarkStart w:id="470" w:name="_Toc152042338"/>
      <w:bookmarkStart w:id="471" w:name="_Toc246996949"/>
      <w:bookmarkStart w:id="472" w:name="_Toc35425085"/>
      <w:bookmarkStart w:id="473" w:name="_Toc152045562"/>
      <w:bookmarkStart w:id="474" w:name="_Toc20689"/>
      <w:bookmarkStart w:id="475" w:name="_Toc35424919"/>
      <w:bookmarkStart w:id="476" w:name="_Toc78803352"/>
      <w:bookmarkStart w:id="477" w:name="_Toc179632580"/>
      <w:bookmarkStart w:id="478" w:name="_Toc15058884"/>
      <w:bookmarkStart w:id="479" w:name="_Toc246996206"/>
      <w:bookmarkStart w:id="480" w:name="_Toc144974530"/>
      <w:bookmarkStart w:id="481" w:name="_Toc506107299"/>
      <w:bookmarkStart w:id="482" w:name="_Toc247085720"/>
      <w:r>
        <w:rPr>
          <w:rFonts w:hint="eastAsia" w:ascii="宋体" w:hAnsi="宋体" w:eastAsia="宋体" w:cs="宋体"/>
          <w:color w:val="000000"/>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（5）开标结束。</w:t>
      </w:r>
    </w:p>
    <w:p w14:paraId="0FABB25E">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7"/>
        <w:ind w:firstLine="422" w:firstLineChars="200"/>
        <w:rPr>
          <w:rFonts w:hint="eastAsia" w:ascii="宋体" w:hAnsi="宋体" w:eastAsia="宋体" w:cs="宋体"/>
          <w:highlight w:val="none"/>
        </w:rPr>
      </w:pPr>
      <w:bookmarkStart w:id="483" w:name="_Toc246996950"/>
      <w:bookmarkStart w:id="484" w:name="_Toc152042339"/>
      <w:bookmarkStart w:id="485" w:name="_Toc246996207"/>
      <w:bookmarkStart w:id="486" w:name="_Toc506107300"/>
      <w:bookmarkStart w:id="487" w:name="_Toc15058885"/>
      <w:bookmarkStart w:id="488" w:name="_Toc144974531"/>
      <w:bookmarkStart w:id="489" w:name="_Toc152045563"/>
      <w:bookmarkStart w:id="490" w:name="_Toc324404847"/>
      <w:bookmarkStart w:id="491" w:name="_Toc95223370"/>
      <w:bookmarkStart w:id="492" w:name="_Toc60061467"/>
      <w:bookmarkStart w:id="493" w:name="_Toc247085721"/>
      <w:bookmarkStart w:id="494" w:name="_Toc296602452"/>
      <w:bookmarkStart w:id="495" w:name="_Toc83301722"/>
      <w:bookmarkStart w:id="496" w:name="_Toc179632581"/>
      <w:bookmarkStart w:id="497" w:name="_Toc35425087"/>
      <w:bookmarkStart w:id="498" w:name="_Toc12948"/>
      <w:bookmarkStart w:id="499" w:name="_Toc324404848"/>
      <w:bookmarkStart w:id="500" w:name="_Toc152045564"/>
      <w:bookmarkStart w:id="501" w:name="_Toc246996208"/>
      <w:bookmarkStart w:id="502" w:name="_Toc35424921"/>
      <w:bookmarkStart w:id="503" w:name="_Toc144974532"/>
      <w:bookmarkStart w:id="504" w:name="_Toc506107301"/>
      <w:bookmarkStart w:id="505" w:name="_Toc15058886"/>
      <w:bookmarkStart w:id="506" w:name="_Toc247085722"/>
      <w:bookmarkStart w:id="507" w:name="_Toc152042340"/>
      <w:bookmarkStart w:id="508" w:name="_Toc78803354"/>
      <w:bookmarkStart w:id="509" w:name="_Toc179632582"/>
      <w:bookmarkStart w:id="510" w:name="_Toc296602453"/>
      <w:bookmarkStart w:id="511" w:name="_Toc246996951"/>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7"/>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7"/>
        <w:ind w:firstLine="422" w:firstLineChars="200"/>
        <w:rPr>
          <w:rFonts w:ascii="宋体" w:hAnsi="宋体" w:eastAsia="宋体" w:cs="宋体"/>
          <w:highlight w:val="none"/>
        </w:rPr>
      </w:pPr>
      <w:bookmarkStart w:id="512" w:name="_Toc152042341"/>
      <w:bookmarkStart w:id="513" w:name="_Toc296602454"/>
      <w:bookmarkStart w:id="514" w:name="_Toc179632583"/>
      <w:bookmarkStart w:id="515" w:name="_Toc35425088"/>
      <w:bookmarkStart w:id="516" w:name="_Toc15058887"/>
      <w:bookmarkStart w:id="517" w:name="_Toc246996952"/>
      <w:bookmarkStart w:id="518" w:name="_Toc246996209"/>
      <w:bookmarkStart w:id="519" w:name="_Toc324404849"/>
      <w:bookmarkStart w:id="520" w:name="_Toc14892"/>
      <w:bookmarkStart w:id="521" w:name="_Toc247085723"/>
      <w:bookmarkStart w:id="522" w:name="_Toc152045565"/>
      <w:bookmarkStart w:id="523" w:name="_Toc144974533"/>
      <w:bookmarkStart w:id="524" w:name="_Toc506107302"/>
      <w:bookmarkStart w:id="525" w:name="_Toc78803355"/>
      <w:bookmarkStart w:id="526" w:name="_Toc35424922"/>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79632584"/>
      <w:bookmarkStart w:id="528" w:name="_Toc144974534"/>
      <w:bookmarkStart w:id="529" w:name="_Toc246996210"/>
      <w:bookmarkStart w:id="530" w:name="_Toc247085724"/>
      <w:bookmarkStart w:id="531" w:name="_Toc152042342"/>
      <w:bookmarkStart w:id="532" w:name="_Toc152045566"/>
      <w:bookmarkStart w:id="533" w:name="_Toc246996953"/>
      <w:bookmarkStart w:id="534" w:name="_Toc324404850"/>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7"/>
        <w:spacing w:beforeLines="50" w:afterLines="50"/>
        <w:ind w:firstLine="482" w:firstLineChars="200"/>
        <w:rPr>
          <w:rFonts w:ascii="宋体" w:hAnsi="宋体" w:eastAsia="宋体" w:cs="宋体"/>
          <w:sz w:val="24"/>
          <w:szCs w:val="24"/>
          <w:highlight w:val="none"/>
        </w:rPr>
      </w:pPr>
      <w:bookmarkStart w:id="535" w:name="_Toc506107303"/>
      <w:bookmarkStart w:id="536" w:name="_Toc35424923"/>
      <w:bookmarkStart w:id="537" w:name="_Toc35425089"/>
      <w:bookmarkStart w:id="538" w:name="_Toc78803356"/>
      <w:bookmarkStart w:id="539" w:name="_Toc15058888"/>
      <w:bookmarkStart w:id="540" w:name="_Toc26182"/>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7"/>
        <w:ind w:firstLine="422" w:firstLineChars="200"/>
        <w:rPr>
          <w:rFonts w:hint="eastAsia" w:ascii="宋体" w:hAnsi="宋体" w:eastAsia="宋体" w:cs="宋体"/>
          <w:highlight w:val="none"/>
        </w:rPr>
      </w:pPr>
      <w:bookmarkStart w:id="541" w:name="_Toc296602457"/>
      <w:bookmarkStart w:id="542" w:name="_Toc506107305"/>
      <w:bookmarkStart w:id="543" w:name="_Toc15058890"/>
      <w:bookmarkStart w:id="544" w:name="_Toc83301726"/>
      <w:bookmarkStart w:id="545" w:name="_Toc60061472"/>
      <w:bookmarkStart w:id="546" w:name="_Toc95223374"/>
      <w:bookmarkStart w:id="547" w:name="_Toc324404852"/>
      <w:bookmarkStart w:id="548" w:name="_Toc35425092"/>
      <w:bookmarkStart w:id="549" w:name="_Toc27040"/>
      <w:bookmarkStart w:id="550" w:name="_Toc78803359"/>
      <w:bookmarkStart w:id="551" w:name="_Toc8261"/>
      <w:bookmarkStart w:id="552" w:name="_Toc35424926"/>
      <w:bookmarkStart w:id="553" w:name="_Toc246996955"/>
      <w:bookmarkStart w:id="554" w:name="_Toc179632586"/>
      <w:bookmarkStart w:id="555" w:name="_Toc14692"/>
      <w:bookmarkStart w:id="556" w:name="_Toc15058891"/>
      <w:bookmarkStart w:id="557" w:name="_Toc152045568"/>
      <w:bookmarkStart w:id="558" w:name="_Toc324404853"/>
      <w:bookmarkStart w:id="559" w:name="_Toc247085726"/>
      <w:bookmarkStart w:id="560" w:name="_Toc152042344"/>
      <w:bookmarkStart w:id="561" w:name="_Toc506107306"/>
      <w:bookmarkStart w:id="562" w:name="_Toc35424927"/>
      <w:bookmarkStart w:id="563" w:name="_Toc144974536"/>
      <w:bookmarkStart w:id="564" w:name="_Toc296602458"/>
      <w:bookmarkStart w:id="565" w:name="_Toc35425093"/>
      <w:bookmarkStart w:id="566" w:name="_Toc246996212"/>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7"/>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7"/>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7"/>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7"/>
        <w:ind w:firstLine="422" w:firstLineChars="200"/>
        <w:rPr>
          <w:rFonts w:ascii="宋体" w:hAnsi="宋体" w:eastAsia="宋体" w:cs="宋体"/>
          <w:highlight w:val="none"/>
        </w:rPr>
      </w:pPr>
      <w:bookmarkStart w:id="572" w:name="_Toc246996956"/>
      <w:bookmarkStart w:id="573" w:name="_Toc324404854"/>
      <w:bookmarkStart w:id="574" w:name="_Toc179632587"/>
      <w:bookmarkStart w:id="575" w:name="_Toc246996213"/>
      <w:bookmarkStart w:id="576" w:name="_Toc152042345"/>
      <w:bookmarkStart w:id="577" w:name="_Toc296602459"/>
      <w:bookmarkStart w:id="578" w:name="_Toc144974537"/>
      <w:bookmarkStart w:id="579" w:name="_Toc15058892"/>
      <w:bookmarkStart w:id="580" w:name="_Toc78803362"/>
      <w:bookmarkStart w:id="581" w:name="_Toc35425095"/>
      <w:bookmarkStart w:id="582" w:name="_Toc247085727"/>
      <w:bookmarkStart w:id="583" w:name="_Toc35424929"/>
      <w:bookmarkStart w:id="584" w:name="_Toc152045569"/>
      <w:bookmarkStart w:id="585" w:name="_Toc25501"/>
      <w:bookmarkStart w:id="586" w:name="_Toc50610730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35425096"/>
      <w:bookmarkStart w:id="588" w:name="_Toc247085728"/>
      <w:bookmarkStart w:id="589" w:name="_Toc324404855"/>
      <w:bookmarkStart w:id="590" w:name="_Toc78803363"/>
      <w:bookmarkStart w:id="591" w:name="_Toc296602460"/>
      <w:bookmarkStart w:id="592" w:name="_Toc35424930"/>
      <w:bookmarkStart w:id="593" w:name="_Toc152045570"/>
      <w:bookmarkStart w:id="594" w:name="_Toc144974538"/>
      <w:bookmarkStart w:id="595" w:name="_Toc11010"/>
      <w:bookmarkStart w:id="596" w:name="_Toc179632588"/>
      <w:bookmarkStart w:id="597" w:name="_Toc15058893"/>
      <w:bookmarkStart w:id="598" w:name="_Toc152042346"/>
      <w:bookmarkStart w:id="599" w:name="_Toc246996214"/>
      <w:bookmarkStart w:id="600" w:name="_Toc506107308"/>
      <w:bookmarkStart w:id="601" w:name="_Toc246996957"/>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506107309"/>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7"/>
        <w:spacing w:beforeLines="50" w:afterLines="50"/>
        <w:ind w:firstLine="422" w:firstLineChars="200"/>
        <w:rPr>
          <w:rFonts w:hint="eastAsia" w:ascii="宋体" w:hAnsi="宋体" w:eastAsia="宋体" w:cs="宋体"/>
          <w:highlight w:val="none"/>
        </w:rPr>
      </w:pPr>
      <w:bookmarkStart w:id="605" w:name="_Toc144974539"/>
      <w:bookmarkStart w:id="606" w:name="_Toc152045571"/>
      <w:bookmarkStart w:id="607" w:name="_Toc83301732"/>
      <w:bookmarkStart w:id="608" w:name="_Toc60061478"/>
      <w:bookmarkStart w:id="609" w:name="_Toc152042347"/>
      <w:bookmarkStart w:id="610" w:name="_Toc179632589"/>
      <w:bookmarkStart w:id="611" w:name="_Toc95223381"/>
      <w:bookmarkStart w:id="612" w:name="_Toc31686"/>
      <w:bookmarkStart w:id="613" w:name="_Toc78803367"/>
      <w:bookmarkStart w:id="614" w:name="_Toc26974"/>
      <w:bookmarkStart w:id="615" w:name="_Toc25375"/>
      <w:bookmarkStart w:id="616" w:name="_Toc35425097"/>
      <w:bookmarkStart w:id="617" w:name="_Toc35424931"/>
      <w:bookmarkStart w:id="618" w:name="_Toc324404864"/>
      <w:bookmarkStart w:id="619" w:name="_Toc15058902"/>
      <w:bookmarkStart w:id="620" w:name="_Toc35424939"/>
      <w:bookmarkStart w:id="621" w:name="_Toc35425105"/>
      <w:bookmarkStart w:id="622" w:name="_Toc506107317"/>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7"/>
        <w:ind w:firstLine="422" w:firstLineChars="200"/>
        <w:rPr>
          <w:rFonts w:hint="eastAsia" w:ascii="宋体" w:hAnsi="宋体" w:eastAsia="宋体" w:cs="宋体"/>
          <w:highlight w:val="none"/>
        </w:rPr>
      </w:pPr>
      <w:bookmarkStart w:id="624" w:name="_Toc179632590"/>
      <w:bookmarkStart w:id="625" w:name="_Toc152045572"/>
      <w:bookmarkStart w:id="626" w:name="_Toc60061479"/>
      <w:bookmarkStart w:id="627" w:name="_Toc152042348"/>
      <w:bookmarkStart w:id="628" w:name="_Toc83301733"/>
      <w:bookmarkStart w:id="629" w:name="_Toc144974540"/>
      <w:bookmarkStart w:id="630" w:name="_Toc95223382"/>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7"/>
        <w:ind w:firstLine="422" w:firstLineChars="200"/>
        <w:rPr>
          <w:rFonts w:hint="eastAsia" w:ascii="宋体" w:hAnsi="宋体" w:eastAsia="宋体" w:cs="宋体"/>
          <w:highlight w:val="none"/>
        </w:rPr>
      </w:pPr>
      <w:bookmarkStart w:id="631" w:name="_Toc144974541"/>
      <w:bookmarkStart w:id="632" w:name="_Toc179632591"/>
      <w:bookmarkStart w:id="633" w:name="_Toc60061480"/>
      <w:bookmarkStart w:id="634" w:name="_Toc152042349"/>
      <w:bookmarkStart w:id="635" w:name="_Toc95223383"/>
      <w:bookmarkStart w:id="636" w:name="_Toc152045573"/>
      <w:bookmarkStart w:id="637" w:name="_Toc83301734"/>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7"/>
        <w:ind w:firstLine="422" w:firstLineChars="200"/>
        <w:rPr>
          <w:rFonts w:ascii="宋体" w:hAnsi="宋体" w:eastAsia="宋体" w:cs="宋体"/>
          <w:highlight w:val="none"/>
        </w:rPr>
      </w:pPr>
      <w:bookmarkStart w:id="638" w:name="_Toc179632593"/>
      <w:bookmarkStart w:id="639" w:name="_Toc324404857"/>
      <w:bookmarkStart w:id="640" w:name="_Toc35424932"/>
      <w:bookmarkStart w:id="641" w:name="_Toc506107310"/>
      <w:bookmarkStart w:id="642" w:name="_Toc144974543"/>
      <w:bookmarkStart w:id="643" w:name="_Toc152042351"/>
      <w:bookmarkStart w:id="644" w:name="_Toc78803368"/>
      <w:bookmarkStart w:id="645" w:name="_Toc35425098"/>
      <w:bookmarkStart w:id="646" w:name="_Toc15058895"/>
      <w:bookmarkStart w:id="647" w:name="_Toc152045575"/>
      <w:bookmarkStart w:id="648" w:name="_Toc2855"/>
      <w:bookmarkStart w:id="649" w:name="_Toc247085733"/>
      <w:bookmarkStart w:id="650" w:name="_Toc296602462"/>
      <w:bookmarkStart w:id="651" w:name="_Toc296590983"/>
      <w:bookmarkStart w:id="652" w:name="_Toc15607"/>
      <w:bookmarkStart w:id="653" w:name="_Toc246996219"/>
      <w:bookmarkStart w:id="654" w:name="_Toc246996962"/>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7"/>
        <w:ind w:firstLine="422" w:firstLineChars="200"/>
        <w:rPr>
          <w:rFonts w:ascii="宋体" w:hAnsi="宋体" w:eastAsia="宋体" w:cs="宋体"/>
          <w:highlight w:val="none"/>
        </w:rPr>
      </w:pPr>
      <w:bookmarkStart w:id="655" w:name="_Toc35425099"/>
      <w:bookmarkStart w:id="656" w:name="_Toc247085734"/>
      <w:bookmarkStart w:id="657" w:name="_Toc19779"/>
      <w:bookmarkStart w:id="658" w:name="_Toc15058896"/>
      <w:bookmarkStart w:id="659" w:name="_Toc296602463"/>
      <w:bookmarkStart w:id="660" w:name="_Toc246996963"/>
      <w:bookmarkStart w:id="661" w:name="_Toc246996220"/>
      <w:bookmarkStart w:id="662" w:name="_Toc324404858"/>
      <w:bookmarkStart w:id="663" w:name="_Toc152045576"/>
      <w:bookmarkStart w:id="664" w:name="_Toc78803369"/>
      <w:bookmarkStart w:id="665" w:name="_Toc35424933"/>
      <w:bookmarkStart w:id="666" w:name="_Toc32177"/>
      <w:bookmarkStart w:id="667" w:name="_Toc179632594"/>
      <w:bookmarkStart w:id="668" w:name="_Toc152042352"/>
      <w:bookmarkStart w:id="669" w:name="_Toc506107311"/>
      <w:bookmarkStart w:id="670" w:name="_Toc144974544"/>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7"/>
        <w:ind w:firstLine="422" w:firstLineChars="200"/>
        <w:rPr>
          <w:rFonts w:ascii="宋体" w:hAnsi="宋体" w:eastAsia="宋体" w:cs="宋体"/>
          <w:highlight w:val="none"/>
        </w:rPr>
      </w:pPr>
      <w:bookmarkStart w:id="671" w:name="_Toc324404859"/>
      <w:bookmarkStart w:id="672" w:name="_Toc506107312"/>
      <w:bookmarkStart w:id="673" w:name="_Toc246996964"/>
      <w:bookmarkStart w:id="674" w:name="_Toc12564"/>
      <w:bookmarkStart w:id="675" w:name="_Toc179632595"/>
      <w:bookmarkStart w:id="676" w:name="_Toc246996221"/>
      <w:bookmarkStart w:id="677" w:name="_Toc78803370"/>
      <w:bookmarkStart w:id="678" w:name="_Toc247085735"/>
      <w:bookmarkStart w:id="679" w:name="_Toc13043"/>
      <w:bookmarkStart w:id="680" w:name="_Toc35425100"/>
      <w:bookmarkStart w:id="681" w:name="_Toc152042353"/>
      <w:bookmarkStart w:id="682" w:name="_Toc35424934"/>
      <w:bookmarkStart w:id="683" w:name="_Toc144974545"/>
      <w:bookmarkStart w:id="684" w:name="_Toc152045577"/>
      <w:bookmarkStart w:id="685" w:name="_Toc15058897"/>
      <w:bookmarkStart w:id="686" w:name="_Toc296602464"/>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7"/>
        <w:ind w:firstLine="422" w:firstLineChars="200"/>
        <w:rPr>
          <w:rFonts w:ascii="宋体" w:hAnsi="宋体" w:eastAsia="宋体" w:cs="宋体"/>
          <w:highlight w:val="none"/>
        </w:rPr>
      </w:pPr>
      <w:bookmarkStart w:id="687" w:name="_Toc296602465"/>
      <w:bookmarkStart w:id="688" w:name="_Toc152042354"/>
      <w:bookmarkStart w:id="689" w:name="_Toc246996965"/>
      <w:bookmarkStart w:id="690" w:name="_Toc246996222"/>
      <w:bookmarkStart w:id="691" w:name="_Toc15058898"/>
      <w:bookmarkStart w:id="692" w:name="_Toc35425101"/>
      <w:bookmarkStart w:id="693" w:name="_Toc324404860"/>
      <w:bookmarkStart w:id="694" w:name="_Toc32214"/>
      <w:bookmarkStart w:id="695" w:name="_Toc78803371"/>
      <w:bookmarkStart w:id="696" w:name="_Toc152045578"/>
      <w:bookmarkStart w:id="697" w:name="_Toc247085736"/>
      <w:bookmarkStart w:id="698" w:name="_Toc506107313"/>
      <w:bookmarkStart w:id="699" w:name="_Toc18329"/>
      <w:bookmarkStart w:id="700" w:name="_Toc35424935"/>
      <w:bookmarkStart w:id="701" w:name="_Toc179632596"/>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7"/>
        <w:ind w:firstLine="422" w:firstLineChars="200"/>
        <w:rPr>
          <w:rFonts w:ascii="宋体" w:hAnsi="宋体" w:eastAsia="宋体" w:cs="宋体"/>
          <w:highlight w:val="none"/>
        </w:rPr>
      </w:pPr>
      <w:bookmarkStart w:id="704" w:name="_Toc2811"/>
      <w:bookmarkStart w:id="705" w:name="_Toc324404861"/>
      <w:bookmarkStart w:id="706" w:name="_Toc78803372"/>
      <w:bookmarkStart w:id="707" w:name="_Toc35424936"/>
      <w:bookmarkStart w:id="708" w:name="_Toc15058899"/>
      <w:bookmarkStart w:id="709" w:name="_Toc152045579"/>
      <w:bookmarkStart w:id="710" w:name="_Toc246996966"/>
      <w:bookmarkStart w:id="711" w:name="_Toc296602466"/>
      <w:bookmarkStart w:id="712" w:name="_Toc179632597"/>
      <w:bookmarkStart w:id="713" w:name="_Toc35425102"/>
      <w:bookmarkStart w:id="714" w:name="_Toc246996223"/>
      <w:bookmarkStart w:id="715" w:name="_Toc506107314"/>
      <w:bookmarkStart w:id="716" w:name="_Toc23607"/>
      <w:bookmarkStart w:id="717" w:name="_Toc247085737"/>
      <w:bookmarkStart w:id="718" w:name="_Toc15204235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0669"/>
      <w:bookmarkStart w:id="720" w:name="_Toc16463"/>
      <w:bookmarkStart w:id="721" w:name="_Toc246996967"/>
      <w:bookmarkStart w:id="722" w:name="_Toc152042357"/>
      <w:bookmarkStart w:id="723" w:name="_Toc246996224"/>
      <w:bookmarkStart w:id="724" w:name="_Toc78803373"/>
      <w:bookmarkStart w:id="725" w:name="_Toc35424937"/>
      <w:bookmarkStart w:id="726" w:name="_Toc247085738"/>
      <w:bookmarkStart w:id="727" w:name="_Toc152045580"/>
      <w:bookmarkStart w:id="728" w:name="_Toc31643"/>
      <w:bookmarkStart w:id="729" w:name="_Toc506107315"/>
      <w:bookmarkStart w:id="730" w:name="_Toc35425103"/>
      <w:bookmarkStart w:id="731" w:name="_Toc324404862"/>
      <w:bookmarkStart w:id="732" w:name="_Toc15058900"/>
      <w:bookmarkStart w:id="733" w:name="_Toc144974547"/>
      <w:bookmarkStart w:id="734" w:name="_Toc179632598"/>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15058903"/>
      <w:bookmarkStart w:id="738" w:name="_Toc324404865"/>
      <w:bookmarkStart w:id="739" w:name="_Toc35425106"/>
      <w:bookmarkStart w:id="740" w:name="_Toc35424940"/>
      <w:bookmarkStart w:id="741" w:name="_Toc506107318"/>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78803376"/>
      <w:bookmarkStart w:id="743" w:name="_Toc35424941"/>
      <w:bookmarkStart w:id="744" w:name="_Toc506107319"/>
      <w:bookmarkStart w:id="745" w:name="_Toc27127"/>
      <w:bookmarkStart w:id="746" w:name="_Toc35425107"/>
      <w:bookmarkStart w:id="747" w:name="_Toc324404866"/>
      <w:bookmarkStart w:id="748" w:name="_Toc15058904"/>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7"/>
        <w:spacing w:beforeLines="50" w:afterLines="50"/>
        <w:ind w:firstLine="422" w:firstLineChars="200"/>
        <w:rPr>
          <w:rFonts w:ascii="宋体" w:hAnsi="宋体" w:eastAsia="宋体" w:cs="宋体"/>
          <w:highlight w:val="none"/>
        </w:rPr>
      </w:pPr>
      <w:bookmarkStart w:id="751" w:name="_Toc12549"/>
      <w:bookmarkStart w:id="752" w:name="_Toc35424942"/>
      <w:bookmarkStart w:id="753" w:name="_Toc78803377"/>
      <w:bookmarkStart w:id="754" w:name="_Toc15058909"/>
      <w:bookmarkStart w:id="755" w:name="_Toc35425108"/>
      <w:bookmarkStart w:id="756" w:name="_Toc506107320"/>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7"/>
        <w:spacing w:beforeLines="50" w:afterLines="50"/>
        <w:ind w:firstLine="422" w:firstLineChars="200"/>
        <w:rPr>
          <w:rFonts w:ascii="宋体" w:hAnsi="宋体" w:eastAsia="宋体" w:cs="宋体"/>
          <w:highlight w:val="none"/>
        </w:rPr>
      </w:pPr>
      <w:bookmarkStart w:id="757" w:name="_Toc35424943"/>
      <w:bookmarkStart w:id="758" w:name="_Toc15626"/>
      <w:bookmarkStart w:id="759" w:name="_Toc15058910"/>
      <w:bookmarkStart w:id="760" w:name="_Toc78803378"/>
      <w:bookmarkStart w:id="761" w:name="_Toc506107321"/>
      <w:bookmarkStart w:id="762" w:name="_Toc324404868"/>
      <w:bookmarkStart w:id="763" w:name="_Toc35425109"/>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506107322"/>
      <w:bookmarkStart w:id="765" w:name="_Toc15058911"/>
      <w:bookmarkStart w:id="766" w:name="_Toc324404869"/>
      <w:bookmarkStart w:id="767" w:name="_Toc78803379"/>
      <w:bookmarkStart w:id="768" w:name="_Toc35424944"/>
      <w:bookmarkStart w:id="769" w:name="_Toc10330"/>
      <w:bookmarkStart w:id="770" w:name="_Toc3542511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6"/>
        <w:numPr>
          <w:ilvl w:val="0"/>
          <w:numId w:val="1"/>
        </w:numPr>
        <w:spacing w:beforeLines="50" w:afterLines="50"/>
        <w:rPr>
          <w:rFonts w:hint="eastAsia" w:ascii="Arial" w:hAnsi="Arial"/>
          <w:kern w:val="0"/>
          <w:sz w:val="32"/>
          <w:szCs w:val="32"/>
          <w:highlight w:val="none"/>
        </w:rPr>
      </w:pPr>
      <w:bookmarkStart w:id="772" w:name="_Toc35425111"/>
      <w:bookmarkStart w:id="773" w:name="_Toc15058912"/>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highlight w:val="none"/>
        </w:rPr>
      </w:pPr>
      <w:bookmarkStart w:id="776" w:name="_Toc246996232"/>
      <w:bookmarkStart w:id="777" w:name="_Toc15058913"/>
      <w:bookmarkStart w:id="778" w:name="_Toc246996975"/>
      <w:bookmarkStart w:id="779" w:name="_Toc506107324"/>
      <w:bookmarkStart w:id="780" w:name="_Toc35425113"/>
      <w:bookmarkStart w:id="781" w:name="_Toc179632607"/>
      <w:bookmarkStart w:id="782" w:name="_Toc152042366"/>
      <w:bookmarkStart w:id="783" w:name="_Toc78803381"/>
      <w:bookmarkStart w:id="784" w:name="_Toc144974556"/>
      <w:bookmarkStart w:id="785" w:name="_Toc247085747"/>
      <w:bookmarkStart w:id="786" w:name="_Toc152045589"/>
      <w:bookmarkStart w:id="787" w:name="_Toc6491"/>
      <w:bookmarkStart w:id="788" w:name="_Toc35424947"/>
      <w:bookmarkStart w:id="789" w:name="_Toc324404872"/>
      <w:bookmarkStart w:id="790" w:name="_Toc506107325"/>
      <w:bookmarkStart w:id="791" w:name="_Toc35424948"/>
      <w:bookmarkStart w:id="792" w:name="_Toc324404873"/>
      <w:bookmarkStart w:id="793" w:name="_Toc11945"/>
      <w:bookmarkStart w:id="794" w:name="_Toc78803382"/>
      <w:bookmarkStart w:id="795" w:name="_Toc15058914"/>
      <w:bookmarkStart w:id="796" w:name="_Toc35425114"/>
      <w:bookmarkStart w:id="797" w:name="_Toc152042367"/>
      <w:bookmarkStart w:id="798" w:name="_Toc179632608"/>
      <w:bookmarkStart w:id="799" w:name="_Toc247085748"/>
      <w:bookmarkStart w:id="800" w:name="_Toc296602478"/>
      <w:bookmarkStart w:id="801" w:name="_Toc144974557"/>
      <w:bookmarkStart w:id="802" w:name="_Toc152045590"/>
      <w:bookmarkStart w:id="803" w:name="_Toc246996233"/>
      <w:bookmarkStart w:id="804" w:name="_Toc246996976"/>
      <w:r>
        <w:rPr>
          <w:rFonts w:hint="eastAsia"/>
          <w:b/>
          <w:bCs/>
          <w:color w:val="000000"/>
          <w:sz w:val="28"/>
          <w:szCs w:val="28"/>
          <w:highlight w:val="none"/>
        </w:rPr>
        <w:t>（一）</w:t>
      </w:r>
      <w:r>
        <w:rPr>
          <w:rFonts w:hint="eastAsia"/>
          <w:b/>
          <w:color w:val="000000"/>
          <w:sz w:val="28"/>
          <w:szCs w:val="21"/>
          <w:highlight w:val="none"/>
        </w:rPr>
        <w:t>中标候选人的确定</w:t>
      </w:r>
    </w:p>
    <w:p w14:paraId="084210A1">
      <w:pPr>
        <w:pStyle w:val="2"/>
        <w:spacing w:after="0" w:line="560" w:lineRule="exact"/>
        <w:ind w:left="0" w:leftChars="0"/>
        <w:rPr>
          <w:color w:val="000000"/>
          <w:highlight w:val="none"/>
        </w:rPr>
      </w:pPr>
      <w:r>
        <w:rPr>
          <w:rFonts w:hint="eastAsia"/>
          <w:color w:val="000000"/>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highlight w:val="none"/>
        </w:rPr>
        <w:t>如总得分相等，以投标报价低的优先；投标报价仍相等，由招标人或评标委员会主任委员随机抽取确定排名。</w:t>
      </w:r>
    </w:p>
    <w:p w14:paraId="582708BB">
      <w:pPr>
        <w:pStyle w:val="2"/>
        <w:adjustRightInd w:val="0"/>
        <w:snapToGrid w:val="0"/>
        <w:spacing w:after="0" w:line="560" w:lineRule="exact"/>
        <w:ind w:left="0" w:leftChars="0" w:firstLine="0" w:firstLineChars="0"/>
        <w:jc w:val="center"/>
        <w:rPr>
          <w:rFonts w:hint="default" w:eastAsia="宋体"/>
          <w:b/>
          <w:color w:val="000000"/>
          <w:sz w:val="36"/>
          <w:highlight w:val="none"/>
          <w:lang w:val="en-US" w:eastAsia="zh-CN"/>
        </w:rPr>
      </w:pPr>
      <w:r>
        <w:rPr>
          <w:rFonts w:hint="eastAsia"/>
          <w:b/>
          <w:color w:val="000000"/>
          <w:sz w:val="28"/>
          <w:szCs w:val="21"/>
          <w:highlight w:val="none"/>
        </w:rPr>
        <w:t>（二）资信标评审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276" w:type="dxa"/>
            <w:noWrap w:val="0"/>
            <w:vAlign w:val="center"/>
          </w:tcPr>
          <w:p w14:paraId="51A61C58">
            <w:pPr>
              <w:jc w:val="center"/>
              <w:rPr>
                <w:rFonts w:ascii="宋体" w:hAnsi="宋体" w:cs="宋体"/>
                <w:color w:val="000000"/>
                <w:szCs w:val="21"/>
                <w:highlight w:val="none"/>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highlight w:val="none"/>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w:t>
            </w:r>
            <w:r>
              <w:rPr>
                <w:rFonts w:hint="eastAsia" w:ascii="宋体" w:hAnsi="宋体" w:eastAsia="宋体" w:cs="宋体"/>
                <w:color w:val="auto"/>
                <w:highlight w:val="none"/>
                <w:lang w:val="en-US" w:eastAsia="zh-CN"/>
              </w:rPr>
              <w:t>额</w:t>
            </w:r>
            <w:r>
              <w:rPr>
                <w:rFonts w:hint="eastAsia" w:ascii="宋体" w:hAnsi="宋体" w:eastAsia="宋体" w:cs="宋体"/>
                <w:color w:val="auto"/>
                <w:highlight w:val="none"/>
              </w:rPr>
              <w:t>不低于</w:t>
            </w:r>
            <w:r>
              <w:rPr>
                <w:rFonts w:hint="eastAsia" w:ascii="宋体" w:hAnsi="宋体" w:eastAsia="宋体" w:cs="宋体"/>
                <w:color w:val="auto"/>
                <w:highlight w:val="none"/>
                <w:lang w:val="en-US" w:eastAsia="zh-CN"/>
              </w:rPr>
              <w:t>50万元（含）</w:t>
            </w:r>
            <w:r>
              <w:rPr>
                <w:rFonts w:hint="eastAsia" w:ascii="宋体" w:hAnsi="宋体" w:eastAsia="宋体" w:cs="宋体"/>
                <w:color w:val="auto"/>
                <w:highlight w:val="none"/>
              </w:rPr>
              <w:t>的光伏</w:t>
            </w:r>
            <w:r>
              <w:rPr>
                <w:rFonts w:hint="eastAsia" w:ascii="宋体" w:hAnsi="宋体" w:eastAsia="宋体" w:cs="宋体"/>
                <w:color w:val="auto"/>
                <w:highlight w:val="none"/>
                <w:lang w:val="en-US" w:eastAsia="zh-CN"/>
              </w:rPr>
              <w:t>组件（或逆变器）供货业绩得5分；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【提供合同扫描件，</w:t>
            </w:r>
            <w:r>
              <w:rPr>
                <w:rFonts w:hint="eastAsia" w:cs="Times New Roman"/>
                <w:color w:val="000000"/>
                <w:highlight w:val="none"/>
                <w:lang w:val="en-US" w:eastAsia="zh-CN"/>
              </w:rPr>
              <w:t>若</w:t>
            </w:r>
            <w:r>
              <w:rPr>
                <w:rFonts w:hint="eastAsia" w:ascii="Times New Roman" w:hAnsi="Times New Roman" w:eastAsia="宋体" w:cs="Times New Roman"/>
                <w:color w:val="000000"/>
                <w:highlight w:val="none"/>
              </w:rPr>
              <w:t>材料不能够充分有效证明该业绩的</w:t>
            </w:r>
            <w:r>
              <w:rPr>
                <w:rFonts w:hint="eastAsia" w:cs="Times New Roman"/>
                <w:color w:val="000000"/>
                <w:highlight w:val="none"/>
                <w:lang w:val="en-US" w:eastAsia="zh-CN"/>
              </w:rPr>
              <w:t>关键性内容</w:t>
            </w:r>
            <w:r>
              <w:rPr>
                <w:rFonts w:hint="eastAsia" w:ascii="Times New Roman" w:hAnsi="Times New Roman" w:eastAsia="宋体" w:cs="Times New Roman"/>
                <w:color w:val="000000"/>
                <w:highlight w:val="none"/>
              </w:rPr>
              <w:t>，则须</w:t>
            </w:r>
            <w:r>
              <w:rPr>
                <w:rFonts w:hint="eastAsia" w:cs="Times New Roman"/>
                <w:color w:val="000000"/>
                <w:highlight w:val="none"/>
                <w:lang w:val="en-US" w:eastAsia="zh-CN"/>
              </w:rPr>
              <w:t>另外</w:t>
            </w:r>
            <w:r>
              <w:rPr>
                <w:rFonts w:hint="eastAsia" w:ascii="Times New Roman" w:hAnsi="Times New Roman" w:eastAsia="宋体" w:cs="Times New Roman"/>
                <w:color w:val="000000"/>
                <w:highlight w:val="none"/>
              </w:rPr>
              <w:t>提供建设单位出具的加盖建设单位公章的证明材料。</w:t>
            </w:r>
            <w:r>
              <w:rPr>
                <w:rFonts w:hint="eastAsia" w:ascii="Times New Roman" w:hAnsi="Times New Roman" w:eastAsia="宋体" w:cs="Times New Roman"/>
                <w:color w:val="000000"/>
                <w:highlight w:val="none"/>
                <w:lang w:val="en-US" w:eastAsia="zh-CN"/>
              </w:rPr>
              <w:t>合同金额</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2"/>
        <w:adjustRightInd w:val="0"/>
        <w:snapToGrid w:val="0"/>
        <w:spacing w:after="0" w:line="560" w:lineRule="exact"/>
        <w:ind w:left="0" w:leftChars="0" w:firstLine="0" w:firstLineChars="0"/>
        <w:jc w:val="center"/>
        <w:rPr>
          <w:rFonts w:hint="default" w:eastAsia="宋体"/>
          <w:b/>
          <w:color w:val="000000"/>
          <w:sz w:val="28"/>
          <w:szCs w:val="21"/>
          <w:highlight w:val="none"/>
          <w:lang w:val="en-US" w:eastAsia="zh-CN"/>
        </w:rPr>
      </w:pPr>
      <w:r>
        <w:rPr>
          <w:rFonts w:hint="eastAsia"/>
          <w:b/>
          <w:color w:val="000000"/>
          <w:sz w:val="28"/>
          <w:szCs w:val="21"/>
          <w:highlight w:val="none"/>
        </w:rPr>
        <w:t>（三）技术标评审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形式评审标准</w:t>
            </w:r>
          </w:p>
        </w:tc>
        <w:tc>
          <w:tcPr>
            <w:tcW w:w="3355" w:type="dxa"/>
            <w:gridSpan w:val="3"/>
            <w:noWrap w:val="0"/>
            <w:vAlign w:val="center"/>
          </w:tcPr>
          <w:p w14:paraId="43347AD4">
            <w:pPr>
              <w:spacing w:line="560" w:lineRule="exact"/>
              <w:jc w:val="center"/>
              <w:rPr>
                <w:color w:val="000000"/>
                <w:highlight w:val="none"/>
              </w:rPr>
            </w:pPr>
            <w:r>
              <w:rPr>
                <w:rFonts w:hint="eastAsia"/>
                <w:color w:val="000000"/>
                <w:highlight w:val="none"/>
              </w:rPr>
              <w:t>投标文件格式</w:t>
            </w:r>
          </w:p>
        </w:tc>
        <w:tc>
          <w:tcPr>
            <w:tcW w:w="4452" w:type="dxa"/>
            <w:noWrap w:val="0"/>
            <w:vAlign w:val="center"/>
          </w:tcPr>
          <w:p w14:paraId="63A4C66E">
            <w:pPr>
              <w:spacing w:line="440" w:lineRule="exact"/>
              <w:jc w:val="left"/>
              <w:rPr>
                <w:color w:val="000000"/>
                <w:highlight w:val="none"/>
              </w:rPr>
            </w:pPr>
            <w:r>
              <w:rPr>
                <w:rFonts w:hint="eastAsia"/>
                <w:color w:val="000000"/>
                <w:highlight w:val="none"/>
              </w:rPr>
              <w:t>符合第</w:t>
            </w:r>
            <w:r>
              <w:rPr>
                <w:rFonts w:hint="eastAsia"/>
                <w:color w:val="000000"/>
                <w:highlight w:val="none"/>
                <w:lang w:val="en-US" w:eastAsia="zh-CN"/>
              </w:rPr>
              <w:t>七</w:t>
            </w:r>
            <w:r>
              <w:rPr>
                <w:rFonts w:hint="eastAsia"/>
                <w:color w:val="000000"/>
                <w:highlight w:val="none"/>
              </w:rPr>
              <w:t>章“投标文件格式”的要求，否则经评委会一致认定后</w:t>
            </w:r>
            <w:r>
              <w:rPr>
                <w:rFonts w:hint="eastAsia"/>
                <w:color w:val="000000"/>
                <w:highlight w:val="none"/>
                <w:lang w:eastAsia="zh-CN"/>
              </w:rPr>
              <w:t>，</w:t>
            </w:r>
            <w:r>
              <w:rPr>
                <w:rFonts w:hint="eastAsia"/>
                <w:color w:val="000000"/>
                <w:highlight w:val="none"/>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highlight w:val="none"/>
              </w:rPr>
            </w:pPr>
            <w:r>
              <w:rPr>
                <w:color w:val="000000"/>
                <w:szCs w:val="21"/>
                <w:highlight w:val="none"/>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highlight w:val="none"/>
              </w:rPr>
            </w:pPr>
            <w:r>
              <w:rPr>
                <w:color w:val="000000"/>
                <w:szCs w:val="21"/>
                <w:highlight w:val="none"/>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highlight w:val="none"/>
              </w:rPr>
            </w:pPr>
            <w:r>
              <w:rPr>
                <w:rFonts w:hint="eastAsia"/>
                <w:color w:val="000000"/>
                <w:szCs w:val="21"/>
                <w:highlight w:val="none"/>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六</w:t>
            </w:r>
            <w:r>
              <w:rPr>
                <w:rFonts w:hint="eastAsia" w:ascii="宋体" w:hAnsi="宋体" w:cs="宋体"/>
                <w:color w:val="000000"/>
                <w:szCs w:val="21"/>
                <w:highlight w:val="none"/>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供货方案</w:t>
            </w:r>
          </w:p>
        </w:tc>
        <w:tc>
          <w:tcPr>
            <w:tcW w:w="1260" w:type="dxa"/>
            <w:noWrap w:val="0"/>
            <w:vAlign w:val="center"/>
          </w:tcPr>
          <w:p w14:paraId="7DE9F983">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706248D7">
            <w:pPr>
              <w:adjustRightInd w:val="0"/>
              <w:snapToGrid w:val="0"/>
              <w:spacing w:line="560" w:lineRule="exact"/>
              <w:jc w:val="left"/>
              <w:rPr>
                <w:rFonts w:hint="eastAsia" w:ascii="宋体" w:hAnsi="宋体" w:cs="宋体"/>
                <w:color w:val="auto"/>
                <w:szCs w:val="21"/>
                <w:highlight w:val="none"/>
                <w:lang w:val="zh-TW" w:eastAsia="zh-CN"/>
              </w:rPr>
            </w:pPr>
            <w:r>
              <w:rPr>
                <w:rFonts w:hint="eastAsia" w:ascii="宋体" w:hAnsi="宋体" w:cs="宋体"/>
                <w:color w:val="auto"/>
                <w:szCs w:val="21"/>
                <w:highlight w:val="none"/>
                <w:lang w:val="en-US" w:eastAsia="zh-CN"/>
              </w:rPr>
              <w:t>投标人根据项目具体的实施情况制定供货方案，主要考虑供货人员劳动力、验收方案、施工进度、质量、安全保证、成品保护措施等：</w:t>
            </w:r>
            <w:r>
              <w:rPr>
                <w:rFonts w:hint="eastAsia" w:ascii="宋体" w:hAnsi="宋体" w:cs="宋体"/>
                <w:color w:val="auto"/>
                <w:szCs w:val="21"/>
                <w:highlight w:val="none"/>
                <w:lang w:val="zh-TW" w:eastAsia="zh-CN"/>
              </w:rPr>
              <w:t xml:space="preserve"> </w:t>
            </w:r>
          </w:p>
          <w:p w14:paraId="7A8B2AC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①方案详尽，措施完整且符合项目实际情况的得15分；</w:t>
            </w:r>
          </w:p>
          <w:p w14:paraId="04B59638">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②方案齐全，措施简单且符合实际情况的得12分；</w:t>
            </w:r>
          </w:p>
          <w:p w14:paraId="3C8D8EE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③方案内容简单，措施不缺项的得9分；</w:t>
            </w:r>
          </w:p>
          <w:p w14:paraId="429A5C6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r w14:paraId="523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6B96EF9F">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80" w:type="dxa"/>
            <w:gridSpan w:val="3"/>
            <w:noWrap w:val="0"/>
            <w:vAlign w:val="center"/>
          </w:tcPr>
          <w:p w14:paraId="0AC17284">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售后服务方案</w:t>
            </w:r>
          </w:p>
        </w:tc>
        <w:tc>
          <w:tcPr>
            <w:tcW w:w="1260" w:type="dxa"/>
            <w:noWrap w:val="0"/>
            <w:vAlign w:val="center"/>
          </w:tcPr>
          <w:p w14:paraId="29A5F7C1">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27E4B4A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 w:val="24"/>
                <w:szCs w:val="20"/>
                <w:highlight w:val="none"/>
                <w:lang w:val="en-US" w:eastAsia="zh-CN"/>
              </w:rPr>
              <w:t>根</w:t>
            </w:r>
            <w:r>
              <w:rPr>
                <w:rFonts w:hint="eastAsia" w:ascii="宋体" w:hAnsi="宋体" w:cs="宋体"/>
                <w:color w:val="auto"/>
                <w:szCs w:val="21"/>
                <w:highlight w:val="none"/>
                <w:lang w:val="en-US" w:eastAsia="zh-CN"/>
              </w:rPr>
              <w:t xml:space="preserve">据投标人提供的售后服务方案进行综合评分： </w:t>
            </w:r>
          </w:p>
          <w:p w14:paraId="3B20840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①售后服务措施详尽、维修响应时间及时、备件供应保障充足、人员售后配置详细、远程报修服务方案全面、实时维修统计详尽，能保障招标人获得满意售后服务的得15分； </w:t>
            </w:r>
          </w:p>
          <w:p w14:paraId="2AA9172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②售后服务措施完整、维修响应时间及时、具有备件供应保障措施、配置售后人员、具有远程报修服务的得12分； </w:t>
            </w:r>
          </w:p>
          <w:p w14:paraId="2C66DFC6">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③ 售后服务措施、维修响应时间、备件供应保障、配置售后人员、远程报修服务措施不全或存在不足的得9分； </w:t>
            </w:r>
          </w:p>
          <w:p w14:paraId="1274AB2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bl>
    <w:p w14:paraId="7E39AACF">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cs="宋体"/>
          <w:b/>
          <w:bCs/>
          <w:color w:val="auto"/>
          <w:highlight w:val="none"/>
          <w:lang w:eastAsia="zh-CN"/>
        </w:rPr>
      </w:pPr>
      <w:r>
        <w:rPr>
          <w:rFonts w:hint="eastAsia" w:ascii="宋体" w:hAnsi="宋体" w:eastAsia="宋体" w:cs="宋体"/>
          <w:b/>
          <w:bCs/>
          <w:color w:val="auto"/>
          <w:highlight w:val="none"/>
          <w:lang w:val="en-US" w:eastAsia="zh-CN"/>
        </w:rPr>
        <w:t>2.1</w:t>
      </w:r>
      <w:r>
        <w:rPr>
          <w:rFonts w:hint="eastAsia" w:ascii="宋体" w:hAnsi="宋体" w:cs="宋体"/>
          <w:color w:val="auto"/>
          <w:szCs w:val="21"/>
          <w:highlight w:val="none"/>
          <w:lang w:val="en-US" w:eastAsia="zh-CN"/>
        </w:rPr>
        <w:t>供货方案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08EBF251">
      <w:pPr>
        <w:spacing w:line="560" w:lineRule="exact"/>
        <w:ind w:firstLine="413" w:firstLineChars="196"/>
        <w:rPr>
          <w:rFonts w:hint="eastAsia"/>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2</w:t>
      </w:r>
      <w:r>
        <w:rPr>
          <w:rFonts w:hint="eastAsia" w:ascii="宋体" w:hAnsi="宋体" w:cs="宋体"/>
          <w:color w:val="auto"/>
          <w:szCs w:val="21"/>
          <w:highlight w:val="none"/>
          <w:lang w:val="en-US" w:eastAsia="zh-CN"/>
        </w:rPr>
        <w:t>售后服务方案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2"/>
        <w:adjustRightInd w:val="0"/>
        <w:snapToGrid w:val="0"/>
        <w:spacing w:after="0" w:line="560" w:lineRule="exact"/>
        <w:ind w:left="0" w:leftChars="0" w:firstLine="0" w:firstLineChars="0"/>
        <w:jc w:val="center"/>
        <w:rPr>
          <w:rFonts w:hint="eastAsia" w:hAnsi="Times New Roman" w:cs="Times New Roman"/>
          <w:b/>
          <w:color w:val="000000"/>
          <w:sz w:val="28"/>
          <w:szCs w:val="21"/>
          <w:highlight w:val="none"/>
        </w:rPr>
      </w:pPr>
      <w:r>
        <w:rPr>
          <w:rFonts w:hint="eastAsia" w:hAnsi="Times New Roman" w:cs="Times New Roman"/>
          <w:b/>
          <w:color w:val="000000"/>
          <w:sz w:val="28"/>
          <w:szCs w:val="21"/>
          <w:highlight w:val="none"/>
        </w:rPr>
        <w:t>（</w:t>
      </w:r>
      <w:r>
        <w:rPr>
          <w:rFonts w:hint="eastAsia" w:hAnsi="Times New Roman" w:cs="Times New Roman"/>
          <w:b/>
          <w:color w:val="000000"/>
          <w:sz w:val="28"/>
          <w:szCs w:val="21"/>
          <w:highlight w:val="none"/>
          <w:lang w:val="en-US" w:eastAsia="zh-CN"/>
        </w:rPr>
        <w:t>四</w:t>
      </w:r>
      <w:r>
        <w:rPr>
          <w:rFonts w:hint="eastAsia" w:hAnsi="Times New Roman" w:cs="Times New Roman"/>
          <w:b/>
          <w:color w:val="000000"/>
          <w:sz w:val="28"/>
          <w:szCs w:val="21"/>
          <w:highlight w:val="none"/>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形式评审标准</w:t>
            </w:r>
          </w:p>
        </w:tc>
        <w:tc>
          <w:tcPr>
            <w:tcW w:w="1980" w:type="dxa"/>
            <w:noWrap w:val="0"/>
            <w:vAlign w:val="center"/>
          </w:tcPr>
          <w:p w14:paraId="5010371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262651E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符合</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olor w:val="000000"/>
                <w:szCs w:val="21"/>
                <w:highlight w:val="none"/>
              </w:rPr>
              <w:t>“投标文件格式”的要求。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DA0AF02">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1F65E9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响应性评审标准</w:t>
            </w:r>
          </w:p>
          <w:p w14:paraId="56239BC0">
            <w:pPr>
              <w:adjustRightInd w:val="0"/>
              <w:snapToGrid w:val="0"/>
              <w:spacing w:line="560" w:lineRule="exact"/>
              <w:jc w:val="center"/>
              <w:rPr>
                <w:rFonts w:ascii="宋体" w:hAnsi="宋体"/>
                <w:color w:val="000000"/>
                <w:szCs w:val="21"/>
                <w:highlight w:val="none"/>
              </w:rPr>
            </w:pPr>
          </w:p>
        </w:tc>
        <w:tc>
          <w:tcPr>
            <w:tcW w:w="1980" w:type="dxa"/>
            <w:noWrap w:val="0"/>
            <w:vAlign w:val="center"/>
          </w:tcPr>
          <w:p w14:paraId="2D47C8F8">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工期</w:t>
            </w:r>
          </w:p>
        </w:tc>
        <w:tc>
          <w:tcPr>
            <w:tcW w:w="6645" w:type="dxa"/>
            <w:noWrap w:val="0"/>
            <w:vAlign w:val="center"/>
          </w:tcPr>
          <w:p w14:paraId="7DDAFEE7">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C8C5A6E">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工程质量</w:t>
            </w:r>
          </w:p>
        </w:tc>
        <w:tc>
          <w:tcPr>
            <w:tcW w:w="6645" w:type="dxa"/>
            <w:noWrap w:val="0"/>
            <w:vAlign w:val="center"/>
          </w:tcPr>
          <w:p w14:paraId="6447E52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540B66D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投标有效期</w:t>
            </w:r>
          </w:p>
        </w:tc>
        <w:tc>
          <w:tcPr>
            <w:tcW w:w="6645" w:type="dxa"/>
            <w:noWrap w:val="0"/>
            <w:vAlign w:val="center"/>
          </w:tcPr>
          <w:p w14:paraId="6B99D234">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4F0C58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工程成本评审</w:t>
            </w:r>
          </w:p>
        </w:tc>
        <w:tc>
          <w:tcPr>
            <w:tcW w:w="6645" w:type="dxa"/>
            <w:noWrap w:val="0"/>
            <w:vAlign w:val="center"/>
          </w:tcPr>
          <w:p w14:paraId="57798C55">
            <w:pPr>
              <w:adjustRightInd w:val="0"/>
              <w:snapToGrid w:val="0"/>
              <w:spacing w:line="560" w:lineRule="exact"/>
              <w:rPr>
                <w:rFonts w:ascii="宋体" w:hAnsi="宋体"/>
                <w:color w:val="000000"/>
                <w:szCs w:val="21"/>
                <w:highlight w:val="none"/>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1" w:type="dxa"/>
            <w:vMerge w:val="restart"/>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vMerge w:val="restart"/>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028BD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sz w:val="21"/>
                <w:szCs w:val="21"/>
                <w:highlight w:val="none"/>
                <w:lang w:val="en-US" w:eastAsia="zh-CN"/>
              </w:rPr>
              <w:t>光伏组件</w:t>
            </w:r>
            <w:r>
              <w:rPr>
                <w:rFonts w:hint="eastAsia" w:ascii="宋体" w:hAnsi="宋体" w:eastAsia="宋体" w:cs="宋体"/>
                <w:color w:val="auto"/>
                <w:highlight w:val="none"/>
                <w:lang w:val="en-US" w:eastAsia="zh-CN"/>
              </w:rPr>
              <w:t>报价分（</w:t>
            </w:r>
            <w:r>
              <w:rPr>
                <w:rFonts w:hint="eastAsia" w:ascii="宋体" w:hAnsi="宋体" w:cs="宋体"/>
                <w:color w:val="auto"/>
                <w:highlight w:val="none"/>
                <w:lang w:val="en-US" w:eastAsia="zh-CN"/>
              </w:rPr>
              <w:t>40</w:t>
            </w:r>
            <w:r>
              <w:rPr>
                <w:rFonts w:hint="eastAsia" w:ascii="宋体" w:hAnsi="宋体" w:eastAsia="宋体" w:cs="宋体"/>
                <w:color w:val="auto"/>
                <w:highlight w:val="none"/>
                <w:lang w:val="en-US" w:eastAsia="zh-CN"/>
              </w:rPr>
              <w:t>分）：</w:t>
            </w:r>
          </w:p>
          <w:p w14:paraId="1587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该部分商务标评分按下列步骤计算：</w:t>
            </w:r>
          </w:p>
          <w:p w14:paraId="31B4E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106C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4FF4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18D0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①F=B×（1-K），其中K为调整系数，K的取值为-0.5%（1号），0%（2号），0.5%（3号），1.0%（4号），1.5%（5号）。</w:t>
            </w:r>
          </w:p>
          <w:p w14:paraId="5141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第三步：计算报价偏差率。</w:t>
            </w:r>
          </w:p>
          <w:p w14:paraId="7D9EF273">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3C57A9A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32A77194">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2EDE635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671E401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5B9E1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left"/>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r w14:paraId="0259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81" w:type="dxa"/>
            <w:vMerge w:val="continue"/>
            <w:noWrap w:val="0"/>
            <w:vAlign w:val="center"/>
          </w:tcPr>
          <w:p w14:paraId="65B66BAE">
            <w:pPr>
              <w:adjustRightInd w:val="0"/>
              <w:snapToGrid w:val="0"/>
              <w:spacing w:line="560" w:lineRule="exact"/>
              <w:jc w:val="center"/>
              <w:rPr>
                <w:rFonts w:ascii="宋体" w:hAnsi="宋体"/>
                <w:color w:val="000000"/>
                <w:szCs w:val="21"/>
                <w:highlight w:val="none"/>
              </w:rPr>
            </w:pPr>
          </w:p>
        </w:tc>
        <w:tc>
          <w:tcPr>
            <w:tcW w:w="780" w:type="dxa"/>
            <w:vMerge w:val="continue"/>
            <w:noWrap w:val="0"/>
            <w:vAlign w:val="center"/>
          </w:tcPr>
          <w:p w14:paraId="68742201">
            <w:pPr>
              <w:adjustRightInd w:val="0"/>
              <w:snapToGrid w:val="0"/>
              <w:spacing w:line="560" w:lineRule="exact"/>
              <w:jc w:val="center"/>
              <w:rPr>
                <w:rFonts w:ascii="宋体" w:hAnsi="宋体"/>
                <w:color w:val="000000"/>
                <w:szCs w:val="21"/>
                <w:highlight w:val="none"/>
              </w:rPr>
            </w:pPr>
          </w:p>
        </w:tc>
        <w:tc>
          <w:tcPr>
            <w:tcW w:w="8625" w:type="dxa"/>
            <w:gridSpan w:val="2"/>
            <w:noWrap w:val="0"/>
            <w:vAlign w:val="center"/>
          </w:tcPr>
          <w:p w14:paraId="6726F7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sz w:val="21"/>
                <w:szCs w:val="21"/>
                <w:highlight w:val="none"/>
                <w:lang w:val="en-US" w:eastAsia="zh-CN"/>
              </w:rPr>
              <w:t>光伏逆变器</w:t>
            </w:r>
            <w:r>
              <w:rPr>
                <w:rFonts w:hint="eastAsia" w:ascii="宋体" w:hAnsi="宋体" w:eastAsia="宋体" w:cs="宋体"/>
                <w:color w:val="auto"/>
                <w:highlight w:val="none"/>
                <w:lang w:val="en-US" w:eastAsia="zh-CN"/>
              </w:rPr>
              <w:t>报价分（</w:t>
            </w: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1BA26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cs="宋体"/>
                <w:b/>
                <w:color w:val="auto"/>
                <w:szCs w:val="21"/>
                <w:highlight w:val="none"/>
                <w:lang w:val="en-US" w:eastAsia="zh-CN"/>
              </w:rPr>
              <w:t>该部分</w:t>
            </w:r>
            <w:r>
              <w:rPr>
                <w:rFonts w:hint="eastAsia" w:ascii="宋体" w:hAnsi="宋体" w:eastAsia="宋体" w:cs="宋体"/>
                <w:color w:val="auto"/>
                <w:highlight w:val="none"/>
                <w:lang w:val="en-US" w:eastAsia="zh-CN"/>
              </w:rPr>
              <w:t>商务标评分按下列步骤计算：</w:t>
            </w:r>
          </w:p>
          <w:p w14:paraId="218EE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40D5D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14CA7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03DF7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w:t>
            </w:r>
            <w:r>
              <w:rPr>
                <w:rFonts w:hint="eastAsia" w:ascii="宋体" w:hAnsi="宋体" w:cs="宋体"/>
                <w:color w:val="auto"/>
                <w:szCs w:val="21"/>
                <w:highlight w:val="none"/>
              </w:rPr>
              <w:t>F=B×（1-K），其中K为调整系数，K的取值为-0.5%（1号），0%（2号），0.5%（3号），1.0%（4号），1.5%（5号）</w:t>
            </w:r>
            <w:r>
              <w:rPr>
                <w:rFonts w:hint="eastAsia" w:ascii="宋体" w:hAnsi="宋体" w:eastAsia="宋体" w:cs="宋体"/>
                <w:color w:val="auto"/>
                <w:highlight w:val="none"/>
                <w:lang w:val="en-US" w:eastAsia="zh-CN"/>
              </w:rPr>
              <w:t>。</w:t>
            </w:r>
          </w:p>
          <w:p w14:paraId="3FB152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w:t>
            </w:r>
            <w:r>
              <w:rPr>
                <w:rFonts w:hint="eastAsia" w:ascii="宋体" w:hAnsi="宋体" w:cs="宋体"/>
                <w:color w:val="auto"/>
                <w:szCs w:val="21"/>
                <w:highlight w:val="none"/>
              </w:rPr>
              <w:t>计算报价偏差率</w:t>
            </w:r>
            <w:r>
              <w:rPr>
                <w:rFonts w:hint="eastAsia" w:ascii="宋体" w:hAnsi="宋体" w:eastAsia="宋体" w:cs="宋体"/>
                <w:color w:val="auto"/>
                <w:highlight w:val="none"/>
                <w:lang w:val="en-US" w:eastAsia="zh-CN"/>
              </w:rPr>
              <w:t>。</w:t>
            </w:r>
          </w:p>
          <w:p w14:paraId="34FEABF6">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09BD6E1A">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72AD5E20">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40AC4650">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79F8C47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762CCD10">
            <w:pPr>
              <w:keepNext w:val="0"/>
              <w:keepLines w:val="0"/>
              <w:pageBreakBefore w:val="0"/>
              <w:widowControl w:val="0"/>
              <w:suppressLineNumbers w:val="0"/>
              <w:shd w:val="clear"/>
              <w:kinsoku/>
              <w:wordWrap w:val="0"/>
              <w:overflowPunct/>
              <w:topLinePunct w:val="0"/>
              <w:autoSpaceDE/>
              <w:autoSpaceDN/>
              <w:bidi w:val="0"/>
              <w:adjustRightInd w:val="0"/>
              <w:snapToGrid w:val="0"/>
              <w:spacing w:before="0" w:beforeAutospacing="0" w:after="0" w:afterAutospacing="0" w:line="560" w:lineRule="exact"/>
              <w:ind w:left="0" w:leftChars="0" w:right="0" w:rightChars="0"/>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w:t>
      </w:r>
    </w:p>
    <w:p w14:paraId="2D0AEB4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、B值计算方法：</w:t>
      </w:r>
    </w:p>
    <w:p w14:paraId="0154275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（1）本项目T取值为10。</w:t>
      </w:r>
    </w:p>
    <w:p w14:paraId="1B8F82AD">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1C22B4CB">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7777302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BB1641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、K值（评标基准价系数）的抽取：资信标、技术标、商务标评审完成后，招标人</w:t>
      </w:r>
      <w:r>
        <w:rPr>
          <w:rFonts w:hint="eastAsia" w:ascii="宋体" w:hAnsi="宋体" w:eastAsia="宋体" w:cs="宋体"/>
          <w:color w:val="000000"/>
          <w:szCs w:val="21"/>
          <w:highlight w:val="none"/>
          <w:lang w:val="en-US" w:eastAsia="zh-CN"/>
        </w:rPr>
        <w:t>现场</w:t>
      </w:r>
      <w:r>
        <w:rPr>
          <w:rFonts w:hint="eastAsia" w:ascii="宋体" w:hAnsi="宋体" w:eastAsia="宋体" w:cs="宋体"/>
          <w:color w:val="000000"/>
          <w:szCs w:val="21"/>
          <w:highlight w:val="none"/>
        </w:rPr>
        <w:t>抽取K值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本项目仅抽取一次K值）</w:t>
      </w:r>
      <w:r>
        <w:rPr>
          <w:rFonts w:hint="eastAsia" w:ascii="宋体" w:hAnsi="宋体" w:eastAsia="宋体" w:cs="宋体"/>
          <w:color w:val="000000"/>
          <w:szCs w:val="21"/>
          <w:highlight w:val="none"/>
        </w:rPr>
        <w:t>，并根据抽取的K值计算F值，评标办法中的评标基准价计算出来后，除数字计算错误外，其他情况均不再调整。</w:t>
      </w:r>
    </w:p>
    <w:p w14:paraId="26E54616">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、其他</w:t>
      </w:r>
    </w:p>
    <w:p w14:paraId="70F7A92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 缺漏项金额是指投标人漏计招标人发布的清单项目，按最高投标限价对应清单综合单价计算缺漏金额。</w:t>
      </w:r>
    </w:p>
    <w:p w14:paraId="63107DE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 本表所述累计投标报价缺漏错总额占原投标报价格5%以下者，视为投标人主动让利或包含在其他项目中，不修正总价，工程结算时亦不予调整。</w:t>
      </w:r>
    </w:p>
    <w:p w14:paraId="7E9F80EE">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17377"/>
      <w:bookmarkStart w:id="806" w:name="_Toc506107326"/>
      <w:bookmarkStart w:id="807" w:name="_Toc35425115"/>
      <w:bookmarkStart w:id="808" w:name="_Toc15058915"/>
      <w:bookmarkStart w:id="809" w:name="_Toc324404874"/>
      <w:bookmarkStart w:id="810" w:name="_Toc35424949"/>
      <w:bookmarkStart w:id="811" w:name="_Toc7880338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27389"/>
      <w:bookmarkStart w:id="813" w:name="_Toc35425116"/>
      <w:bookmarkStart w:id="814" w:name="_Toc78803385"/>
      <w:bookmarkStart w:id="815" w:name="_Toc150589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7"/>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17" w:name="_Toc95223433"/>
      <w:bookmarkStart w:id="818" w:name="_Toc12200"/>
      <w:bookmarkStart w:id="819" w:name="_Toc35424954"/>
      <w:bookmarkStart w:id="820" w:name="_Toc506107327"/>
      <w:bookmarkStart w:id="821" w:name="_Toc324404875"/>
      <w:bookmarkStart w:id="822" w:name="_Toc78803389"/>
      <w:bookmarkStart w:id="823" w:name="_Toc15058919"/>
      <w:bookmarkStart w:id="824" w:name="_Toc35425120"/>
      <w:r>
        <w:rPr>
          <w:rFonts w:hint="eastAsia" w:ascii="宋体" w:hAnsi="宋体" w:eastAsia="宋体" w:cs="宋体"/>
          <w:highlight w:val="none"/>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详见技术标评审表。</w:t>
      </w:r>
    </w:p>
    <w:p w14:paraId="2DE8CA6E">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5" w:name="_Toc95223434"/>
      <w:r>
        <w:rPr>
          <w:rFonts w:hint="eastAsia" w:ascii="宋体" w:hAnsi="宋体" w:eastAsia="宋体" w:cs="宋体"/>
          <w:highlight w:val="none"/>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详见商务标评审表。</w:t>
      </w:r>
    </w:p>
    <w:p w14:paraId="617E89B0">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资信评审、技术标评审、商务标评审后，推荐中标候选人，并标明排序。</w:t>
      </w:r>
    </w:p>
    <w:p w14:paraId="3113A55A">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7"/>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9" w:name="_Toc95223437"/>
      <w:bookmarkStart w:id="830" w:name="_Toc35424957"/>
      <w:bookmarkStart w:id="831" w:name="_Toc15058922"/>
      <w:bookmarkStart w:id="832" w:name="_Toc506107328"/>
      <w:bookmarkStart w:id="833" w:name="_Toc78803392"/>
      <w:bookmarkStart w:id="834" w:name="_Toc35425123"/>
      <w:bookmarkStart w:id="835" w:name="_Toc324404876"/>
      <w:bookmarkStart w:id="836" w:name="_Toc13125"/>
      <w:r>
        <w:rPr>
          <w:rFonts w:hint="eastAsia" w:ascii="宋体" w:hAnsi="宋体" w:eastAsia="宋体" w:cs="宋体"/>
          <w:highlight w:val="none"/>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35424958"/>
      <w:bookmarkStart w:id="838" w:name="_Toc78803393"/>
      <w:bookmarkStart w:id="839" w:name="_Toc27846"/>
      <w:bookmarkStart w:id="840" w:name="_Toc324404877"/>
      <w:bookmarkStart w:id="841" w:name="_Toc15058923"/>
      <w:bookmarkStart w:id="842" w:name="_Toc506107329"/>
      <w:bookmarkStart w:id="843" w:name="_Toc35425124"/>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eastAsia="宋体" w:cs="宋体"/>
          <w:highlight w:val="none"/>
        </w:rPr>
        <w:t>（1）</w:t>
      </w:r>
      <w:r>
        <w:rPr>
          <w:rFonts w:hint="eastAsia" w:ascii="宋体" w:hAnsi="宋体" w:cs="宋体"/>
          <w:color w:val="000000"/>
          <w:szCs w:val="21"/>
          <w:highlight w:val="none"/>
        </w:rPr>
        <w:t>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35424962"/>
      <w:bookmarkStart w:id="849" w:name="_Toc15058927"/>
      <w:bookmarkStart w:id="850" w:name="_Toc35425128"/>
      <w:bookmarkStart w:id="851" w:name="_Toc506107333"/>
      <w:bookmarkStart w:id="852" w:name="_Toc144974826"/>
      <w:bookmarkStart w:id="853" w:name="_Toc152042546"/>
      <w:bookmarkStart w:id="854" w:name="_Toc179632785"/>
      <w:bookmarkStart w:id="855" w:name="_Toc152045767"/>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highlight w:val="none"/>
        </w:rPr>
        <w:t>投标人提供的与投标文件有关的各类证书、证明、文件、资料等的真实性、合法性由投标人负全责。</w:t>
      </w:r>
    </w:p>
    <w:p w14:paraId="65923B12">
      <w:pPr>
        <w:rPr>
          <w:rFonts w:hint="eastAsia"/>
          <w:highlight w:val="none"/>
        </w:rPr>
      </w:pPr>
      <w:bookmarkStart w:id="858" w:name="_Toc78803397"/>
    </w:p>
    <w:bookmarkEnd w:id="848"/>
    <w:bookmarkEnd w:id="849"/>
    <w:bookmarkEnd w:id="850"/>
    <w:bookmarkEnd w:id="851"/>
    <w:bookmarkEnd w:id="858"/>
    <w:p w14:paraId="226BC7FC">
      <w:pPr>
        <w:pStyle w:val="6"/>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highlight w:val="none"/>
        </w:rPr>
      </w:pPr>
    </w:p>
    <w:p w14:paraId="6287E4F3">
      <w:pPr>
        <w:pageBreakBefore w:val="0"/>
        <w:widowControl/>
        <w:numPr>
          <w:ilvl w:val="0"/>
          <w:numId w:val="2"/>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60"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860"/>
    </w:p>
    <w:p w14:paraId="24FEC4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合同名称 </w:t>
      </w:r>
    </w:p>
    <w:p w14:paraId="454F03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编号</w:t>
      </w:r>
    </w:p>
    <w:p w14:paraId="2B9F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买  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卖  方：</w:t>
      </w:r>
    </w:p>
    <w:p w14:paraId="72CA2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电</w:t>
      </w:r>
      <w:r>
        <w:rPr>
          <w:rFonts w:hint="eastAsia" w:ascii="宋体" w:hAnsi="宋体" w:eastAsia="宋体" w:cs="宋体"/>
          <w:color w:val="auto"/>
          <w:sz w:val="21"/>
          <w:szCs w:val="21"/>
          <w:highlight w:val="none"/>
        </w:rPr>
        <w:t xml:space="preserve">  话：                            电  话：</w:t>
      </w:r>
    </w:p>
    <w:p w14:paraId="123F3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经公开招标，确定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的规定，买卖双方同意按照下述的条款和条件，签署本合同。</w:t>
      </w:r>
    </w:p>
    <w:p w14:paraId="6EBE9D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14:paraId="2F214D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14:paraId="1289AC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（1）招标文件（2）投标文件（3）中标通知书</w:t>
      </w:r>
    </w:p>
    <w:p w14:paraId="2240D9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14:paraId="3F73C5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2、合同总价</w:t>
      </w:r>
    </w:p>
    <w:p w14:paraId="0F59976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人民币</w:t>
      </w:r>
      <w:r>
        <w:rPr>
          <w:rFonts w:hint="eastAsia" w:ascii="宋体" w:hAnsi="宋体" w:eastAsia="宋体" w:cs="宋体"/>
          <w:color w:val="000000"/>
          <w:kern w:val="0"/>
          <w:sz w:val="21"/>
          <w:szCs w:val="21"/>
          <w:highlight w:val="none"/>
          <w:lang w:val="en-US" w:eastAsia="zh-CN" w:bidi="ar"/>
        </w:rPr>
        <w:t>。</w:t>
      </w:r>
    </w:p>
    <w:p w14:paraId="1A4554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0FA3D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4、合同交货期</w:t>
      </w:r>
      <w:r>
        <w:rPr>
          <w:rFonts w:hint="eastAsia" w:ascii="宋体" w:hAnsi="宋体" w:cs="宋体"/>
          <w:color w:val="auto"/>
          <w:sz w:val="21"/>
          <w:szCs w:val="21"/>
          <w:highlight w:val="none"/>
          <w:lang w:eastAsia="zh-CN"/>
        </w:rPr>
        <w:t>：</w:t>
      </w:r>
    </w:p>
    <w:p w14:paraId="167B9A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5、保密条款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签定保密协议等</w:t>
      </w:r>
    </w:p>
    <w:p w14:paraId="0520DFB5">
      <w:pPr>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其他约定</w:t>
      </w:r>
    </w:p>
    <w:p w14:paraId="4F96FED6">
      <w:pPr>
        <w:pStyle w:val="2"/>
        <w:numPr>
          <w:ilvl w:val="0"/>
          <w:numId w:val="0"/>
        </w:numPr>
        <w:ind w:firstLine="420" w:firstLineChars="200"/>
        <w:rPr>
          <w:rFonts w:hint="eastAsia" w:eastAsia="宋体"/>
          <w:highlight w:val="none"/>
          <w:lang w:eastAsia="zh-CN"/>
        </w:rPr>
      </w:pPr>
      <w:r>
        <w:rPr>
          <w:rFonts w:hint="eastAsia"/>
          <w:highlight w:val="none"/>
          <w:lang w:eastAsia="zh-CN"/>
        </w:rPr>
        <w:t>若卖方未能及时提供保险承诺函所需的保险，视为合同违约，买方有权利要求终止合同；若卖方未能及时兑现本地化服务，视为合同违约，买方有权利要求终止合同；</w:t>
      </w:r>
    </w:p>
    <w:p w14:paraId="3411AB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7、合同的生效</w:t>
      </w:r>
    </w:p>
    <w:p w14:paraId="725EE6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合同经双方授权代表签署，买卖双方加盖印章之后生效。</w:t>
      </w:r>
    </w:p>
    <w:p w14:paraId="2D7604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bl>
      <w:tblPr>
        <w:tblStyle w:val="217"/>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5216"/>
      </w:tblGrid>
      <w:tr w14:paraId="7F2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4365" w:type="dxa"/>
            <w:noWrap w:val="0"/>
            <w:vAlign w:val="top"/>
          </w:tcPr>
          <w:p w14:paraId="297E5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买  方：</w:t>
            </w:r>
            <w:r>
              <w:rPr>
                <w:rFonts w:hint="eastAsia" w:ascii="宋体" w:hAnsi="宋体" w:cs="宋体"/>
                <w:color w:val="auto"/>
                <w:sz w:val="21"/>
                <w:szCs w:val="21"/>
                <w:highlight w:val="none"/>
                <w:lang w:val="en-US" w:eastAsia="zh-CN"/>
              </w:rPr>
              <w:t xml:space="preserve"> </w:t>
            </w:r>
          </w:p>
          <w:p w14:paraId="54499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78B641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D5B9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22FCA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p>
          <w:p w14:paraId="3DD1D1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0ADDD1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3268F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6881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216" w:type="dxa"/>
            <w:noWrap w:val="0"/>
            <w:vAlign w:val="center"/>
          </w:tcPr>
          <w:p w14:paraId="1A6D26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  方：</w:t>
            </w:r>
          </w:p>
          <w:p w14:paraId="10712C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1DB70B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00703F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548D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2DEA7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32F8D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5C1A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520F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bl>
    <w:p w14:paraId="2CCF4848">
      <w:pPr>
        <w:rPr>
          <w:rFonts w:hint="eastAsia" w:ascii="宋体" w:hAnsi="宋体" w:eastAsia="宋体" w:cs="宋体"/>
          <w:color w:val="auto"/>
          <w:sz w:val="21"/>
          <w:szCs w:val="21"/>
          <w:highlight w:val="none"/>
        </w:rPr>
      </w:pPr>
    </w:p>
    <w:p w14:paraId="3A4D25FC">
      <w:pPr>
        <w:spacing w:line="6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  合同条款</w:t>
      </w:r>
    </w:p>
    <w:p w14:paraId="4C2BB649">
      <w:pPr>
        <w:numPr>
          <w:ilvl w:val="0"/>
          <w:numId w:val="4"/>
        </w:num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一般约定</w:t>
      </w:r>
    </w:p>
    <w:p w14:paraId="1B05A4B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2"/>
          <w:sz w:val="21"/>
          <w:szCs w:val="21"/>
          <w:highlight w:val="none"/>
        </w:rPr>
        <w:t>词语定义</w:t>
      </w:r>
    </w:p>
    <w:p w14:paraId="06A96CEB">
      <w:pPr>
        <w:pStyle w:val="218"/>
        <w:spacing w:line="360" w:lineRule="auto"/>
        <w:ind w:left="48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通用合同条款中的下列词语应具有本款所赋予的含义。</w:t>
      </w:r>
    </w:p>
    <w:p w14:paraId="5B67ED61">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 合同</w:t>
      </w:r>
    </w:p>
    <w:p w14:paraId="4C456EC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 合同文件（或称合同）：指合同协议书、中标通知书、投标函及投标函附录、合同协议书、合同条款、技术标准和要求，以及其他合同文件。</w:t>
      </w:r>
    </w:p>
    <w:p w14:paraId="78F78FB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合同协议书：指第5款所指的合同协议书。</w:t>
      </w:r>
    </w:p>
    <w:p w14:paraId="5586377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 中标通知书：指买方通知卖方中标的函件。</w:t>
      </w:r>
    </w:p>
    <w:p w14:paraId="6232B527">
      <w:pPr>
        <w:pStyle w:val="218"/>
        <w:spacing w:line="360" w:lineRule="auto"/>
        <w:ind w:firstLine="420" w:firstLineChars="200"/>
        <w:rPr>
          <w:rFonts w:hint="eastAsia" w:ascii="宋体" w:hAnsi="宋体" w:eastAsia="宋体" w:cs="宋体"/>
          <w:dstrike/>
          <w:color w:val="000000"/>
          <w:kern w:val="2"/>
          <w:sz w:val="21"/>
          <w:szCs w:val="21"/>
          <w:highlight w:val="none"/>
        </w:rPr>
      </w:pPr>
      <w:r>
        <w:rPr>
          <w:rFonts w:hint="eastAsia" w:ascii="宋体" w:hAnsi="宋体" w:eastAsia="宋体" w:cs="宋体"/>
          <w:color w:val="000000"/>
          <w:kern w:val="2"/>
          <w:sz w:val="21"/>
          <w:szCs w:val="21"/>
          <w:highlight w:val="none"/>
        </w:rPr>
        <w:t>1.1.4 投标函：指构成合同文件组成部分的由卖方填写并签署的投标函。</w:t>
      </w:r>
    </w:p>
    <w:p w14:paraId="16F8D5C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 投标函附录：指附在投标函后构成合同文件的投标函附录。</w:t>
      </w:r>
    </w:p>
    <w:p w14:paraId="4E9E2B8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技术标准和要求：指构成合同文件组成部分的名为技术标准和要求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的文件，包括合同双方当事人约定对其所作的修改或补充。</w:t>
      </w:r>
    </w:p>
    <w:p w14:paraId="0174E5D6">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w:t>
      </w:r>
      <w:r>
        <w:rPr>
          <w:rFonts w:hint="eastAsia" w:ascii="宋体" w:hAnsi="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 xml:space="preserve"> 其他合同文件：指经合同双方当事人确认构成合同文件的其他文件。</w:t>
      </w:r>
    </w:p>
    <w:p w14:paraId="098AA14B">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 合同当事人和人员</w:t>
      </w:r>
    </w:p>
    <w:p w14:paraId="56DDA2A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合同当事人</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指买方和（或）卖方。</w:t>
      </w:r>
    </w:p>
    <w:p w14:paraId="0688E86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买方：指合同条款中指明并与卖方在合同协议书中签字的当事人。</w:t>
      </w:r>
    </w:p>
    <w:p w14:paraId="092C403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1.2.3 卖方：指合同条款中指明并与买方在合同协议书中签字的当事人。</w:t>
      </w:r>
    </w:p>
    <w:p w14:paraId="6C51BFB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1.2.4 卖方项目经理：指卖方派驻施工场地的全权负责人。</w:t>
      </w:r>
    </w:p>
    <w:p w14:paraId="641FFA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1.2.6 监理人：指在合同条款中指明的，受买方委托对合同履行实施管理的法人或其他组织。</w:t>
      </w:r>
    </w:p>
    <w:p w14:paraId="4987E38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1.2.7 总监理工程师（总监）：指由监理人委派常驻施工场地对合同履行实施管理的全权负责人。</w:t>
      </w:r>
    </w:p>
    <w:p w14:paraId="0320A04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 日期</w:t>
      </w:r>
    </w:p>
    <w:p w14:paraId="5F0DEF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开工通知：指监理人按合同要求通知卖方开工的函件。</w:t>
      </w:r>
    </w:p>
    <w:p w14:paraId="18765AB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开工日期：指监理人按合同要求发出的开工通知中写明的开工日期。</w:t>
      </w:r>
    </w:p>
    <w:p w14:paraId="51ED8D8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1.3.3工期：指卖方在投标函中承诺的完成合同工程所需的期限。</w:t>
      </w:r>
    </w:p>
    <w:p w14:paraId="24B239B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竣工日期：即合同工程完工日期，指合同约定工期届满时的日期。实际完工日期以合同工程完工证书中写明的日期为准。</w:t>
      </w:r>
    </w:p>
    <w:p w14:paraId="52C96CA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缺陷责任期：即工程质量保修期，指履行合同约定的缺陷责任的期限。</w:t>
      </w:r>
    </w:p>
    <w:p w14:paraId="28020C5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天：除特别指明外，指日历天。合同中按天计算时间的，开始当天不计入，从次日开始计算。期限最后一天的截止时间为当天24:00。</w:t>
      </w:r>
    </w:p>
    <w:p w14:paraId="06B88DD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合同价格和费用</w:t>
      </w:r>
    </w:p>
    <w:p w14:paraId="4C39829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1.4.1 签约合同价：指签定合同时合同协议书中写明的合同总金额。</w:t>
      </w:r>
    </w:p>
    <w:p w14:paraId="42E2B8D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1.4.2 合同价格：指卖方按合同约定完成了包括缺陷责任期内的全部中标工作后，买方应付给卖方的金额，包括在履行合同过程中按合同约定进行的变更和调整。</w:t>
      </w:r>
    </w:p>
    <w:p w14:paraId="3821A92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 其他</w:t>
      </w:r>
    </w:p>
    <w:p w14:paraId="69974E6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书面形式：指合同文件、信函、电报、传真等可以有形地表现所载内容的形式。</w:t>
      </w:r>
      <w:bookmarkStart w:id="861" w:name="_Toc152042391"/>
      <w:bookmarkStart w:id="862" w:name="_Toc179632631"/>
      <w:bookmarkStart w:id="863" w:name="_Toc144974581"/>
      <w:bookmarkStart w:id="864" w:name="_Toc152045613"/>
    </w:p>
    <w:p w14:paraId="7C9B33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bookmarkEnd w:id="861"/>
      <w:bookmarkEnd w:id="862"/>
      <w:bookmarkEnd w:id="863"/>
      <w:bookmarkEnd w:id="864"/>
      <w:r>
        <w:rPr>
          <w:rFonts w:hint="eastAsia" w:ascii="宋体" w:hAnsi="宋体" w:eastAsia="宋体" w:cs="宋体"/>
          <w:color w:val="000000"/>
          <w:kern w:val="2"/>
          <w:sz w:val="21"/>
          <w:szCs w:val="21"/>
          <w:highlight w:val="none"/>
        </w:rPr>
        <w:t>合同文件使用文字</w:t>
      </w:r>
    </w:p>
    <w:p w14:paraId="1C633FA1">
      <w:pPr>
        <w:pStyle w:val="16"/>
        <w:spacing w:line="360" w:lineRule="auto"/>
        <w:rPr>
          <w:rFonts w:hint="eastAsia" w:ascii="宋体" w:hAnsi="宋体" w:eastAsia="宋体" w:cs="宋体"/>
          <w:color w:val="000000"/>
          <w:sz w:val="21"/>
          <w:szCs w:val="21"/>
          <w:highlight w:val="none"/>
        </w:rPr>
      </w:pPr>
      <w:bookmarkStart w:id="865" w:name="_Toc144974582"/>
      <w:bookmarkStart w:id="866" w:name="_Toc152042392"/>
      <w:bookmarkStart w:id="867" w:name="_Toc179632632"/>
      <w:bookmarkStart w:id="868" w:name="_Toc152045614"/>
      <w:r>
        <w:rPr>
          <w:rFonts w:hint="eastAsia" w:ascii="宋体" w:hAnsi="宋体" w:eastAsia="宋体" w:cs="宋体"/>
          <w:color w:val="000000"/>
          <w:sz w:val="21"/>
          <w:szCs w:val="21"/>
          <w:highlight w:val="none"/>
        </w:rPr>
        <w:t>2.1 合同文件使用中文书写、解释和说明。</w:t>
      </w:r>
    </w:p>
    <w:p w14:paraId="50E740AE">
      <w:pPr>
        <w:pStyle w:val="16"/>
        <w:overflowPunct w:val="0"/>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 xml:space="preserve">2.2 合同文件使用技术性条款约定的为国家标准和规范；国家没有相应标准、规范时，可使用行业标准、规范。非标货物应按约定的技术性条款的标准和规范。 </w:t>
      </w:r>
    </w:p>
    <w:p w14:paraId="2AC3FCE7">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bookmarkEnd w:id="865"/>
      <w:bookmarkEnd w:id="866"/>
      <w:bookmarkEnd w:id="867"/>
      <w:bookmarkEnd w:id="868"/>
      <w:r>
        <w:rPr>
          <w:rFonts w:hint="eastAsia" w:ascii="宋体" w:hAnsi="宋体" w:eastAsia="宋体" w:cs="宋体"/>
          <w:color w:val="000000"/>
          <w:sz w:val="21"/>
          <w:szCs w:val="21"/>
          <w:highlight w:val="none"/>
        </w:rPr>
        <w:t>合同文件适用法律</w:t>
      </w:r>
    </w:p>
    <w:p w14:paraId="408908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适用于合同的法律包括中华人民共和国法律、行政法规、部门规章，以及工程所在地的地方法规、自治条例、单行条例和地方政府规章。</w:t>
      </w:r>
      <w:bookmarkStart w:id="869" w:name="_Toc152042393"/>
      <w:bookmarkStart w:id="870" w:name="_Toc179632633"/>
      <w:bookmarkStart w:id="871" w:name="_Toc144974583"/>
      <w:bookmarkStart w:id="872" w:name="_Toc152045615"/>
    </w:p>
    <w:p w14:paraId="1A947857">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4、合同文件的优先顺序</w:t>
      </w:r>
    </w:p>
    <w:p w14:paraId="128D722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组成合同的各项文件应互相解释，互为说明。除专用合同条款另有约定外，解释合同文件的优先顺序如下：</w:t>
      </w:r>
    </w:p>
    <w:p w14:paraId="305BA5D5">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（1）合同协议书；</w:t>
      </w:r>
    </w:p>
    <w:p w14:paraId="6615728B">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（2）中标通知书；</w:t>
      </w:r>
    </w:p>
    <w:p w14:paraId="6FE88E9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（3）投标函及投标函附录；</w:t>
      </w:r>
    </w:p>
    <w:p w14:paraId="6F766AA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（4）合同条款；</w:t>
      </w:r>
    </w:p>
    <w:p w14:paraId="40F527E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（5）技术标准和要求；</w:t>
      </w:r>
    </w:p>
    <w:p w14:paraId="4D33B5EC">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（6）招标文件；</w:t>
      </w:r>
    </w:p>
    <w:p w14:paraId="226FD374">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（7）其他合同文件。</w:t>
      </w:r>
    </w:p>
    <w:p w14:paraId="1506092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5、合同协议书</w:t>
      </w:r>
    </w:p>
    <w:p w14:paraId="4349A2A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卖方按中标通知书规定的时间与买方签订合同协议书。除法律另有规定或合同另有约定外，买方和卖方的法定代表人或其委托代理人在合同协议书上签字并盖单位章后，合同生效。</w:t>
      </w:r>
    </w:p>
    <w:bookmarkEnd w:id="869"/>
    <w:bookmarkEnd w:id="870"/>
    <w:bookmarkEnd w:id="871"/>
    <w:bookmarkEnd w:id="872"/>
    <w:p w14:paraId="04790D8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6、联络</w:t>
      </w:r>
    </w:p>
    <w:p w14:paraId="255CB34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6.1  与合同有关的通知、批准、证明、证书、指示、要求、请求、同意、意见、确定和决定等，均应采用书面形式。</w:t>
      </w:r>
    </w:p>
    <w:p w14:paraId="4A986E3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6.2 第6.1项中的通知、批准、证明、证书、指示、要求、请求、同意、意见、确定和决定等来往函件，均应在合同约定的期限内送达指定地点和接收人，并办理签收手续。</w:t>
      </w:r>
    </w:p>
    <w:p w14:paraId="5AC9DA69">
      <w:pPr>
        <w:pStyle w:val="218"/>
        <w:spacing w:line="360" w:lineRule="auto"/>
        <w:rPr>
          <w:rFonts w:hint="eastAsia" w:ascii="宋体" w:hAnsi="宋体" w:eastAsia="宋体" w:cs="宋体"/>
          <w:color w:val="000000"/>
          <w:kern w:val="2"/>
          <w:sz w:val="21"/>
          <w:szCs w:val="21"/>
          <w:highlight w:val="none"/>
        </w:rPr>
      </w:pPr>
      <w:bookmarkStart w:id="873" w:name="_Toc152045619"/>
      <w:bookmarkStart w:id="874" w:name="_Toc179632637"/>
      <w:bookmarkStart w:id="875" w:name="_Toc144974587"/>
      <w:bookmarkStart w:id="876" w:name="_Toc152042397"/>
      <w:r>
        <w:rPr>
          <w:rFonts w:hint="eastAsia" w:ascii="宋体" w:hAnsi="宋体" w:eastAsia="宋体" w:cs="宋体"/>
          <w:color w:val="000000"/>
          <w:kern w:val="2"/>
          <w:sz w:val="21"/>
          <w:szCs w:val="21"/>
          <w:highlight w:val="none"/>
        </w:rPr>
        <w:t>7、 转让</w:t>
      </w:r>
      <w:bookmarkEnd w:id="873"/>
      <w:bookmarkEnd w:id="874"/>
      <w:bookmarkEnd w:id="875"/>
      <w:bookmarkEnd w:id="876"/>
    </w:p>
    <w:p w14:paraId="30776DF5">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除合同另有约定外，未经对方当事人同意，一方当事人不得将合同权利全部或部分转让给第三人，也不得全部或部分转移合同义务。</w:t>
      </w:r>
      <w:bookmarkStart w:id="877" w:name="_Toc152045620"/>
      <w:bookmarkStart w:id="878" w:name="_Toc179632638"/>
      <w:bookmarkStart w:id="879" w:name="_Toc152042398"/>
      <w:bookmarkStart w:id="880" w:name="_Toc144974588"/>
    </w:p>
    <w:p w14:paraId="52168C5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8、严禁贿赂</w:t>
      </w:r>
      <w:bookmarkEnd w:id="877"/>
      <w:bookmarkEnd w:id="878"/>
      <w:bookmarkEnd w:id="879"/>
      <w:bookmarkEnd w:id="880"/>
    </w:p>
    <w:p w14:paraId="3B357B1D">
      <w:pPr>
        <w:pStyle w:val="218"/>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合同双方当事人不得以贿赂或变相贿赂的方式，谋取不当利益或损害对方权益。因贿赂造成对方损失的，行为人应赔偿损失，并承担相应的法律责任。</w:t>
      </w:r>
    </w:p>
    <w:p w14:paraId="2166DBFE">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二．买方、监理人、卖方义务</w:t>
      </w:r>
    </w:p>
    <w:p w14:paraId="223C827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9、买方</w:t>
      </w:r>
    </w:p>
    <w:p w14:paraId="58729021">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9.1 遵守法律</w:t>
      </w:r>
    </w:p>
    <w:p w14:paraId="11BF016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买方在履行合同过程中应遵守法律，并保证卖方免于承担因买方违反法律而引起的任何责任。</w:t>
      </w:r>
      <w:bookmarkStart w:id="881" w:name="_Toc152042404"/>
      <w:bookmarkStart w:id="882" w:name="_Toc179632644"/>
      <w:bookmarkStart w:id="883" w:name="_Toc144974594"/>
      <w:bookmarkStart w:id="884" w:name="_Toc152045626"/>
    </w:p>
    <w:p w14:paraId="47A5F5A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9.2 发出开工通知</w:t>
      </w:r>
      <w:bookmarkEnd w:id="881"/>
      <w:bookmarkEnd w:id="882"/>
      <w:bookmarkEnd w:id="883"/>
      <w:bookmarkEnd w:id="884"/>
    </w:p>
    <w:p w14:paraId="2BD0A11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买方应委托监理人按合同约定向卖方发出开工通知。</w:t>
      </w:r>
      <w:bookmarkStart w:id="885" w:name="_Toc152042406"/>
      <w:bookmarkStart w:id="886" w:name="_Toc152045628"/>
      <w:bookmarkStart w:id="887" w:name="_Toc144974596"/>
      <w:bookmarkStart w:id="888" w:name="_Toc179632646"/>
    </w:p>
    <w:p w14:paraId="274688C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9.3 协助卖方办理证件和批件</w:t>
      </w:r>
      <w:bookmarkEnd w:id="885"/>
      <w:bookmarkEnd w:id="886"/>
      <w:bookmarkEnd w:id="887"/>
      <w:bookmarkEnd w:id="888"/>
    </w:p>
    <w:p w14:paraId="15A5B7D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买方应协助卖方办理法律规定的有关施工证件和批件。</w:t>
      </w:r>
      <w:bookmarkStart w:id="889" w:name="_Toc179632647"/>
      <w:bookmarkStart w:id="890" w:name="_Toc144974597"/>
      <w:bookmarkStart w:id="891" w:name="_Toc152042407"/>
      <w:bookmarkStart w:id="892" w:name="_Toc152045629"/>
    </w:p>
    <w:bookmarkEnd w:id="889"/>
    <w:bookmarkEnd w:id="890"/>
    <w:bookmarkEnd w:id="891"/>
    <w:bookmarkEnd w:id="892"/>
    <w:p w14:paraId="736D69CD">
      <w:pPr>
        <w:pStyle w:val="218"/>
        <w:spacing w:line="360" w:lineRule="auto"/>
        <w:ind w:firstLine="210" w:firstLineChars="100"/>
        <w:rPr>
          <w:rFonts w:hint="eastAsia" w:ascii="宋体" w:hAnsi="宋体" w:eastAsia="宋体" w:cs="宋体"/>
          <w:color w:val="000000"/>
          <w:kern w:val="2"/>
          <w:sz w:val="21"/>
          <w:szCs w:val="21"/>
          <w:highlight w:val="none"/>
        </w:rPr>
      </w:pPr>
      <w:bookmarkStart w:id="893" w:name="_Toc144974598"/>
      <w:bookmarkStart w:id="894" w:name="_Toc152045630"/>
      <w:bookmarkStart w:id="895" w:name="_Toc152042408"/>
      <w:bookmarkStart w:id="896" w:name="_Toc179632648"/>
      <w:r>
        <w:rPr>
          <w:rFonts w:hint="eastAsia" w:ascii="宋体" w:hAnsi="宋体" w:eastAsia="宋体" w:cs="宋体"/>
          <w:color w:val="000000"/>
          <w:kern w:val="2"/>
          <w:sz w:val="21"/>
          <w:szCs w:val="21"/>
          <w:highlight w:val="none"/>
        </w:rPr>
        <w:t>9.4 支付合同价款</w:t>
      </w:r>
      <w:bookmarkEnd w:id="893"/>
      <w:bookmarkEnd w:id="894"/>
      <w:bookmarkEnd w:id="895"/>
      <w:bookmarkEnd w:id="896"/>
    </w:p>
    <w:p w14:paraId="7DA7BB6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买方应按合同约定向卖方及时支付合同价款。</w:t>
      </w:r>
    </w:p>
    <w:p w14:paraId="08E10EFB">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9.5 组织竣工验收</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组织法人验收</w:t>
      </w:r>
      <w:r>
        <w:rPr>
          <w:rFonts w:hint="eastAsia" w:ascii="宋体" w:hAnsi="宋体" w:cs="宋体"/>
          <w:color w:val="000000"/>
          <w:kern w:val="2"/>
          <w:sz w:val="21"/>
          <w:szCs w:val="21"/>
          <w:highlight w:val="none"/>
          <w:lang w:eastAsia="zh-CN"/>
        </w:rPr>
        <w:t>）</w:t>
      </w:r>
    </w:p>
    <w:p w14:paraId="6B72924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买方应按合同约定及时组织法人验收。</w:t>
      </w:r>
    </w:p>
    <w:p w14:paraId="3FA8CDEB">
      <w:pPr>
        <w:pStyle w:val="218"/>
        <w:spacing w:line="360" w:lineRule="auto"/>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10、监理人</w:t>
      </w:r>
    </w:p>
    <w:p w14:paraId="2895FF6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10.1 监理人的职责和权力</w:t>
      </w:r>
    </w:p>
    <w:p w14:paraId="78A97102">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10.1.1 监理人受买方的委托，享有合同约定的权力。监理人的权力范围在合同条款中明确。当监理人认为出现了危及生命、工程或毗邻财产等安全的紧急事件时，在不免除合同约定的卖方责任的情况下，监理人可以指示卖方实施为消除或减少这种危险所必须进行的工作，即使没有买方的事先批准，卖方也应立即遵照执行。</w:t>
      </w:r>
    </w:p>
    <w:p w14:paraId="6850DDE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10.1.2 监理人发出的任何指示应视为已得到买方的批准，但监理人无权免除或变更合同约定的买方和卖方的权利、义务和责任，</w:t>
      </w:r>
    </w:p>
    <w:p w14:paraId="406E89E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10.1.3 合同约定应由卖方承担的义务和责任，不因监理人对卖方提交文件的审查或批准，对工程、材料和设备的检查和检验，以及为实施监理作出的指示等职务行为而减轻或解除。</w:t>
      </w:r>
      <w:bookmarkStart w:id="897" w:name="_Toc152042413"/>
      <w:bookmarkStart w:id="898" w:name="_Toc152045635"/>
      <w:bookmarkStart w:id="899" w:name="_Toc179632653"/>
      <w:bookmarkStart w:id="900" w:name="_Toc144974603"/>
    </w:p>
    <w:p w14:paraId="3AE853F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10.2 总监理工程师</w:t>
      </w:r>
      <w:bookmarkEnd w:id="897"/>
      <w:bookmarkEnd w:id="898"/>
      <w:bookmarkEnd w:id="899"/>
      <w:bookmarkEnd w:id="900"/>
    </w:p>
    <w:p w14:paraId="367F3D1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买方应在发出开工通知前将总监理工程师的任命通知卖方。总监理工程师更换时，应在调离14天前通知卖方。总监理工程师短期离开施工场地的，应委派代表代行其职责，并通知卖方。</w:t>
      </w:r>
      <w:bookmarkStart w:id="901" w:name="_Toc152045636"/>
      <w:bookmarkStart w:id="902" w:name="_Toc152042414"/>
      <w:bookmarkStart w:id="903" w:name="_Toc144974604"/>
      <w:bookmarkStart w:id="904" w:name="_Toc179632654"/>
    </w:p>
    <w:p w14:paraId="48A5D45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 监理人员</w:t>
      </w:r>
      <w:bookmarkEnd w:id="901"/>
      <w:bookmarkEnd w:id="902"/>
      <w:bookmarkEnd w:id="903"/>
      <w:bookmarkEnd w:id="904"/>
    </w:p>
    <w:p w14:paraId="19371F8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10.3.1 总监理工程师可以授权其他监理人员负责执行其指派的一项或多项监理工作。总监理工程师应将被授权监理人员的姓名及其授权范围通知卖方。被授权的监理人员在授权范围内发出的指示视为已得到总监理工程师的同意，与总监理工程师发出的指示具有同等效力。总监理工程师撤销某项授权时，应将撤销授权的决定及时通知卖方。</w:t>
      </w:r>
    </w:p>
    <w:p w14:paraId="167DD6F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10.3.2 监理人员对卖方的任何工作、工程或其采用的材料和工程设备未在约定的或合理的期限内提出否定意见的，视为已获批准，但不影响监理人在以后拒绝该项工作、工程、材料或工程设备的权利。</w:t>
      </w:r>
    </w:p>
    <w:p w14:paraId="4A58F7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10.3.3 卖方对总监理工程师授权的监理人员发出的指示有疑问的，可向总监理工程师提出书面异议，总监理工程师应在48小时内对该指示予以确认、更改或撤销。</w:t>
      </w:r>
    </w:p>
    <w:p w14:paraId="3126C4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10.3.4 除合同条款另有约定外，总监理工程师不应将第10.5款约定应由总监理工程师作出确定的权力授权或委托给其他监理人员。</w:t>
      </w:r>
      <w:bookmarkStart w:id="905" w:name="_Toc144974605"/>
      <w:bookmarkStart w:id="906" w:name="_Toc152045637"/>
      <w:bookmarkStart w:id="907" w:name="_Toc179632655"/>
      <w:bookmarkStart w:id="908" w:name="_Toc152042415"/>
    </w:p>
    <w:p w14:paraId="156757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 监理人的指示</w:t>
      </w:r>
      <w:bookmarkEnd w:id="905"/>
      <w:bookmarkEnd w:id="906"/>
      <w:bookmarkEnd w:id="907"/>
      <w:bookmarkEnd w:id="908"/>
    </w:p>
    <w:p w14:paraId="2D3DB85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10.4.1 监理人应按第10.1款的约定向卖方发出指示，监理人的指示应盖有监理人授权的施工场地机构章，并由总监理工程师或总监理工程师按第10.3.1项约定授权的监理人员签字。</w:t>
      </w:r>
    </w:p>
    <w:p w14:paraId="19CE40C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10.4.2 卖方收到监理人按第10.4.1项作出的指示后应遵照执行。</w:t>
      </w:r>
    </w:p>
    <w:p w14:paraId="472E96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10.4.3 在紧急情况下，总监理工程师或被授权的监理人员可以当场签发临时书面指示，卖方应遵照执行。卖方应在收到上述临时书面指示后24小时内，向监理人发出书面确认函。监理人在收到书面确认函后24小时内未予答复的，该书面确认函应被视为监理人的正式指示。</w:t>
      </w:r>
    </w:p>
    <w:p w14:paraId="2176A3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10.4.4 除合同另有约定外，卖方只从总监理工程师或按第10.3.1项被授权的监理人员处取得指示。</w:t>
      </w:r>
    </w:p>
    <w:p w14:paraId="5DF35E5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10.4.5 由于监理人未能按合同约定发出指示、指示延误或指示错误而导致卖方费用增加和（或）工期延误的，由买方承担赔偿责任。</w:t>
      </w:r>
      <w:bookmarkStart w:id="909" w:name="_Toc144974606"/>
      <w:bookmarkStart w:id="910" w:name="_Toc152045638"/>
      <w:bookmarkStart w:id="911" w:name="_Toc179632656"/>
      <w:bookmarkStart w:id="912" w:name="_Toc152042416"/>
    </w:p>
    <w:p w14:paraId="4492C2D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 商定或确定</w:t>
      </w:r>
      <w:bookmarkEnd w:id="909"/>
      <w:bookmarkEnd w:id="910"/>
      <w:bookmarkEnd w:id="911"/>
      <w:bookmarkEnd w:id="912"/>
    </w:p>
    <w:p w14:paraId="15F3F4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10.5.1合同约定总监理工程师应按照本款对任何事项进行商定或确定时，总监理工程师应与合同当事人协商，尽量达成一致。不能达成一致的，总监理工程师应认真研究后审慎确定。</w:t>
      </w:r>
    </w:p>
    <w:p w14:paraId="04070CF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10.5.2 总监理工程师应将商定或确定的事项通知合同当事人，并附详细依据。对总监理工程师的确定有异议的，构成争议，按合同约定处理。在争议解决前，双方应暂按总监理工程师的确定执行，按合同约定对总监理工程师的确定作出修改的，按修改后的结果执行。</w:t>
      </w:r>
    </w:p>
    <w:p w14:paraId="1C83FF9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11、卖方</w:t>
      </w:r>
    </w:p>
    <w:p w14:paraId="79502B70">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11.1 卖方的一般义务</w:t>
      </w:r>
    </w:p>
    <w:p w14:paraId="23D0EE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11.1.1 遵守法律</w:t>
      </w:r>
    </w:p>
    <w:p w14:paraId="2871B14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卖方在履行合同过程中应遵守法律，并保证买方免于承担因卖方违反法律而引起的任何责任。</w:t>
      </w:r>
    </w:p>
    <w:p w14:paraId="376FBC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11.1.2 依法纳税</w:t>
      </w:r>
    </w:p>
    <w:p w14:paraId="3FE80AC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卖方应按有关法律规定纳税，应缴纳的税金包括在合同价格内。</w:t>
      </w:r>
    </w:p>
    <w:p w14:paraId="0329D55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11.1.3 完成各项中标工作</w:t>
      </w:r>
    </w:p>
    <w:p w14:paraId="021A2B0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以及监理人根据第10.4款作出的指示，实施、完成全部工程，并修补工程中的任何缺陷。除合同另有约定外，卖方应提供为完成合同工作所需的劳务、材料、施工设备、工程设备和其它物品，并按合同约定负责临时设施的设计、建造、运行、维护、管理和拆除。</w:t>
      </w:r>
    </w:p>
    <w:p w14:paraId="644F20A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11.1.4 对施工作业和施工方法的完备性负责</w:t>
      </w:r>
    </w:p>
    <w:p w14:paraId="11D6E2DE">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卖方应按合同约定的工作内容和施工进度要求，编制施工组织设计和施工措施计划，并对所有施工作业和施工方法的完备性和安全可靠性负责。</w:t>
      </w:r>
    </w:p>
    <w:p w14:paraId="305EAD0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11.1.5 保证工程施工和人员的安全</w:t>
      </w:r>
    </w:p>
    <w:p w14:paraId="708ABEB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卖方应采取施工安全措施，确保工程及其人员、材料、设备和设施的安全，防止因工程施工造成的人身伤害和财产损失。</w:t>
      </w:r>
    </w:p>
    <w:p w14:paraId="791E1F3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11.1.6 负责施工场地及其周边环境与生态的保护工作</w:t>
      </w:r>
    </w:p>
    <w:p w14:paraId="75C71E4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卖方应负责施工场地及其周边环境与生态的保护工作。</w:t>
      </w:r>
    </w:p>
    <w:p w14:paraId="0486267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11.1.7 避免施工对公众与他人的利益造成损害</w:t>
      </w:r>
    </w:p>
    <w:p w14:paraId="38C55D7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进行合同约定的各项工作时，不得侵害买方与他人使用公用道路、水源、市政管网等公共设施的权利，避免对邻近的公共设施产生干扰。卖方占用或使用他人的施工场地，影响他人作业或生活的，应承担相应责任。</w:t>
      </w:r>
    </w:p>
    <w:p w14:paraId="54F091C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11.1.8 为他人提供方便</w:t>
      </w:r>
    </w:p>
    <w:p w14:paraId="7182594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卖方应按监理人的指示为他人在施工场地或附近实施与工程有关的其他各项工作提供可能的条件。除合同另有约定外，提供有关条件的内容和可能发生的费用，由卖方承担。</w:t>
      </w:r>
    </w:p>
    <w:p w14:paraId="167DAE9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11.1.9 工程的维护和照管</w:t>
      </w:r>
    </w:p>
    <w:p w14:paraId="4879DD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除合同另有约定外，合同工程完工证书颁发前，卖方应负责照管和维护工程。合同工程完工证书颁发时尚有部分未完工程的，卖方还应负责该未完工程的照管和维护工作，直至完工后移交给买方为止。</w:t>
      </w:r>
    </w:p>
    <w:p w14:paraId="2338BD4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履约担保</w:t>
      </w:r>
    </w:p>
    <w:p w14:paraId="74C2B19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卖方应保证其履约担保在买方颁发合同工程完工证书前一直有效。买方应在合同工程完工证书颁发后28天内将履约担保退还给卖方。</w:t>
      </w:r>
    </w:p>
    <w:p w14:paraId="37E3974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11.3 分包</w:t>
      </w:r>
    </w:p>
    <w:p w14:paraId="1D0AD07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11.3.1 卖方不得将其中标的全部工程转包给第三人，或将其中标的全部工程肢解后以分包的名义转包给第三人。</w:t>
      </w:r>
    </w:p>
    <w:p w14:paraId="7D0881A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11.3.2 卖方不得将工程主体、关键性工作分包给第三人。除合同条款另有约定外，未经买方同意，卖方不得将工程的其他部分或工作分包给第三人。</w:t>
      </w:r>
    </w:p>
    <w:p w14:paraId="2025923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11.3.3 按投标函附录约定分包工程的，卖方应向买方和监理人提交分包合同副本。</w:t>
      </w:r>
    </w:p>
    <w:p w14:paraId="59E4BB8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11.3.4卖方应与分包人就分包工程向买方承担连带责任。</w:t>
      </w:r>
    </w:p>
    <w:p w14:paraId="6330836C">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11.3.5 分包分为工程分包和劳务作业分包。工程分包应遵循合同约定或者经买方书面认可。禁止卖方将本合同工程进行违法分包。分包人应具备与分包工程规模和标准相适应的资质和业绩，在人力、设备、资金等方面具有承担分包工程施工的能力。分包人应自行完成所中标的任务。</w:t>
      </w:r>
    </w:p>
    <w:p w14:paraId="55C0674D">
      <w:pPr>
        <w:pStyle w:val="218"/>
        <w:spacing w:line="360" w:lineRule="auto"/>
        <w:ind w:firstLine="210" w:firstLineChars="100"/>
        <w:rPr>
          <w:rFonts w:hint="eastAsia" w:ascii="宋体" w:hAnsi="宋体" w:eastAsia="宋体" w:cs="宋体"/>
          <w:color w:val="000000"/>
          <w:kern w:val="2"/>
          <w:sz w:val="21"/>
          <w:szCs w:val="21"/>
          <w:highlight w:val="none"/>
        </w:rPr>
      </w:pPr>
      <w:bookmarkStart w:id="913" w:name="_Toc144974612"/>
      <w:bookmarkStart w:id="914" w:name="_Toc152045644"/>
      <w:bookmarkStart w:id="915" w:name="_Toc179632662"/>
      <w:bookmarkStart w:id="916" w:name="_Toc152042422"/>
      <w:r>
        <w:rPr>
          <w:rFonts w:hint="eastAsia" w:ascii="宋体" w:hAnsi="宋体" w:eastAsia="宋体" w:cs="宋体"/>
          <w:color w:val="000000"/>
          <w:kern w:val="2"/>
          <w:sz w:val="21"/>
          <w:szCs w:val="21"/>
          <w:highlight w:val="none"/>
        </w:rPr>
        <w:t>11.4卖方项目经理</w:t>
      </w:r>
      <w:bookmarkEnd w:id="913"/>
      <w:bookmarkEnd w:id="914"/>
      <w:bookmarkEnd w:id="915"/>
      <w:bookmarkEnd w:id="916"/>
    </w:p>
    <w:p w14:paraId="0E09A2C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11.4.1卖方应按合同约定指派项目经理，并在约定的期限内到职。卖方更换项目经理应事先征得买方同意，并应在更换14天前通知买方和监理人。卖方项目经理短期离开施工场地，应事先征得监理人同意，并委派代表代行其职责。</w:t>
      </w:r>
    </w:p>
    <w:p w14:paraId="1706CD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11.4.2 卖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827F6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11.4.3卖方为履行合同发出的一切函件均应盖有卖方授权的施工场地管理机构章，并由卖方项目经理或其授权代表签字。</w:t>
      </w:r>
    </w:p>
    <w:p w14:paraId="1F6D127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11.4.4 卖方项目经理可以授权其下属人员履行其某项职责，但事先应将这些人员的姓名和授权范围通知监理人。</w:t>
      </w:r>
      <w:bookmarkStart w:id="917" w:name="_Toc144974613"/>
      <w:bookmarkStart w:id="918" w:name="_Toc152045645"/>
      <w:bookmarkStart w:id="919" w:name="_Toc179632663"/>
      <w:bookmarkStart w:id="920" w:name="_Toc152042423"/>
    </w:p>
    <w:p w14:paraId="045BD0E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11.5卖方人员的管理</w:t>
      </w:r>
      <w:bookmarkEnd w:id="917"/>
      <w:bookmarkEnd w:id="918"/>
      <w:bookmarkEnd w:id="919"/>
      <w:bookmarkEnd w:id="920"/>
    </w:p>
    <w:p w14:paraId="7C1B671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11.5.1 卖方应在接到开工通知后28天内，向监理人提交卖方在施工场地的管理机构以及人员安排的报告，其内容应包括管理机构的设置、各主要岗位的技术和管理人员名单及其资格，以及各工种技术工人的安排状况。卖方应向监理人提交施工场地人员变动情况的报告。</w:t>
      </w:r>
    </w:p>
    <w:p w14:paraId="10038B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11.5.2 为完成合同约定的各项工作，卖方应向施工场地派遣或雇佣足够数量的下列人员：</w:t>
      </w:r>
    </w:p>
    <w:p w14:paraId="049F72FE">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（1）具有相应资格的专业技工和合格的普工；</w:t>
      </w:r>
    </w:p>
    <w:p w14:paraId="2AA2A6AB">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（2）具有相应施工经验的技术人员；</w:t>
      </w:r>
    </w:p>
    <w:p w14:paraId="251F590C">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（3）具有相应岗位资格的各级管理人员。</w:t>
      </w:r>
    </w:p>
    <w:p w14:paraId="3D8F99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11.5.3 卖方安排在施工场地的主要管理人员和技术骨干应相对稳定。卖方更换主要管理人员和技术骨干时，应取得监理人的同意。</w:t>
      </w:r>
    </w:p>
    <w:p w14:paraId="30E24099">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11.5.4 特殊岗位的工作人员均应持有相应的资格证明，监理人有权随时检查。监理人认为有必要时，可进行现场考核。</w:t>
      </w:r>
      <w:bookmarkStart w:id="921" w:name="_Toc152045646"/>
      <w:bookmarkStart w:id="922" w:name="_Toc152042424"/>
      <w:bookmarkStart w:id="923" w:name="_Toc179632664"/>
      <w:bookmarkStart w:id="924" w:name="_Toc144974614"/>
    </w:p>
    <w:p w14:paraId="4D5701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撤换卖方项目经理和其他人员</w:t>
      </w:r>
      <w:bookmarkEnd w:id="921"/>
      <w:bookmarkEnd w:id="922"/>
      <w:bookmarkEnd w:id="923"/>
      <w:bookmarkEnd w:id="924"/>
    </w:p>
    <w:p w14:paraId="3411991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卖方应对其项目经理和其他人员进行有效管理。监理人要求撤换不能胜任本职工作、行为不端或玩忽职守的卖方项目经理和其他人员的，卖方应予以撤换。</w:t>
      </w:r>
      <w:bookmarkStart w:id="925" w:name="_Toc144974615"/>
      <w:bookmarkStart w:id="926" w:name="_Toc152045647"/>
      <w:bookmarkStart w:id="927" w:name="_Toc152042425"/>
      <w:bookmarkStart w:id="928" w:name="_Toc179632665"/>
    </w:p>
    <w:p w14:paraId="3AA3447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 保障卖方人员的合法权益</w:t>
      </w:r>
      <w:bookmarkEnd w:id="925"/>
      <w:bookmarkEnd w:id="926"/>
      <w:bookmarkEnd w:id="927"/>
      <w:bookmarkEnd w:id="928"/>
    </w:p>
    <w:p w14:paraId="12A4162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11.7.1 卖方应与其雇佣的人员签订劳动合同，并按时发放工资。</w:t>
      </w:r>
    </w:p>
    <w:p w14:paraId="419E3A4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11.7.2 卖方应按劳动法的规定安排工作时间，保证其雇佣人员享有休息和休假的权利。因工程施工的特殊需要占用休假日或延长工作时间的，应不超过法律规定的限度，并按法律规定给予补休或付酬。</w:t>
      </w:r>
    </w:p>
    <w:p w14:paraId="1642573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11.7.3 卖方应为其雇佣人员提供必要的食宿条件，以及符合环境保护和卫生要求的生活环境，在远离城镇的施工场地，还应配备必要的伤病防治和急救的医务人员与医疗设施。</w:t>
      </w:r>
    </w:p>
    <w:p w14:paraId="035971E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11.7.4 卖方应按国家有关劳动保护的规定，采取有效的防止粉尘、降低噪声、控制有害气体和保障高温、高寒、高空作业安全等劳动保护措施。其雇佣人员在施工中受到伤害的，卖方应立即采取有效措施进行抢救和治疗。</w:t>
      </w:r>
    </w:p>
    <w:p w14:paraId="651EE54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11.7.5 卖方应按有关法律规定和合同约定，为其雇佣人员办理保险。</w:t>
      </w:r>
    </w:p>
    <w:p w14:paraId="2420135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11.7.6 卖方应负责处理其雇佣人员因工伤亡事故的善后事宜。</w:t>
      </w:r>
      <w:bookmarkStart w:id="929" w:name="_Toc179632666"/>
      <w:bookmarkStart w:id="930" w:name="_Toc152042426"/>
      <w:bookmarkStart w:id="931" w:name="_Toc144974616"/>
      <w:bookmarkStart w:id="932" w:name="_Toc152045648"/>
    </w:p>
    <w:p w14:paraId="791D0CC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11.8 工程价款应专款专用</w:t>
      </w:r>
      <w:bookmarkEnd w:id="929"/>
      <w:bookmarkEnd w:id="930"/>
      <w:bookmarkEnd w:id="931"/>
      <w:bookmarkEnd w:id="932"/>
    </w:p>
    <w:p w14:paraId="2AC86820">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买方按合同约定支付给卖方的各项价款应专用于合同工程。</w:t>
      </w:r>
    </w:p>
    <w:p w14:paraId="1DAC7EFD">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 施工安全、治安保卫和环境保护</w:t>
      </w:r>
    </w:p>
    <w:p w14:paraId="67E2403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12买方的施工安全责任</w:t>
      </w:r>
    </w:p>
    <w:p w14:paraId="00280B4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买方应按合同约定履行安全职责。买方委托监理人根据国家有关安全的法律、法规、强制性标准以及部门规章，对卖方的安全责任履行情况进行监督和检查。监理人的监督检查不减轻卖方应负的安全责任。</w:t>
      </w:r>
    </w:p>
    <w:p w14:paraId="00C3ADA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买方应对其现场机构雇佣的全部人员的工伤事故承担责任，但由于卖方原因造成买方人员工伤的，应由卖方承担责任。</w:t>
      </w:r>
    </w:p>
    <w:p w14:paraId="258D5F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13卖方的施工安全责任</w:t>
      </w:r>
    </w:p>
    <w:p w14:paraId="4846731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卖方应按合同约定履行安全职责，执行监理人有关安全工作的指示。卖方应按技术标准和要求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约定的内容和期限，以及监理人的指示，编制施工安全技术措施提交监理人审批。监理人应在技术标准和要求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约定的期限内批复卖方。</w:t>
      </w:r>
    </w:p>
    <w:p w14:paraId="6C399CD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卖方应加强施工作业安全管理，特别应加强易燃、易爆材料、火工器材、有毒与腐蚀性材料和其他危险品的管理。</w:t>
      </w:r>
    </w:p>
    <w:p w14:paraId="58C203D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 卖方应严格按照国家安全标准制定施工安全操作规程，配备必要的安全生产和劳动保护设施，加强对卖方人员的安全教育，并发放安全工作手册和劳动保护用具。</w:t>
      </w:r>
    </w:p>
    <w:p w14:paraId="20469DD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卖方应按监理人的指示制定应对灾害的紧急预案，报送监理人审批。卖方还应按预案做好安全检查，配置必要的救助物资和器材，切实保护好有关人员的人身和财产安全。</w:t>
      </w:r>
    </w:p>
    <w:p w14:paraId="49B87A0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合同约定的安全作业环境及安全施工措施所需费用应遵守有关规定，并包括在相关工作的合同价格中，中标价格包含各项安全、文明措施费，卖方不得以任何理由向买方提出索赔。</w:t>
      </w:r>
    </w:p>
    <w:p w14:paraId="3B9CE17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卖方应对其履行合同所雇佣的全部人员，包括劳务分包人人员的工伤事故承担责任。</w:t>
      </w:r>
    </w:p>
    <w:p w14:paraId="37767267">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13.7 由于卖方原因在施工场地内及其毗邻地带造成的第三者人员伤亡和财产损失，由卖方负责赔偿。</w:t>
      </w:r>
    </w:p>
    <w:p w14:paraId="2F24625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13.8 卖方已标价工程量清单应包含工程安全作业环境及安全施工措施所需费用。</w:t>
      </w:r>
    </w:p>
    <w:p w14:paraId="2B95AF82">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13.9 卖方应建立健全安全生产责任制度和安全生产教育培训制度，制定安全生产规章制度和操作规程，保证本单位建立和完善安全生产条件所需资金的投入，对本工程进行定期和专项安全检查，并做好安全检查记录。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126EC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13.10 卖方应设立安全生产管理机构，施工现场应有专职安全生产管理人员。</w:t>
      </w:r>
    </w:p>
    <w:p w14:paraId="1E4DEFFC">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13.11 卖方应负责对特种作业人员进行专门的安全作业培训，并保证特种作业人员持证上岗。</w:t>
      </w:r>
    </w:p>
    <w:p w14:paraId="5EF92D32">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13.12 卖方应在施工组织设计中编制安全技术措施和施工现场临时用电方案。对合同条款约定的工程，应编制专项施工方案报监理人批准。</w:t>
      </w:r>
    </w:p>
    <w:p w14:paraId="7D9A341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13.13 卖方在使用施工起重机械和整体提升脚手架、模板等自升式架设设施前，应组织有关单位进行验收。</w:t>
      </w:r>
      <w:bookmarkStart w:id="933" w:name="_Toc144974644"/>
      <w:bookmarkStart w:id="934" w:name="_Toc152042454"/>
      <w:bookmarkStart w:id="935" w:name="_Toc179632694"/>
      <w:bookmarkStart w:id="936" w:name="_Toc152045676"/>
    </w:p>
    <w:p w14:paraId="2104F4F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治安保卫</w:t>
      </w:r>
      <w:bookmarkEnd w:id="933"/>
      <w:bookmarkEnd w:id="934"/>
      <w:bookmarkEnd w:id="935"/>
      <w:bookmarkEnd w:id="936"/>
    </w:p>
    <w:p w14:paraId="06FDE10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卖方对运至现场的材料及设备负责其安全及保管。</w:t>
      </w:r>
    </w:p>
    <w:p w14:paraId="5950F43F">
      <w:pPr>
        <w:pStyle w:val="218"/>
        <w:spacing w:line="360" w:lineRule="auto"/>
        <w:ind w:firstLine="210" w:firstLineChars="100"/>
        <w:rPr>
          <w:rFonts w:hint="eastAsia" w:ascii="宋体" w:hAnsi="宋体" w:eastAsia="宋体" w:cs="宋体"/>
          <w:color w:val="000000"/>
          <w:kern w:val="2"/>
          <w:sz w:val="21"/>
          <w:szCs w:val="21"/>
          <w:highlight w:val="none"/>
        </w:rPr>
      </w:pPr>
      <w:bookmarkStart w:id="937" w:name="_Toc152042455"/>
      <w:bookmarkStart w:id="938" w:name="_Toc144974645"/>
      <w:bookmarkStart w:id="939" w:name="_Toc152045677"/>
      <w:bookmarkStart w:id="940" w:name="_Toc179632695"/>
      <w:r>
        <w:rPr>
          <w:rFonts w:hint="eastAsia" w:ascii="宋体" w:hAnsi="宋体" w:eastAsia="宋体" w:cs="宋体"/>
          <w:color w:val="000000"/>
          <w:kern w:val="2"/>
          <w:sz w:val="21"/>
          <w:szCs w:val="21"/>
          <w:highlight w:val="none"/>
        </w:rPr>
        <w:t>15 环境保护</w:t>
      </w:r>
      <w:bookmarkEnd w:id="937"/>
      <w:bookmarkEnd w:id="938"/>
      <w:bookmarkEnd w:id="939"/>
      <w:bookmarkEnd w:id="940"/>
    </w:p>
    <w:p w14:paraId="5BAF3E1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卖方在施工过程中，应遵守有关环境保护的法律，履行合同约定的环境保护义务，并对违反法律和合同约定义务所造成的环境破坏、人身伤害和财产损失负责。</w:t>
      </w:r>
    </w:p>
    <w:p w14:paraId="0EB2ECC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15.2 卖方应按合同约定的环保工作内容，编制施工环保措施计划，报送监理人审批。</w:t>
      </w:r>
    </w:p>
    <w:p w14:paraId="58C0F26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15.3 卖方应按照批准的施工环保措施计划有序地堆放和处理施工废弃物，避免对环境造成破坏。因卖方任意堆放或弃置施工废弃物造成妨碍公共交通、影响城镇居民生活、降低河流行洪能力、危及居民安全、破坏周边环境，或者影响其他卖方施工等后果的，卖方应承担责任。</w:t>
      </w:r>
    </w:p>
    <w:p w14:paraId="681C17C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15.4卖方应按合同约定，加强对噪声、粉尘、废气、废水和废油的控制，努力降低噪声，控制粉尘和废气浓度，做好废水和废油的治理和排放。</w:t>
      </w:r>
    </w:p>
    <w:p w14:paraId="4A8547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 事故处理</w:t>
      </w:r>
    </w:p>
    <w:p w14:paraId="50D5695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16.1 买方负责组织参建单位制定本工程的质量与安全事故应急预案，建立质量与安全事故应急处置指挥部。</w:t>
      </w:r>
    </w:p>
    <w:p w14:paraId="7746D2C9">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16.2 卖方应对施工现场易发生重大事故的部位、环节进行监控，配备救援器材、设备，并定期组织演练。</w:t>
      </w:r>
    </w:p>
    <w:p w14:paraId="338BDD8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16.3 工程开工前，卖方应根据本工程的特点制定施工现场施工质量与安全事故应急预案，并报买方备案。</w:t>
      </w:r>
    </w:p>
    <w:p w14:paraId="2138260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16.4 施工过程中发生事故时，买方、卖方应立即启动应急预案。</w:t>
      </w:r>
    </w:p>
    <w:p w14:paraId="21033E1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16.5 事故调查处理由买方按相关规定履行手续，卖方应配合。</w:t>
      </w:r>
    </w:p>
    <w:p w14:paraId="24BC34CF">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四．开工和竣工</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完工</w:t>
      </w:r>
      <w:r>
        <w:rPr>
          <w:rFonts w:hint="eastAsia" w:ascii="宋体" w:hAnsi="宋体" w:eastAsia="宋体" w:cs="宋体"/>
          <w:b/>
          <w:color w:val="000000"/>
          <w:sz w:val="21"/>
          <w:szCs w:val="21"/>
          <w:highlight w:val="none"/>
          <w:lang w:eastAsia="zh-CN"/>
        </w:rPr>
        <w:t>）</w:t>
      </w:r>
    </w:p>
    <w:p w14:paraId="3E1019C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 开工</w:t>
      </w:r>
    </w:p>
    <w:p w14:paraId="7CC6D28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17.1 监理人应在开工日期7天前向卖方发出开工通知。监理人在发出开工通知前应获得买方同意。工期自监理人发出的开工通知中载明的开工日期起计算。卖方应在开工日期后尽快施工。</w:t>
      </w:r>
    </w:p>
    <w:p w14:paraId="05911D9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17.2 卖方应按合同进度计划，向监理人提交工程开工报审表，经监理人审批后执行。开工报审表应详细说明按合同进度计划正常施工所需的临时设施、材料设备、施工人员等施工组织措施的落实情况以及工程的进度安排。</w:t>
      </w:r>
    </w:p>
    <w:p w14:paraId="48932E2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17.3卖方在接到开工通知后7天内未按进度计划要求及时进场组织施工，监理人可通知卖方在接到通知后7天内提交一份说明其进场延误的书面报告，报送监理人。书面报告应说明不能及时进场的原因和补救措施，由此增加的费用和工期延误责任由卖方承担。</w:t>
      </w:r>
    </w:p>
    <w:p w14:paraId="0DE63EF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 竣工</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完工</w:t>
      </w:r>
      <w:r>
        <w:rPr>
          <w:rFonts w:hint="eastAsia" w:ascii="宋体" w:hAnsi="宋体" w:cs="宋体"/>
          <w:color w:val="000000"/>
          <w:kern w:val="2"/>
          <w:sz w:val="21"/>
          <w:szCs w:val="21"/>
          <w:highlight w:val="none"/>
          <w:lang w:eastAsia="zh-CN"/>
        </w:rPr>
        <w:t>）</w:t>
      </w:r>
    </w:p>
    <w:p w14:paraId="35C79C53">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卖方应在合同约定的期限内完成合同工程。合同工程实际完工日期在合同工程完工证书中明确。</w:t>
      </w:r>
      <w:bookmarkStart w:id="941" w:name="_Toc152045685"/>
      <w:bookmarkStart w:id="942" w:name="_Toc152042463"/>
      <w:bookmarkStart w:id="943" w:name="_Toc179632703"/>
      <w:bookmarkStart w:id="944" w:name="_Toc144974653"/>
    </w:p>
    <w:p w14:paraId="178BD863">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18.1买方的工期延误</w:t>
      </w:r>
      <w:bookmarkEnd w:id="941"/>
      <w:bookmarkEnd w:id="942"/>
      <w:bookmarkEnd w:id="943"/>
      <w:bookmarkEnd w:id="944"/>
    </w:p>
    <w:p w14:paraId="635B649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在履行合同过程中，由于买方的下列原因造成工期延误的，卖方有权要求买方延长工期。</w:t>
      </w:r>
    </w:p>
    <w:p w14:paraId="3B0DF4F2">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（1）改变合同中任何一项工作的质量要求或其他特性；</w:t>
      </w:r>
    </w:p>
    <w:p w14:paraId="79118B0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（2）因买方原因导致的暂停施工；</w:t>
      </w:r>
    </w:p>
    <w:p w14:paraId="586B0E9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（3）买方造成工期延误的其他原因。 </w:t>
      </w:r>
      <w:bookmarkStart w:id="945" w:name="_Toc152045687"/>
      <w:bookmarkStart w:id="946" w:name="_Toc179632705"/>
      <w:bookmarkStart w:id="947" w:name="_Toc152042465"/>
      <w:bookmarkStart w:id="948" w:name="_Toc144974655"/>
    </w:p>
    <w:p w14:paraId="1EC49B9D">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18.2卖方的工期延误</w:t>
      </w:r>
      <w:bookmarkEnd w:id="945"/>
      <w:bookmarkEnd w:id="946"/>
      <w:bookmarkEnd w:id="947"/>
      <w:bookmarkEnd w:id="948"/>
    </w:p>
    <w:p w14:paraId="3F9F91E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卖方原因，未能按合同进度计划完成工作，或监理人认为卖方施工进度不能满足合同工期要求的，卖方应采取措施加快进度，并承担加快进度所增加的费用。由于卖方原因造成工期延误，卖方应支付逾期竣工违约金。逾期竣工违约金的计算方法在合同条款及招标文件中约定。卖方支付逾期竣工违约金，不免除卖方完成工程及修补缺陷的义务。</w:t>
      </w:r>
      <w:bookmarkStart w:id="949" w:name="第04章合同条款及格式0112"/>
      <w:bookmarkEnd w:id="949"/>
      <w:bookmarkStart w:id="950" w:name="_Toc152045690"/>
      <w:bookmarkStart w:id="951" w:name="_Toc179632708"/>
      <w:bookmarkStart w:id="952" w:name="_Toc152042468"/>
      <w:bookmarkStart w:id="953" w:name="_Toc144974659"/>
    </w:p>
    <w:p w14:paraId="27F07DF9">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 暂停施工</w:t>
      </w:r>
    </w:p>
    <w:p w14:paraId="2203AA93">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19.1 卖方暂停施工的责任</w:t>
      </w:r>
      <w:bookmarkEnd w:id="950"/>
      <w:bookmarkEnd w:id="951"/>
      <w:bookmarkEnd w:id="952"/>
      <w:bookmarkEnd w:id="953"/>
    </w:p>
    <w:p w14:paraId="795655C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因下列暂停施工增加的费用和（或）工期延误由卖方承担：</w:t>
      </w:r>
    </w:p>
    <w:p w14:paraId="7E3C0F9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（1）卖方违约引起的暂停施工；</w:t>
      </w:r>
    </w:p>
    <w:p w14:paraId="5ACE43D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（2）由于卖方原因为工程合理施工和安全保障所必需的暂停施工；</w:t>
      </w:r>
    </w:p>
    <w:p w14:paraId="717A5A9A">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（3）卖方擅自暂停施工；</w:t>
      </w:r>
    </w:p>
    <w:p w14:paraId="43D9696F">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（4）卖方其他原因引起的暂停施工；</w:t>
      </w:r>
    </w:p>
    <w:p w14:paraId="3E7BBDD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（5）合同条款约定由卖方承担的其他暂停施工。</w:t>
      </w:r>
    </w:p>
    <w:p w14:paraId="3ECABC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19.2 买方暂停施工的责任</w:t>
      </w:r>
    </w:p>
    <w:p w14:paraId="0E90D1A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由于买方原因引起的暂停施工造成工期延误的，卖方有权要求买方延长工期。</w:t>
      </w:r>
    </w:p>
    <w:p w14:paraId="6736A692">
      <w:pPr>
        <w:pStyle w:val="218"/>
        <w:spacing w:line="360" w:lineRule="auto"/>
        <w:ind w:firstLine="210" w:firstLineChars="100"/>
        <w:rPr>
          <w:rFonts w:hint="eastAsia" w:ascii="宋体" w:hAnsi="宋体" w:eastAsia="宋体" w:cs="宋体"/>
          <w:color w:val="000000"/>
          <w:kern w:val="2"/>
          <w:sz w:val="21"/>
          <w:szCs w:val="21"/>
          <w:highlight w:val="none"/>
        </w:rPr>
      </w:pPr>
      <w:bookmarkStart w:id="954" w:name="_Toc144974661"/>
      <w:bookmarkStart w:id="955" w:name="_Toc152045692"/>
      <w:bookmarkStart w:id="956" w:name="_Toc179632710"/>
      <w:bookmarkStart w:id="957" w:name="_Toc152042470"/>
      <w:r>
        <w:rPr>
          <w:rFonts w:hint="eastAsia" w:ascii="宋体" w:hAnsi="宋体" w:eastAsia="宋体" w:cs="宋体"/>
          <w:color w:val="000000"/>
          <w:kern w:val="2"/>
          <w:sz w:val="21"/>
          <w:szCs w:val="21"/>
          <w:highlight w:val="none"/>
        </w:rPr>
        <w:t>19.3 监理人暂停施工指示</w:t>
      </w:r>
      <w:bookmarkEnd w:id="954"/>
      <w:bookmarkEnd w:id="955"/>
      <w:bookmarkEnd w:id="956"/>
      <w:bookmarkEnd w:id="957"/>
    </w:p>
    <w:p w14:paraId="000B107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19.3.1 监理人认为有必要时，可向卖方作出暂停施工的指示，卖方应按监理人指示暂停施工。不论由于何种原因引起的暂停施工，暂停施工期间卖方应负责妥善保护工程并提供安全保障。</w:t>
      </w:r>
    </w:p>
    <w:p w14:paraId="4B822F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19.3.2 由于买方的原因发生暂停施工的紧急情况，且监理人未及时下达暂停施工指示的，卖方可先暂停施工，并及时向监理人提出暂停施工的书面请求。监理人应在接到书面请求后的24小时内予以答复，逾期未答复的，视为同意卖方的暂停施工请求。</w:t>
      </w:r>
      <w:bookmarkStart w:id="958" w:name="_Toc152042471"/>
      <w:bookmarkStart w:id="959" w:name="_Toc144974662"/>
      <w:bookmarkStart w:id="960" w:name="_Toc179632711"/>
      <w:bookmarkStart w:id="961" w:name="_Toc152045693"/>
    </w:p>
    <w:p w14:paraId="345C6EA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 暂停施工后的复工</w:t>
      </w:r>
      <w:bookmarkEnd w:id="958"/>
      <w:bookmarkEnd w:id="959"/>
      <w:bookmarkEnd w:id="960"/>
      <w:bookmarkEnd w:id="961"/>
    </w:p>
    <w:p w14:paraId="625D98D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19.4.1 暂停施工后，监理人应与买方和卖方协商，采取有效措施积极消除暂停施工的影响。当工程具备复工条件时，监理人应立即向卖方发出复工通知。卖方收到复工通知后，应在监理人指定的期限内复工。</w:t>
      </w:r>
    </w:p>
    <w:p w14:paraId="4CF25E87">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19.4.2 卖方无故拖延和拒绝复工的，由此增加的费用和工期延误由卖方承担；因买方原因无法按时复工的，卖方有权要求买方延长工期。</w:t>
      </w:r>
    </w:p>
    <w:p w14:paraId="24841654">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  标的物的一般条款</w:t>
      </w:r>
    </w:p>
    <w:p w14:paraId="53AF6839">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20、完整物权</w:t>
      </w:r>
    </w:p>
    <w:p w14:paraId="32192555">
      <w:pPr>
        <w:tabs>
          <w:tab w:val="left" w:pos="660"/>
        </w:tabs>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对于出卖的标的物，卖方应当拥有完整物权，并且卖方负有保证第三人不得向买方主张任何权利（包括知识产权）的义务。</w:t>
      </w:r>
    </w:p>
    <w:p w14:paraId="2A464715">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21、质量保证</w:t>
      </w:r>
    </w:p>
    <w:p w14:paraId="6AAAC1C4">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6E13139">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E60FB98">
      <w:pPr>
        <w:pStyle w:val="16"/>
        <w:tabs>
          <w:tab w:val="left" w:pos="90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21.3除合同主要条款规定外，合同条款中标的物的质量保证期均自标的物通过最终验收之日起计算，且质量保证期按不低于国家标准和卖方承诺的高于国家标准的质保期（卖方有特殊要求的除外）。</w:t>
      </w:r>
    </w:p>
    <w:p w14:paraId="1ED23C7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22、包装</w:t>
      </w:r>
    </w:p>
    <w:p w14:paraId="2FC6E80A">
      <w:pPr>
        <w:pStyle w:val="16"/>
        <w:tabs>
          <w:tab w:val="left" w:pos="900"/>
        </w:tabs>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E6ECEA3">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23、伴随服务</w:t>
      </w:r>
    </w:p>
    <w:p w14:paraId="7F6EFE15">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23.1卖方除应履行按期按量交付合格标的物的义务之外，还应提供下列服务：</w:t>
      </w:r>
    </w:p>
    <w:p w14:paraId="064A4D13">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23.1.1标的物的现场安装或指导安装、启动、调试、监督（如果必须安装、调试的话）；</w:t>
      </w:r>
    </w:p>
    <w:p w14:paraId="49BA51C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23.1.2提供标的物组装和一般维修所必须的工具；</w:t>
      </w:r>
    </w:p>
    <w:p w14:paraId="527B11BE">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23.1.3在合同规定的期限内对所提供标的物实行运行监督、维修服务的前提条件是该服务并不能免除卖方在质量保证期内所承担的义务；</w:t>
      </w:r>
    </w:p>
    <w:p w14:paraId="0E671A74">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23.1.4对买方技术人员的技术指导或培训。</w:t>
      </w:r>
    </w:p>
    <w:p w14:paraId="214A6B96">
      <w:pPr>
        <w:pStyle w:val="16"/>
        <w:overflowPunct w:val="0"/>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23.2除合同另有规定之外，伴随服务的费用均已含在合同价款中，买方不再另行进行支付。</w:t>
      </w:r>
    </w:p>
    <w:p w14:paraId="55336932">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  标的物的交付、检验和验收</w:t>
      </w:r>
    </w:p>
    <w:p w14:paraId="730EA9BC">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24、标的物的交付</w:t>
      </w:r>
    </w:p>
    <w:p w14:paraId="2D838E90">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24.1标的物的所有权自标的物交付时转移。</w:t>
      </w:r>
    </w:p>
    <w:p w14:paraId="11526D4F">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24.2卖方应当按照约定的期限和约定的地点交付符合招标文件要求的标的物。</w:t>
      </w:r>
    </w:p>
    <w:p w14:paraId="286600E3">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24.3卖方应当按照约定或者交易习惯向招标人交付提取标的物单证以外的有关单证和资料。</w:t>
      </w:r>
    </w:p>
    <w:p w14:paraId="68B03CB1">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25、检验和验收</w:t>
      </w:r>
    </w:p>
    <w:p w14:paraId="056C0F62">
      <w:pPr>
        <w:pStyle w:val="16"/>
        <w:overflowPunct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25.1在交货时，卖方应配合买方对标的物的质量、规格、性能、数量等进行详细而全面的检验，并出具一份合格检验证明，合格检验证明作为验收的依据，但不能作为有关标的物质量、规格、数量或性能的最终检验结果。</w:t>
      </w:r>
    </w:p>
    <w:p w14:paraId="2EBCE343">
      <w:pPr>
        <w:pStyle w:val="16"/>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25.2买方根据合同规定的内容和验收标准进行验收，经检验无误后出具验收合格证明，该证明作为最终付款所需文件的组成部分。</w:t>
      </w:r>
    </w:p>
    <w:p w14:paraId="4B5371EF">
      <w:pPr>
        <w:pStyle w:val="16"/>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25.3验收期限自标的物交付之日起三十天内。特殊情况需延长的，双方应在合同条款中约定。</w:t>
      </w:r>
    </w:p>
    <w:p w14:paraId="32A41CC0">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 对标的物提出异议的时间和办法</w:t>
      </w:r>
    </w:p>
    <w:p w14:paraId="19A1AC7D">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26、对标的物提出异议的时间和办法 </w:t>
      </w:r>
    </w:p>
    <w:p w14:paraId="33ECE285">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26.1买方在验收过程中，应当于双方约定的检验期间内将标的物的数量或质量不符合约定的情形及处理方式以书面形式通知卖方。</w:t>
      </w:r>
    </w:p>
    <w:p w14:paraId="04E5C368">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26.2如买方在验收期满后既不出具验收合格证明又未提出书面异议的视为卖方所交标的物符合合同规定。</w:t>
      </w:r>
    </w:p>
    <w:p w14:paraId="7A5D6F51">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26.3卖方应在收到买方书面异议后七天内负责处理问题，否则将视为默认买方提出的异议和处理意见。</w:t>
      </w:r>
    </w:p>
    <w:p w14:paraId="2CBFE8E6">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 合同价款和支付</w:t>
      </w:r>
    </w:p>
    <w:p w14:paraId="447333F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27、合同价款和支付</w:t>
      </w:r>
    </w:p>
    <w:p w14:paraId="0EDFA47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27.1本合同的结算货币为人民币，单位元。</w:t>
      </w:r>
    </w:p>
    <w:p w14:paraId="1A51E76F">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27.2卖方应按照双方签订的合同规定交货并在合同主要条款规定的期限内持下列单据结算货款：</w:t>
      </w:r>
    </w:p>
    <w:p w14:paraId="1413659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27.2.1合格的销售发票；</w:t>
      </w:r>
    </w:p>
    <w:p w14:paraId="5CAC7D40">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27.2.2买方盖章签收后的送货回单和验收合格证明。</w:t>
      </w:r>
    </w:p>
    <w:p w14:paraId="46485B1E">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27.3买方应按合同主要条款规定的期限和方式付款。</w:t>
      </w:r>
    </w:p>
    <w:p w14:paraId="7B8302E4">
      <w:pPr>
        <w:pStyle w:val="16"/>
        <w:tabs>
          <w:tab w:val="left" w:pos="54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27.4根据现行税法对买方征收的与本合同有关的一切税费均由买方承担；根据现行税法对卖方征收的与本合同有关的一切税费均由卖方承担。</w:t>
      </w:r>
    </w:p>
    <w:p w14:paraId="6A90D848">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 违约责任</w:t>
      </w:r>
    </w:p>
    <w:p w14:paraId="5D7D058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28、违约责任</w:t>
      </w:r>
    </w:p>
    <w:p w14:paraId="158BF63C">
      <w:pPr>
        <w:pStyle w:val="16"/>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合同一方不履行合同义务或者履行合同义务不符合约定的，应当承担违约责任。</w:t>
      </w:r>
    </w:p>
    <w:p w14:paraId="0BAE35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29、买方违约责任</w:t>
      </w:r>
    </w:p>
    <w:p w14:paraId="4424078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29.1在合同生效后，买方未履行合同的，应向卖方偿付合同总价款的3%作为违约金。</w:t>
      </w:r>
    </w:p>
    <w:p w14:paraId="3497DB9B">
      <w:pPr>
        <w:pStyle w:val="16"/>
        <w:overflowPunct w:val="0"/>
        <w:spacing w:line="360" w:lineRule="auto"/>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29.2买方逾期付款的应按照逾期付款金额的每天万分之四支付逾期付款违约金。</w:t>
      </w:r>
    </w:p>
    <w:p w14:paraId="283C412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30、卖方违约责任</w:t>
      </w:r>
    </w:p>
    <w:p w14:paraId="30B3BD5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30.1卖方不能交货（逾期超过五天视为不能交货），或交货不合格从而影响买方按期正常使用的，应向买方偿付合同总价款3%的违约金。</w:t>
      </w:r>
    </w:p>
    <w:p w14:paraId="0C0F6878">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30.2卖方逾期交货的，应在发货前与买方和采购管理部门协商，买方仍需求的，卖方应立即发货并应按照逾期交货部分货款的每天万分之四支付逾期交货违约金。</w:t>
      </w:r>
    </w:p>
    <w:p w14:paraId="285C5C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31、不可抗力</w:t>
      </w:r>
    </w:p>
    <w:p w14:paraId="3B61EFB2">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31.1因水灾、火灾、地震、战争等不可抗力不能履行合同的，根据不可抗力的影响，部分或者全部免除责任。但合同一方迟延履行后发生不可抗力的，不能免除责任。</w:t>
      </w:r>
    </w:p>
    <w:p w14:paraId="7AD99C02">
      <w:pPr>
        <w:pStyle w:val="16"/>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31.2合同一方因不可抗力不能履行合同的，应当及时通知对方，以减轻可能给对方造成的损失，并应当在合理期限内提供证明。</w:t>
      </w:r>
    </w:p>
    <w:p w14:paraId="3D36284C">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 索赔</w:t>
      </w:r>
    </w:p>
    <w:p w14:paraId="4B79465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32、索赔</w:t>
      </w:r>
    </w:p>
    <w:p w14:paraId="7EDB781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32.1买方有权根据当地产品质量检验机构或其它有权威部门出具的检验证书向卖方提出索赔。</w:t>
      </w:r>
    </w:p>
    <w:p w14:paraId="442F5198">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32.2在本合同规定的检验期和质量保证期内，如果卖方对买方提出的索赔或差异有责任，则卖方应按买方同意的下列一种或多种方式解决索赔事宜：</w:t>
      </w:r>
    </w:p>
    <w:p w14:paraId="53A68ECC">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32.2.1卖方同意退货，并按合同规定的货币将货款退还给买方，并承担由此发生的一切损失和费用，包括利息、银行手续费、运费、保险费、检验费、仓储费、装卸费以及为保护退回标的物所需的其它必要费用；</w:t>
      </w:r>
    </w:p>
    <w:p w14:paraId="15B328D9">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32.2.2根据标的物的低劣程度、损坏程度以及甲方遭受损失的数额，经双方协商确定降低标的物的价格；</w:t>
      </w:r>
    </w:p>
    <w:p w14:paraId="3996F072">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B5129EF">
      <w:pPr>
        <w:pStyle w:val="16"/>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42F6AD9">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 履约保证金</w:t>
      </w:r>
    </w:p>
    <w:p w14:paraId="7C9EE8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33、履约保证金</w:t>
      </w:r>
    </w:p>
    <w:p w14:paraId="1DC04EBD">
      <w:pPr>
        <w:pStyle w:val="16"/>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33.1卖方应在本合同签订时，按招标文件的约定提供相应的履约保证金，保证金的有效期应不低于合同有效期。</w:t>
      </w:r>
    </w:p>
    <w:p w14:paraId="047EFA10">
      <w:pPr>
        <w:pStyle w:val="16"/>
        <w:overflowPunct w:val="0"/>
        <w:spacing w:line="440" w:lineRule="exact"/>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33.2如果卖方未能履行合同规定的任何义务，买方有权从履约保证金中取得补偿。</w:t>
      </w:r>
    </w:p>
    <w:p w14:paraId="042E1EA3">
      <w:pPr>
        <w:pStyle w:val="16"/>
        <w:overflowPunct w:val="0"/>
        <w:spacing w:line="440" w:lineRule="exact"/>
        <w:ind w:right="-874" w:rightChars="-416"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33.3履约保证金（无息）将在卖方履行完合同义务，买方支付合同价款的五天内退回。</w:t>
      </w:r>
    </w:p>
    <w:p w14:paraId="1E305893">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十二.  合同的解除和转让</w:t>
      </w:r>
    </w:p>
    <w:p w14:paraId="0690BDD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34、合同的解除</w:t>
      </w:r>
    </w:p>
    <w:p w14:paraId="40A3E0A9">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34.1买方和卖方协商一致，可以解除合同。</w:t>
      </w:r>
    </w:p>
    <w:p w14:paraId="4ACFDE78">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34.2有下列情形之一，合同一方可以解除合同：</w:t>
      </w:r>
    </w:p>
    <w:p w14:paraId="461A7A4E">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34.2.1因不可抗力致使不能实现合同目的，未受不可抗力影响的一方有权解除合同；</w:t>
      </w:r>
    </w:p>
    <w:p w14:paraId="203F46F2">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34.2.2因合同一方违约导致合同不能履行，另一方有权解除合同。</w:t>
      </w:r>
    </w:p>
    <w:p w14:paraId="0816FEF9">
      <w:pPr>
        <w:pStyle w:val="16"/>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34.3有权解除合同的一方，应当在违约事实或不可抗力发生之后三十天内书面通知对方以主张解除合同，合同在书面通知到达对方时解除。</w:t>
      </w:r>
    </w:p>
    <w:p w14:paraId="514C1A15">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35、合同的转让</w:t>
      </w:r>
    </w:p>
    <w:p w14:paraId="261E2A1C">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合同的部分和全部都不得转让。</w:t>
      </w:r>
    </w:p>
    <w:p w14:paraId="709622D5">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十三. 合同的生效</w:t>
      </w:r>
    </w:p>
    <w:p w14:paraId="5CB5479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36、合同的生效</w:t>
      </w:r>
    </w:p>
    <w:p w14:paraId="15ADB269">
      <w:pPr>
        <w:spacing w:line="440" w:lineRule="exact"/>
        <w:ind w:firstLine="581" w:firstLineChars="2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本合同在双方签字盖章并在招标人收到中标人提交的履约保证金后生效。</w:t>
      </w:r>
    </w:p>
    <w:p w14:paraId="6BC71AAA">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十四. 争议解决</w:t>
      </w:r>
    </w:p>
    <w:p w14:paraId="25757B7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37、争议解决</w:t>
      </w:r>
    </w:p>
    <w:p w14:paraId="220E82CF">
      <w:pPr>
        <w:pStyle w:val="16"/>
        <w:overflowPunct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买卖双方因合同发生争议，进行调解，协商不成，可选择：</w:t>
      </w:r>
    </w:p>
    <w:p w14:paraId="43619C07">
      <w:pPr>
        <w:pStyle w:val="16"/>
        <w:tabs>
          <w:tab w:val="left" w:pos="900"/>
        </w:tabs>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37.1向滁州市南谯区人民法院提起诉讼。</w:t>
      </w:r>
    </w:p>
    <w:p w14:paraId="34AD90C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.附则</w:t>
      </w:r>
    </w:p>
    <w:p w14:paraId="000CDCC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rPr>
        <w:t>、合同份数</w:t>
      </w:r>
    </w:p>
    <w:p w14:paraId="6FAF67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4FEBCD1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、未尽事宜</w:t>
      </w:r>
    </w:p>
    <w:p w14:paraId="703D10F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本合同未尽事宜应按《中华人民共和国招投标法》、《中华人民共和国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》、《中华人民共和国产品质量法》之规定解释。</w:t>
      </w:r>
    </w:p>
    <w:p w14:paraId="1D5F022C">
      <w:pPr>
        <w:rPr>
          <w:rFonts w:hint="eastAsia"/>
          <w:highlight w:val="none"/>
        </w:rPr>
      </w:pPr>
    </w:p>
    <w:bookmarkEnd w:id="852"/>
    <w:bookmarkEnd w:id="853"/>
    <w:bookmarkEnd w:id="854"/>
    <w:bookmarkEnd w:id="855"/>
    <w:p w14:paraId="09483549">
      <w:pPr>
        <w:pStyle w:val="6"/>
        <w:spacing w:beforeLines="50" w:afterLines="50"/>
        <w:rPr>
          <w:rFonts w:hint="eastAsia" w:ascii="宋体" w:hAnsi="宋体" w:cs="宋体"/>
          <w:bCs w:val="0"/>
          <w:color w:val="000000"/>
          <w:sz w:val="32"/>
          <w:highlight w:val="none"/>
        </w:rPr>
      </w:pPr>
      <w:bookmarkStart w:id="962" w:name="_Toc247085872"/>
      <w:bookmarkStart w:id="963" w:name="_Toc35424970"/>
      <w:bookmarkStart w:id="964" w:name="_Toc35425136"/>
      <w:bookmarkStart w:id="965" w:name="_Toc506107340"/>
      <w:bookmarkStart w:id="966" w:name="_Toc324404888"/>
      <w:bookmarkStart w:id="967" w:name="_Toc246996354"/>
      <w:bookmarkStart w:id="968" w:name="_Toc152042575"/>
      <w:bookmarkStart w:id="969" w:name="_Toc15058934"/>
      <w:bookmarkStart w:id="970" w:name="_Toc179632806"/>
      <w:bookmarkStart w:id="971" w:name="_Toc152045786"/>
      <w:bookmarkStart w:id="972" w:name="_Toc246997097"/>
      <w:bookmarkStart w:id="973" w:name="_Toc144974855"/>
      <w:bookmarkStart w:id="974" w:name="_Toc78803398"/>
      <w:r>
        <w:rPr>
          <w:rFonts w:hint="eastAsia" w:ascii="宋体" w:hAnsi="宋体" w:cs="宋体"/>
          <w:b w:val="0"/>
          <w:bCs w:val="0"/>
          <w:color w:val="000000"/>
          <w:sz w:val="32"/>
          <w:highlight w:val="none"/>
        </w:rPr>
        <w:br w:type="page"/>
      </w:r>
      <w:bookmarkStart w:id="975" w:name="_Toc95223525"/>
      <w:bookmarkStart w:id="976" w:name="_Toc4608"/>
      <w:r>
        <w:rPr>
          <w:rFonts w:hint="eastAsia" w:ascii="Arial" w:hAnsi="Arial" w:eastAsia="宋体" w:cs="Times New Roman"/>
          <w:kern w:val="0"/>
          <w:sz w:val="32"/>
          <w:szCs w:val="32"/>
          <w:highlight w:val="none"/>
          <w:lang w:val="en-US" w:eastAsia="zh-CN"/>
        </w:rPr>
        <w:t>第六章  技术标准和要求</w:t>
      </w:r>
      <w:bookmarkEnd w:id="975"/>
      <w:bookmarkEnd w:id="976"/>
    </w:p>
    <w:p w14:paraId="130FC52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color w:val="auto"/>
          <w:highlight w:val="none"/>
          <w:lang w:val="en-US" w:eastAsia="zh-CN"/>
        </w:rPr>
      </w:pPr>
      <w:bookmarkStart w:id="977" w:name="_Toc32647"/>
      <w:bookmarkStart w:id="978" w:name="_Toc95223526"/>
      <w:r>
        <w:rPr>
          <w:rFonts w:hint="eastAsia" w:ascii="宋体" w:hAnsi="宋体" w:cs="宋体"/>
          <w:b/>
          <w:color w:val="auto"/>
          <w:highlight w:val="none"/>
          <w:lang w:val="en-US" w:eastAsia="zh-CN"/>
        </w:rPr>
        <w:t>一、采购清单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67"/>
        <w:gridCol w:w="3556"/>
        <w:gridCol w:w="1005"/>
        <w:gridCol w:w="1081"/>
        <w:gridCol w:w="1458"/>
      </w:tblGrid>
      <w:tr w14:paraId="312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86FDE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序号</w:t>
            </w:r>
          </w:p>
        </w:tc>
        <w:tc>
          <w:tcPr>
            <w:tcW w:w="1710" w:type="dxa"/>
            <w:vAlign w:val="center"/>
          </w:tcPr>
          <w:p w14:paraId="7C97FE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产品名称</w:t>
            </w:r>
          </w:p>
        </w:tc>
        <w:tc>
          <w:tcPr>
            <w:tcW w:w="3870" w:type="dxa"/>
            <w:vAlign w:val="center"/>
          </w:tcPr>
          <w:p w14:paraId="7EC036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特征描述</w:t>
            </w:r>
          </w:p>
        </w:tc>
        <w:tc>
          <w:tcPr>
            <w:tcW w:w="1140" w:type="dxa"/>
            <w:vAlign w:val="center"/>
          </w:tcPr>
          <w:p w14:paraId="1B73F3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单位</w:t>
            </w:r>
          </w:p>
        </w:tc>
        <w:tc>
          <w:tcPr>
            <w:tcW w:w="1185" w:type="dxa"/>
            <w:vAlign w:val="center"/>
          </w:tcPr>
          <w:p w14:paraId="188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数量</w:t>
            </w:r>
          </w:p>
        </w:tc>
        <w:tc>
          <w:tcPr>
            <w:tcW w:w="1650" w:type="dxa"/>
            <w:vAlign w:val="center"/>
          </w:tcPr>
          <w:p w14:paraId="0A7A0F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综合单价最高限价（元/W）</w:t>
            </w:r>
          </w:p>
        </w:tc>
      </w:tr>
      <w:tr w14:paraId="15F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0AD13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710" w:type="dxa"/>
            <w:vAlign w:val="center"/>
          </w:tcPr>
          <w:p w14:paraId="57556DE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光伏组件</w:t>
            </w:r>
          </w:p>
        </w:tc>
        <w:tc>
          <w:tcPr>
            <w:tcW w:w="3870" w:type="dxa"/>
            <w:vAlign w:val="center"/>
          </w:tcPr>
          <w:p w14:paraId="6DBFFB63">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规格：每平米功率不小于233w； </w:t>
            </w:r>
          </w:p>
          <w:p w14:paraId="5ABDDDD5">
            <w:pPr>
              <w:keepNext w:val="0"/>
              <w:keepLines w:val="0"/>
              <w:pageBreakBefore w:val="0"/>
              <w:widowControl w:val="0"/>
              <w:numPr>
                <w:ilvl w:val="0"/>
                <w:numId w:val="5"/>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尺寸 ：2382×1134×30mm ；</w:t>
            </w:r>
          </w:p>
          <w:p w14:paraId="4ECCACC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3．安装位置：屋面； </w:t>
            </w:r>
          </w:p>
          <w:p w14:paraId="6E28DFD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4．包含配套支架的供应。</w:t>
            </w:r>
          </w:p>
        </w:tc>
        <w:tc>
          <w:tcPr>
            <w:tcW w:w="1140" w:type="dxa"/>
            <w:vAlign w:val="center"/>
          </w:tcPr>
          <w:p w14:paraId="6E917F1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套</w:t>
            </w:r>
          </w:p>
        </w:tc>
        <w:tc>
          <w:tcPr>
            <w:tcW w:w="1185" w:type="dxa"/>
            <w:vAlign w:val="center"/>
          </w:tcPr>
          <w:p w14:paraId="5036A9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1013</w:t>
            </w:r>
          </w:p>
        </w:tc>
        <w:tc>
          <w:tcPr>
            <w:tcW w:w="1650" w:type="dxa"/>
            <w:vAlign w:val="center"/>
          </w:tcPr>
          <w:p w14:paraId="0A132E9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0.77</w:t>
            </w:r>
          </w:p>
        </w:tc>
      </w:tr>
      <w:tr w14:paraId="76F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6FD70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2</w:t>
            </w:r>
          </w:p>
        </w:tc>
        <w:tc>
          <w:tcPr>
            <w:tcW w:w="1710" w:type="dxa"/>
            <w:vAlign w:val="center"/>
          </w:tcPr>
          <w:p w14:paraId="4302EA3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50DCFA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1．容量（kw)：110KW；</w:t>
            </w:r>
          </w:p>
          <w:p w14:paraId="3E8B2EB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156AB42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7971C83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291E70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7AC40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088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4CEE2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w:t>
            </w:r>
          </w:p>
        </w:tc>
        <w:tc>
          <w:tcPr>
            <w:tcW w:w="1710" w:type="dxa"/>
            <w:vAlign w:val="center"/>
          </w:tcPr>
          <w:p w14:paraId="1EEF4EF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31390B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1．容量（kw)：50KW；</w:t>
            </w:r>
          </w:p>
          <w:p w14:paraId="5136C9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48830B4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2A0196E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2B94236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5E200E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188A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37726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4</w:t>
            </w:r>
          </w:p>
        </w:tc>
        <w:tc>
          <w:tcPr>
            <w:tcW w:w="1710" w:type="dxa"/>
            <w:vAlign w:val="center"/>
          </w:tcPr>
          <w:p w14:paraId="6D6FF41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5991D5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1．容量（kw)：60KW；</w:t>
            </w:r>
          </w:p>
          <w:p w14:paraId="0496BB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4F7B8AA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2EC5FE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4F09BEE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176C859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377C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A66692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5</w:t>
            </w:r>
          </w:p>
        </w:tc>
        <w:tc>
          <w:tcPr>
            <w:tcW w:w="1710" w:type="dxa"/>
            <w:vAlign w:val="center"/>
          </w:tcPr>
          <w:p w14:paraId="0D7CFEE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4BCE5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1．容量（kw)：150KW；</w:t>
            </w:r>
          </w:p>
          <w:p w14:paraId="0E8F4D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6960D14A">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25C5686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74F76E8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1A0F1ED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5E6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EA5953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6</w:t>
            </w:r>
          </w:p>
        </w:tc>
        <w:tc>
          <w:tcPr>
            <w:tcW w:w="1710" w:type="dxa"/>
            <w:vAlign w:val="center"/>
          </w:tcPr>
          <w:p w14:paraId="5EE1969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693E4D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1．容量（kw)：60KW；</w:t>
            </w:r>
          </w:p>
          <w:p w14:paraId="3A2B51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144C1A2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1861DF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4735CE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34D9B04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6BAE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23FDE2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7</w:t>
            </w:r>
          </w:p>
        </w:tc>
        <w:tc>
          <w:tcPr>
            <w:tcW w:w="1710" w:type="dxa"/>
            <w:vAlign w:val="center"/>
          </w:tcPr>
          <w:p w14:paraId="49E5808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349ED4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1．容量（kw)：40KW；</w:t>
            </w:r>
          </w:p>
          <w:p w14:paraId="7FF410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2E47F96E">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037C6A6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305E421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2AF2EBC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7C4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8B63A1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8</w:t>
            </w:r>
          </w:p>
        </w:tc>
        <w:tc>
          <w:tcPr>
            <w:tcW w:w="1710" w:type="dxa"/>
            <w:vAlign w:val="center"/>
          </w:tcPr>
          <w:p w14:paraId="15A295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7DB3FC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1．容量（kw)：30KW；</w:t>
            </w:r>
          </w:p>
          <w:p w14:paraId="19098C5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71B6E18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0427B02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5283C87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7EF1F70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6A1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23ED92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9</w:t>
            </w:r>
          </w:p>
        </w:tc>
        <w:tc>
          <w:tcPr>
            <w:tcW w:w="1710" w:type="dxa"/>
            <w:vAlign w:val="center"/>
          </w:tcPr>
          <w:p w14:paraId="3B05A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5944E9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1．容量（kw)：40KW；</w:t>
            </w:r>
          </w:p>
          <w:p w14:paraId="12E2F56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32E999C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4927117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0609FA2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53E52D7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r w14:paraId="2F88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DBF3CD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10</w:t>
            </w:r>
          </w:p>
        </w:tc>
        <w:tc>
          <w:tcPr>
            <w:tcW w:w="1710" w:type="dxa"/>
            <w:vAlign w:val="center"/>
          </w:tcPr>
          <w:p w14:paraId="5FAB47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光伏逆变器</w:t>
            </w:r>
          </w:p>
        </w:tc>
        <w:tc>
          <w:tcPr>
            <w:tcW w:w="3870" w:type="dxa"/>
            <w:vAlign w:val="center"/>
          </w:tcPr>
          <w:p w14:paraId="741DF4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1．容量（kw)：30KW；</w:t>
            </w:r>
          </w:p>
          <w:p w14:paraId="5E0F76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 xml:space="preserve">2.包含逆变器检测费费用； </w:t>
            </w:r>
          </w:p>
          <w:p w14:paraId="603CAEF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eastAsia="宋体" w:cs="宋体"/>
                <w:b w:val="0"/>
                <w:bCs/>
                <w:color w:val="auto"/>
                <w:highlight w:val="none"/>
                <w:vertAlign w:val="baseline"/>
                <w:lang w:val="en-US" w:eastAsia="zh-CN"/>
              </w:rPr>
              <w:t>3.自带浪涌保护，含配套元器件等相关附件。</w:t>
            </w:r>
          </w:p>
        </w:tc>
        <w:tc>
          <w:tcPr>
            <w:tcW w:w="1140" w:type="dxa"/>
            <w:vAlign w:val="center"/>
          </w:tcPr>
          <w:p w14:paraId="13D022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台</w:t>
            </w:r>
          </w:p>
        </w:tc>
        <w:tc>
          <w:tcPr>
            <w:tcW w:w="1185" w:type="dxa"/>
            <w:vAlign w:val="center"/>
          </w:tcPr>
          <w:p w14:paraId="4A80767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1</w:t>
            </w:r>
          </w:p>
        </w:tc>
        <w:tc>
          <w:tcPr>
            <w:tcW w:w="1650" w:type="dxa"/>
            <w:vAlign w:val="center"/>
          </w:tcPr>
          <w:p w14:paraId="389871D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0.18</w:t>
            </w:r>
          </w:p>
        </w:tc>
      </w:tr>
    </w:tbl>
    <w:p w14:paraId="41754990">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二、图纸（另附）</w:t>
      </w:r>
    </w:p>
    <w:p w14:paraId="691196A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eastAsia="宋体" w:cs="宋体"/>
          <w:color w:val="auto"/>
          <w:highlight w:val="none"/>
          <w:lang w:val="en-US" w:eastAsia="zh-CN"/>
        </w:rPr>
      </w:pPr>
      <w:r>
        <w:rPr>
          <w:rFonts w:hint="eastAsia" w:ascii="宋体" w:hAnsi="宋体" w:cs="宋体"/>
          <w:b/>
          <w:color w:val="auto"/>
          <w:highlight w:val="none"/>
          <w:lang w:val="en-US" w:eastAsia="zh-CN"/>
        </w:rPr>
        <w:t>三、</w:t>
      </w:r>
      <w:bookmarkEnd w:id="977"/>
      <w:bookmarkEnd w:id="978"/>
      <w:r>
        <w:rPr>
          <w:rFonts w:hint="eastAsia" w:ascii="宋体" w:hAnsi="宋体" w:cs="宋体"/>
          <w:b/>
          <w:color w:val="auto"/>
          <w:highlight w:val="none"/>
          <w:lang w:val="en-US" w:eastAsia="zh-CN"/>
        </w:rPr>
        <w:t>产品质保要求：</w:t>
      </w:r>
    </w:p>
    <w:p w14:paraId="488746F2">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见招标项目施工图纸，其中产品质量缺陷责任期约定为1年，自项目竣工验收合格后起算；组件质保期不低于10年，逆变器质保期不低于5年。</w:t>
      </w:r>
    </w:p>
    <w:p w14:paraId="215AD899">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cs="宋体"/>
          <w:b/>
          <w:bCs w:val="0"/>
          <w:color w:val="auto"/>
          <w:szCs w:val="21"/>
          <w:highlight w:val="none"/>
        </w:rPr>
      </w:pPr>
      <w:bookmarkStart w:id="979" w:name="_Toc26107"/>
      <w:bookmarkStart w:id="980" w:name="_Toc95223527"/>
      <w:r>
        <w:rPr>
          <w:rFonts w:hint="eastAsia" w:ascii="宋体" w:hAnsi="宋体" w:cs="宋体"/>
          <w:b/>
          <w:bCs w:val="0"/>
          <w:color w:val="auto"/>
          <w:szCs w:val="21"/>
          <w:highlight w:val="none"/>
          <w:lang w:val="en-US" w:eastAsia="zh-CN"/>
        </w:rPr>
        <w:t>四、</w:t>
      </w:r>
      <w:r>
        <w:rPr>
          <w:rFonts w:hint="eastAsia" w:ascii="宋体" w:hAnsi="宋体" w:cs="宋体"/>
          <w:b/>
          <w:bCs w:val="0"/>
          <w:color w:val="auto"/>
          <w:szCs w:val="21"/>
          <w:highlight w:val="none"/>
        </w:rPr>
        <w:t>特殊技术标准和要求</w:t>
      </w:r>
      <w:bookmarkEnd w:id="979"/>
      <w:bookmarkEnd w:id="980"/>
    </w:p>
    <w:p w14:paraId="11B962DF">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抽检比例：光伏组件和逆变器供货进场后须对产品现场进行随机抽样检验，其中光伏组件抽检比例不低于0.3%，且不少于三块，抽检项目：转化效率、电致发光E-L隐裂、红外线热成像；逆变器抽检比例不少于5%，且不少于1台，检测项目：中国效率。（交货验收的第三方抽样检测费用由</w:t>
      </w:r>
      <w:r>
        <w:rPr>
          <w:rFonts w:hint="eastAsia" w:ascii="宋体" w:hAnsi="宋体" w:eastAsia="宋体" w:cs="宋体"/>
          <w:color w:val="000000"/>
          <w:sz w:val="21"/>
          <w:szCs w:val="21"/>
          <w:highlight w:val="none"/>
          <w:lang w:val="en-US" w:eastAsia="zh-CN"/>
        </w:rPr>
        <w:t>中标人</w:t>
      </w:r>
      <w:r>
        <w:rPr>
          <w:rFonts w:hint="eastAsia" w:ascii="宋体" w:hAnsi="宋体" w:eastAsia="宋体" w:cs="宋体"/>
          <w:color w:val="000000"/>
          <w:sz w:val="21"/>
          <w:szCs w:val="21"/>
          <w:highlight w:val="none"/>
          <w:lang w:val="en-US" w:eastAsia="zh-CN"/>
        </w:rPr>
        <w:t>承担。）</w:t>
      </w:r>
    </w:p>
    <w:p w14:paraId="049FA10C">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光伏逆变器中国效率不低于98%；保护性能需具备防孤岛保护、输出过流保护、输入接反保护、交直流浪涌保护、交直流过压保护；绝缘阻抗、接地故障、残余电流监测；通信RS485、支持USB，工作温度不低于-25度~55度区间，外壳防护等级不低于IP65,工作时最大噪音值须低于60dB</w:t>
      </w:r>
      <w:bookmarkStart w:id="981" w:name="_Toc30517"/>
      <w:bookmarkStart w:id="982" w:name="_Toc95223528"/>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产品质量缺陷责任期1年满后</w:t>
      </w:r>
      <w:r>
        <w:rPr>
          <w:rFonts w:hint="eastAsia" w:ascii="宋体" w:hAnsi="宋体" w:eastAsia="宋体" w:cs="宋体"/>
          <w:color w:val="000000"/>
          <w:sz w:val="21"/>
          <w:szCs w:val="21"/>
          <w:highlight w:val="none"/>
          <w:lang w:val="en-US" w:eastAsia="zh-CN"/>
        </w:rPr>
        <w:t>，现场随机抽检2台，进行噪音值检测，检测费用由</w:t>
      </w:r>
      <w:r>
        <w:rPr>
          <w:rFonts w:hint="eastAsia" w:ascii="宋体" w:hAnsi="宋体" w:eastAsia="宋体" w:cs="宋体"/>
          <w:color w:val="000000"/>
          <w:sz w:val="21"/>
          <w:szCs w:val="21"/>
          <w:highlight w:val="none"/>
          <w:lang w:val="en-US" w:eastAsia="zh-CN"/>
        </w:rPr>
        <w:t>中标人</w:t>
      </w:r>
      <w:r>
        <w:rPr>
          <w:rFonts w:hint="eastAsia" w:ascii="宋体" w:hAnsi="宋体" w:eastAsia="宋体" w:cs="宋体"/>
          <w:color w:val="000000"/>
          <w:sz w:val="21"/>
          <w:szCs w:val="21"/>
          <w:highlight w:val="none"/>
          <w:lang w:val="en-US" w:eastAsia="zh-CN"/>
        </w:rPr>
        <w:t>承担，该项作质量缺陷验收依据。）</w:t>
      </w:r>
    </w:p>
    <w:p w14:paraId="4ED7DA47">
      <w:pPr>
        <w:pStyle w:val="16"/>
        <w:keepNext w:val="0"/>
        <w:keepLines w:val="0"/>
        <w:pageBreakBefore w:val="0"/>
        <w:widowControl w:val="0"/>
        <w:kinsoku/>
        <w:wordWrap/>
        <w:overflowPunct w:val="0"/>
        <w:topLinePunct w:val="0"/>
        <w:autoSpaceDE/>
        <w:autoSpaceDN/>
        <w:bidi w:val="0"/>
        <w:adjustRightInd/>
        <w:snapToGrid/>
        <w:spacing w:line="480" w:lineRule="auto"/>
        <w:ind w:left="0" w:leftChars="0"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3.光伏组件最大功率不小于630W，转化效率不低于23.5%，首年衰减率不大于1%（</w:t>
      </w:r>
      <w:r>
        <w:rPr>
          <w:rFonts w:hint="eastAsia" w:ascii="宋体" w:hAnsi="宋体" w:eastAsia="宋体" w:cs="宋体"/>
          <w:color w:val="000000"/>
          <w:sz w:val="21"/>
          <w:szCs w:val="21"/>
          <w:highlight w:val="none"/>
          <w:lang w:val="en-US" w:eastAsia="zh-CN"/>
        </w:rPr>
        <w:t>产品质量缺陷责任期1年满后</w:t>
      </w:r>
      <w:r>
        <w:rPr>
          <w:rFonts w:hint="eastAsia" w:ascii="宋体" w:hAnsi="宋体" w:eastAsia="宋体" w:cs="宋体"/>
          <w:color w:val="000000"/>
          <w:sz w:val="21"/>
          <w:szCs w:val="21"/>
          <w:highlight w:val="none"/>
          <w:lang w:val="en-US" w:eastAsia="zh-CN"/>
        </w:rPr>
        <w:t>，现场随机抽检3块组件，进行转化效率检测，检测费用由</w:t>
      </w:r>
      <w:r>
        <w:rPr>
          <w:rFonts w:hint="eastAsia" w:ascii="宋体" w:hAnsi="宋体" w:eastAsia="宋体" w:cs="宋体"/>
          <w:color w:val="000000"/>
          <w:sz w:val="21"/>
          <w:szCs w:val="21"/>
          <w:highlight w:val="none"/>
          <w:lang w:val="en-US" w:eastAsia="zh-CN"/>
        </w:rPr>
        <w:t>中标人</w:t>
      </w:r>
      <w:r>
        <w:rPr>
          <w:rFonts w:hint="eastAsia" w:ascii="宋体" w:hAnsi="宋体" w:eastAsia="宋体" w:cs="宋体"/>
          <w:color w:val="000000"/>
          <w:sz w:val="21"/>
          <w:szCs w:val="21"/>
          <w:highlight w:val="none"/>
          <w:lang w:val="en-US" w:eastAsia="zh-CN"/>
        </w:rPr>
        <w:t>承担，该项作质量缺陷验收依据。），工作温度不小于-35度-80度区间，安全防护等级不低于clssⅡ，组件防火等级CIass A或A级不然。</w:t>
      </w:r>
    </w:p>
    <w:p w14:paraId="7ECBB3F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五、</w:t>
      </w:r>
      <w:r>
        <w:rPr>
          <w:rFonts w:hint="eastAsia" w:ascii="宋体" w:hAnsi="宋体" w:eastAsia="宋体" w:cs="宋体"/>
          <w:b/>
          <w:bCs w:val="0"/>
          <w:color w:val="auto"/>
          <w:szCs w:val="21"/>
          <w:highlight w:val="none"/>
        </w:rPr>
        <w:t>适用的国家、行业以及地方标准、规范和规程</w:t>
      </w:r>
      <w:bookmarkEnd w:id="981"/>
      <w:bookmarkEnd w:id="982"/>
    </w:p>
    <w:p w14:paraId="2B5519D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本招标项目产品或设备须达到设计文件的要求和国家及有关部委、安徽省、项目所在市现行的工程建设标准、规范、规定的要求，且须满足GB/T 37408-2019、NB/T32004-2018等光伏发电并网逆变器技术和规范要求。</w:t>
      </w:r>
    </w:p>
    <w:p w14:paraId="6DA9761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（文件标准之间相互冲突的，以标准较高者为准）。</w:t>
      </w:r>
    </w:p>
    <w:p w14:paraId="465B2226">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合同价款</w:t>
      </w:r>
    </w:p>
    <w:p w14:paraId="212C9D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合同价款为固定单价，综合单价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运输费、装卸费、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7498264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eastAsia="宋体" w:cs="宋体"/>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2.最终结算方式=按照项目通过竣工验收且实际并网发电的装机容量*</w:t>
      </w:r>
      <w:r>
        <w:rPr>
          <w:rFonts w:hint="eastAsia" w:ascii="宋体" w:hAnsi="宋体" w:eastAsia="宋体" w:cs="宋体"/>
          <w:color w:val="auto"/>
          <w:sz w:val="21"/>
          <w:szCs w:val="21"/>
          <w:highlight w:val="none"/>
          <w:lang w:val="en-US" w:eastAsia="zh-CN"/>
        </w:rPr>
        <w:t>光伏组件综合单价</w:t>
      </w:r>
      <w:r>
        <w:rPr>
          <w:rFonts w:hint="eastAsia" w:ascii="宋体" w:hAnsi="宋体" w:eastAsia="宋体" w:cs="宋体"/>
          <w:color w:val="auto"/>
          <w:kern w:val="0"/>
          <w:sz w:val="21"/>
          <w:szCs w:val="21"/>
          <w:highlight w:val="none"/>
          <w:lang w:val="en-US" w:eastAsia="zh-CN"/>
        </w:rPr>
        <w:t>（含税）+按照项目通过竣工验收且实际并网发电的装机容量*</w:t>
      </w:r>
      <w:r>
        <w:rPr>
          <w:rFonts w:hint="eastAsia" w:ascii="宋体" w:hAnsi="宋体" w:eastAsia="宋体" w:cs="宋体"/>
          <w:color w:val="auto"/>
          <w:sz w:val="21"/>
          <w:szCs w:val="21"/>
          <w:highlight w:val="none"/>
          <w:lang w:val="en-US" w:eastAsia="zh-CN"/>
        </w:rPr>
        <w:t>光伏逆变器综合单价</w:t>
      </w:r>
      <w:r>
        <w:rPr>
          <w:rFonts w:hint="eastAsia" w:ascii="宋体" w:hAnsi="宋体" w:eastAsia="宋体" w:cs="宋体"/>
          <w:color w:val="auto"/>
          <w:kern w:val="0"/>
          <w:sz w:val="21"/>
          <w:szCs w:val="21"/>
          <w:highlight w:val="none"/>
          <w:lang w:val="en-US" w:eastAsia="zh-CN"/>
        </w:rPr>
        <w:t>（含税）</w:t>
      </w:r>
    </w:p>
    <w:p w14:paraId="6720B08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3.光伏组件须按设计全容量的101%倍考虑施工过程中的正常损耗和运维的备品备件（其中施工正常损耗为设计容量0.3%，备品备件为设计容量0.7%）进行供货。（注：施工中损耗超过0.3%的组件由施工单位直接</w:t>
      </w:r>
      <w:r>
        <w:rPr>
          <w:rFonts w:hint="eastAsia" w:ascii="宋体" w:hAnsi="宋体" w:eastAsia="宋体" w:cs="宋体"/>
          <w:bCs/>
          <w:color w:val="auto"/>
          <w:szCs w:val="21"/>
          <w:highlight w:val="none"/>
          <w:lang w:val="en-US" w:eastAsia="zh-CN"/>
        </w:rPr>
        <w:t>与中标人</w:t>
      </w:r>
      <w:r>
        <w:rPr>
          <w:rFonts w:hint="eastAsia" w:ascii="宋体" w:hAnsi="宋体" w:eastAsia="宋体" w:cs="宋体"/>
          <w:bCs/>
          <w:color w:val="auto"/>
          <w:szCs w:val="21"/>
          <w:highlight w:val="none"/>
          <w:lang w:val="en-US" w:eastAsia="zh-CN"/>
        </w:rPr>
        <w:t>结算，</w:t>
      </w:r>
      <w:r>
        <w:rPr>
          <w:rFonts w:hint="eastAsia" w:ascii="宋体" w:hAnsi="宋体" w:eastAsia="宋体" w:cs="宋体"/>
          <w:bCs/>
          <w:color w:val="auto"/>
          <w:szCs w:val="21"/>
          <w:highlight w:val="none"/>
          <w:lang w:val="en-US" w:eastAsia="zh-CN"/>
        </w:rPr>
        <w:t>中标人</w:t>
      </w:r>
      <w:r>
        <w:rPr>
          <w:rFonts w:hint="eastAsia" w:ascii="宋体" w:hAnsi="宋体" w:eastAsia="宋体" w:cs="宋体"/>
          <w:bCs/>
          <w:color w:val="auto"/>
          <w:szCs w:val="21"/>
          <w:highlight w:val="none"/>
          <w:lang w:val="en-US" w:eastAsia="zh-CN"/>
        </w:rPr>
        <w:t>须无条件补货。）</w:t>
      </w:r>
    </w:p>
    <w:p w14:paraId="018A5BA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outlineLvl w:val="1"/>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4.光伏逆变器施工损耗为0%，施工过程中损坏由施工单位承担，</w:t>
      </w:r>
      <w:r>
        <w:rPr>
          <w:rFonts w:hint="eastAsia" w:ascii="宋体" w:hAnsi="宋体" w:eastAsia="宋体" w:cs="宋体"/>
          <w:bCs/>
          <w:color w:val="auto"/>
          <w:szCs w:val="21"/>
          <w:highlight w:val="none"/>
          <w:lang w:val="en-US" w:eastAsia="zh-CN"/>
        </w:rPr>
        <w:t>中标人</w:t>
      </w:r>
      <w:r>
        <w:rPr>
          <w:rFonts w:hint="eastAsia" w:ascii="宋体" w:hAnsi="宋体" w:eastAsia="宋体" w:cs="宋体"/>
          <w:bCs/>
          <w:color w:val="auto"/>
          <w:szCs w:val="21"/>
          <w:highlight w:val="none"/>
          <w:lang w:val="en-US" w:eastAsia="zh-CN"/>
        </w:rPr>
        <w:t>须无条件补货。</w:t>
      </w:r>
    </w:p>
    <w:p w14:paraId="743A601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1"/>
        <w:rPr>
          <w:rFonts w:hint="default" w:ascii="宋体" w:hAnsi="宋体" w:cs="宋体"/>
          <w:bCs/>
          <w:color w:val="FF0000"/>
          <w:szCs w:val="21"/>
          <w:highlight w:val="none"/>
          <w:lang w:val="en-US" w:eastAsia="zh-CN"/>
        </w:rPr>
      </w:pPr>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FF0000"/>
          <w:szCs w:val="21"/>
          <w:highlight w:val="none"/>
          <w:lang w:val="en-US" w:eastAsia="zh-CN"/>
        </w:rPr>
      </w:pPr>
    </w:p>
    <w:p w14:paraId="44AB369B">
      <w:pPr>
        <w:pStyle w:val="6"/>
        <w:adjustRightInd w:val="0"/>
        <w:snapToGrid w:val="0"/>
        <w:spacing w:before="0" w:after="0" w:line="560" w:lineRule="exact"/>
        <w:jc w:val="center"/>
        <w:rPr>
          <w:rFonts w:hint="eastAsia" w:ascii="宋体" w:hAnsi="宋体" w:cs="宋体"/>
          <w:bCs/>
          <w:color w:val="000000"/>
          <w:szCs w:val="21"/>
          <w:highlight w:val="none"/>
        </w:rPr>
      </w:pPr>
      <w:r>
        <w:rPr>
          <w:rFonts w:hint="eastAsia" w:ascii="宋体" w:hAnsi="宋体" w:cs="宋体"/>
          <w:bCs/>
          <w:color w:val="000000"/>
          <w:szCs w:val="21"/>
          <w:highlight w:val="none"/>
        </w:rPr>
        <w:br w:type="page"/>
      </w:r>
    </w:p>
    <w:p w14:paraId="1C5A80D6">
      <w:pPr>
        <w:pStyle w:val="6"/>
        <w:adjustRightInd w:val="0"/>
        <w:snapToGrid w:val="0"/>
        <w:spacing w:before="0" w:after="0" w:line="560" w:lineRule="exact"/>
        <w:jc w:val="center"/>
        <w:rPr>
          <w:rFonts w:hint="eastAsia" w:ascii="宋体" w:hAnsi="宋体" w:cs="宋体"/>
          <w:bCs/>
          <w:color w:val="000000"/>
          <w:szCs w:val="21"/>
          <w:highlight w:val="none"/>
        </w:rPr>
      </w:pPr>
    </w:p>
    <w:p w14:paraId="3A3DFD1F">
      <w:pPr>
        <w:pStyle w:val="6"/>
        <w:adjustRightInd w:val="0"/>
        <w:snapToGrid w:val="0"/>
        <w:spacing w:before="0" w:after="0" w:line="560" w:lineRule="exact"/>
        <w:jc w:val="center"/>
        <w:rPr>
          <w:bCs/>
          <w:szCs w:val="32"/>
          <w:highlight w:val="none"/>
        </w:rPr>
      </w:pPr>
      <w:r>
        <w:rPr>
          <w:rFonts w:hint="eastAsia"/>
          <w:color w:val="000000"/>
          <w:highlight w:val="none"/>
        </w:rPr>
        <w:t>第</w:t>
      </w:r>
      <w:r>
        <w:rPr>
          <w:rFonts w:hint="eastAsia"/>
          <w:color w:val="000000"/>
          <w:highlight w:val="none"/>
          <w:lang w:val="en-US" w:eastAsia="zh-CN"/>
        </w:rPr>
        <w:t>七</w:t>
      </w:r>
      <w:r>
        <w:rPr>
          <w:rFonts w:hint="eastAsia"/>
          <w:color w:val="000000"/>
          <w:highlight w:val="none"/>
        </w:rPr>
        <w:t>章  投标文件格式</w:t>
      </w:r>
      <w:bookmarkEnd w:id="962"/>
      <w:bookmarkEnd w:id="963"/>
      <w:bookmarkEnd w:id="964"/>
      <w:bookmarkEnd w:id="965"/>
      <w:bookmarkEnd w:id="966"/>
      <w:bookmarkEnd w:id="967"/>
      <w:bookmarkEnd w:id="968"/>
      <w:bookmarkEnd w:id="969"/>
      <w:bookmarkEnd w:id="970"/>
      <w:bookmarkEnd w:id="971"/>
      <w:bookmarkEnd w:id="972"/>
      <w:bookmarkEnd w:id="973"/>
      <w:bookmarkEnd w:id="97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rPr>
          <w:highlight w:val="none"/>
        </w:rPr>
      </w:pPr>
    </w:p>
    <w:p w14:paraId="0799C826">
      <w:pPr>
        <w:pStyle w:val="2"/>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7802AE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bookmarkStart w:id="983" w:name="_Toc12683"/>
      <w:bookmarkStart w:id="984" w:name="_Toc35425137"/>
      <w:bookmarkStart w:id="985" w:name="_Toc35424971"/>
    </w:p>
    <w:p w14:paraId="0EBCA57C">
      <w:pPr>
        <w:spacing w:beforeLines="50" w:afterLines="50" w:line="440" w:lineRule="exact"/>
        <w:ind w:firstLine="643" w:firstLineChars="200"/>
        <w:jc w:val="left"/>
        <w:rPr>
          <w:rFonts w:ascii="宋体" w:hAnsi="宋体" w:cs="宋体"/>
          <w:b/>
          <w:sz w:val="28"/>
          <w:szCs w:val="28"/>
          <w:highlight w:val="none"/>
        </w:rPr>
      </w:pPr>
      <w:bookmarkStart w:id="986" w:name="_Toc78803399"/>
      <w:r>
        <w:rPr>
          <w:rStyle w:val="120"/>
          <w:rFonts w:hint="eastAsia" w:ascii="宋体" w:hAnsi="宋体" w:cs="宋体"/>
          <w:sz w:val="32"/>
          <w:highlight w:val="none"/>
        </w:rPr>
        <w:t>投标文件一</w:t>
      </w:r>
      <w:bookmarkEnd w:id="983"/>
      <w:bookmarkEnd w:id="984"/>
      <w:bookmarkEnd w:id="985"/>
      <w:bookmarkEnd w:id="986"/>
      <w:r>
        <w:rPr>
          <w:rFonts w:hint="eastAsia" w:ascii="宋体" w:hAnsi="宋体" w:cs="宋体"/>
          <w:b/>
          <w:sz w:val="28"/>
          <w:szCs w:val="28"/>
          <w:highlight w:val="none"/>
        </w:rPr>
        <w:t>：资信证明文件目录</w:t>
      </w:r>
    </w:p>
    <w:p w14:paraId="1B33DCA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EB9A8A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58AADF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8586FF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7" w:name="_Toc26598"/>
      <w:bookmarkStart w:id="988" w:name="_Toc503196197"/>
      <w:bookmarkStart w:id="989"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7"/>
      <w:bookmarkEnd w:id="988"/>
      <w:bookmarkEnd w:id="989"/>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或拟派项目经理（负责人）没有下列情形：</w:t>
      </w:r>
      <w:bookmarkStart w:id="990" w:name="OLE_LINK134"/>
      <w:bookmarkStart w:id="991" w:name="OLE_LINK133"/>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0"/>
      <w:bookmarkEnd w:id="991"/>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highlight w:val="none"/>
          <w:u w:val="single"/>
        </w:rPr>
      </w:pPr>
    </w:p>
    <w:p w14:paraId="25D978AE">
      <w:pPr>
        <w:adjustRightInd w:val="0"/>
        <w:snapToGrid w:val="0"/>
        <w:spacing w:line="560" w:lineRule="exact"/>
        <w:jc w:val="center"/>
        <w:rPr>
          <w:rFonts w:hint="eastAsia" w:eastAsia="黑体"/>
          <w:color w:val="000000"/>
          <w:sz w:val="28"/>
          <w:szCs w:val="28"/>
          <w:highlight w:val="none"/>
          <w:u w:val="single"/>
        </w:rPr>
      </w:pPr>
    </w:p>
    <w:p w14:paraId="021BBC41">
      <w:pPr>
        <w:adjustRightInd w:val="0"/>
        <w:snapToGrid w:val="0"/>
        <w:spacing w:line="560" w:lineRule="exact"/>
        <w:jc w:val="center"/>
        <w:rPr>
          <w:rFonts w:hint="eastAsia" w:eastAsia="黑体"/>
          <w:color w:val="000000"/>
          <w:sz w:val="28"/>
          <w:szCs w:val="28"/>
          <w:highlight w:val="none"/>
          <w:u w:val="single"/>
        </w:rPr>
      </w:pPr>
    </w:p>
    <w:p w14:paraId="45062D82">
      <w:pPr>
        <w:adjustRightInd w:val="0"/>
        <w:snapToGrid w:val="0"/>
        <w:spacing w:line="560" w:lineRule="exact"/>
        <w:jc w:val="center"/>
        <w:rPr>
          <w:rFonts w:hint="eastAsia" w:eastAsia="黑体"/>
          <w:color w:val="000000"/>
          <w:sz w:val="28"/>
          <w:szCs w:val="28"/>
          <w:highlight w:val="none"/>
          <w:u w:val="single"/>
        </w:rPr>
      </w:pPr>
    </w:p>
    <w:p w14:paraId="650957C7">
      <w:pPr>
        <w:adjustRightInd w:val="0"/>
        <w:snapToGrid w:val="0"/>
        <w:spacing w:line="560" w:lineRule="exact"/>
        <w:jc w:val="center"/>
        <w:rPr>
          <w:rFonts w:hint="eastAsia" w:eastAsia="黑体"/>
          <w:color w:val="000000"/>
          <w:sz w:val="20"/>
          <w:szCs w:val="20"/>
          <w:highlight w:val="none"/>
        </w:rPr>
      </w:pPr>
      <w:r>
        <w:rPr>
          <w:rFonts w:hint="eastAsia" w:eastAsia="黑体"/>
          <w:color w:val="000000"/>
          <w:sz w:val="28"/>
          <w:szCs w:val="28"/>
          <w:highlight w:val="none"/>
          <w:u w:val="single"/>
        </w:rPr>
        <w:t xml:space="preserve">                </w:t>
      </w:r>
      <w:r>
        <w:rPr>
          <w:rFonts w:eastAsia="黑体"/>
          <w:color w:val="000000"/>
          <w:sz w:val="28"/>
          <w:szCs w:val="28"/>
          <w:highlight w:val="none"/>
        </w:rPr>
        <w:t>（项目名称）</w:t>
      </w:r>
    </w:p>
    <w:p w14:paraId="34CAF67E">
      <w:pPr>
        <w:adjustRightInd w:val="0"/>
        <w:snapToGrid w:val="0"/>
        <w:spacing w:line="560" w:lineRule="exact"/>
        <w:jc w:val="center"/>
        <w:rPr>
          <w:rFonts w:hint="eastAsia" w:eastAsia="黑体"/>
          <w:color w:val="000000"/>
          <w:sz w:val="20"/>
          <w:szCs w:val="20"/>
          <w:highlight w:val="none"/>
        </w:rPr>
      </w:pPr>
    </w:p>
    <w:p w14:paraId="51C60653">
      <w:pPr>
        <w:adjustRightInd w:val="0"/>
        <w:snapToGrid w:val="0"/>
        <w:spacing w:line="560" w:lineRule="exact"/>
        <w:rPr>
          <w:rFonts w:hint="eastAsia" w:eastAsia="黑体"/>
          <w:color w:val="000000"/>
          <w:sz w:val="20"/>
          <w:szCs w:val="20"/>
          <w:highlight w:val="none"/>
        </w:rPr>
      </w:pPr>
    </w:p>
    <w:p w14:paraId="04FBF58C">
      <w:pPr>
        <w:adjustRightInd w:val="0"/>
        <w:snapToGrid w:val="0"/>
        <w:spacing w:line="560" w:lineRule="exact"/>
        <w:jc w:val="center"/>
        <w:rPr>
          <w:rFonts w:hint="eastAsia" w:eastAsia="黑体"/>
          <w:color w:val="000000"/>
          <w:sz w:val="44"/>
          <w:szCs w:val="44"/>
          <w:highlight w:val="none"/>
        </w:rPr>
      </w:pPr>
      <w:r>
        <w:rPr>
          <w:rFonts w:eastAsia="黑体"/>
          <w:color w:val="000000"/>
          <w:sz w:val="44"/>
          <w:szCs w:val="44"/>
          <w:highlight w:val="none"/>
        </w:rPr>
        <w:t>投  标  文  件</w:t>
      </w:r>
      <w:r>
        <w:rPr>
          <w:rFonts w:hint="eastAsia" w:eastAsia="黑体"/>
          <w:color w:val="000000"/>
          <w:sz w:val="44"/>
          <w:szCs w:val="44"/>
          <w:highlight w:val="none"/>
        </w:rPr>
        <w:t xml:space="preserve">  二</w:t>
      </w:r>
    </w:p>
    <w:p w14:paraId="5ED1A363">
      <w:pPr>
        <w:adjustRightInd w:val="0"/>
        <w:snapToGrid w:val="0"/>
        <w:spacing w:line="560" w:lineRule="exact"/>
        <w:jc w:val="center"/>
        <w:rPr>
          <w:rFonts w:hint="eastAsia" w:eastAsia="黑体"/>
          <w:color w:val="000000"/>
          <w:sz w:val="44"/>
          <w:szCs w:val="44"/>
          <w:highlight w:val="none"/>
        </w:rPr>
      </w:pPr>
      <w:r>
        <w:rPr>
          <w:rFonts w:hint="eastAsia" w:eastAsia="黑体"/>
          <w:color w:val="000000"/>
          <w:sz w:val="44"/>
          <w:szCs w:val="44"/>
          <w:highlight w:val="none"/>
        </w:rPr>
        <w:t>（技术标文件）</w:t>
      </w:r>
    </w:p>
    <w:p w14:paraId="3F93D178">
      <w:pPr>
        <w:adjustRightInd w:val="0"/>
        <w:snapToGrid w:val="0"/>
        <w:spacing w:line="560" w:lineRule="exact"/>
        <w:rPr>
          <w:rFonts w:eastAsia="黑体"/>
          <w:color w:val="000000"/>
          <w:sz w:val="28"/>
          <w:szCs w:val="28"/>
          <w:highlight w:val="none"/>
        </w:rPr>
      </w:pPr>
    </w:p>
    <w:p w14:paraId="14641E1E">
      <w:pPr>
        <w:adjustRightInd w:val="0"/>
        <w:snapToGrid w:val="0"/>
        <w:spacing w:line="560" w:lineRule="exact"/>
        <w:rPr>
          <w:rFonts w:eastAsia="黑体"/>
          <w:color w:val="000000"/>
          <w:sz w:val="28"/>
          <w:szCs w:val="28"/>
          <w:highlight w:val="none"/>
        </w:rPr>
      </w:pPr>
    </w:p>
    <w:p w14:paraId="1F90D52E">
      <w:pPr>
        <w:adjustRightInd w:val="0"/>
        <w:snapToGrid w:val="0"/>
        <w:spacing w:line="560" w:lineRule="exact"/>
        <w:rPr>
          <w:rFonts w:eastAsia="黑体"/>
          <w:color w:val="000000"/>
          <w:sz w:val="28"/>
          <w:szCs w:val="28"/>
          <w:highlight w:val="none"/>
        </w:rPr>
      </w:pPr>
    </w:p>
    <w:p w14:paraId="7A259675">
      <w:pPr>
        <w:adjustRightInd w:val="0"/>
        <w:snapToGrid w:val="0"/>
        <w:spacing w:line="560" w:lineRule="exact"/>
        <w:rPr>
          <w:rFonts w:eastAsia="黑体"/>
          <w:color w:val="000000"/>
          <w:sz w:val="28"/>
          <w:szCs w:val="28"/>
          <w:highlight w:val="none"/>
        </w:rPr>
      </w:pPr>
    </w:p>
    <w:p w14:paraId="2D159310">
      <w:pPr>
        <w:adjustRightInd w:val="0"/>
        <w:snapToGrid w:val="0"/>
        <w:spacing w:line="560" w:lineRule="exact"/>
        <w:rPr>
          <w:rFonts w:hint="eastAsia" w:eastAsia="黑体"/>
          <w:color w:val="000000"/>
          <w:sz w:val="28"/>
          <w:szCs w:val="28"/>
          <w:highlight w:val="none"/>
        </w:rPr>
      </w:pPr>
    </w:p>
    <w:p w14:paraId="0F232666">
      <w:pPr>
        <w:pStyle w:val="2"/>
        <w:rPr>
          <w:rFonts w:hint="eastAsia"/>
          <w:color w:val="000000"/>
          <w:highlight w:val="none"/>
        </w:rPr>
      </w:pPr>
    </w:p>
    <w:p w14:paraId="592223C0">
      <w:pPr>
        <w:rPr>
          <w:color w:val="000000"/>
          <w:highlight w:val="none"/>
        </w:rPr>
      </w:pPr>
    </w:p>
    <w:p w14:paraId="52F3A51E">
      <w:pPr>
        <w:adjustRightInd w:val="0"/>
        <w:snapToGrid w:val="0"/>
        <w:spacing w:line="560" w:lineRule="exact"/>
        <w:rPr>
          <w:rFonts w:eastAsia="黑体"/>
          <w:color w:val="000000"/>
          <w:sz w:val="28"/>
          <w:szCs w:val="28"/>
          <w:highlight w:val="none"/>
        </w:rPr>
      </w:pPr>
    </w:p>
    <w:p w14:paraId="5A3D8557">
      <w:pPr>
        <w:pStyle w:val="2"/>
        <w:adjustRightInd w:val="0"/>
        <w:snapToGrid w:val="0"/>
        <w:spacing w:after="0" w:line="560" w:lineRule="exact"/>
        <w:ind w:left="0" w:leftChars="0" w:firstLine="560"/>
        <w:rPr>
          <w:rFonts w:eastAsia="黑体"/>
          <w:color w:val="000000"/>
          <w:sz w:val="28"/>
          <w:szCs w:val="28"/>
          <w:highlight w:val="none"/>
        </w:rPr>
      </w:pPr>
    </w:p>
    <w:p w14:paraId="41A8EC40">
      <w:pPr>
        <w:adjustRightInd w:val="0"/>
        <w:snapToGrid w:val="0"/>
        <w:spacing w:line="560" w:lineRule="exact"/>
        <w:rPr>
          <w:rFonts w:eastAsia="黑体"/>
          <w:color w:val="000000"/>
          <w:sz w:val="28"/>
          <w:szCs w:val="28"/>
          <w:highlight w:val="none"/>
        </w:rPr>
      </w:pPr>
    </w:p>
    <w:p w14:paraId="6ECD99C8">
      <w:pPr>
        <w:pStyle w:val="2"/>
        <w:adjustRightInd w:val="0"/>
        <w:snapToGrid w:val="0"/>
        <w:spacing w:after="0" w:line="560" w:lineRule="exact"/>
        <w:ind w:left="0" w:leftChars="0" w:firstLine="0" w:firstLineChars="0"/>
        <w:rPr>
          <w:color w:val="000000"/>
          <w:highlight w:val="none"/>
        </w:rPr>
      </w:pPr>
    </w:p>
    <w:p w14:paraId="7E1CD6B5">
      <w:pPr>
        <w:adjustRightInd w:val="0"/>
        <w:snapToGrid w:val="0"/>
        <w:spacing w:line="560" w:lineRule="exact"/>
        <w:rPr>
          <w:rFonts w:eastAsia="黑体"/>
          <w:color w:val="000000"/>
          <w:sz w:val="28"/>
          <w:szCs w:val="28"/>
          <w:highlight w:val="none"/>
        </w:rPr>
      </w:pPr>
    </w:p>
    <w:p w14:paraId="73834895">
      <w:pPr>
        <w:adjustRightInd w:val="0"/>
        <w:snapToGrid w:val="0"/>
        <w:spacing w:line="560" w:lineRule="exact"/>
        <w:rPr>
          <w:rFonts w:eastAsia="黑体"/>
          <w:color w:val="000000"/>
          <w:sz w:val="28"/>
          <w:szCs w:val="28"/>
          <w:highlight w:val="none"/>
        </w:rPr>
      </w:pPr>
    </w:p>
    <w:p w14:paraId="09F05625">
      <w:pPr>
        <w:adjustRightInd w:val="0"/>
        <w:snapToGrid w:val="0"/>
        <w:spacing w:line="560" w:lineRule="exact"/>
        <w:jc w:val="center"/>
        <w:rPr>
          <w:rFonts w:eastAsia="黑体"/>
          <w:color w:val="000000"/>
          <w:sz w:val="28"/>
          <w:szCs w:val="28"/>
          <w:highlight w:val="none"/>
          <w:u w:val="single"/>
        </w:rPr>
      </w:pPr>
      <w:r>
        <w:rPr>
          <w:rFonts w:eastAsia="黑体"/>
          <w:color w:val="000000"/>
          <w:sz w:val="28"/>
          <w:szCs w:val="28"/>
          <w:highlight w:val="none"/>
        </w:rPr>
        <w:t>投标人：</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w:t>
      </w:r>
      <w:r>
        <w:rPr>
          <w:rFonts w:hint="eastAsia" w:eastAsia="黑体"/>
          <w:color w:val="000000"/>
          <w:sz w:val="28"/>
          <w:szCs w:val="28"/>
          <w:highlight w:val="none"/>
        </w:rPr>
        <w:t>签章</w:t>
      </w:r>
      <w:r>
        <w:rPr>
          <w:rFonts w:eastAsia="黑体"/>
          <w:color w:val="000000"/>
          <w:sz w:val="28"/>
          <w:szCs w:val="28"/>
          <w:highlight w:val="none"/>
        </w:rPr>
        <w:t>）</w:t>
      </w:r>
    </w:p>
    <w:p w14:paraId="29A7AEF7">
      <w:pPr>
        <w:adjustRightInd w:val="0"/>
        <w:snapToGrid w:val="0"/>
        <w:spacing w:line="560" w:lineRule="exact"/>
        <w:jc w:val="center"/>
        <w:rPr>
          <w:rFonts w:eastAsia="黑体"/>
          <w:color w:val="000000"/>
          <w:sz w:val="28"/>
          <w:szCs w:val="28"/>
          <w:highlight w:val="none"/>
        </w:rPr>
      </w:pPr>
      <w:r>
        <w:rPr>
          <w:rFonts w:hint="eastAsia" w:eastAsia="黑体"/>
          <w:color w:val="000000"/>
          <w:sz w:val="28"/>
          <w:szCs w:val="28"/>
          <w:highlight w:val="none"/>
        </w:rPr>
        <w:t>法定代表人</w:t>
      </w:r>
      <w:r>
        <w:rPr>
          <w:rFonts w:eastAsia="黑体"/>
          <w:color w:val="000000"/>
          <w:sz w:val="28"/>
          <w:szCs w:val="28"/>
          <w:highlight w:val="none"/>
        </w:rPr>
        <w:t>：</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（签</w:t>
      </w:r>
      <w:r>
        <w:rPr>
          <w:rFonts w:hint="eastAsia" w:eastAsia="黑体"/>
          <w:color w:val="000000"/>
          <w:sz w:val="28"/>
          <w:szCs w:val="28"/>
          <w:highlight w:val="none"/>
        </w:rPr>
        <w:t>章</w:t>
      </w:r>
      <w:r>
        <w:rPr>
          <w:rFonts w:eastAsia="黑体"/>
          <w:color w:val="000000"/>
          <w:sz w:val="28"/>
          <w:szCs w:val="28"/>
          <w:highlight w:val="none"/>
        </w:rPr>
        <w:t>）</w:t>
      </w:r>
    </w:p>
    <w:p w14:paraId="4767AA77">
      <w:pPr>
        <w:adjustRightInd w:val="0"/>
        <w:snapToGrid w:val="0"/>
        <w:spacing w:line="560" w:lineRule="exact"/>
        <w:jc w:val="center"/>
        <w:rPr>
          <w:rFonts w:hint="eastAsia"/>
          <w:color w:val="000000"/>
          <w:highlight w:val="none"/>
        </w:rPr>
      </w:pPr>
      <w:r>
        <w:rPr>
          <w:rFonts w:eastAsia="黑体"/>
          <w:color w:val="000000"/>
          <w:sz w:val="28"/>
          <w:szCs w:val="28"/>
          <w:highlight w:val="none"/>
          <w:u w:val="single"/>
        </w:rPr>
        <w:t xml:space="preserve">        </w:t>
      </w:r>
      <w:r>
        <w:rPr>
          <w:rFonts w:eastAsia="黑体"/>
          <w:color w:val="000000"/>
          <w:sz w:val="28"/>
          <w:szCs w:val="28"/>
          <w:highlight w:val="none"/>
        </w:rPr>
        <w:t>年</w:t>
      </w:r>
      <w:r>
        <w:rPr>
          <w:rFonts w:eastAsia="黑体"/>
          <w:color w:val="000000"/>
          <w:sz w:val="28"/>
          <w:szCs w:val="28"/>
          <w:highlight w:val="none"/>
          <w:u w:val="single"/>
        </w:rPr>
        <w:t xml:space="preserve">        </w:t>
      </w:r>
      <w:r>
        <w:rPr>
          <w:rFonts w:eastAsia="黑体"/>
          <w:color w:val="000000"/>
          <w:sz w:val="28"/>
          <w:szCs w:val="28"/>
          <w:highlight w:val="none"/>
        </w:rPr>
        <w:t>月</w:t>
      </w:r>
      <w:r>
        <w:rPr>
          <w:rFonts w:eastAsia="黑体"/>
          <w:color w:val="000000"/>
          <w:sz w:val="28"/>
          <w:szCs w:val="28"/>
          <w:highlight w:val="none"/>
          <w:u w:val="single"/>
        </w:rPr>
        <w:t xml:space="preserve">        </w:t>
      </w:r>
      <w:r>
        <w:rPr>
          <w:rFonts w:eastAsia="黑体"/>
          <w:color w:val="000000"/>
          <w:sz w:val="28"/>
          <w:szCs w:val="28"/>
          <w:highlight w:val="none"/>
        </w:rPr>
        <w:t>日</w:t>
      </w:r>
    </w:p>
    <w:p w14:paraId="68293451">
      <w:pPr>
        <w:rPr>
          <w:rFonts w:hint="eastAsia"/>
          <w:color w:val="000000"/>
          <w:highlight w:val="none"/>
        </w:rPr>
      </w:pPr>
      <w:bookmarkStart w:id="992" w:name="_Toc95223539"/>
      <w:r>
        <w:rPr>
          <w:rFonts w:hint="eastAsia"/>
          <w:color w:val="000000"/>
          <w:highlight w:val="none"/>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2"/>
    </w:p>
    <w:p w14:paraId="67D32EDD">
      <w:pPr>
        <w:adjustRightInd w:val="0"/>
        <w:snapToGrid w:val="0"/>
        <w:spacing w:line="56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（1）供货方案；</w:t>
      </w:r>
    </w:p>
    <w:p w14:paraId="53D0CC88">
      <w:pPr>
        <w:adjustRightInd w:val="0"/>
        <w:snapToGrid w:val="0"/>
        <w:spacing w:line="56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lang w:val="en-US" w:eastAsia="zh-CN"/>
        </w:rPr>
        <w:t>（2）售后服务方案；</w:t>
      </w:r>
    </w:p>
    <w:p w14:paraId="0AE28254">
      <w:pPr>
        <w:adjustRightInd w:val="0"/>
        <w:snapToGrid w:val="0"/>
        <w:spacing w:line="560" w:lineRule="exact"/>
        <w:ind w:firstLine="420" w:firstLineChars="200"/>
        <w:rPr>
          <w:rFonts w:hint="eastAsia" w:ascii="宋体" w:hAnsi="宋体" w:cs="Times New Roman"/>
          <w:color w:val="000000"/>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rPr>
        <w:t>详细的货物名称、规格、技术参数等【附技术参数响应表、货物的详细配置清单，格式见附件】；</w:t>
      </w:r>
    </w:p>
    <w:p w14:paraId="161C70FE">
      <w:pPr>
        <w:adjustRightInd w:val="0"/>
        <w:snapToGrid w:val="0"/>
        <w:spacing w:line="560" w:lineRule="exact"/>
        <w:ind w:firstLine="420" w:firstLineChars="20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其他技术标评审所需资料</w:t>
      </w:r>
      <w:r>
        <w:rPr>
          <w:rFonts w:hint="eastAsia" w:ascii="宋体" w:hAnsi="宋体" w:cs="Times New Roman"/>
          <w:color w:val="000000"/>
          <w:szCs w:val="21"/>
          <w:highlight w:val="none"/>
          <w:lang w:eastAsia="zh-CN"/>
        </w:rPr>
        <w:t>。</w:t>
      </w:r>
    </w:p>
    <w:p w14:paraId="54F384A3">
      <w:pPr>
        <w:adjustRightInd w:val="0"/>
        <w:snapToGrid w:val="0"/>
        <w:spacing w:line="560" w:lineRule="exact"/>
        <w:rPr>
          <w:rFonts w:hint="eastAsia" w:ascii="宋体" w:hAnsi="宋体"/>
          <w:color w:val="000000"/>
          <w:szCs w:val="21"/>
          <w:highlight w:val="none"/>
        </w:rPr>
      </w:pPr>
    </w:p>
    <w:p w14:paraId="04ED82F0">
      <w:pPr>
        <w:adjustRightInd w:val="0"/>
        <w:snapToGrid w:val="0"/>
        <w:spacing w:line="560" w:lineRule="exact"/>
        <w:rPr>
          <w:rFonts w:hint="eastAsia" w:ascii="仿宋_GB2312" w:eastAsia="仿宋_GB2312"/>
          <w:color w:val="000000"/>
          <w:szCs w:val="21"/>
          <w:highlight w:val="none"/>
        </w:rPr>
      </w:pPr>
    </w:p>
    <w:p w14:paraId="2194FA78">
      <w:pPr>
        <w:rPr>
          <w:highlight w:val="none"/>
        </w:rPr>
      </w:pPr>
    </w:p>
    <w:p w14:paraId="15A2C948">
      <w:pPr>
        <w:rPr>
          <w:highlight w:val="none"/>
        </w:rPr>
      </w:pPr>
      <w:r>
        <w:rPr>
          <w:highlight w:val="none"/>
        </w:rPr>
        <w:br w:type="page"/>
      </w:r>
    </w:p>
    <w:p w14:paraId="32909EE7">
      <w:pPr>
        <w:rPr>
          <w:highlight w:val="none"/>
        </w:rPr>
      </w:pPr>
    </w:p>
    <w:p w14:paraId="6BE76C04">
      <w:pPr>
        <w:jc w:val="center"/>
        <w:outlineLvl w:val="2"/>
        <w:rPr>
          <w:rFonts w:hint="eastAsia" w:ascii="宋体" w:hAnsi="宋体"/>
          <w:b/>
          <w:color w:val="auto"/>
          <w:sz w:val="30"/>
          <w:szCs w:val="30"/>
          <w:highlight w:val="none"/>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技术参数响应表（格式）</w:t>
      </w:r>
    </w:p>
    <w:p w14:paraId="3241B733">
      <w:pPr>
        <w:rPr>
          <w:rFonts w:hint="eastAsia" w:ascii="宋体" w:hAnsi="宋体"/>
          <w:color w:val="auto"/>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59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4AC6FD9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2CE3AB8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noWrap w:val="0"/>
            <w:vAlign w:val="center"/>
          </w:tcPr>
          <w:p w14:paraId="1158221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noWrap w:val="0"/>
            <w:vAlign w:val="center"/>
          </w:tcPr>
          <w:p w14:paraId="1089DB2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03CAE19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73FE8F8D">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05C7025B">
            <w:pPr>
              <w:widowControl/>
              <w:spacing w:line="360" w:lineRule="auto"/>
              <w:jc w:val="center"/>
              <w:textAlignment w:val="center"/>
              <w:rPr>
                <w:rFonts w:hint="eastAsia" w:ascii="宋体" w:hAnsi="宋体"/>
                <w:color w:val="auto"/>
                <w:szCs w:val="21"/>
                <w:highlight w:val="none"/>
              </w:rPr>
            </w:pPr>
          </w:p>
        </w:tc>
        <w:tc>
          <w:tcPr>
            <w:tcW w:w="1539" w:type="dxa"/>
            <w:noWrap w:val="0"/>
            <w:vAlign w:val="center"/>
          </w:tcPr>
          <w:p w14:paraId="141D180F">
            <w:pPr>
              <w:ind w:firstLine="630" w:firstLineChars="300"/>
              <w:jc w:val="center"/>
              <w:rPr>
                <w:rFonts w:hint="eastAsia" w:ascii="宋体" w:hAnsi="宋体"/>
                <w:color w:val="auto"/>
                <w:szCs w:val="21"/>
                <w:highlight w:val="none"/>
              </w:rPr>
            </w:pPr>
          </w:p>
        </w:tc>
        <w:tc>
          <w:tcPr>
            <w:tcW w:w="1555" w:type="dxa"/>
            <w:noWrap w:val="0"/>
            <w:vAlign w:val="center"/>
          </w:tcPr>
          <w:p w14:paraId="15D6711C">
            <w:pPr>
              <w:ind w:firstLine="630" w:firstLineChars="300"/>
              <w:jc w:val="center"/>
              <w:rPr>
                <w:rFonts w:hint="eastAsia" w:ascii="宋体" w:hAnsi="宋体"/>
                <w:color w:val="auto"/>
                <w:szCs w:val="21"/>
                <w:highlight w:val="none"/>
              </w:rPr>
            </w:pPr>
          </w:p>
        </w:tc>
        <w:tc>
          <w:tcPr>
            <w:tcW w:w="1577" w:type="dxa"/>
            <w:noWrap w:val="0"/>
            <w:vAlign w:val="center"/>
          </w:tcPr>
          <w:p w14:paraId="43A2E82D">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682A798B">
            <w:pPr>
              <w:jc w:val="center"/>
              <w:rPr>
                <w:rFonts w:hint="eastAsia" w:ascii="宋体" w:hAnsi="宋体"/>
                <w:color w:val="auto"/>
                <w:szCs w:val="21"/>
                <w:highlight w:val="none"/>
              </w:rPr>
            </w:pPr>
          </w:p>
        </w:tc>
      </w:tr>
      <w:tr w14:paraId="34E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AC2F24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3EDF77C">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308A515A">
            <w:pPr>
              <w:ind w:firstLine="630" w:firstLineChars="300"/>
              <w:jc w:val="center"/>
              <w:rPr>
                <w:rFonts w:hint="eastAsia" w:ascii="宋体" w:hAnsi="宋体"/>
                <w:color w:val="auto"/>
                <w:szCs w:val="21"/>
                <w:highlight w:val="none"/>
              </w:rPr>
            </w:pPr>
          </w:p>
        </w:tc>
        <w:tc>
          <w:tcPr>
            <w:tcW w:w="1555" w:type="dxa"/>
            <w:noWrap w:val="0"/>
            <w:vAlign w:val="center"/>
          </w:tcPr>
          <w:p w14:paraId="16747F4A">
            <w:pPr>
              <w:ind w:firstLine="630" w:firstLineChars="300"/>
              <w:jc w:val="center"/>
              <w:rPr>
                <w:rFonts w:hint="eastAsia" w:ascii="宋体" w:hAnsi="宋体"/>
                <w:color w:val="auto"/>
                <w:szCs w:val="21"/>
                <w:highlight w:val="none"/>
              </w:rPr>
            </w:pPr>
          </w:p>
        </w:tc>
        <w:tc>
          <w:tcPr>
            <w:tcW w:w="1577" w:type="dxa"/>
            <w:noWrap w:val="0"/>
            <w:vAlign w:val="center"/>
          </w:tcPr>
          <w:p w14:paraId="67AC9F7D">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73479AB4">
            <w:pPr>
              <w:jc w:val="center"/>
              <w:rPr>
                <w:rFonts w:hint="eastAsia" w:ascii="宋体" w:hAnsi="宋体"/>
                <w:color w:val="auto"/>
                <w:szCs w:val="21"/>
                <w:highlight w:val="none"/>
              </w:rPr>
            </w:pPr>
          </w:p>
        </w:tc>
      </w:tr>
      <w:tr w14:paraId="3B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E419E2E">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42C18A24">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76AE570C">
            <w:pPr>
              <w:ind w:firstLine="630" w:firstLineChars="300"/>
              <w:jc w:val="center"/>
              <w:rPr>
                <w:rFonts w:hint="eastAsia" w:ascii="宋体" w:hAnsi="宋体"/>
                <w:color w:val="auto"/>
                <w:szCs w:val="21"/>
                <w:highlight w:val="none"/>
              </w:rPr>
            </w:pPr>
          </w:p>
        </w:tc>
        <w:tc>
          <w:tcPr>
            <w:tcW w:w="1555" w:type="dxa"/>
            <w:noWrap w:val="0"/>
            <w:vAlign w:val="center"/>
          </w:tcPr>
          <w:p w14:paraId="5FE1890A">
            <w:pPr>
              <w:ind w:firstLine="630" w:firstLineChars="300"/>
              <w:jc w:val="center"/>
              <w:rPr>
                <w:rFonts w:hint="eastAsia" w:ascii="宋体" w:hAnsi="宋体"/>
                <w:color w:val="auto"/>
                <w:szCs w:val="21"/>
                <w:highlight w:val="none"/>
              </w:rPr>
            </w:pPr>
          </w:p>
        </w:tc>
        <w:tc>
          <w:tcPr>
            <w:tcW w:w="1577" w:type="dxa"/>
            <w:noWrap w:val="0"/>
            <w:vAlign w:val="center"/>
          </w:tcPr>
          <w:p w14:paraId="06FBBAA9">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65AD6F40">
            <w:pPr>
              <w:jc w:val="center"/>
              <w:rPr>
                <w:rFonts w:hint="eastAsia" w:ascii="宋体" w:hAnsi="宋体"/>
                <w:color w:val="auto"/>
                <w:szCs w:val="21"/>
                <w:highlight w:val="none"/>
              </w:rPr>
            </w:pPr>
          </w:p>
        </w:tc>
      </w:tr>
      <w:tr w14:paraId="34E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54D0576">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6B14D226">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5531AD84">
            <w:pPr>
              <w:ind w:firstLine="630" w:firstLineChars="300"/>
              <w:jc w:val="center"/>
              <w:rPr>
                <w:rFonts w:hint="eastAsia" w:ascii="宋体" w:hAnsi="宋体"/>
                <w:color w:val="auto"/>
                <w:szCs w:val="21"/>
                <w:highlight w:val="none"/>
              </w:rPr>
            </w:pPr>
          </w:p>
        </w:tc>
        <w:tc>
          <w:tcPr>
            <w:tcW w:w="1555" w:type="dxa"/>
            <w:noWrap w:val="0"/>
            <w:vAlign w:val="center"/>
          </w:tcPr>
          <w:p w14:paraId="559A547C">
            <w:pPr>
              <w:ind w:firstLine="630" w:firstLineChars="300"/>
              <w:jc w:val="center"/>
              <w:rPr>
                <w:rFonts w:hint="eastAsia" w:ascii="宋体" w:hAnsi="宋体"/>
                <w:color w:val="auto"/>
                <w:szCs w:val="21"/>
                <w:highlight w:val="none"/>
              </w:rPr>
            </w:pPr>
          </w:p>
        </w:tc>
        <w:tc>
          <w:tcPr>
            <w:tcW w:w="1577" w:type="dxa"/>
            <w:noWrap w:val="0"/>
            <w:vAlign w:val="center"/>
          </w:tcPr>
          <w:p w14:paraId="77AECFB7">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962" w:type="dxa"/>
            <w:noWrap w:val="0"/>
            <w:vAlign w:val="center"/>
          </w:tcPr>
          <w:p w14:paraId="75D05AF4">
            <w:pPr>
              <w:jc w:val="center"/>
              <w:rPr>
                <w:rFonts w:hint="eastAsia" w:ascii="宋体" w:hAnsi="宋体"/>
                <w:color w:val="auto"/>
                <w:szCs w:val="21"/>
                <w:highlight w:val="none"/>
              </w:rPr>
            </w:pPr>
          </w:p>
        </w:tc>
      </w:tr>
    </w:tbl>
    <w:p w14:paraId="182D411D">
      <w:pPr>
        <w:autoSpaceDE w:val="0"/>
        <w:autoSpaceDN w:val="0"/>
        <w:adjustRightInd w:val="0"/>
        <w:ind w:firstLine="422" w:firstLineChars="200"/>
        <w:rPr>
          <w:rFonts w:hint="eastAsia" w:ascii="宋体" w:hAnsi="宋体"/>
          <w:b/>
          <w:color w:val="auto"/>
          <w:szCs w:val="21"/>
          <w:highlight w:val="none"/>
          <w:lang w:val="zh-CN"/>
        </w:rPr>
      </w:pPr>
      <w:r>
        <w:rPr>
          <w:rFonts w:hint="eastAsia" w:ascii="宋体" w:hAnsi="宋体"/>
          <w:b/>
          <w:color w:val="auto"/>
          <w:szCs w:val="21"/>
          <w:highlight w:val="none"/>
          <w:lang w:val="zh-CN"/>
        </w:rPr>
        <w:t>注：</w:t>
      </w:r>
      <w:r>
        <w:rPr>
          <w:rFonts w:ascii="宋体" w:hAnsi="宋体"/>
          <w:b/>
          <w:color w:val="auto"/>
          <w:szCs w:val="21"/>
          <w:highlight w:val="none"/>
          <w:lang w:val="zh-CN"/>
        </w:rPr>
        <w:t>1</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投标人</w:t>
      </w:r>
      <w:r>
        <w:rPr>
          <w:rFonts w:hint="eastAsia" w:ascii="宋体" w:hAnsi="宋体"/>
          <w:b/>
          <w:color w:val="auto"/>
          <w:szCs w:val="21"/>
          <w:highlight w:val="none"/>
          <w:lang w:val="zh-CN"/>
        </w:rPr>
        <w:t>应逐一说明投标产品和服务响应；</w:t>
      </w:r>
    </w:p>
    <w:p w14:paraId="00421908">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02E14B5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B0DF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FD27DC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95163F">
      <w:pPr>
        <w:spacing w:line="360" w:lineRule="auto"/>
        <w:jc w:val="center"/>
        <w:outlineLvl w:val="2"/>
        <w:rPr>
          <w:rFonts w:hint="eastAsia" w:ascii="宋体" w:hAnsi="宋体"/>
          <w:b/>
          <w:color w:val="auto"/>
          <w:sz w:val="28"/>
          <w:szCs w:val="28"/>
          <w:highlight w:val="none"/>
          <w:lang w:eastAsia="zh-CN"/>
        </w:rPr>
      </w:pP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eastAsia="宋体" w:cs="Times New Roman"/>
          <w:b/>
          <w:color w:val="auto"/>
          <w:sz w:val="30"/>
          <w:szCs w:val="30"/>
          <w:highlight w:val="none"/>
          <w:lang w:val="en-US" w:eastAsia="zh-CN"/>
        </w:rPr>
        <w:t>2）</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7"/>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7"/>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24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0CFA967">
            <w:pPr>
              <w:numPr>
                <w:ilvl w:val="0"/>
                <w:numId w:val="7"/>
              </w:numPr>
              <w:spacing w:line="360" w:lineRule="auto"/>
              <w:rPr>
                <w:rFonts w:hint="eastAsia" w:ascii="宋体" w:hAnsi="宋体"/>
                <w:color w:val="auto"/>
                <w:szCs w:val="21"/>
                <w:highlight w:val="none"/>
              </w:rPr>
            </w:pPr>
          </w:p>
        </w:tc>
        <w:tc>
          <w:tcPr>
            <w:tcW w:w="2212" w:type="dxa"/>
            <w:shd w:val="clear" w:color="auto" w:fill="FFFFFF"/>
            <w:noWrap w:val="0"/>
            <w:vAlign w:val="center"/>
          </w:tcPr>
          <w:p w14:paraId="01DC2C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0CF68394">
            <w:pPr>
              <w:spacing w:line="360" w:lineRule="auto"/>
              <w:rPr>
                <w:rFonts w:hint="eastAsia" w:ascii="宋体" w:hAnsi="宋体"/>
                <w:color w:val="auto"/>
                <w:szCs w:val="21"/>
                <w:highlight w:val="none"/>
              </w:rPr>
            </w:pPr>
          </w:p>
        </w:tc>
        <w:tc>
          <w:tcPr>
            <w:tcW w:w="1320" w:type="dxa"/>
            <w:noWrap w:val="0"/>
            <w:vAlign w:val="top"/>
          </w:tcPr>
          <w:p w14:paraId="0EBDE62B">
            <w:pPr>
              <w:spacing w:line="360" w:lineRule="auto"/>
              <w:rPr>
                <w:rFonts w:hint="eastAsia" w:ascii="宋体" w:hAnsi="宋体"/>
                <w:color w:val="auto"/>
                <w:szCs w:val="21"/>
                <w:highlight w:val="none"/>
              </w:rPr>
            </w:pPr>
          </w:p>
        </w:tc>
        <w:tc>
          <w:tcPr>
            <w:tcW w:w="1534" w:type="dxa"/>
            <w:noWrap w:val="0"/>
            <w:vAlign w:val="top"/>
          </w:tcPr>
          <w:p w14:paraId="4058906B">
            <w:pPr>
              <w:spacing w:line="360" w:lineRule="auto"/>
              <w:rPr>
                <w:rFonts w:hint="eastAsia" w:ascii="宋体" w:hAnsi="宋体"/>
                <w:color w:val="auto"/>
                <w:szCs w:val="21"/>
                <w:highlight w:val="none"/>
              </w:rPr>
            </w:pPr>
          </w:p>
        </w:tc>
        <w:tc>
          <w:tcPr>
            <w:tcW w:w="1532" w:type="dxa"/>
            <w:noWrap w:val="0"/>
            <w:vAlign w:val="top"/>
          </w:tcPr>
          <w:p w14:paraId="7D26ED5A">
            <w:pPr>
              <w:spacing w:line="360" w:lineRule="auto"/>
              <w:rPr>
                <w:rFonts w:hint="eastAsia" w:ascii="宋体" w:hAnsi="宋体"/>
                <w:color w:val="auto"/>
                <w:szCs w:val="21"/>
                <w:highlight w:val="none"/>
              </w:rPr>
            </w:pPr>
          </w:p>
        </w:tc>
      </w:tr>
      <w:tr w14:paraId="059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B946EBC">
            <w:pPr>
              <w:numPr>
                <w:ilvl w:val="0"/>
                <w:numId w:val="0"/>
              </w:numPr>
              <w:spacing w:line="360" w:lineRule="auto"/>
              <w:ind w:left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212" w:type="dxa"/>
            <w:shd w:val="clear" w:color="auto" w:fill="FFFFFF"/>
            <w:noWrap w:val="0"/>
            <w:vAlign w:val="center"/>
          </w:tcPr>
          <w:p w14:paraId="3856ACE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6A029DD5">
            <w:pPr>
              <w:spacing w:line="360" w:lineRule="auto"/>
              <w:rPr>
                <w:rFonts w:hint="eastAsia" w:ascii="宋体" w:hAnsi="宋体"/>
                <w:color w:val="auto"/>
                <w:szCs w:val="21"/>
                <w:highlight w:val="none"/>
              </w:rPr>
            </w:pPr>
          </w:p>
        </w:tc>
        <w:tc>
          <w:tcPr>
            <w:tcW w:w="1320" w:type="dxa"/>
            <w:noWrap w:val="0"/>
            <w:vAlign w:val="top"/>
          </w:tcPr>
          <w:p w14:paraId="1F2C147C">
            <w:pPr>
              <w:spacing w:line="360" w:lineRule="auto"/>
              <w:rPr>
                <w:rFonts w:hint="eastAsia" w:ascii="宋体" w:hAnsi="宋体"/>
                <w:color w:val="auto"/>
                <w:szCs w:val="21"/>
                <w:highlight w:val="none"/>
              </w:rPr>
            </w:pPr>
          </w:p>
        </w:tc>
        <w:tc>
          <w:tcPr>
            <w:tcW w:w="1534" w:type="dxa"/>
            <w:noWrap w:val="0"/>
            <w:vAlign w:val="top"/>
          </w:tcPr>
          <w:p w14:paraId="5589CCF6">
            <w:pPr>
              <w:spacing w:line="360" w:lineRule="auto"/>
              <w:rPr>
                <w:rFonts w:hint="eastAsia" w:ascii="宋体" w:hAnsi="宋体"/>
                <w:color w:val="auto"/>
                <w:szCs w:val="21"/>
                <w:highlight w:val="none"/>
              </w:rPr>
            </w:pPr>
          </w:p>
        </w:tc>
        <w:tc>
          <w:tcPr>
            <w:tcW w:w="1532" w:type="dxa"/>
            <w:noWrap w:val="0"/>
            <w:vAlign w:val="top"/>
          </w:tcPr>
          <w:p w14:paraId="43B9924B">
            <w:pPr>
              <w:spacing w:line="360" w:lineRule="auto"/>
              <w:rPr>
                <w:rFonts w:hint="eastAsia" w:ascii="宋体" w:hAnsi="宋体"/>
                <w:color w:val="auto"/>
                <w:szCs w:val="21"/>
                <w:highlight w:val="none"/>
              </w:rPr>
            </w:pPr>
          </w:p>
        </w:tc>
      </w:tr>
    </w:tbl>
    <w:p w14:paraId="006C2B3A">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注：</w:t>
      </w:r>
      <w:r>
        <w:rPr>
          <w:rFonts w:hint="eastAsia" w:ascii="宋体" w:hAnsi="宋体" w:eastAsia="宋体" w:cs="Times New Roman"/>
          <w:b/>
          <w:color w:val="auto"/>
          <w:szCs w:val="21"/>
          <w:highlight w:val="none"/>
          <w:lang w:val="zh-CN"/>
        </w:rPr>
        <w:t>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r>
        <w:rPr>
          <w:rFonts w:hint="eastAsia" w:ascii="宋体" w:hAnsi="宋体" w:eastAsia="宋体" w:cs="Times New Roman"/>
          <w:b/>
          <w:color w:val="auto"/>
          <w:szCs w:val="21"/>
          <w:highlight w:val="none"/>
          <w:lang w:val="zh-CN"/>
        </w:rPr>
        <w:t>。</w:t>
      </w:r>
    </w:p>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94980">
      <w:pPr>
        <w:rPr>
          <w:highlight w:val="none"/>
        </w:rPr>
      </w:pPr>
    </w:p>
    <w:p w14:paraId="4151C77C">
      <w:pPr>
        <w:pStyle w:val="2"/>
        <w:rPr>
          <w:highlight w:val="none"/>
        </w:rPr>
      </w:pPr>
    </w:p>
    <w:p w14:paraId="0289E75B">
      <w:pPr>
        <w:rPr>
          <w:highlight w:val="none"/>
        </w:rPr>
      </w:pPr>
    </w:p>
    <w:p w14:paraId="2BD75576">
      <w:pPr>
        <w:pStyle w:val="2"/>
        <w:rPr>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01BE5E84">
      <w:pPr>
        <w:rPr>
          <w:rFonts w:eastAsia="黑体"/>
          <w:sz w:val="28"/>
          <w:szCs w:val="28"/>
          <w:highlight w:val="none"/>
        </w:rPr>
      </w:pPr>
    </w:p>
    <w:p w14:paraId="2FE9E756">
      <w:pPr>
        <w:pStyle w:val="2"/>
        <w:rPr>
          <w:rFonts w:eastAsia="黑体"/>
          <w:sz w:val="28"/>
          <w:szCs w:val="28"/>
          <w:highlight w:val="none"/>
        </w:rPr>
      </w:pPr>
    </w:p>
    <w:p w14:paraId="67B6F8F9">
      <w:pPr>
        <w:rPr>
          <w:rFonts w:eastAsia="黑体"/>
          <w:sz w:val="28"/>
          <w:szCs w:val="28"/>
          <w:highlight w:val="none"/>
        </w:rPr>
      </w:pPr>
    </w:p>
    <w:p w14:paraId="3C7498B7">
      <w:pPr>
        <w:pStyle w:val="2"/>
        <w:rPr>
          <w:rFonts w:eastAsia="黑体"/>
          <w:sz w:val="28"/>
          <w:szCs w:val="28"/>
          <w:highlight w:val="none"/>
        </w:rPr>
      </w:pPr>
    </w:p>
    <w:p w14:paraId="34079401">
      <w:pPr>
        <w:rPr>
          <w:rFonts w:eastAsia="黑体"/>
          <w:sz w:val="28"/>
          <w:szCs w:val="28"/>
          <w:highlight w:val="none"/>
        </w:rPr>
      </w:pPr>
    </w:p>
    <w:p w14:paraId="794B988D">
      <w:pPr>
        <w:pStyle w:val="2"/>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2"/>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3" w:name="_Toc35425139"/>
      <w:bookmarkStart w:id="994" w:name="_Toc35424973"/>
      <w:bookmarkStart w:id="995" w:name="_Toc19174"/>
      <w:bookmarkStart w:id="996" w:name="_Toc78803401"/>
      <w:r>
        <w:rPr>
          <w:rStyle w:val="120"/>
          <w:rFonts w:hint="eastAsia" w:ascii="宋体" w:hAnsi="宋体" w:cs="宋体"/>
          <w:sz w:val="32"/>
          <w:highlight w:val="none"/>
        </w:rPr>
        <w:t>投标文件</w:t>
      </w:r>
      <w:bookmarkEnd w:id="993"/>
      <w:bookmarkEnd w:id="994"/>
      <w:bookmarkEnd w:id="995"/>
      <w:r>
        <w:rPr>
          <w:rStyle w:val="120"/>
          <w:rFonts w:hint="eastAsia" w:ascii="宋体" w:hAnsi="宋体" w:cs="宋体"/>
          <w:sz w:val="32"/>
          <w:highlight w:val="none"/>
          <w:lang w:val="en-US"/>
        </w:rPr>
        <w:t>三</w:t>
      </w:r>
      <w:r>
        <w:rPr>
          <w:rStyle w:val="120"/>
          <w:rFonts w:hint="eastAsia" w:ascii="宋体" w:hAnsi="宋体" w:cs="宋体"/>
          <w:sz w:val="32"/>
          <w:highlight w:val="none"/>
        </w:rPr>
        <w:t>：商务标目录</w:t>
      </w:r>
      <w:bookmarkEnd w:id="996"/>
    </w:p>
    <w:p w14:paraId="3318E4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4E3CCDEE">
      <w:pPr>
        <w:adjustRightInd w:val="0"/>
        <w:snapToGrid w:val="0"/>
        <w:spacing w:line="560" w:lineRule="exact"/>
        <w:ind w:firstLine="420" w:firstLineChars="200"/>
        <w:rPr>
          <w:rFonts w:hint="eastAsia" w:eastAsia="宋体"/>
          <w:color w:val="000000"/>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分项报价清单</w:t>
      </w:r>
      <w:r>
        <w:rPr>
          <w:rFonts w:hint="eastAsia" w:ascii="宋体" w:hAnsi="宋体"/>
          <w:color w:val="000000"/>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bookmarkStart w:id="1053" w:name="_GoBack"/>
      <w:bookmarkEnd w:id="1053"/>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97" w:name="_Toc35425140"/>
      <w:bookmarkStart w:id="998" w:name="_Toc35424974"/>
      <w:bookmarkStart w:id="999" w:name="_Toc15058950"/>
      <w:bookmarkStart w:id="1000"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1、根据你方招</w:t>
      </w:r>
      <w:bookmarkStart w:id="1001" w:name="_Toc60061591"/>
      <w:r>
        <w:rPr>
          <w:rFonts w:hint="eastAsia" w:ascii="宋体" w:hAnsi="宋体"/>
          <w:color w:val="000000"/>
          <w:sz w:val="21"/>
          <w:szCs w:val="21"/>
          <w:highlight w:val="none"/>
        </w:rPr>
        <w:t>标项目编号为</w:t>
      </w:r>
      <w:r>
        <w:rPr>
          <w:rFonts w:ascii="宋体" w:hAnsi="宋体"/>
          <w:color w:val="000000"/>
          <w:sz w:val="21"/>
          <w:szCs w:val="21"/>
          <w:highlight w:val="none"/>
          <w:u w:val="single"/>
        </w:rPr>
        <w:t xml:space="preserve">  </w:t>
      </w:r>
      <w:bookmarkEnd w:id="1001"/>
      <w:r>
        <w:rPr>
          <w:rFonts w:ascii="宋体" w:hAnsi="宋体"/>
          <w:color w:val="000000"/>
          <w:sz w:val="21"/>
          <w:szCs w:val="21"/>
          <w:highlight w:val="none"/>
          <w:u w:val="singl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的</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招标文件，遵照《中华人民共和国招标投标法》等有关规定，经踏勘项目现场和研究上述招标文件的投标须知、合同条件、技术规范、图纸、工程量清单和其他有关文件后，</w:t>
      </w:r>
      <w:r>
        <w:rPr>
          <w:rFonts w:hint="eastAsia" w:ascii="宋体" w:hAnsi="宋体" w:eastAsia="宋体" w:cs="Times New Roman"/>
          <w:color w:val="auto"/>
          <w:sz w:val="21"/>
          <w:szCs w:val="21"/>
          <w:highlight w:val="none"/>
        </w:rPr>
        <w:t>我方愿以</w:t>
      </w:r>
      <w:r>
        <w:rPr>
          <w:rFonts w:hint="eastAsia" w:ascii="宋体" w:hAnsi="宋体" w:eastAsia="宋体" w:cs="Times New Roman"/>
          <w:color w:val="auto"/>
          <w:sz w:val="21"/>
          <w:szCs w:val="21"/>
          <w:highlight w:val="none"/>
          <w:lang w:val="en-US" w:eastAsia="zh-CN"/>
        </w:rPr>
        <w:t>单价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元/W（含税）为光伏组件投标报价；</w:t>
      </w:r>
      <w:r>
        <w:rPr>
          <w:rFonts w:hint="eastAsia" w:ascii="宋体" w:hAnsi="宋体" w:eastAsia="宋体" w:cs="Times New Roman"/>
          <w:color w:val="auto"/>
          <w:sz w:val="21"/>
          <w:szCs w:val="21"/>
          <w:highlight w:val="none"/>
        </w:rPr>
        <w:t>以</w:t>
      </w:r>
      <w:r>
        <w:rPr>
          <w:rFonts w:hint="eastAsia" w:ascii="宋体" w:hAnsi="宋体" w:eastAsia="宋体" w:cs="Times New Roman"/>
          <w:color w:val="auto"/>
          <w:sz w:val="21"/>
          <w:szCs w:val="21"/>
          <w:highlight w:val="none"/>
          <w:lang w:val="en-US" w:eastAsia="zh-CN"/>
        </w:rPr>
        <w:t>单价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元/W（含税）为光伏逆变器投标报价</w:t>
      </w:r>
      <w:r>
        <w:rPr>
          <w:rFonts w:hint="eastAsia" w:ascii="宋体" w:hAnsi="宋体"/>
          <w:color w:val="000000"/>
          <w:sz w:val="21"/>
          <w:szCs w:val="21"/>
          <w:highlight w:val="none"/>
        </w:rPr>
        <w:t>承包上述</w:t>
      </w:r>
      <w:r>
        <w:rPr>
          <w:rFonts w:hint="eastAsia" w:ascii="宋体" w:hAnsi="宋体"/>
          <w:color w:val="000000"/>
          <w:sz w:val="21"/>
          <w:szCs w:val="21"/>
          <w:highlight w:val="none"/>
          <w:lang w:val="en-US" w:eastAsia="zh-CN"/>
        </w:rPr>
        <w:t>工程的供货</w:t>
      </w:r>
      <w:r>
        <w:rPr>
          <w:rFonts w:hint="eastAsia" w:ascii="宋体" w:hAnsi="宋体"/>
          <w:color w:val="000000"/>
          <w:sz w:val="21"/>
          <w:szCs w:val="21"/>
          <w:highlight w:val="none"/>
        </w:rPr>
        <w:t>，并承担任何质量缺陷保修责任。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3、一旦我方中标，我方在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个日历天（工期）内完成本合同的</w:t>
      </w:r>
      <w:r>
        <w:rPr>
          <w:rFonts w:hint="eastAsia" w:ascii="宋体" w:hAnsi="宋体"/>
          <w:color w:val="000000"/>
          <w:sz w:val="21"/>
          <w:szCs w:val="21"/>
          <w:highlight w:val="none"/>
          <w:lang w:val="en-US" w:eastAsia="zh-CN"/>
        </w:rPr>
        <w:t>供货</w:t>
      </w:r>
      <w:r>
        <w:rPr>
          <w:rFonts w:hint="eastAsia" w:ascii="宋体" w:hAnsi="宋体"/>
          <w:color w:val="000000"/>
          <w:sz w:val="21"/>
          <w:szCs w:val="21"/>
          <w:highlight w:val="none"/>
        </w:rPr>
        <w:t>。</w:t>
      </w:r>
    </w:p>
    <w:p w14:paraId="68274B7B">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、如果我方中标我方将按照招标文件的规定提交履约担保。</w:t>
      </w:r>
    </w:p>
    <w:p w14:paraId="3E40DC4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、我单位提供如下通讯地址：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D38C0A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C98CCA">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sz w:val="32"/>
          <w:szCs w:val="32"/>
          <w:highlight w:val="none"/>
        </w:rPr>
        <w:br w:type="page"/>
      </w:r>
      <w:bookmarkEnd w:id="7"/>
      <w:bookmarkEnd w:id="8"/>
      <w:bookmarkEnd w:id="9"/>
      <w:bookmarkEnd w:id="10"/>
      <w:bookmarkEnd w:id="11"/>
      <w:bookmarkEnd w:id="997"/>
      <w:bookmarkEnd w:id="998"/>
      <w:bookmarkEnd w:id="999"/>
      <w:bookmarkEnd w:id="1000"/>
      <w:bookmarkStart w:id="1002" w:name="_Toc78803402"/>
      <w:r>
        <w:rPr>
          <w:rFonts w:hint="eastAsia" w:ascii="宋体" w:hAnsi="Times New Roman" w:eastAsia="宋体" w:cs="Times New Roman"/>
          <w:b/>
          <w:sz w:val="36"/>
          <w:szCs w:val="36"/>
          <w:highlight w:val="none"/>
          <w:lang w:val="en-US" w:eastAsia="zh-CN"/>
        </w:rPr>
        <w:t>（</w:t>
      </w:r>
      <w:r>
        <w:rPr>
          <w:rFonts w:hint="eastAsia" w:ascii="宋体" w:hAnsi="Times New Roman" w:cs="Times New Roman"/>
          <w:b/>
          <w:sz w:val="36"/>
          <w:szCs w:val="36"/>
          <w:highlight w:val="none"/>
          <w:lang w:val="en-US" w:eastAsia="zh-CN"/>
        </w:rPr>
        <w:t>2</w:t>
      </w:r>
      <w:r>
        <w:rPr>
          <w:rFonts w:hint="eastAsia" w:ascii="宋体" w:hAnsi="Times New Roman" w:eastAsia="宋体" w:cs="Times New Roman"/>
          <w:b/>
          <w:sz w:val="36"/>
          <w:szCs w:val="36"/>
          <w:highlight w:val="none"/>
          <w:lang w:val="en-US" w:eastAsia="zh-CN"/>
        </w:rPr>
        <w:t>）分项报价清单</w:t>
      </w:r>
    </w:p>
    <w:tbl>
      <w:tblPr>
        <w:tblStyle w:val="47"/>
        <w:tblW w:w="9380"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1850"/>
        <w:gridCol w:w="1430"/>
        <w:gridCol w:w="784"/>
        <w:gridCol w:w="782"/>
        <w:gridCol w:w="1508"/>
        <w:gridCol w:w="1196"/>
        <w:gridCol w:w="1187"/>
      </w:tblGrid>
      <w:tr w14:paraId="54511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74EE1BB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850" w:type="dxa"/>
            <w:tcBorders>
              <w:right w:val="single" w:color="auto" w:sz="4" w:space="0"/>
            </w:tcBorders>
            <w:noWrap w:val="0"/>
            <w:vAlign w:val="center"/>
          </w:tcPr>
          <w:p w14:paraId="4B1B412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430" w:type="dxa"/>
            <w:tcBorders>
              <w:left w:val="single" w:color="auto" w:sz="4" w:space="0"/>
            </w:tcBorders>
            <w:noWrap w:val="0"/>
            <w:vAlign w:val="center"/>
          </w:tcPr>
          <w:p w14:paraId="6692E976">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4762164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784" w:type="dxa"/>
            <w:noWrap w:val="0"/>
            <w:vAlign w:val="center"/>
          </w:tcPr>
          <w:p w14:paraId="5F16695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782" w:type="dxa"/>
            <w:noWrap w:val="0"/>
            <w:vAlign w:val="center"/>
          </w:tcPr>
          <w:p w14:paraId="1AA94C28">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508" w:type="dxa"/>
            <w:tcBorders>
              <w:left w:val="single" w:color="auto" w:sz="4" w:space="0"/>
            </w:tcBorders>
            <w:noWrap w:val="0"/>
            <w:vAlign w:val="center"/>
          </w:tcPr>
          <w:p w14:paraId="2AE49EEC">
            <w:pPr>
              <w:spacing w:line="300" w:lineRule="exact"/>
              <w:jc w:val="center"/>
              <w:rPr>
                <w:rFonts w:hint="eastAsia" w:ascii="宋体" w:hAnsi="宋体"/>
                <w:color w:val="000000"/>
                <w:szCs w:val="21"/>
                <w:highlight w:val="none"/>
              </w:rPr>
            </w:pPr>
            <w:r>
              <w:rPr>
                <w:rFonts w:hint="eastAsia" w:ascii="宋体" w:hAnsi="宋体"/>
                <w:color w:val="auto"/>
                <w:szCs w:val="21"/>
                <w:highlight w:val="none"/>
                <w:lang w:val="en-US" w:eastAsia="zh-CN"/>
              </w:rPr>
              <w:t>单价（元/W）</w:t>
            </w:r>
          </w:p>
        </w:tc>
        <w:tc>
          <w:tcPr>
            <w:tcW w:w="1196" w:type="dxa"/>
            <w:noWrap w:val="0"/>
            <w:vAlign w:val="center"/>
          </w:tcPr>
          <w:p w14:paraId="03B6E11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 价（元）</w:t>
            </w:r>
          </w:p>
        </w:tc>
        <w:tc>
          <w:tcPr>
            <w:tcW w:w="1187" w:type="dxa"/>
            <w:noWrap w:val="0"/>
            <w:vAlign w:val="center"/>
          </w:tcPr>
          <w:p w14:paraId="0858D8AC">
            <w:pPr>
              <w:spacing w:line="300" w:lineRule="exact"/>
              <w:ind w:left="-80" w:leftChars="-38" w:right="-94" w:rightChars="-45"/>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33E31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04FE0DCC">
            <w:pPr>
              <w:textAlignment w:val="baseline"/>
              <w:rPr>
                <w:rFonts w:hint="eastAsia" w:ascii="宋体" w:hAnsi="宋体"/>
                <w:color w:val="000000"/>
                <w:szCs w:val="21"/>
                <w:highlight w:val="none"/>
              </w:rPr>
            </w:pPr>
            <w:r>
              <w:rPr>
                <w:rFonts w:hint="eastAsia" w:ascii="宋体" w:hAnsi="宋体"/>
                <w:color w:val="000000"/>
                <w:szCs w:val="21"/>
                <w:highlight w:val="none"/>
              </w:rPr>
              <w:t>1</w:t>
            </w:r>
          </w:p>
        </w:tc>
        <w:tc>
          <w:tcPr>
            <w:tcW w:w="1850" w:type="dxa"/>
            <w:tcBorders>
              <w:right w:val="single" w:color="auto" w:sz="4" w:space="0"/>
            </w:tcBorders>
            <w:shd w:val="clear" w:color="auto" w:fill="FFFFFF"/>
            <w:noWrap w:val="0"/>
            <w:vAlign w:val="center"/>
          </w:tcPr>
          <w:p w14:paraId="67F67BB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6DA196F1">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4E7EA244">
            <w:pPr>
              <w:widowControl/>
              <w:spacing w:line="360" w:lineRule="auto"/>
              <w:jc w:val="both"/>
              <w:textAlignment w:val="center"/>
              <w:rPr>
                <w:rFonts w:hint="eastAsia" w:ascii="宋体" w:hAnsi="宋体"/>
                <w:color w:val="000000"/>
                <w:sz w:val="24"/>
                <w:highlight w:val="none"/>
              </w:rPr>
            </w:pPr>
          </w:p>
        </w:tc>
        <w:tc>
          <w:tcPr>
            <w:tcW w:w="782" w:type="dxa"/>
            <w:shd w:val="clear" w:color="auto" w:fill="FFFFFF"/>
            <w:noWrap w:val="0"/>
            <w:vAlign w:val="center"/>
          </w:tcPr>
          <w:p w14:paraId="7595A285">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0D55C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29D5CACE">
            <w:pPr>
              <w:spacing w:line="300" w:lineRule="exact"/>
              <w:rPr>
                <w:rFonts w:hint="eastAsia" w:ascii="宋体" w:hAnsi="宋体"/>
                <w:color w:val="000000"/>
                <w:sz w:val="24"/>
                <w:highlight w:val="none"/>
              </w:rPr>
            </w:pPr>
          </w:p>
        </w:tc>
        <w:tc>
          <w:tcPr>
            <w:tcW w:w="1187" w:type="dxa"/>
            <w:noWrap w:val="0"/>
            <w:vAlign w:val="top"/>
          </w:tcPr>
          <w:p w14:paraId="7837D68A">
            <w:pPr>
              <w:spacing w:line="300" w:lineRule="exact"/>
              <w:rPr>
                <w:rFonts w:hint="eastAsia" w:ascii="宋体" w:hAnsi="宋体"/>
                <w:color w:val="000000"/>
                <w:sz w:val="24"/>
                <w:highlight w:val="none"/>
              </w:rPr>
            </w:pPr>
          </w:p>
        </w:tc>
      </w:tr>
      <w:tr w14:paraId="73433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25A5B10">
            <w:pPr>
              <w:textAlignment w:val="baseline"/>
              <w:rPr>
                <w:rFonts w:hint="eastAsia" w:ascii="宋体" w:hAnsi="宋体"/>
                <w:color w:val="000000"/>
                <w:szCs w:val="21"/>
                <w:highlight w:val="none"/>
              </w:rPr>
            </w:pPr>
            <w:r>
              <w:rPr>
                <w:rFonts w:hint="eastAsia" w:ascii="宋体" w:hAnsi="宋体"/>
                <w:color w:val="000000"/>
                <w:szCs w:val="21"/>
                <w:highlight w:val="none"/>
              </w:rPr>
              <w:t>2</w:t>
            </w:r>
          </w:p>
        </w:tc>
        <w:tc>
          <w:tcPr>
            <w:tcW w:w="1850" w:type="dxa"/>
            <w:tcBorders>
              <w:right w:val="single" w:color="auto" w:sz="4" w:space="0"/>
            </w:tcBorders>
            <w:shd w:val="clear" w:color="auto" w:fill="FFFFFF"/>
            <w:noWrap w:val="0"/>
            <w:vAlign w:val="center"/>
          </w:tcPr>
          <w:p w14:paraId="722A438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3777EEDD">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1CFF20B0">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5B4FC16">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71892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2A93E146">
            <w:pPr>
              <w:spacing w:line="300" w:lineRule="exact"/>
              <w:rPr>
                <w:rFonts w:hint="eastAsia" w:ascii="宋体" w:hAnsi="宋体"/>
                <w:color w:val="000000"/>
                <w:sz w:val="24"/>
                <w:highlight w:val="none"/>
              </w:rPr>
            </w:pPr>
          </w:p>
        </w:tc>
        <w:tc>
          <w:tcPr>
            <w:tcW w:w="1187" w:type="dxa"/>
            <w:noWrap w:val="0"/>
            <w:vAlign w:val="top"/>
          </w:tcPr>
          <w:p w14:paraId="0D813F5D">
            <w:pPr>
              <w:spacing w:line="300" w:lineRule="exact"/>
              <w:rPr>
                <w:rFonts w:hint="eastAsia" w:ascii="宋体" w:hAnsi="宋体"/>
                <w:color w:val="000000"/>
                <w:sz w:val="24"/>
                <w:highlight w:val="none"/>
              </w:rPr>
            </w:pPr>
          </w:p>
        </w:tc>
      </w:tr>
      <w:tr w14:paraId="0F28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A0DF807">
            <w:pPr>
              <w:textAlignment w:val="baseline"/>
              <w:rPr>
                <w:rFonts w:hint="eastAsia" w:ascii="宋体" w:hAnsi="宋体"/>
                <w:color w:val="000000"/>
                <w:szCs w:val="21"/>
                <w:highlight w:val="none"/>
              </w:rPr>
            </w:pPr>
            <w:r>
              <w:rPr>
                <w:rFonts w:hint="eastAsia" w:ascii="宋体" w:hAnsi="宋体"/>
                <w:color w:val="000000"/>
                <w:szCs w:val="21"/>
                <w:highlight w:val="none"/>
              </w:rPr>
              <w:t>3</w:t>
            </w:r>
          </w:p>
        </w:tc>
        <w:tc>
          <w:tcPr>
            <w:tcW w:w="1850" w:type="dxa"/>
            <w:tcBorders>
              <w:right w:val="single" w:color="auto" w:sz="4" w:space="0"/>
            </w:tcBorders>
            <w:shd w:val="clear" w:color="auto" w:fill="FFFFFF"/>
            <w:noWrap w:val="0"/>
            <w:vAlign w:val="center"/>
          </w:tcPr>
          <w:p w14:paraId="22E200D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42F8008D">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4C9E0293">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6CD8173">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E3EBD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2978FBAE">
            <w:pPr>
              <w:spacing w:line="300" w:lineRule="exact"/>
              <w:rPr>
                <w:rFonts w:hint="eastAsia" w:ascii="宋体" w:hAnsi="宋体"/>
                <w:color w:val="000000"/>
                <w:sz w:val="24"/>
                <w:highlight w:val="none"/>
              </w:rPr>
            </w:pPr>
          </w:p>
        </w:tc>
        <w:tc>
          <w:tcPr>
            <w:tcW w:w="1187" w:type="dxa"/>
            <w:noWrap w:val="0"/>
            <w:vAlign w:val="top"/>
          </w:tcPr>
          <w:p w14:paraId="1E6F2AC4">
            <w:pPr>
              <w:spacing w:line="300" w:lineRule="exact"/>
              <w:rPr>
                <w:rFonts w:hint="eastAsia" w:ascii="宋体" w:hAnsi="宋体"/>
                <w:color w:val="000000"/>
                <w:sz w:val="24"/>
                <w:highlight w:val="none"/>
              </w:rPr>
            </w:pPr>
          </w:p>
        </w:tc>
      </w:tr>
      <w:tr w14:paraId="7806A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75910169">
            <w:pPr>
              <w:textAlignment w:val="baseline"/>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w:t>
            </w:r>
          </w:p>
        </w:tc>
        <w:tc>
          <w:tcPr>
            <w:tcW w:w="1850" w:type="dxa"/>
            <w:tcBorders>
              <w:right w:val="single" w:color="auto" w:sz="4" w:space="0"/>
            </w:tcBorders>
            <w:shd w:val="clear" w:color="auto" w:fill="FFFFFF"/>
            <w:noWrap w:val="0"/>
            <w:vAlign w:val="center"/>
          </w:tcPr>
          <w:p w14:paraId="37E676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096310DB">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2552CE33">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167D7E1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B0573E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199B1CB6">
            <w:pPr>
              <w:spacing w:line="300" w:lineRule="exact"/>
              <w:rPr>
                <w:rFonts w:hint="eastAsia" w:ascii="宋体" w:hAnsi="宋体"/>
                <w:color w:val="000000"/>
                <w:sz w:val="24"/>
                <w:highlight w:val="none"/>
              </w:rPr>
            </w:pPr>
          </w:p>
        </w:tc>
        <w:tc>
          <w:tcPr>
            <w:tcW w:w="1187" w:type="dxa"/>
            <w:noWrap w:val="0"/>
            <w:vAlign w:val="top"/>
          </w:tcPr>
          <w:p w14:paraId="586D663B">
            <w:pPr>
              <w:spacing w:line="300" w:lineRule="exact"/>
              <w:rPr>
                <w:rFonts w:hint="eastAsia" w:ascii="宋体" w:hAnsi="宋体"/>
                <w:color w:val="000000"/>
                <w:sz w:val="24"/>
                <w:highlight w:val="none"/>
              </w:rPr>
            </w:pPr>
          </w:p>
        </w:tc>
      </w:tr>
      <w:tr w14:paraId="3C181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BA86598">
            <w:pPr>
              <w:textAlignment w:val="baseline"/>
              <w:rPr>
                <w:rFonts w:hint="eastAsia" w:ascii="宋体" w:hAnsi="宋体"/>
                <w:color w:val="000000"/>
                <w:szCs w:val="21"/>
                <w:highlight w:val="none"/>
              </w:rPr>
            </w:pPr>
            <w:r>
              <w:rPr>
                <w:rFonts w:hint="eastAsia" w:ascii="宋体" w:hAnsi="宋体"/>
                <w:color w:val="000000"/>
                <w:szCs w:val="21"/>
                <w:highlight w:val="none"/>
                <w:lang w:val="en-US" w:eastAsia="zh-CN"/>
              </w:rPr>
              <w:t>…</w:t>
            </w:r>
          </w:p>
        </w:tc>
        <w:tc>
          <w:tcPr>
            <w:tcW w:w="1850" w:type="dxa"/>
            <w:tcBorders>
              <w:right w:val="single" w:color="auto" w:sz="4" w:space="0"/>
            </w:tcBorders>
            <w:shd w:val="clear" w:color="auto" w:fill="FFFFFF"/>
            <w:noWrap w:val="0"/>
            <w:vAlign w:val="center"/>
          </w:tcPr>
          <w:p w14:paraId="634BB39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0DD438CE">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07B1307F">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0C619F80">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45025D7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03FC06A0">
            <w:pPr>
              <w:spacing w:line="300" w:lineRule="exact"/>
              <w:rPr>
                <w:rFonts w:hint="eastAsia" w:ascii="宋体" w:hAnsi="宋体"/>
                <w:color w:val="000000"/>
                <w:sz w:val="24"/>
                <w:highlight w:val="none"/>
              </w:rPr>
            </w:pPr>
          </w:p>
        </w:tc>
        <w:tc>
          <w:tcPr>
            <w:tcW w:w="1187" w:type="dxa"/>
            <w:noWrap w:val="0"/>
            <w:vAlign w:val="top"/>
          </w:tcPr>
          <w:p w14:paraId="7BC29AAF">
            <w:pPr>
              <w:spacing w:line="300" w:lineRule="exact"/>
              <w:rPr>
                <w:rFonts w:hint="eastAsia" w:ascii="宋体" w:hAnsi="宋体"/>
                <w:color w:val="000000"/>
                <w:sz w:val="24"/>
                <w:highlight w:val="none"/>
              </w:rPr>
            </w:pPr>
          </w:p>
        </w:tc>
      </w:tr>
      <w:tr w14:paraId="0DEAA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1C33CFE2">
            <w:pPr>
              <w:textAlignment w:val="baseline"/>
              <w:rPr>
                <w:rFonts w:hint="eastAsia" w:ascii="宋体" w:hAnsi="宋体"/>
                <w:color w:val="000000"/>
                <w:szCs w:val="21"/>
                <w:highlight w:val="none"/>
              </w:rPr>
            </w:pPr>
            <w:r>
              <w:rPr>
                <w:rFonts w:hint="eastAsia" w:ascii="宋体" w:hAnsi="宋体"/>
                <w:color w:val="000000"/>
                <w:szCs w:val="21"/>
                <w:highlight w:val="none"/>
                <w:lang w:val="en-US" w:eastAsia="zh-CN"/>
              </w:rPr>
              <w:t>…</w:t>
            </w:r>
          </w:p>
        </w:tc>
        <w:tc>
          <w:tcPr>
            <w:tcW w:w="1850" w:type="dxa"/>
            <w:tcBorders>
              <w:right w:val="single" w:color="auto" w:sz="4" w:space="0"/>
            </w:tcBorders>
            <w:shd w:val="clear" w:color="auto" w:fill="FFFFFF"/>
            <w:noWrap w:val="0"/>
            <w:vAlign w:val="center"/>
          </w:tcPr>
          <w:p w14:paraId="6F8E9308">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0D948682">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7FDE32F5">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3D101AB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1C015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45DE5AD3">
            <w:pPr>
              <w:spacing w:line="300" w:lineRule="exact"/>
              <w:rPr>
                <w:rFonts w:hint="eastAsia" w:ascii="宋体" w:hAnsi="宋体"/>
                <w:color w:val="000000"/>
                <w:sz w:val="24"/>
                <w:highlight w:val="none"/>
              </w:rPr>
            </w:pPr>
          </w:p>
        </w:tc>
        <w:tc>
          <w:tcPr>
            <w:tcW w:w="1187" w:type="dxa"/>
            <w:noWrap w:val="0"/>
            <w:vAlign w:val="top"/>
          </w:tcPr>
          <w:p w14:paraId="6BEFA2FE">
            <w:pPr>
              <w:spacing w:line="300" w:lineRule="exact"/>
              <w:rPr>
                <w:rFonts w:hint="eastAsia" w:ascii="宋体" w:hAnsi="宋体"/>
                <w:color w:val="000000"/>
                <w:sz w:val="24"/>
                <w:highlight w:val="none"/>
              </w:rPr>
            </w:pPr>
          </w:p>
        </w:tc>
      </w:tr>
      <w:tr w14:paraId="4FC4F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443BB7EB">
            <w:pPr>
              <w:textAlignment w:val="baseline"/>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10</w:t>
            </w:r>
          </w:p>
        </w:tc>
        <w:tc>
          <w:tcPr>
            <w:tcW w:w="1850" w:type="dxa"/>
            <w:tcBorders>
              <w:right w:val="single" w:color="auto" w:sz="4" w:space="0"/>
            </w:tcBorders>
            <w:shd w:val="clear" w:color="auto" w:fill="FFFFFF"/>
            <w:noWrap w:val="0"/>
            <w:vAlign w:val="center"/>
          </w:tcPr>
          <w:p w14:paraId="140B612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430" w:type="dxa"/>
            <w:tcBorders>
              <w:left w:val="single" w:color="auto" w:sz="4" w:space="0"/>
            </w:tcBorders>
            <w:shd w:val="clear" w:color="auto" w:fill="auto"/>
            <w:noWrap w:val="0"/>
            <w:vAlign w:val="center"/>
          </w:tcPr>
          <w:p w14:paraId="5D806A2C">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44820617">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C5815F2">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508" w:type="dxa"/>
            <w:tcBorders>
              <w:left w:val="single" w:color="auto" w:sz="4" w:space="0"/>
            </w:tcBorders>
            <w:noWrap w:val="0"/>
            <w:vAlign w:val="center"/>
          </w:tcPr>
          <w:p w14:paraId="1408F8DD">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1196" w:type="dxa"/>
            <w:noWrap w:val="0"/>
            <w:vAlign w:val="center"/>
          </w:tcPr>
          <w:p w14:paraId="769C7D8E">
            <w:pPr>
              <w:spacing w:line="300" w:lineRule="exact"/>
              <w:rPr>
                <w:rFonts w:hint="eastAsia" w:ascii="宋体" w:hAnsi="宋体"/>
                <w:color w:val="000000"/>
                <w:sz w:val="24"/>
                <w:highlight w:val="none"/>
              </w:rPr>
            </w:pPr>
          </w:p>
        </w:tc>
        <w:tc>
          <w:tcPr>
            <w:tcW w:w="1187" w:type="dxa"/>
            <w:noWrap w:val="0"/>
            <w:vAlign w:val="top"/>
          </w:tcPr>
          <w:p w14:paraId="66BDC8F2">
            <w:pPr>
              <w:spacing w:line="300" w:lineRule="exact"/>
              <w:rPr>
                <w:rFonts w:hint="eastAsia" w:ascii="宋体" w:hAnsi="宋体"/>
                <w:color w:val="000000"/>
                <w:sz w:val="24"/>
                <w:highlight w:val="none"/>
              </w:rPr>
            </w:pPr>
          </w:p>
        </w:tc>
      </w:tr>
    </w:tbl>
    <w:p w14:paraId="07739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注：1.所有投标只能选择一种方案，单价和合价的报价只能是唯一，且须列出详细的分项报价。</w:t>
      </w:r>
    </w:p>
    <w:p w14:paraId="6BCF0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投标报价的综合单价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运输费、装卸费、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47BF5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01E05F96">
      <w:pPr>
        <w:rPr>
          <w:rFonts w:hint="eastAsia"/>
          <w:color w:val="auto"/>
          <w:highlight w:val="none"/>
        </w:rPr>
      </w:pPr>
    </w:p>
    <w:p w14:paraId="16A11C1E">
      <w:pPr>
        <w:pStyle w:val="46"/>
        <w:ind w:firstLine="210"/>
        <w:rPr>
          <w:rFonts w:hint="eastAsia"/>
          <w:color w:val="auto"/>
          <w:highlight w:val="none"/>
        </w:rPr>
      </w:pPr>
    </w:p>
    <w:p w14:paraId="4BC00890">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7A86613">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2145DF66">
      <w:pPr>
        <w:spacing w:line="560" w:lineRule="exact"/>
        <w:ind w:firstLine="480" w:firstLineChars="200"/>
        <w:rPr>
          <w:rFonts w:ascii="宋体" w:hAnsi="宋体"/>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ACE6453">
      <w:pPr>
        <w:pStyle w:val="8"/>
        <w:adjustRightInd w:val="0"/>
        <w:snapToGrid w:val="0"/>
        <w:spacing w:before="0" w:after="0" w:line="560" w:lineRule="exact"/>
        <w:jc w:val="center"/>
        <w:rPr>
          <w:rFonts w:hint="eastAsia"/>
          <w:color w:val="000000"/>
          <w:highlight w:val="none"/>
        </w:rPr>
      </w:pPr>
      <w:bookmarkStart w:id="1003" w:name="_Toc95223546"/>
    </w:p>
    <w:bookmarkEnd w:id="1003"/>
    <w:p w14:paraId="65A7D629">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0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滁州市第三污水处理厂分布式光伏工程设备采购项目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4EDF8AEB">
            <w:pPr>
              <w:pStyle w:val="2"/>
              <w:ind w:firstLine="420"/>
              <w:rPr>
                <w:highlight w:val="none"/>
              </w:rPr>
            </w:pPr>
          </w:p>
        </w:tc>
      </w:tr>
    </w:tbl>
    <w:p w14:paraId="2D7DD9E9">
      <w:pPr>
        <w:rPr>
          <w:highlight w:val="none"/>
        </w:rPr>
      </w:pPr>
      <w:r>
        <w:rPr>
          <w:highlight w:val="none"/>
        </w:rPr>
        <w:br w:type="page"/>
      </w:r>
    </w:p>
    <w:p w14:paraId="4A0ED87B">
      <w:pPr>
        <w:keepNext/>
        <w:keepLines/>
        <w:spacing w:before="200" w:after="200" w:line="600" w:lineRule="exact"/>
        <w:outlineLvl w:val="0"/>
        <w:rPr>
          <w:rFonts w:ascii="黑体" w:hAnsi="黑体" w:eastAsia="黑体"/>
          <w:b/>
          <w:bCs/>
          <w:color w:val="000000"/>
          <w:kern w:val="44"/>
          <w:sz w:val="28"/>
          <w:szCs w:val="28"/>
          <w:highlight w:val="none"/>
        </w:rPr>
      </w:pPr>
      <w:bookmarkStart w:id="1004" w:name="OLE_LINK24"/>
      <w:bookmarkStart w:id="1005" w:name="OLE_LINK25"/>
      <w:r>
        <w:rPr>
          <w:rFonts w:hint="eastAsia" w:ascii="黑体" w:hAnsi="黑体" w:eastAsia="黑体"/>
          <w:b/>
          <w:bCs/>
          <w:color w:val="000000"/>
          <w:kern w:val="44"/>
          <w:sz w:val="36"/>
          <w:szCs w:val="28"/>
          <w:highlight w:val="none"/>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（一）工程建设项目</w:t>
      </w:r>
    </w:p>
    <w:bookmarkEnd w:id="1004"/>
    <w:bookmarkEnd w:id="1005"/>
    <w:p w14:paraId="3A622E2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1、“信用中国”网站（www.creditchina.gov.cn）查询</w:t>
      </w:r>
      <w:bookmarkStart w:id="1006" w:name="OLE_LINK93"/>
      <w:bookmarkStart w:id="1007" w:name="OLE_LINK103"/>
      <w:bookmarkStart w:id="1008" w:name="OLE_LINK92"/>
      <w:bookmarkStart w:id="1009" w:name="OLE_LINK91"/>
      <w:r>
        <w:rPr>
          <w:rFonts w:hint="eastAsia" w:ascii="仿宋_GB2312" w:hAnsi="宋体" w:eastAsia="仿宋_GB2312"/>
          <w:color w:val="000000"/>
          <w:sz w:val="28"/>
          <w:szCs w:val="28"/>
          <w:highlight w:val="none"/>
        </w:rPr>
        <w:t>投标人、法定代表人及其项目经理(建造师)</w:t>
      </w:r>
      <w:bookmarkEnd w:id="1006"/>
      <w:bookmarkEnd w:id="1007"/>
      <w:bookmarkEnd w:id="1008"/>
      <w:bookmarkEnd w:id="1009"/>
      <w:r>
        <w:rPr>
          <w:rFonts w:hint="eastAsia" w:ascii="仿宋_GB2312" w:hAnsi="宋体" w:eastAsia="仿宋_GB2312"/>
          <w:color w:val="000000"/>
          <w:sz w:val="28"/>
          <w:szCs w:val="28"/>
          <w:highlight w:val="none"/>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1010" w:name="OLE_LINK94"/>
      <w:bookmarkStart w:id="1011" w:name="OLE_LINK119"/>
      <w:bookmarkStart w:id="1012" w:name="OLE_LINK21"/>
      <w:bookmarkStart w:id="1013" w:name="OLE_LINK87"/>
      <w:bookmarkStart w:id="1014" w:name="OLE_LINK86"/>
      <w:r>
        <w:rPr>
          <w:rFonts w:hint="eastAsia" w:ascii="仿宋_GB2312" w:hAnsi="宋体" w:eastAsia="仿宋_GB2312"/>
          <w:color w:val="000000"/>
          <w:sz w:val="28"/>
          <w:szCs w:val="28"/>
          <w:highlight w:val="none"/>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w:t>
      </w:r>
      <w:bookmarkStart w:id="1015" w:name="OLE_LINK118"/>
      <w:bookmarkStart w:id="1016" w:name="OLE_LINK116"/>
      <w:bookmarkStart w:id="1017" w:name="OLE_LINK117"/>
      <w:bookmarkStart w:id="1018" w:name="OLE_LINK115"/>
      <w:r>
        <w:rPr>
          <w:rFonts w:hint="eastAsia" w:ascii="仿宋_GB2312" w:hAnsi="宋体" w:eastAsia="仿宋_GB2312"/>
          <w:color w:val="000000"/>
          <w:sz w:val="28"/>
          <w:szCs w:val="28"/>
          <w:highlight w:val="none"/>
        </w:rPr>
        <w:t>“重大税收违法失信主体”</w:t>
      </w:r>
      <w:bookmarkEnd w:id="1015"/>
      <w:bookmarkEnd w:id="1016"/>
      <w:bookmarkEnd w:id="1017"/>
      <w:bookmarkEnd w:id="1018"/>
      <w:r>
        <w:rPr>
          <w:rFonts w:hint="eastAsia" w:ascii="仿宋_GB2312" w:hAnsi="宋体" w:eastAsia="仿宋_GB2312"/>
          <w:color w:val="000000"/>
          <w:sz w:val="28"/>
          <w:szCs w:val="28"/>
          <w:highlight w:val="none"/>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w:t>
      </w:r>
      <w:bookmarkStart w:id="1019" w:name="OLE_LINK84"/>
      <w:bookmarkStart w:id="1020" w:name="OLE_LINK85"/>
      <w:r>
        <w:rPr>
          <w:rFonts w:hint="eastAsia" w:ascii="仿宋_GB2312" w:hAnsi="宋体" w:eastAsia="仿宋_GB2312"/>
          <w:color w:val="000000"/>
          <w:sz w:val="28"/>
          <w:szCs w:val="28"/>
          <w:highlight w:val="none"/>
        </w:rPr>
        <w:t>农民工工资失信联合惩戒对象</w:t>
      </w:r>
      <w:bookmarkEnd w:id="1019"/>
      <w:bookmarkEnd w:id="1020"/>
      <w:r>
        <w:rPr>
          <w:rFonts w:hint="eastAsia" w:ascii="仿宋_GB2312" w:hAnsi="宋体" w:eastAsia="仿宋_GB2312"/>
          <w:color w:val="000000"/>
          <w:sz w:val="28"/>
          <w:szCs w:val="28"/>
          <w:highlight w:val="none"/>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bookmarkEnd w:id="1010"/>
    <w:bookmarkEnd w:id="1011"/>
    <w:bookmarkEnd w:id="1012"/>
    <w:bookmarkEnd w:id="1013"/>
    <w:bookmarkEnd w:id="1014"/>
    <w:p w14:paraId="52F6896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w:t>
      </w:r>
      <w:bookmarkStart w:id="1021" w:name="OLE_LINK130"/>
      <w:r>
        <w:rPr>
          <w:rFonts w:hint="eastAsia" w:ascii="仿宋_GB2312" w:hAnsi="宋体" w:eastAsia="仿宋_GB2312"/>
          <w:color w:val="000000"/>
          <w:sz w:val="28"/>
          <w:szCs w:val="28"/>
          <w:highlight w:val="none"/>
        </w:rPr>
        <w:t>国家企业信用信息公示系统网站</w:t>
      </w:r>
      <w:bookmarkEnd w:id="1021"/>
      <w:r>
        <w:rPr>
          <w:rFonts w:hint="eastAsia" w:ascii="仿宋_GB2312" w:hAnsi="宋体" w:eastAsia="仿宋_GB2312"/>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bookmarkStart w:id="1022" w:name="OLE_LINK90"/>
      <w:bookmarkStart w:id="1023" w:name="OLE_LINK89"/>
      <w:r>
        <w:rPr>
          <w:rStyle w:val="58"/>
          <w:rFonts w:hint="eastAsia" w:ascii="仿宋_GB2312" w:hAnsi="宋体" w:eastAsia="仿宋_GB2312"/>
          <w:color w:val="000000"/>
          <w:sz w:val="28"/>
          <w:szCs w:val="28"/>
          <w:highlight w:val="none"/>
        </w:rPr>
        <w:t>www.gsxt.gov.cn</w:t>
      </w:r>
      <w:bookmarkEnd w:id="1022"/>
      <w:bookmarkEnd w:id="1023"/>
      <w:r>
        <w:rPr>
          <w:rStyle w:val="58"/>
          <w:rFonts w:hint="eastAsia" w:ascii="仿宋_GB2312" w:hAnsi="宋体" w:eastAsia="仿宋_GB2312"/>
          <w:color w:val="000000"/>
          <w:sz w:val="28"/>
          <w:szCs w:val="28"/>
          <w:highlight w:val="none"/>
        </w:rPr>
        <w:t>）</w:t>
      </w:r>
      <w:r>
        <w:rPr>
          <w:color w:val="000000"/>
          <w:highlight w:val="none"/>
        </w:rPr>
        <w:fldChar w:fldCharType="end"/>
      </w:r>
      <w:r>
        <w:rPr>
          <w:rFonts w:hint="eastAsia" w:ascii="仿宋_GB2312" w:hAnsi="宋体" w:eastAsia="仿宋_GB2312"/>
          <w:color w:val="000000"/>
          <w:sz w:val="28"/>
          <w:szCs w:val="28"/>
          <w:highlight w:val="none"/>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1024" w:name="OLE_LINK120"/>
      <w:bookmarkStart w:id="1025" w:name="OLE_LINK121"/>
      <w:bookmarkStart w:id="1026" w:name="OLE_LINK122"/>
      <w:r>
        <w:rPr>
          <w:rFonts w:hint="eastAsia" w:ascii="仿宋_GB2312" w:hAnsi="宋体" w:eastAsia="仿宋_GB2312"/>
          <w:color w:val="000000"/>
          <w:sz w:val="28"/>
          <w:szCs w:val="28"/>
          <w:highlight w:val="none"/>
        </w:rPr>
        <w:t>①被列入“经营异常名录”或者“严重违法失信名单”的。</w:t>
      </w:r>
      <w:bookmarkEnd w:id="1024"/>
      <w:bookmarkEnd w:id="1025"/>
      <w:bookmarkEnd w:id="1026"/>
    </w:p>
    <w:p w14:paraId="097DAFC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3、由</w:t>
      </w:r>
      <w:r>
        <w:rPr>
          <w:rFonts w:hint="eastAsia" w:ascii="仿宋_GB2312" w:hAnsi="宋体" w:eastAsia="仿宋_GB2312"/>
          <w:color w:val="000000"/>
          <w:kern w:val="0"/>
          <w:sz w:val="28"/>
          <w:szCs w:val="28"/>
          <w:highlight w:val="none"/>
        </w:rPr>
        <w:t>投标人、法定代表人及其项目经理(建造师)</w:t>
      </w:r>
      <w:r>
        <w:rPr>
          <w:rFonts w:hint="eastAsia" w:ascii="仿宋_GB2312" w:hAnsi="宋体" w:eastAsia="仿宋_GB2312"/>
          <w:color w:val="000000"/>
          <w:sz w:val="28"/>
          <w:szCs w:val="28"/>
          <w:highlight w:val="none"/>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bookmarkStart w:id="1027" w:name="OLE_LINK124"/>
      <w:bookmarkStart w:id="1028" w:name="OLE_LINK123"/>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④因拖欠农民工工资被</w:t>
      </w:r>
      <w:bookmarkStart w:id="1029" w:name="OLE_LINK108"/>
      <w:bookmarkStart w:id="1030" w:name="OLE_LINK107"/>
      <w:r>
        <w:rPr>
          <w:rFonts w:hint="eastAsia" w:ascii="仿宋_GB2312" w:hAnsi="宋体" w:eastAsia="仿宋_GB2312"/>
          <w:color w:val="000000"/>
          <w:sz w:val="28"/>
          <w:szCs w:val="28"/>
          <w:highlight w:val="none"/>
        </w:rPr>
        <w:t>县级及以上有关行政主管部门限制投标资格且在限制期限内的</w:t>
      </w:r>
      <w:bookmarkEnd w:id="1029"/>
      <w:bookmarkEnd w:id="1030"/>
      <w:r>
        <w:rPr>
          <w:rFonts w:hint="eastAsia" w:ascii="仿宋_GB2312" w:hAnsi="宋体" w:eastAsia="仿宋_GB2312"/>
          <w:color w:val="000000"/>
          <w:sz w:val="28"/>
          <w:szCs w:val="28"/>
          <w:highlight w:val="none"/>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7"/>
    <w:bookmarkEnd w:id="1028"/>
    <w:p w14:paraId="7CE10FC1">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t>
      </w:r>
      <w:r>
        <w:rPr>
          <w:rFonts w:hint="eastAsia" w:ascii="仿宋" w:hAnsi="仿宋" w:eastAsia="仿宋"/>
          <w:color w:val="000000"/>
          <w:sz w:val="28"/>
          <w:szCs w:val="28"/>
          <w:highlight w:val="none"/>
        </w:rPr>
        <w:t>（</w:t>
      </w:r>
      <w:r>
        <w:rPr>
          <w:rStyle w:val="58"/>
          <w:rFonts w:hint="eastAsia" w:ascii="仿宋" w:hAnsi="仿宋" w:eastAsia="仿宋"/>
          <w:color w:val="000000"/>
          <w:sz w:val="28"/>
          <w:szCs w:val="28"/>
          <w:highlight w:val="none"/>
        </w:rPr>
        <w:t>www.creditchina.gov.cn</w:t>
      </w:r>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2、国家企业信用信息公示系统网站</w:t>
      </w:r>
      <w:r>
        <w:rPr>
          <w:rFonts w:hint="eastAsia" w:ascii="仿宋" w:hAnsi="仿宋" w:eastAsia="仿宋"/>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r>
        <w:rPr>
          <w:rStyle w:val="58"/>
          <w:rFonts w:hint="eastAsia" w:ascii="仿宋" w:hAnsi="仿宋" w:eastAsia="仿宋"/>
          <w:color w:val="000000"/>
          <w:sz w:val="28"/>
          <w:szCs w:val="28"/>
          <w:highlight w:val="none"/>
        </w:rPr>
        <w:t>www.gsxt.gov.cn）</w:t>
      </w:r>
      <w:r>
        <w:rPr>
          <w:color w:val="000000"/>
          <w:highlight w:val="none"/>
        </w:rPr>
        <w:fldChar w:fldCharType="end"/>
      </w:r>
      <w:r>
        <w:rPr>
          <w:rFonts w:hint="eastAsia" w:ascii="仿宋_GB2312" w:hAnsi="宋体" w:eastAsia="仿宋_GB2312"/>
          <w:color w:val="000000"/>
          <w:sz w:val="28"/>
          <w:szCs w:val="28"/>
          <w:highlight w:val="none"/>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bookmarkStart w:id="1031" w:name="OLE_LINK100"/>
      <w:bookmarkStart w:id="1032" w:name="OLE_LINK101"/>
      <w:bookmarkStart w:id="1033" w:name="OLE_LINK102"/>
      <w:r>
        <w:rPr>
          <w:rFonts w:hint="eastAsia" w:ascii="仿宋_GB2312" w:hAnsi="宋体" w:eastAsia="仿宋_GB2312"/>
          <w:color w:val="000000"/>
          <w:sz w:val="28"/>
          <w:szCs w:val="28"/>
          <w:highlight w:val="none"/>
        </w:rPr>
        <w:t>被列入“经营异常名录”或者“严重违法失信名单”的</w:t>
      </w:r>
      <w:bookmarkEnd w:id="1031"/>
      <w:bookmarkEnd w:id="1032"/>
      <w:bookmarkEnd w:id="1033"/>
      <w:r>
        <w:rPr>
          <w:rFonts w:hint="eastAsia" w:ascii="仿宋_GB2312" w:hAnsi="宋体" w:eastAsia="仿宋_GB2312"/>
          <w:color w:val="000000"/>
          <w:sz w:val="28"/>
          <w:szCs w:val="28"/>
          <w:highlight w:val="none"/>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3、中国政府采购网站</w:t>
      </w:r>
      <w:r>
        <w:rPr>
          <w:rFonts w:hint="eastAsia" w:ascii="仿宋" w:hAnsi="仿宋" w:eastAsia="仿宋"/>
          <w:color w:val="000000"/>
          <w:sz w:val="28"/>
          <w:szCs w:val="28"/>
          <w:highlight w:val="none"/>
        </w:rPr>
        <w:t>（</w:t>
      </w:r>
      <w:bookmarkStart w:id="1034" w:name="OLE_LINK95"/>
      <w:bookmarkStart w:id="1035" w:name="OLE_LINK96"/>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"http://www.ccgp.gov.cn" </w:instrText>
      </w:r>
      <w:r>
        <w:rPr>
          <w:rFonts w:ascii="仿宋" w:hAnsi="仿宋" w:eastAsia="仿宋"/>
          <w:color w:val="000000"/>
          <w:sz w:val="28"/>
          <w:szCs w:val="28"/>
          <w:highlight w:val="none"/>
        </w:rPr>
        <w:fldChar w:fldCharType="separate"/>
      </w:r>
      <w:r>
        <w:rPr>
          <w:rStyle w:val="58"/>
          <w:rFonts w:hint="eastAsia" w:ascii="仿宋" w:hAnsi="仿宋" w:eastAsia="仿宋"/>
          <w:color w:val="000000"/>
          <w:sz w:val="28"/>
          <w:szCs w:val="28"/>
          <w:highlight w:val="none"/>
        </w:rPr>
        <w:t>www.ccgp.gov.cn</w:t>
      </w:r>
      <w:r>
        <w:rPr>
          <w:rFonts w:ascii="仿宋" w:hAnsi="仿宋" w:eastAsia="仿宋"/>
          <w:color w:val="000000"/>
          <w:sz w:val="28"/>
          <w:szCs w:val="28"/>
          <w:highlight w:val="none"/>
        </w:rPr>
        <w:fldChar w:fldCharType="end"/>
      </w:r>
      <w:bookmarkEnd w:id="1034"/>
      <w:bookmarkEnd w:id="1035"/>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r>
        <w:rPr>
          <w:rFonts w:hint="eastAsia" w:ascii="仿宋_GB2312" w:hAnsi="宋体" w:eastAsia="仿宋_GB2312"/>
          <w:color w:val="000000"/>
          <w:sz w:val="28"/>
          <w:szCs w:val="28"/>
          <w:highlight w:val="none"/>
        </w:rPr>
        <w:t>①</w:t>
      </w:r>
      <w:bookmarkStart w:id="1036" w:name="OLE_LINK106"/>
      <w:bookmarkStart w:id="1037" w:name="OLE_LINK104"/>
      <w:bookmarkStart w:id="1038" w:name="OLE_LINK105"/>
      <w:r>
        <w:rPr>
          <w:rFonts w:hint="eastAsia" w:ascii="仿宋_GB2312" w:hAnsi="宋体" w:eastAsia="仿宋_GB2312"/>
          <w:color w:val="000000"/>
          <w:sz w:val="28"/>
          <w:szCs w:val="28"/>
          <w:highlight w:val="none"/>
        </w:rPr>
        <w:t>被列入“政府采购严重违法失信行为信息记录”的</w:t>
      </w:r>
      <w:bookmarkEnd w:id="1036"/>
      <w:bookmarkEnd w:id="1037"/>
      <w:bookmarkEnd w:id="1038"/>
      <w:r>
        <w:rPr>
          <w:rFonts w:hint="eastAsia" w:ascii="仿宋_GB2312" w:hAnsi="宋体" w:eastAsia="仿宋_GB2312" w:cs="楷体"/>
          <w:color w:val="000000"/>
          <w:sz w:val="28"/>
          <w:szCs w:val="28"/>
          <w:highlight w:val="none"/>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r>
        <w:rPr>
          <w:rFonts w:hint="eastAsia" w:ascii="仿宋_GB2312" w:hAnsi="宋体" w:eastAsia="仿宋_GB2312"/>
          <w:color w:val="000000"/>
          <w:sz w:val="28"/>
          <w:szCs w:val="28"/>
          <w:highlight w:val="none"/>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highlight w:val="none"/>
        </w:rPr>
      </w:pPr>
      <w:r>
        <w:rPr>
          <w:rFonts w:hint="eastAsia" w:ascii="仿宋_GB2312" w:hAnsi="宋体" w:eastAsia="仿宋_GB2312"/>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highlight w:val="none"/>
        </w:rPr>
        <w:fldChar w:fldCharType="begin"/>
      </w:r>
      <w:r>
        <w:rPr>
          <w:color w:val="000000"/>
          <w:highlight w:val="none"/>
        </w:rPr>
        <w:instrText xml:space="preserve"> HYPERLINK "https://credit.ah.gov.cn/xinyong-fuwu/xvbahv/index.html" </w:instrText>
      </w:r>
      <w:r>
        <w:rPr>
          <w:color w:val="000000"/>
          <w:highlight w:val="none"/>
        </w:rPr>
        <w:fldChar w:fldCharType="separate"/>
      </w:r>
      <w:r>
        <w:rPr>
          <w:rStyle w:val="58"/>
          <w:rFonts w:hint="eastAsia" w:ascii="仿宋_GB2312" w:hAnsi="宋体" w:eastAsia="仿宋_GB2312"/>
          <w:color w:val="000000"/>
          <w:sz w:val="28"/>
          <w:szCs w:val="28"/>
          <w:highlight w:val="none"/>
        </w:rPr>
        <w:t>https://credit.ah.gov.cn/xinyong-fuwu/xvbahv/index.html</w:t>
      </w:r>
      <w:r>
        <w:rPr>
          <w:color w:val="000000"/>
          <w:highlight w:val="none"/>
        </w:rPr>
        <w:fldChar w:fldCharType="end"/>
      </w:r>
      <w:r>
        <w:rPr>
          <w:rFonts w:hint="eastAsia" w:ascii="仿宋_GB2312" w:hAnsi="宋体" w:eastAsia="仿宋_GB2312"/>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highlight w:val="none"/>
        </w:rPr>
      </w:pPr>
    </w:p>
    <w:p w14:paraId="32D5BEC2">
      <w:pPr>
        <w:ind w:right="960"/>
        <w:rPr>
          <w:rFonts w:hint="eastAsia" w:ascii="仿宋" w:hAnsi="仿宋" w:eastAsia="仿宋"/>
          <w:color w:val="000000"/>
          <w:sz w:val="32"/>
          <w:szCs w:val="32"/>
          <w:highlight w:val="none"/>
        </w:rPr>
      </w:pPr>
    </w:p>
    <w:p w14:paraId="083C6D6C">
      <w:pPr>
        <w:ind w:right="960"/>
        <w:rPr>
          <w:rFonts w:hint="eastAsia" w:ascii="仿宋" w:hAnsi="仿宋" w:eastAsia="仿宋"/>
          <w:color w:val="000000"/>
          <w:sz w:val="32"/>
          <w:szCs w:val="32"/>
          <w:highlight w:val="none"/>
        </w:rPr>
      </w:pPr>
    </w:p>
    <w:p w14:paraId="6945543A">
      <w:pPr>
        <w:ind w:right="960"/>
        <w:rPr>
          <w:rFonts w:hint="eastAsia" w:ascii="仿宋" w:hAnsi="仿宋" w:eastAsia="仿宋"/>
          <w:color w:val="000000"/>
          <w:sz w:val="32"/>
          <w:szCs w:val="32"/>
          <w:highlight w:val="none"/>
        </w:rPr>
      </w:pPr>
    </w:p>
    <w:p w14:paraId="3A66ADF1">
      <w:pPr>
        <w:ind w:right="960"/>
        <w:rPr>
          <w:rFonts w:hint="eastAsia" w:ascii="仿宋" w:hAnsi="仿宋" w:eastAsia="仿宋"/>
          <w:color w:val="000000"/>
          <w:sz w:val="32"/>
          <w:szCs w:val="32"/>
          <w:highlight w:val="none"/>
        </w:rPr>
      </w:pPr>
    </w:p>
    <w:p w14:paraId="6050A5FD">
      <w:pPr>
        <w:ind w:right="960"/>
        <w:rPr>
          <w:rFonts w:hint="eastAsia" w:ascii="仿宋" w:hAnsi="仿宋" w:eastAsia="仿宋"/>
          <w:color w:val="000000"/>
          <w:sz w:val="32"/>
          <w:szCs w:val="32"/>
          <w:highlight w:val="none"/>
        </w:rPr>
      </w:pPr>
    </w:p>
    <w:p w14:paraId="502A74ED">
      <w:pPr>
        <w:ind w:right="960"/>
        <w:rPr>
          <w:rFonts w:hint="eastAsia" w:ascii="仿宋" w:hAnsi="仿宋" w:eastAsia="仿宋"/>
          <w:color w:val="000000"/>
          <w:sz w:val="32"/>
          <w:szCs w:val="32"/>
          <w:highlight w:val="none"/>
        </w:rPr>
      </w:pPr>
    </w:p>
    <w:p w14:paraId="09C3F9C4">
      <w:pPr>
        <w:ind w:right="960"/>
        <w:rPr>
          <w:rFonts w:hint="eastAsia" w:ascii="仿宋" w:hAnsi="仿宋" w:eastAsia="仿宋"/>
          <w:color w:val="000000"/>
          <w:sz w:val="32"/>
          <w:szCs w:val="32"/>
          <w:highlight w:val="none"/>
        </w:rPr>
      </w:pPr>
    </w:p>
    <w:p w14:paraId="10A9DC55">
      <w:pPr>
        <w:pStyle w:val="2"/>
        <w:rPr>
          <w:rFonts w:hint="eastAsia"/>
          <w:color w:val="000000"/>
          <w:highlight w:val="none"/>
        </w:rPr>
      </w:pPr>
    </w:p>
    <w:p w14:paraId="331B4991">
      <w:pPr>
        <w:rPr>
          <w:color w:val="000000"/>
          <w:highlight w:val="none"/>
        </w:rPr>
      </w:pPr>
    </w:p>
    <w:p w14:paraId="7B3BCB78">
      <w:pPr>
        <w:pStyle w:val="2"/>
        <w:rPr>
          <w:color w:val="000000"/>
          <w:highlight w:val="none"/>
        </w:rPr>
      </w:pPr>
    </w:p>
    <w:p w14:paraId="64AC7B5D">
      <w:pPr>
        <w:rPr>
          <w:color w:val="000000"/>
          <w:highlight w:val="none"/>
        </w:rPr>
      </w:pPr>
    </w:p>
    <w:p w14:paraId="5BD1D4CA">
      <w:pPr>
        <w:pStyle w:val="2"/>
        <w:rPr>
          <w:color w:val="000000"/>
          <w:highlight w:val="none"/>
        </w:rPr>
      </w:pPr>
    </w:p>
    <w:p w14:paraId="2DB666D3">
      <w:pPr>
        <w:rPr>
          <w:color w:val="000000"/>
          <w:highlight w:val="none"/>
        </w:rPr>
      </w:pPr>
    </w:p>
    <w:p w14:paraId="4AF62CEA">
      <w:pPr>
        <w:pStyle w:val="2"/>
        <w:rPr>
          <w:color w:val="000000"/>
          <w:highlight w:val="none"/>
        </w:rPr>
      </w:pPr>
    </w:p>
    <w:p w14:paraId="50249C86">
      <w:pPr>
        <w:rPr>
          <w:color w:val="000000"/>
          <w:highlight w:val="none"/>
        </w:rPr>
      </w:pPr>
    </w:p>
    <w:p w14:paraId="614BC541">
      <w:pPr>
        <w:ind w:right="960"/>
        <w:rPr>
          <w:rFonts w:ascii="仿宋" w:hAnsi="仿宋" w:eastAsia="仿宋"/>
          <w:color w:val="000000"/>
          <w:sz w:val="32"/>
          <w:szCs w:val="32"/>
          <w:highlight w:val="none"/>
        </w:rPr>
      </w:pPr>
    </w:p>
    <w:p w14:paraId="11E5531C">
      <w:pPr>
        <w:keepNext/>
        <w:keepLines/>
        <w:spacing w:before="200" w:after="200" w:line="600" w:lineRule="exact"/>
        <w:outlineLvl w:val="0"/>
        <w:rPr>
          <w:rFonts w:hint="eastAsia" w:ascii="黑体" w:hAnsi="黑体" w:eastAsia="黑体"/>
          <w:b/>
          <w:bCs/>
          <w:color w:val="000000"/>
          <w:kern w:val="44"/>
          <w:sz w:val="36"/>
          <w:szCs w:val="28"/>
          <w:highlight w:val="none"/>
        </w:rPr>
      </w:pPr>
      <w:bookmarkStart w:id="1039" w:name="_Toc95223549"/>
      <w:bookmarkStart w:id="1040" w:name="OLE_LINK41"/>
      <w:bookmarkStart w:id="1041" w:name="OLE_LINK31"/>
      <w:r>
        <w:rPr>
          <w:rFonts w:hint="eastAsia" w:ascii="黑体" w:hAnsi="黑体" w:eastAsia="黑体"/>
          <w:b/>
          <w:bCs/>
          <w:color w:val="000000"/>
          <w:kern w:val="44"/>
          <w:sz w:val="36"/>
          <w:szCs w:val="28"/>
          <w:highlight w:val="none"/>
        </w:rPr>
        <w:t xml:space="preserve">附件2 </w:t>
      </w:r>
      <w:bookmarkStart w:id="1042" w:name="OLE_LINK75"/>
      <w:bookmarkStart w:id="1043" w:name="OLE_LINK74"/>
      <w:r>
        <w:rPr>
          <w:rFonts w:hint="eastAsia" w:ascii="黑体" w:hAnsi="黑体" w:eastAsia="黑体"/>
          <w:b/>
          <w:bCs/>
          <w:color w:val="000000"/>
          <w:kern w:val="44"/>
          <w:sz w:val="36"/>
          <w:szCs w:val="28"/>
          <w:highlight w:val="none"/>
        </w:rPr>
        <w:t>“信用中国”查询的严重失信行为</w:t>
      </w:r>
      <w:bookmarkStart w:id="1044" w:name="OLE_LINK38"/>
      <w:bookmarkStart w:id="1045" w:name="OLE_LINK40"/>
      <w:bookmarkStart w:id="1046" w:name="OLE_LINK39"/>
      <w:bookmarkStart w:id="1047" w:name="OLE_LINK76"/>
      <w:r>
        <w:rPr>
          <w:rFonts w:hint="eastAsia" w:ascii="黑体" w:hAnsi="黑体" w:eastAsia="黑体"/>
          <w:b/>
          <w:bCs/>
          <w:color w:val="000000"/>
          <w:kern w:val="44"/>
          <w:sz w:val="36"/>
          <w:szCs w:val="28"/>
          <w:highlight w:val="none"/>
        </w:rPr>
        <w:t>类别及判定依据</w:t>
      </w:r>
      <w:bookmarkEnd w:id="1039"/>
      <w:bookmarkEnd w:id="1042"/>
      <w:bookmarkEnd w:id="1043"/>
      <w:bookmarkEnd w:id="1044"/>
      <w:bookmarkEnd w:id="1045"/>
      <w:bookmarkEnd w:id="1046"/>
      <w:bookmarkEnd w:id="1047"/>
    </w:p>
    <w:bookmarkEnd w:id="1040"/>
    <w:bookmarkEnd w:id="1041"/>
    <w:p w14:paraId="7C30188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28"/>
          <w:szCs w:val="28"/>
          <w:highlight w:val="none"/>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highlight w:val="none"/>
        </w:rPr>
      </w:pPr>
      <w:r>
        <w:rPr>
          <w:rFonts w:hint="eastAsia" w:ascii="仿宋_GB2312" w:hAnsi="宋体" w:eastAsia="仿宋_GB2312"/>
          <w:b/>
          <w:color w:val="000000"/>
          <w:sz w:val="28"/>
          <w:szCs w:val="28"/>
          <w:highlight w:val="none"/>
        </w:rPr>
        <w:t>依据：《安全生产严重失信主体名单管理办法》</w:t>
      </w:r>
      <w:r>
        <w:rPr>
          <w:rFonts w:hint="eastAsia" w:ascii="仿宋_GB2312" w:hAnsi="Calibri" w:eastAsia="仿宋_GB2312"/>
          <w:b/>
          <w:color w:val="000000"/>
          <w:sz w:val="28"/>
          <w:szCs w:val="28"/>
          <w:highlight w:val="none"/>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62AA5A75">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（一）因为环境违法构成</w:t>
      </w:r>
      <w:r>
        <w:rPr>
          <w:color w:val="000000"/>
          <w:highlight w:val="none"/>
        </w:rPr>
        <w:fldChar w:fldCharType="begin"/>
      </w:r>
      <w:r>
        <w:rPr>
          <w:color w:val="000000"/>
          <w:highlight w:val="none"/>
        </w:rPr>
        <w:instrText xml:space="preserve"> HYPERLINK "https://baike.sogou.com/m/fullLemma?lid=10403954&amp;g_ut=3"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环境犯罪</w:t>
      </w:r>
      <w:r>
        <w:rPr>
          <w:color w:val="000000"/>
          <w:highlight w:val="none"/>
        </w:rPr>
        <w:fldChar w:fldCharType="end"/>
      </w:r>
      <w:r>
        <w:rPr>
          <w:rFonts w:hint="eastAsia" w:ascii="仿宋_GB2312" w:hAnsi="宋体" w:eastAsia="仿宋_GB2312"/>
          <w:color w:val="000000"/>
          <w:sz w:val="28"/>
          <w:szCs w:val="28"/>
          <w:highlight w:val="none"/>
        </w:rPr>
        <w:t>的；</w:t>
      </w:r>
    </w:p>
    <w:p w14:paraId="4D5C9D9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w:t>
      </w:r>
      <w:r>
        <w:rPr>
          <w:color w:val="000000"/>
          <w:highlight w:val="none"/>
        </w:rPr>
        <w:fldChar w:fldCharType="begin"/>
      </w:r>
      <w:r>
        <w:rPr>
          <w:color w:val="000000"/>
          <w:highlight w:val="none"/>
        </w:rPr>
        <w:instrText xml:space="preserve"> HYPERLINK "https://baike.sogou.com/m/fullLemma?lid=76033123&amp;g_ut=3"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建设项目环境影响评价</w:t>
      </w:r>
      <w:r>
        <w:rPr>
          <w:color w:val="000000"/>
          <w:highlight w:val="none"/>
        </w:rPr>
        <w:fldChar w:fldCharType="end"/>
      </w:r>
      <w:r>
        <w:rPr>
          <w:rFonts w:hint="eastAsia" w:ascii="仿宋_GB2312" w:hAnsi="宋体" w:eastAsia="仿宋_GB2312"/>
          <w:color w:val="000000"/>
          <w:sz w:val="28"/>
          <w:szCs w:val="28"/>
          <w:highlight w:val="none"/>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（三）建设项目环保设施未建成、环保措施未落实、未通过</w:t>
      </w:r>
      <w:r>
        <w:rPr>
          <w:color w:val="000000"/>
          <w:highlight w:val="none"/>
        </w:rPr>
        <w:fldChar w:fldCharType="begin"/>
      </w:r>
      <w:r>
        <w:rPr>
          <w:color w:val="000000"/>
          <w:highlight w:val="none"/>
        </w:rPr>
        <w:instrText xml:space="preserve"> HYPERLINK "https://baike.sogou.com/m/fullLemma?lid=6470550&amp;g_ut=3"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竣工环保验收</w:t>
      </w:r>
      <w:r>
        <w:rPr>
          <w:color w:val="000000"/>
          <w:highlight w:val="none"/>
        </w:rPr>
        <w:fldChar w:fldCharType="end"/>
      </w:r>
      <w:r>
        <w:rPr>
          <w:rFonts w:hint="eastAsia" w:ascii="仿宋_GB2312" w:hAnsi="宋体" w:eastAsia="仿宋_GB2312"/>
          <w:color w:val="000000"/>
          <w:sz w:val="28"/>
          <w:szCs w:val="28"/>
          <w:highlight w:val="none"/>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（六）私设暗管或者利用</w:t>
      </w:r>
      <w:r>
        <w:rPr>
          <w:color w:val="000000"/>
          <w:highlight w:val="none"/>
        </w:rPr>
        <w:fldChar w:fldCharType="begin"/>
      </w:r>
      <w:r>
        <w:rPr>
          <w:color w:val="000000"/>
          <w:highlight w:val="none"/>
        </w:rPr>
        <w:instrText xml:space="preserve"> HYPERLINK "https://baike.sogou.com/m/fullLemma?lid=41657319&amp;g_ut=3"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渗井</w:t>
      </w:r>
      <w:r>
        <w:rPr>
          <w:color w:val="000000"/>
          <w:highlight w:val="none"/>
        </w:rPr>
        <w:fldChar w:fldCharType="end"/>
      </w:r>
      <w:r>
        <w:rPr>
          <w:rFonts w:hint="eastAsia" w:ascii="仿宋_GB2312" w:hAnsi="宋体" w:eastAsia="仿宋_GB2312"/>
          <w:color w:val="000000"/>
          <w:sz w:val="28"/>
          <w:szCs w:val="28"/>
          <w:highlight w:val="none"/>
        </w:rPr>
        <w:t>、渗坑、裂隙、溶洞等排放、倾倒、处置水污染物，或者通过私设旁路排放</w:t>
      </w:r>
      <w:r>
        <w:rPr>
          <w:color w:val="000000"/>
          <w:highlight w:val="none"/>
        </w:rPr>
        <w:fldChar w:fldCharType="begin"/>
      </w:r>
      <w:r>
        <w:rPr>
          <w:color w:val="000000"/>
          <w:highlight w:val="none"/>
        </w:rPr>
        <w:instrText xml:space="preserve"> HYPERLINK "https://baike.sogou.com/m/fullLemma?lid=7758328&amp;g_ut=3"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大气污染物</w:t>
      </w:r>
      <w:r>
        <w:rPr>
          <w:color w:val="000000"/>
          <w:highlight w:val="none"/>
        </w:rPr>
        <w:fldChar w:fldCharType="end"/>
      </w:r>
      <w:r>
        <w:rPr>
          <w:rFonts w:hint="eastAsia" w:ascii="仿宋_GB2312" w:hAnsi="宋体" w:eastAsia="仿宋_GB2312"/>
          <w:color w:val="000000"/>
          <w:sz w:val="28"/>
          <w:szCs w:val="28"/>
          <w:highlight w:val="none"/>
        </w:rPr>
        <w:t>的；</w:t>
      </w:r>
    </w:p>
    <w:p w14:paraId="691BD33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（七）非法排放、倾倒、处置危险废物，或者向无</w:t>
      </w:r>
      <w:r>
        <w:rPr>
          <w:color w:val="000000"/>
          <w:highlight w:val="none"/>
        </w:rPr>
        <w:fldChar w:fldCharType="begin"/>
      </w:r>
      <w:r>
        <w:rPr>
          <w:color w:val="000000"/>
          <w:highlight w:val="none"/>
        </w:rPr>
        <w:instrText xml:space="preserve"> HYPERLINK "https://baike.sogou.com/m/fullLemma?lid=5923292&amp;g_ut=3"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经营许可证</w:t>
      </w:r>
      <w:r>
        <w:rPr>
          <w:color w:val="000000"/>
          <w:highlight w:val="none"/>
        </w:rPr>
        <w:fldChar w:fldCharType="end"/>
      </w:r>
      <w:r>
        <w:rPr>
          <w:rFonts w:hint="eastAsia" w:ascii="仿宋_GB2312" w:hAnsi="宋体" w:eastAsia="仿宋_GB2312"/>
          <w:color w:val="000000"/>
          <w:sz w:val="28"/>
          <w:szCs w:val="28"/>
          <w:highlight w:val="none"/>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（八）</w:t>
      </w:r>
      <w:r>
        <w:rPr>
          <w:color w:val="000000"/>
          <w:highlight w:val="none"/>
        </w:rPr>
        <w:fldChar w:fldCharType="begin"/>
      </w:r>
      <w:r>
        <w:rPr>
          <w:color w:val="000000"/>
          <w:highlight w:val="none"/>
        </w:rPr>
        <w:instrText xml:space="preserve"> HYPERLINK "https://baike.sogou.com/m/fullLemma?lid=167759803&amp;g_ut=3"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环境违法行为</w:t>
      </w:r>
      <w:r>
        <w:rPr>
          <w:color w:val="000000"/>
          <w:highlight w:val="none"/>
        </w:rPr>
        <w:fldChar w:fldCharType="end"/>
      </w:r>
      <w:r>
        <w:rPr>
          <w:rFonts w:hint="eastAsia" w:ascii="仿宋_GB2312" w:hAnsi="宋体" w:eastAsia="仿宋_GB2312"/>
          <w:color w:val="000000"/>
          <w:sz w:val="28"/>
          <w:szCs w:val="28"/>
          <w:highlight w:val="none"/>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（九）环境违法行为对生活饮用水水源保护区、自然保护区、</w:t>
      </w:r>
      <w:r>
        <w:rPr>
          <w:color w:val="000000"/>
          <w:highlight w:val="none"/>
        </w:rPr>
        <w:fldChar w:fldCharType="begin"/>
      </w:r>
      <w:r>
        <w:rPr>
          <w:color w:val="000000"/>
          <w:highlight w:val="none"/>
        </w:rPr>
        <w:instrText xml:space="preserve"> HYPERLINK "https://baike.sogou.com/m/fullLemma?lid=155199213&amp;g_ut=3"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国家重点生态功能区</w:t>
      </w:r>
      <w:r>
        <w:rPr>
          <w:color w:val="000000"/>
          <w:highlight w:val="none"/>
        </w:rPr>
        <w:fldChar w:fldCharType="end"/>
      </w:r>
      <w:r>
        <w:rPr>
          <w:rFonts w:hint="eastAsia" w:ascii="仿宋_GB2312" w:hAnsi="宋体" w:eastAsia="仿宋_GB2312"/>
          <w:color w:val="000000"/>
          <w:sz w:val="28"/>
          <w:szCs w:val="28"/>
          <w:highlight w:val="none"/>
        </w:rPr>
        <w:t>、风景名胜区、居住功能区、</w:t>
      </w:r>
      <w:r>
        <w:rPr>
          <w:color w:val="000000"/>
          <w:highlight w:val="none"/>
        </w:rPr>
        <w:fldChar w:fldCharType="begin"/>
      </w:r>
      <w:r>
        <w:rPr>
          <w:color w:val="000000"/>
          <w:highlight w:val="none"/>
        </w:rPr>
        <w:instrText xml:space="preserve"> HYPERLINK "https://baike.sogou.com/m/fullLemma?lid=7757164&amp;g_ut=3"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基本农田保护区</w:t>
      </w:r>
      <w:r>
        <w:rPr>
          <w:color w:val="000000"/>
          <w:highlight w:val="none"/>
        </w:rPr>
        <w:fldChar w:fldCharType="end"/>
      </w:r>
      <w:r>
        <w:rPr>
          <w:rFonts w:hint="eastAsia" w:ascii="仿宋_GB2312" w:hAnsi="宋体" w:eastAsia="仿宋_GB2312"/>
          <w:color w:val="000000"/>
          <w:sz w:val="28"/>
          <w:szCs w:val="28"/>
          <w:highlight w:val="none"/>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依据：《关于对环境保护领域失信生产经营单位及其有关人员开展联合惩戒的合作备忘录》、《</w:t>
      </w:r>
      <w:bookmarkStart w:id="1048" w:name="OLE_LINK12"/>
      <w:r>
        <w:rPr>
          <w:rFonts w:hint="eastAsia" w:ascii="仿宋_GB2312" w:hAnsi="宋体" w:eastAsia="仿宋_GB2312"/>
          <w:b/>
          <w:color w:val="000000"/>
          <w:sz w:val="28"/>
          <w:szCs w:val="28"/>
          <w:highlight w:val="none"/>
        </w:rPr>
        <w:t>企业环境信用评价办法（试行）</w:t>
      </w:r>
      <w:bookmarkEnd w:id="1048"/>
      <w:r>
        <w:rPr>
          <w:rFonts w:hint="eastAsia" w:ascii="仿宋_GB2312" w:hAnsi="宋体" w:eastAsia="仿宋_GB2312"/>
          <w:b/>
          <w:color w:val="000000"/>
          <w:sz w:val="28"/>
          <w:szCs w:val="28"/>
          <w:highlight w:val="none"/>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1FB83F4D">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w:t>
      </w:r>
      <w:r>
        <w:rPr>
          <w:rFonts w:hint="eastAsia" w:ascii="仿宋_GB2312" w:hAnsi="宋体" w:eastAsia="仿宋_GB2312"/>
          <w:b/>
          <w:bCs/>
          <w:color w:val="000000"/>
          <w:sz w:val="28"/>
          <w:szCs w:val="28"/>
          <w:highlight w:val="none"/>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highlight w:val="none"/>
        </w:rPr>
      </w:pPr>
      <w:r>
        <w:rPr>
          <w:rFonts w:hint="eastAsia" w:ascii="仿宋_GB2312" w:hAnsi="Calibri" w:eastAsia="仿宋_GB2312"/>
          <w:color w:val="000000"/>
          <w:sz w:val="28"/>
          <w:szCs w:val="28"/>
          <w:highlight w:val="none"/>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w:t>
      </w:r>
      <w:bookmarkStart w:id="1049" w:name="OLE_LINK13"/>
      <w:r>
        <w:rPr>
          <w:rFonts w:hint="eastAsia" w:ascii="仿宋_GB2312" w:hAnsi="宋体" w:eastAsia="仿宋_GB2312"/>
          <w:b/>
          <w:color w:val="000000"/>
          <w:sz w:val="28"/>
          <w:szCs w:val="28"/>
          <w:highlight w:val="none"/>
        </w:rPr>
        <w:t>关于对公共资源交易领域严重失信主体开展联合惩戒的备忘录</w:t>
      </w:r>
      <w:bookmarkEnd w:id="1049"/>
      <w:r>
        <w:rPr>
          <w:rFonts w:hint="eastAsia" w:ascii="仿宋_GB2312" w:hAnsi="宋体" w:eastAsia="仿宋_GB2312"/>
          <w:b/>
          <w:color w:val="000000"/>
          <w:sz w:val="28"/>
          <w:szCs w:val="28"/>
          <w:highlight w:val="none"/>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highlight w:val="none"/>
        </w:rPr>
      </w:pPr>
    </w:p>
    <w:p w14:paraId="52F924BA">
      <w:pPr>
        <w:adjustRightInd w:val="0"/>
        <w:snapToGrid w:val="0"/>
        <w:spacing w:line="560" w:lineRule="exact"/>
        <w:ind w:firstLine="645"/>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四、</w:t>
      </w:r>
      <w:r>
        <w:rPr>
          <w:rFonts w:hint="eastAsia" w:ascii="仿宋_GB2312" w:hAnsi="宋体" w:eastAsia="仿宋_GB2312"/>
          <w:b/>
          <w:bCs/>
          <w:color w:val="000000"/>
          <w:sz w:val="28"/>
          <w:szCs w:val="28"/>
          <w:highlight w:val="none"/>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highlight w:val="none"/>
        </w:rPr>
      </w:pPr>
      <w:r>
        <w:rPr>
          <w:rFonts w:hint="eastAsia" w:ascii="仿宋_GB2312" w:hAnsi="Calibri" w:eastAsia="仿宋_GB2312"/>
          <w:b/>
          <w:color w:val="000000"/>
          <w:sz w:val="28"/>
          <w:szCs w:val="28"/>
          <w:highlight w:val="none"/>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五、建筑市场领域</w:t>
      </w:r>
      <w:r>
        <w:rPr>
          <w:rFonts w:hint="eastAsia" w:ascii="仿宋_GB2312" w:hAnsi="宋体" w:eastAsia="仿宋_GB2312"/>
          <w:b/>
          <w:bCs/>
          <w:color w:val="000000"/>
          <w:sz w:val="28"/>
          <w:szCs w:val="28"/>
          <w:highlight w:val="none"/>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highlight w:val="none"/>
        </w:rPr>
      </w:pPr>
      <w:r>
        <w:rPr>
          <w:rFonts w:hint="eastAsia" w:ascii="仿宋_GB2312" w:hAnsi="Calibri" w:eastAsia="仿宋_GB2312"/>
          <w:b/>
          <w:color w:val="000000"/>
          <w:sz w:val="28"/>
          <w:szCs w:val="28"/>
          <w:highlight w:val="none"/>
        </w:rPr>
        <w:t>依据：《</w:t>
      </w:r>
      <w:bookmarkStart w:id="1050" w:name="OLE_LINK18"/>
      <w:r>
        <w:rPr>
          <w:rFonts w:hint="eastAsia" w:ascii="仿宋_GB2312" w:hAnsi="Calibri" w:eastAsia="仿宋_GB2312"/>
          <w:b/>
          <w:color w:val="000000"/>
          <w:sz w:val="28"/>
          <w:szCs w:val="28"/>
          <w:highlight w:val="none"/>
        </w:rPr>
        <w:t>建筑市场信用管理暂行办法</w:t>
      </w:r>
      <w:bookmarkEnd w:id="1050"/>
      <w:r>
        <w:rPr>
          <w:rFonts w:hint="eastAsia" w:ascii="仿宋_GB2312" w:hAnsi="Calibri" w:eastAsia="仿宋_GB2312"/>
          <w:b/>
          <w:color w:val="000000"/>
          <w:sz w:val="28"/>
          <w:szCs w:val="28"/>
          <w:highlight w:val="none"/>
        </w:rPr>
        <w:t>》（建市〔2017〕241号）</w:t>
      </w:r>
    </w:p>
    <w:p w14:paraId="2FD7B31D">
      <w:pPr>
        <w:adjustRightInd w:val="0"/>
        <w:snapToGrid w:val="0"/>
        <w:spacing w:line="560" w:lineRule="exact"/>
        <w:rPr>
          <w:rFonts w:hint="eastAsia" w:ascii="仿宋_GB2312" w:hAnsi="宋体" w:eastAsia="仿宋_GB2312"/>
          <w:b/>
          <w:color w:val="000000"/>
          <w:sz w:val="28"/>
          <w:szCs w:val="28"/>
          <w:highlight w:val="none"/>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w:t>
      </w:r>
      <w:bookmarkStart w:id="1051" w:name="OLE_LINK20"/>
      <w:bookmarkStart w:id="1052" w:name="OLE_LINK19"/>
      <w:r>
        <w:rPr>
          <w:rFonts w:hint="eastAsia" w:ascii="仿宋_GB2312" w:hAnsi="宋体" w:eastAsia="仿宋_GB2312"/>
          <w:b/>
          <w:color w:val="000000"/>
          <w:sz w:val="28"/>
          <w:szCs w:val="28"/>
          <w:highlight w:val="none"/>
        </w:rPr>
        <w:t>政府采购严重失信行为</w:t>
      </w:r>
      <w:bookmarkEnd w:id="1051"/>
      <w:bookmarkEnd w:id="1052"/>
    </w:p>
    <w:p w14:paraId="3E03F70A">
      <w:pPr>
        <w:adjustRightInd w:val="0"/>
        <w:snapToGrid w:val="0"/>
        <w:spacing w:line="560" w:lineRule="exact"/>
        <w:ind w:firstLine="615"/>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（一）三万元以上罚款；</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（二）在一至三年内禁止参加政府采购活动（处罚期限届满的除外）；</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（三）在一至三年内禁止代理政府采购业务（处罚期限届满的除外）；</w:t>
      </w:r>
      <w:r>
        <w:rPr>
          <w:rFonts w:hint="eastAsia" w:ascii="仿宋_GB2312" w:hAnsi="Calibri" w:eastAsia="仿宋_GB2312"/>
          <w:color w:val="000000"/>
          <w:sz w:val="28"/>
          <w:szCs w:val="28"/>
          <w:highlight w:val="none"/>
        </w:rPr>
        <w:br w:type="textWrapping"/>
      </w:r>
      <w:r>
        <w:rPr>
          <w:rFonts w:hint="eastAsia" w:ascii="仿宋_GB2312" w:hAnsi="宋体" w:eastAsia="仿宋_GB2312"/>
          <w:color w:val="000000"/>
          <w:sz w:val="28"/>
          <w:szCs w:val="28"/>
          <w:highlight w:val="none"/>
        </w:rPr>
        <w:t xml:space="preserve">　 </w:t>
      </w:r>
      <w:r>
        <w:rPr>
          <w:rFonts w:hint="eastAsia" w:ascii="仿宋_GB2312" w:hAnsi="Calibri" w:eastAsia="仿宋_GB2312"/>
          <w:color w:val="000000"/>
          <w:sz w:val="28"/>
          <w:szCs w:val="28"/>
          <w:highlight w:val="none"/>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highlight w:val="none"/>
        </w:rPr>
      </w:pPr>
      <w:r>
        <w:rPr>
          <w:rFonts w:hint="eastAsia" w:ascii="仿宋_GB2312" w:hAnsi="Calibri" w:eastAsia="仿宋_GB2312"/>
          <w:b/>
          <w:color w:val="000000"/>
          <w:sz w:val="28"/>
          <w:szCs w:val="28"/>
          <w:highlight w:val="none"/>
        </w:rPr>
        <w:t>依据：《关于报送政府采购严重违法失信行为信息记录的通知》</w:t>
      </w:r>
      <w:r>
        <w:rPr>
          <w:rFonts w:hint="eastAsia" w:ascii="Calibri" w:hAnsi="Calibri"/>
          <w:b/>
          <w:color w:val="000000"/>
          <w:sz w:val="28"/>
          <w:szCs w:val="28"/>
          <w:highlight w:val="none"/>
        </w:rPr>
        <w:t>（财办库〔</w:t>
      </w:r>
      <w:r>
        <w:rPr>
          <w:rFonts w:ascii="Calibri" w:hAnsi="Calibri"/>
          <w:b/>
          <w:color w:val="000000"/>
          <w:sz w:val="28"/>
          <w:szCs w:val="28"/>
          <w:highlight w:val="none"/>
        </w:rPr>
        <w:t>2014</w:t>
      </w:r>
      <w:r>
        <w:rPr>
          <w:rFonts w:hint="eastAsia" w:ascii="Calibri" w:hAnsi="Calibri"/>
          <w:b/>
          <w:color w:val="000000"/>
          <w:sz w:val="28"/>
          <w:szCs w:val="28"/>
          <w:highlight w:val="none"/>
        </w:rPr>
        <w:t>〕</w:t>
      </w:r>
      <w:r>
        <w:rPr>
          <w:rFonts w:ascii="Calibri" w:hAnsi="Calibri"/>
          <w:b/>
          <w:color w:val="000000"/>
          <w:sz w:val="28"/>
          <w:szCs w:val="28"/>
          <w:highlight w:val="none"/>
        </w:rPr>
        <w:t>526</w:t>
      </w:r>
      <w:r>
        <w:rPr>
          <w:rFonts w:hint="eastAsia" w:ascii="Calibri" w:hAnsi="Calibri"/>
          <w:b/>
          <w:color w:val="000000"/>
          <w:sz w:val="28"/>
          <w:szCs w:val="28"/>
          <w:highlight w:val="none"/>
        </w:rPr>
        <w:t>号）</w:t>
      </w:r>
    </w:p>
    <w:p w14:paraId="36748B2E">
      <w:pPr>
        <w:adjustRightInd w:val="0"/>
        <w:snapToGrid w:val="0"/>
        <w:spacing w:line="560" w:lineRule="exact"/>
        <w:rPr>
          <w:rFonts w:hint="eastAsia" w:ascii="仿宋_GB2312" w:hAnsi="宋体" w:eastAsia="仿宋_GB2312"/>
          <w:b/>
          <w:color w:val="000000"/>
          <w:sz w:val="28"/>
          <w:szCs w:val="28"/>
          <w:highlight w:val="none"/>
        </w:rPr>
      </w:pPr>
    </w:p>
    <w:p w14:paraId="3A97D355">
      <w:pPr>
        <w:pStyle w:val="2"/>
        <w:ind w:left="0" w:leftChars="0" w:firstLine="0" w:firstLineChars="0"/>
        <w:rPr>
          <w:highlight w:val="none"/>
        </w:rPr>
      </w:pPr>
      <w:r>
        <w:rPr>
          <w:rFonts w:hint="eastAsia" w:ascii="仿宋_GB2312" w:hAnsi="宋体" w:eastAsia="仿宋_GB2312"/>
          <w:b/>
          <w:color w:val="000000"/>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highlight w:val="none"/>
        </w:rPr>
        <w:t>断。</w:t>
      </w: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66267"/>
    <w:multiLevelType w:val="singleLevel"/>
    <w:tmpl w:val="C3966267"/>
    <w:lvl w:ilvl="0" w:tentative="0">
      <w:start w:val="1"/>
      <w:numFmt w:val="chineseCounting"/>
      <w:suff w:val="space"/>
      <w:lvlText w:val="%1."/>
      <w:lvlJc w:val="left"/>
      <w:rPr>
        <w:rFonts w:hint="eastAsia"/>
      </w:rPr>
    </w:lvl>
  </w:abstractNum>
  <w:abstractNum w:abstractNumId="1">
    <w:nsid w:val="D187221B"/>
    <w:multiLevelType w:val="singleLevel"/>
    <w:tmpl w:val="D187221B"/>
    <w:lvl w:ilvl="0" w:tentative="0">
      <w:start w:val="6"/>
      <w:numFmt w:val="chineseCounting"/>
      <w:suff w:val="nothing"/>
      <w:lvlText w:val="%1、"/>
      <w:lvlJc w:val="left"/>
      <w:rPr>
        <w:rFonts w:hint="eastAsia"/>
      </w:rPr>
    </w:lvl>
  </w:abstractNum>
  <w:abstractNum w:abstractNumId="2">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C"/>
    <w:multiLevelType w:val="singleLevel"/>
    <w:tmpl w:val="0000000C"/>
    <w:lvl w:ilvl="0" w:tentative="0">
      <w:start w:val="1"/>
      <w:numFmt w:val="decimal"/>
      <w:lvlText w:val="%1."/>
      <w:lvlJc w:val="left"/>
      <w:pPr>
        <w:ind w:left="425" w:hanging="425"/>
      </w:pPr>
      <w:rPr>
        <w:rFonts w:hint="default"/>
      </w:rPr>
    </w:lvl>
  </w:abstractNum>
  <w:abstractNum w:abstractNumId="4">
    <w:nsid w:val="17A77041"/>
    <w:multiLevelType w:val="singleLevel"/>
    <w:tmpl w:val="17A77041"/>
    <w:lvl w:ilvl="0" w:tentative="0">
      <w:start w:val="4"/>
      <w:numFmt w:val="chineseCounting"/>
      <w:suff w:val="space"/>
      <w:lvlText w:val="第%1章"/>
      <w:lvlJc w:val="left"/>
      <w:rPr>
        <w:rFonts w:hint="eastAsia"/>
      </w:rPr>
    </w:lvl>
  </w:abstractNum>
  <w:abstractNum w:abstractNumId="5">
    <w:nsid w:val="2890F1EB"/>
    <w:multiLevelType w:val="singleLevel"/>
    <w:tmpl w:val="2890F1EB"/>
    <w:lvl w:ilvl="0" w:tentative="0">
      <w:start w:val="6"/>
      <w:numFmt w:val="decimal"/>
      <w:suff w:val="nothing"/>
      <w:lvlText w:val="%1、"/>
      <w:lvlJc w:val="left"/>
    </w:lvl>
  </w:abstractNum>
  <w:abstractNum w:abstractNumId="6">
    <w:nsid w:val="3C30C897"/>
    <w:multiLevelType w:val="singleLevel"/>
    <w:tmpl w:val="3C30C897"/>
    <w:lvl w:ilvl="0" w:tentative="0">
      <w:start w:val="1"/>
      <w:numFmt w:val="decimal"/>
      <w:suff w:val="nothing"/>
      <w:lvlText w:val="%1．"/>
      <w:lvlJc w:val="left"/>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06910"/>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D96785"/>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570C7"/>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87DE4"/>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33647"/>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8226A"/>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D87FDF"/>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AFA7A64"/>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934EA"/>
    <w:rsid w:val="5D376039"/>
    <w:rsid w:val="5D3E31E9"/>
    <w:rsid w:val="5D436E42"/>
    <w:rsid w:val="5D63667B"/>
    <w:rsid w:val="5D67264C"/>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4444B7"/>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05418"/>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3584E"/>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54409"/>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9676D"/>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1F29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none" w:color="auto" w:sz="0" w:space="0"/>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table" w:customStyle="1" w:styleId="21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41630</Words>
  <Characters>44442</Characters>
  <Lines>411</Lines>
  <Paragraphs>115</Paragraphs>
  <TotalTime>21</TotalTime>
  <ScaleCrop>false</ScaleCrop>
  <LinksUpToDate>false</LinksUpToDate>
  <CharactersWithSpaces>46406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2025-10-20T01:50:00Z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23CFD2B0407349C68F40F14ED52D39DF_13</vt:lpwstr>
  </property>
  <property fmtid="{D5CDD505-2E9C-101B-9397-08002B2CF9AE}" pid="4" name="KSOTemplateDocerSaveRecord">
    <vt:lpwstr>eyJoZGlkIjoiMTljMDcwYWJmYjExZWQzNTVmZDAzZTYwM2JlMzJmZDYiLCJ1c2VySWQiOiIzODU2Mzk2OTQifQ==</vt:lpwstr>
  </property>
</Properties>
</file>