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D3ECE">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52"/>
          <w:szCs w:val="52"/>
          <w:highlight w:val="none"/>
          <w:lang w:val="en-US" w:eastAsia="zh-CN"/>
        </w:rPr>
      </w:pPr>
    </w:p>
    <w:p w14:paraId="059AAAD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48CB90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DFE4AC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37E1854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17D14DF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DE0AE6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2AA0C5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0A5670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D6972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940CF9E">
      <w:pPr>
        <w:tabs>
          <w:tab w:val="left" w:pos="2410"/>
        </w:tabs>
        <w:autoSpaceDE w:val="0"/>
        <w:autoSpaceDN w:val="0"/>
        <w:adjustRightInd w:val="0"/>
        <w:snapToGrid w:val="0"/>
        <w:spacing w:line="360" w:lineRule="auto"/>
        <w:ind w:left="2444" w:leftChars="304" w:hanging="1806" w:hangingChars="5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滁州市公安局人民警察训练中心食堂原材料采购项目</w:t>
      </w:r>
      <w:r>
        <w:rPr>
          <w:rFonts w:hint="eastAsia" w:ascii="宋体" w:hAnsi="宋体" w:eastAsia="宋体"/>
          <w:b/>
          <w:color w:val="auto"/>
          <w:spacing w:val="20"/>
          <w:kern w:val="0"/>
          <w:sz w:val="32"/>
          <w:szCs w:val="32"/>
          <w:highlight w:val="none"/>
          <w:u w:val="single"/>
          <w:lang w:val="en-US" w:eastAsia="zh-CN"/>
        </w:rPr>
        <w:t xml:space="preserve"> </w:t>
      </w:r>
    </w:p>
    <w:p w14:paraId="79FECF95">
      <w:pPr>
        <w:tabs>
          <w:tab w:val="left" w:pos="2410"/>
        </w:tabs>
        <w:autoSpaceDE w:val="0"/>
        <w:autoSpaceDN w:val="0"/>
        <w:adjustRightInd w:val="0"/>
        <w:snapToGrid w:val="0"/>
        <w:spacing w:line="360" w:lineRule="auto"/>
        <w:ind w:firstLine="723" w:firstLineChars="200"/>
        <w:rPr>
          <w:rFonts w:hint="default" w:ascii="宋体" w:hAnsi="宋体" w:eastAsia="宋体" w:cs="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cs="宋体"/>
          <w:b/>
          <w:color w:val="auto"/>
          <w:spacing w:val="20"/>
          <w:kern w:val="0"/>
          <w:sz w:val="32"/>
          <w:szCs w:val="32"/>
          <w:highlight w:val="none"/>
          <w:u w:val="single"/>
          <w:lang w:val="en-US" w:eastAsia="zh-CN"/>
        </w:rPr>
        <w:t>czsjcg202605-0</w:t>
      </w:r>
      <w:r>
        <w:rPr>
          <w:rFonts w:hint="eastAsia" w:ascii="宋体" w:hAnsi="宋体" w:eastAsia="宋体" w:cs="宋体"/>
          <w:b/>
          <w:color w:val="auto"/>
          <w:spacing w:val="20"/>
          <w:kern w:val="0"/>
          <w:sz w:val="32"/>
          <w:szCs w:val="32"/>
          <w:highlight w:val="none"/>
          <w:u w:val="single"/>
          <w:lang w:val="en-US" w:eastAsia="zh-CN"/>
        </w:rPr>
        <w:t>23</w:t>
      </w:r>
    </w:p>
    <w:p w14:paraId="288C028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滁州市公安局</w:t>
      </w:r>
      <w:r>
        <w:rPr>
          <w:rFonts w:hint="eastAsia" w:ascii="宋体" w:hAnsi="宋体" w:eastAsia="宋体"/>
          <w:b/>
          <w:color w:val="auto"/>
          <w:spacing w:val="20"/>
          <w:kern w:val="0"/>
          <w:sz w:val="32"/>
          <w:szCs w:val="32"/>
          <w:highlight w:val="none"/>
          <w:u w:val="single"/>
          <w:lang w:val="en-US" w:eastAsia="zh-CN"/>
        </w:rPr>
        <w:t xml:space="preserve">  </w:t>
      </w:r>
    </w:p>
    <w:p w14:paraId="02FFFA9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eastAsia="zh-CN"/>
        </w:rPr>
        <w:t>滁州市城投工程咨询管理有限公司</w:t>
      </w:r>
      <w:r>
        <w:rPr>
          <w:rFonts w:hint="eastAsia" w:ascii="宋体" w:hAnsi="宋体" w:eastAsia="宋体"/>
          <w:b/>
          <w:color w:val="auto"/>
          <w:spacing w:val="20"/>
          <w:kern w:val="0"/>
          <w:sz w:val="32"/>
          <w:szCs w:val="32"/>
          <w:highlight w:val="none"/>
          <w:u w:val="single"/>
          <w:lang w:val="en-US" w:eastAsia="zh-CN"/>
        </w:rPr>
        <w:t xml:space="preserve"> </w:t>
      </w:r>
    </w:p>
    <w:p w14:paraId="1F53B91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EA02B6">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8AE0C85">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FAF93D7">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_Toc32331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eastAsiaTheme="minorEastAsia"/>
          <w:color w:val="auto"/>
          <w:szCs w:val="24"/>
          <w:highlight w:val="none"/>
        </w:rPr>
        <w:fldChar w:fldCharType="end"/>
      </w:r>
    </w:p>
    <w:p w14:paraId="5FE486E3">
      <w:pPr>
        <w:pStyle w:val="20"/>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_Toc8888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p>
    <w:p w14:paraId="063E0F4B">
      <w:pPr>
        <w:pStyle w:val="20"/>
        <w:tabs>
          <w:tab w:val="right" w:leader="dot" w:pos="8306"/>
        </w:tabs>
        <w:rPr>
          <w:rFonts w:hint="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_Toc22605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lang w:eastAsia="zh-CN"/>
        </w:rPr>
        <w:t xml:space="preserve">第三章 </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采购需求</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color w:val="auto"/>
          <w:highlight w:val="none"/>
          <w:lang w:val="en-US" w:eastAsia="zh-CN"/>
        </w:rPr>
        <w:t>4</w:t>
      </w:r>
    </w:p>
    <w:p w14:paraId="350EBB44">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_Toc30824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hint="eastAsia"/>
          <w:color w:val="auto"/>
          <w:highlight w:val="none"/>
          <w:lang w:val="en-US" w:eastAsia="zh-CN"/>
        </w:rPr>
        <w:t>3</w:t>
      </w:r>
      <w:r>
        <w:rPr>
          <w:rFonts w:asciiTheme="minorEastAsia" w:hAnsiTheme="minorEastAsia" w:eastAsiaTheme="minorEastAsia"/>
          <w:color w:val="auto"/>
          <w:szCs w:val="24"/>
          <w:highlight w:val="none"/>
        </w:rPr>
        <w:fldChar w:fldCharType="end"/>
      </w:r>
      <w:r>
        <w:rPr>
          <w:rFonts w:hint="eastAsia"/>
          <w:color w:val="auto"/>
          <w:highlight w:val="none"/>
          <w:lang w:val="en-US" w:eastAsia="zh-CN"/>
        </w:rPr>
        <w:t>2</w:t>
      </w:r>
    </w:p>
    <w:p w14:paraId="09336FC7">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_Toc20405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r>
        <w:rPr>
          <w:rFonts w:hint="eastAsia" w:eastAsiaTheme="minorEastAsia"/>
          <w:color w:val="auto"/>
          <w:highlight w:val="none"/>
          <w:lang w:val="en-US" w:eastAsia="zh-CN"/>
        </w:rPr>
        <w:t>5</w:t>
      </w:r>
    </w:p>
    <w:p w14:paraId="3E3537D5">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_Toc13555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r>
        <w:rPr>
          <w:rFonts w:hint="eastAsia" w:eastAsiaTheme="minorEastAsia"/>
          <w:color w:val="auto"/>
          <w:highlight w:val="none"/>
          <w:lang w:val="en-US" w:eastAsia="zh-CN"/>
        </w:rPr>
        <w:t>4</w:t>
      </w:r>
    </w:p>
    <w:p w14:paraId="603E10F9">
      <w:pPr>
        <w:pStyle w:val="20"/>
        <w:tabs>
          <w:tab w:val="right" w:leader="dot" w:pos="8306"/>
        </w:tabs>
        <w:rPr>
          <w:rFonts w:hint="eastAsia" w:asciiTheme="minorEastAsia" w:hAnsiTheme="minorEastAsia" w:eastAsiaTheme="minorEastAsia"/>
          <w:color w:val="auto"/>
          <w:szCs w:val="24"/>
          <w:highlight w:val="none"/>
          <w:lang w:val="en-US" w:eastAsia="zh-CN"/>
        </w:rPr>
      </w:pPr>
      <w:r>
        <w:rPr>
          <w:rFonts w:hint="eastAsia" w:eastAsiaTheme="minorEastAsia"/>
          <w:color w:val="auto"/>
          <w:highlight w:val="none"/>
          <w:lang w:val="en-US" w:eastAsia="zh-CN"/>
        </w:rPr>
        <w:fldChar w:fldCharType="begin"/>
      </w:r>
      <w:r>
        <w:rPr>
          <w:rFonts w:hint="eastAsia" w:eastAsiaTheme="minorEastAsia"/>
          <w:color w:val="auto"/>
          <w:highlight w:val="none"/>
          <w:lang w:val="en-US" w:eastAsia="zh-CN"/>
        </w:rPr>
        <w:instrText xml:space="preserve"> HYPERLINK \l _Toc20819 </w:instrText>
      </w:r>
      <w:r>
        <w:rPr>
          <w:rFonts w:hint="eastAsia" w:eastAsiaTheme="minorEastAsia"/>
          <w:color w:val="auto"/>
          <w:highlight w:val="none"/>
          <w:lang w:val="en-US" w:eastAsia="zh-CN"/>
        </w:rPr>
        <w:fldChar w:fldCharType="separate"/>
      </w:r>
      <w:r>
        <w:rPr>
          <w:rFonts w:hint="eastAsia" w:eastAsiaTheme="minorEastAsia"/>
          <w:color w:val="auto"/>
          <w:highlight w:val="none"/>
          <w:lang w:val="en-US" w:eastAsia="zh-CN"/>
        </w:rPr>
        <w:t>第七章  政府采购供应商询问函和质疑函范本</w:t>
      </w:r>
      <w:r>
        <w:rPr>
          <w:rFonts w:hint="eastAsia" w:eastAsiaTheme="minorEastAsia"/>
          <w:color w:val="auto"/>
          <w:highlight w:val="none"/>
          <w:lang w:val="en-US" w:eastAsia="zh-CN"/>
        </w:rPr>
        <w:tab/>
      </w:r>
      <w:r>
        <w:rPr>
          <w:rFonts w:hint="eastAsia" w:eastAsiaTheme="minorEastAsia"/>
          <w:color w:val="auto"/>
          <w:highlight w:val="none"/>
          <w:lang w:val="en-US" w:eastAsia="zh-CN"/>
        </w:rPr>
        <w:t>7</w:t>
      </w:r>
      <w:r>
        <w:rPr>
          <w:rFonts w:hint="eastAsia" w:eastAsiaTheme="minorEastAsia"/>
          <w:color w:val="auto"/>
          <w:highlight w:val="none"/>
          <w:lang w:val="en-US" w:eastAsia="zh-CN"/>
        </w:rPr>
        <w:fldChar w:fldCharType="end"/>
      </w:r>
      <w:r>
        <w:rPr>
          <w:rFonts w:hint="eastAsia" w:eastAsiaTheme="minorEastAsia"/>
          <w:color w:val="auto"/>
          <w:highlight w:val="none"/>
          <w:lang w:val="en-US" w:eastAsia="zh-CN"/>
        </w:rPr>
        <w:t>2</w:t>
      </w:r>
    </w:p>
    <w:p w14:paraId="0A9D85CD">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098389B5">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486" w:bottom="1440" w:left="1800" w:header="851" w:footer="992" w:gutter="0"/>
          <w:cols w:space="425" w:num="1"/>
          <w:docGrid w:type="lines" w:linePitch="312" w:charSpace="0"/>
        </w:sectPr>
      </w:pPr>
    </w:p>
    <w:p w14:paraId="4A8686C0">
      <w:pPr>
        <w:spacing w:line="420" w:lineRule="exact"/>
        <w:jc w:val="center"/>
        <w:outlineLvl w:val="0"/>
        <w:rPr>
          <w:rFonts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第一章  投标邀请</w:t>
      </w:r>
      <w:bookmarkEnd w:id="1"/>
    </w:p>
    <w:p w14:paraId="64F28AE2">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0B3866ED">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滁州市公安局人民警察训练中心食堂原材料采购项目</w:t>
      </w:r>
      <w:r>
        <w:rPr>
          <w:rFonts w:hint="eastAsia" w:ascii="宋体" w:hAnsi="宋体" w:eastAsia="宋体" w:cs="宋体"/>
          <w:color w:val="auto"/>
          <w:sz w:val="24"/>
          <w:highlight w:val="none"/>
        </w:rPr>
        <w:t>的潜在投标人应在滁州市公共资源交易中心网（http://ggzy.chuzhou.gov.cn/）获取招标文件，并于</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点</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分（北京时间）前递交投标文件。</w:t>
      </w:r>
    </w:p>
    <w:p w14:paraId="30BFDC40">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3A865304">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default" w:ascii="宋体" w:hAnsi="宋体" w:eastAsia="宋体" w:cs="宋体"/>
          <w:color w:val="auto"/>
          <w:sz w:val="24"/>
          <w:highlight w:val="none"/>
        </w:rPr>
        <w:t>czsjcg202605-0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 xml:space="preserve"> </w:t>
      </w:r>
    </w:p>
    <w:p w14:paraId="1DE19ACB">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滁州市公安局人民警察训练中心食堂原材料采购项目</w:t>
      </w:r>
    </w:p>
    <w:p w14:paraId="74E01A72">
      <w:pPr>
        <w:spacing w:line="420" w:lineRule="exact"/>
        <w:ind w:firstLine="435"/>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一年70万元</w:t>
      </w:r>
    </w:p>
    <w:p w14:paraId="3E3938A2">
      <w:pPr>
        <w:spacing w:line="420" w:lineRule="exact"/>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最高限价：本项目投标报价采用百分比报价，</w:t>
      </w:r>
      <w:r>
        <w:rPr>
          <w:rFonts w:hint="eastAsia" w:ascii="宋体" w:hAnsi="宋体" w:eastAsia="宋体" w:cs="宋体"/>
          <w:color w:val="auto"/>
          <w:sz w:val="24"/>
          <w:highlight w:val="none"/>
          <w:lang w:val="en-US" w:eastAsia="zh-CN"/>
        </w:rPr>
        <w:t>最高限价为100%，投标报价不得高于最高限价，否则按无效标处理。</w:t>
      </w:r>
    </w:p>
    <w:p w14:paraId="24D4B77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采购需求：为</w:t>
      </w:r>
      <w:r>
        <w:rPr>
          <w:rFonts w:hint="eastAsia" w:ascii="宋体" w:hAnsi="宋体" w:eastAsia="宋体" w:cs="宋体"/>
          <w:color w:val="auto"/>
          <w:sz w:val="24"/>
          <w:highlight w:val="none"/>
          <w:lang w:val="en-US" w:eastAsia="zh-CN"/>
        </w:rPr>
        <w:t>滁州市公安局人民警察训练中心</w:t>
      </w:r>
      <w:r>
        <w:rPr>
          <w:rFonts w:hint="eastAsia" w:ascii="宋体" w:hAnsi="宋体" w:eastAsia="宋体" w:cs="宋体"/>
          <w:color w:val="auto"/>
          <w:sz w:val="24"/>
          <w:highlight w:val="none"/>
        </w:rPr>
        <w:t>食堂供应粮食类、蔬菜类、家禽类、水产类、鲜肉类、冷冻品类、豆制品类、干货调味品、水果、点心等食堂所有原材料。采购的具体数量和品种</w:t>
      </w:r>
      <w:r>
        <w:rPr>
          <w:rFonts w:hint="eastAsia" w:ascii="宋体" w:hAnsi="宋体" w:eastAsia="宋体" w:cs="宋体"/>
          <w:color w:val="auto"/>
          <w:sz w:val="24"/>
          <w:highlight w:val="none"/>
          <w:lang w:val="en-US" w:eastAsia="zh-CN"/>
        </w:rPr>
        <w:t>以</w:t>
      </w:r>
      <w:r>
        <w:rPr>
          <w:rFonts w:hint="eastAsia" w:ascii="宋体" w:hAnsi="宋体" w:eastAsia="宋体" w:cs="宋体"/>
          <w:color w:val="auto"/>
          <w:sz w:val="24"/>
          <w:highlight w:val="none"/>
        </w:rPr>
        <w:t>实际发生</w:t>
      </w:r>
      <w:r>
        <w:rPr>
          <w:rFonts w:hint="eastAsia" w:ascii="宋体" w:hAnsi="宋体" w:eastAsia="宋体" w:cs="宋体"/>
          <w:color w:val="auto"/>
          <w:sz w:val="24"/>
          <w:highlight w:val="none"/>
          <w:lang w:val="en-US" w:eastAsia="zh-CN"/>
        </w:rPr>
        <w:t>为准</w:t>
      </w:r>
      <w:r>
        <w:rPr>
          <w:rFonts w:hint="eastAsia" w:ascii="宋体" w:hAnsi="宋体" w:eastAsia="宋体" w:cs="宋体"/>
          <w:color w:val="auto"/>
          <w:sz w:val="24"/>
          <w:highlight w:val="none"/>
          <w:lang w:eastAsia="zh-CN"/>
        </w:rPr>
        <w:t>。</w:t>
      </w:r>
    </w:p>
    <w:p w14:paraId="1FC77E5C">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合同履行期限：三年，合同一年一签。</w:t>
      </w:r>
    </w:p>
    <w:p w14:paraId="71D49666">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326F07D2">
      <w:pPr>
        <w:spacing w:line="420" w:lineRule="exact"/>
        <w:ind w:firstLine="437"/>
        <w:outlineLvl w:val="1"/>
        <w:rPr>
          <w:rFonts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5970BFEB">
      <w:pPr>
        <w:spacing w:line="420" w:lineRule="exact"/>
        <w:ind w:firstLine="435"/>
        <w:rPr>
          <w:rFonts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287A29BA">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s="宋体"/>
          <w:color w:val="auto"/>
          <w:sz w:val="24"/>
          <w:highlight w:val="none"/>
        </w:rPr>
        <w:t>；</w:t>
      </w:r>
    </w:p>
    <w:p w14:paraId="06DD8746">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p>
    <w:p w14:paraId="4CD73B6A">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19772A2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2BE91BB6">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069152A3">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3A0725A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3471E25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06A2B58C">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0E339872">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1BD3DEFE">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10A0949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3D9BCFFB">
      <w:pPr>
        <w:spacing w:line="420" w:lineRule="exact"/>
        <w:ind w:firstLine="437"/>
        <w:outlineLvl w:val="1"/>
        <w:rPr>
          <w:rFonts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55A468CC">
      <w:pPr>
        <w:spacing w:line="420" w:lineRule="exact"/>
        <w:ind w:firstLine="480" w:firstLineChars="200"/>
        <w:rPr>
          <w:rFonts w:ascii="宋体" w:hAnsi="宋体" w:eastAsia="宋体" w:cs="宋体"/>
          <w:i/>
          <w:iCs/>
          <w:color w:val="auto"/>
          <w:sz w:val="24"/>
          <w:szCs w:val="24"/>
          <w:highlight w:val="none"/>
        </w:rPr>
      </w:pPr>
      <w:bookmarkStart w:id="8"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eastAsia="zh-CN"/>
        </w:rPr>
        <w:t>2026</w:t>
      </w:r>
      <w:r>
        <w:rPr>
          <w:rFonts w:hint="eastAsia" w:ascii="宋体" w:hAnsi="宋体" w:eastAsia="宋体" w:cs="宋体"/>
          <w:color w:val="auto"/>
          <w:sz w:val="24"/>
          <w:szCs w:val="24"/>
          <w:highlight w:val="none"/>
          <w:u w:val="none"/>
          <w:lang w:eastAsia="zh-CN"/>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04E35441">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7E134A0E">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79917D8A">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642DF544">
      <w:pPr>
        <w:spacing w:line="420" w:lineRule="exact"/>
        <w:ind w:firstLine="437"/>
        <w:outlineLvl w:val="1"/>
        <w:rPr>
          <w:rFonts w:ascii="宋体" w:hAnsi="宋体" w:eastAsia="宋体" w:cs="宋体"/>
          <w:b/>
          <w:bCs/>
          <w:color w:val="auto"/>
          <w:sz w:val="24"/>
          <w:szCs w:val="18"/>
          <w:highlight w:val="none"/>
        </w:rPr>
      </w:pPr>
      <w:bookmarkStart w:id="9" w:name="_Toc25902"/>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46CD357">
      <w:pPr>
        <w:spacing w:line="420" w:lineRule="exact"/>
        <w:ind w:firstLine="480" w:firstLineChars="200"/>
        <w:rPr>
          <w:rFonts w:ascii="宋体" w:hAnsi="宋体" w:eastAsia="宋体" w:cs="宋体"/>
          <w:bCs/>
          <w:color w:val="auto"/>
          <w:sz w:val="24"/>
          <w:szCs w:val="24"/>
          <w:highlight w:val="none"/>
        </w:rPr>
      </w:pPr>
      <w:bookmarkStart w:id="10" w:name="_Toc5082"/>
      <w:r>
        <w:rPr>
          <w:rFonts w:hint="eastAsia" w:ascii="宋体" w:hAnsi="宋体" w:eastAsia="宋体" w:cs="宋体"/>
          <w:color w:val="auto"/>
          <w:sz w:val="24"/>
          <w:szCs w:val="24"/>
          <w:highlight w:val="none"/>
          <w:u w:val="single"/>
          <w:lang w:eastAsia="zh-CN"/>
        </w:rPr>
        <w:t>2026</w:t>
      </w:r>
      <w:r>
        <w:rPr>
          <w:rFonts w:hint="eastAsia" w:ascii="宋体" w:hAnsi="宋体" w:eastAsia="宋体" w:cs="宋体"/>
          <w:color w:val="auto"/>
          <w:sz w:val="24"/>
          <w:szCs w:val="24"/>
          <w:highlight w:val="none"/>
          <w:u w:val="none"/>
          <w:lang w:eastAsia="zh-CN"/>
        </w:rPr>
        <w:t>年</w:t>
      </w:r>
      <w:r>
        <w:rPr>
          <w:rFonts w:hint="eastAsia" w:ascii="宋体" w:hAnsi="宋体" w:eastAsia="宋体" w:cs="宋体"/>
          <w:color w:val="auto"/>
          <w:sz w:val="24"/>
          <w:szCs w:val="24"/>
          <w:highlight w:val="none"/>
          <w:u w:val="single"/>
          <w:lang w:val="en-US" w:eastAsia="zh-CN"/>
        </w:rPr>
        <w:t xml:space="preserve"> 6</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single"/>
          <w:lang w:val="en-US" w:eastAsia="zh-CN"/>
        </w:rPr>
        <w:t xml:space="preserve"> 22</w:t>
      </w:r>
      <w:r>
        <w:rPr>
          <w:rFonts w:hint="eastAsia" w:ascii="宋体" w:hAnsi="宋体" w:eastAsia="宋体" w:cs="宋体"/>
          <w:color w:val="auto"/>
          <w:sz w:val="24"/>
          <w:szCs w:val="24"/>
          <w:highlight w:val="none"/>
          <w:u w:val="none"/>
          <w:lang w:eastAsia="zh-CN"/>
        </w:rPr>
        <w:t>日</w:t>
      </w:r>
      <w:r>
        <w:rPr>
          <w:rFonts w:hint="eastAsia" w:ascii="宋体" w:hAnsi="宋体" w:eastAsia="宋体" w:cs="宋体"/>
          <w:bCs/>
          <w:color w:val="auto"/>
          <w:sz w:val="24"/>
          <w:szCs w:val="24"/>
          <w:highlight w:val="none"/>
          <w:u w:val="single"/>
          <w:lang w:val="en-US" w:eastAsia="zh-CN"/>
        </w:rPr>
        <w:t xml:space="preserve"> 8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 xml:space="preserve"> 30 </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79F78DB6">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14613839">
      <w:pPr>
        <w:spacing w:line="420" w:lineRule="exact"/>
        <w:ind w:firstLine="437"/>
        <w:outlineLvl w:val="1"/>
        <w:rPr>
          <w:rFonts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085A5003">
      <w:pPr>
        <w:spacing w:line="420" w:lineRule="exact"/>
        <w:ind w:firstLine="437"/>
        <w:rPr>
          <w:rFonts w:ascii="宋体" w:hAnsi="宋体" w:eastAsia="宋体" w:cs="宋体"/>
          <w:color w:val="auto"/>
          <w:sz w:val="24"/>
          <w:szCs w:val="18"/>
          <w:highlight w:val="none"/>
        </w:rPr>
      </w:pPr>
      <w:bookmarkStart w:id="12" w:name="_Toc1215"/>
      <w:r>
        <w:rPr>
          <w:rFonts w:hint="eastAsia" w:ascii="宋体" w:hAnsi="宋体" w:eastAsia="宋体" w:cs="宋体"/>
          <w:color w:val="auto"/>
          <w:sz w:val="24"/>
          <w:szCs w:val="18"/>
          <w:highlight w:val="none"/>
        </w:rPr>
        <w:t>自本公告发布之日起5个工作日。</w:t>
      </w:r>
    </w:p>
    <w:p w14:paraId="1DA5CC2A">
      <w:pPr>
        <w:spacing w:line="420" w:lineRule="exact"/>
        <w:ind w:firstLine="437"/>
        <w:outlineLvl w:val="1"/>
        <w:rPr>
          <w:rFonts w:ascii="宋体" w:hAnsi="宋体" w:eastAsia="宋体" w:cs="宋体"/>
          <w:b/>
          <w:bCs/>
          <w:color w:val="auto"/>
          <w:sz w:val="24"/>
          <w:szCs w:val="18"/>
          <w:highlight w:val="none"/>
        </w:rPr>
      </w:pPr>
      <w:bookmarkStart w:id="13" w:name="_Toc35393795"/>
      <w:bookmarkStart w:id="14" w:name="_Toc35393626"/>
      <w:bookmarkStart w:id="15" w:name="_Toc31539"/>
      <w:r>
        <w:rPr>
          <w:rFonts w:hint="eastAsia" w:ascii="宋体" w:hAnsi="宋体" w:eastAsia="宋体" w:cs="宋体"/>
          <w:b/>
          <w:bCs/>
          <w:color w:val="auto"/>
          <w:sz w:val="24"/>
          <w:szCs w:val="18"/>
          <w:highlight w:val="none"/>
        </w:rPr>
        <w:t>六、</w:t>
      </w:r>
      <w:bookmarkEnd w:id="13"/>
      <w:bookmarkEnd w:id="14"/>
      <w:bookmarkEnd w:id="15"/>
      <w:r>
        <w:rPr>
          <w:rFonts w:hint="eastAsia" w:ascii="宋体" w:hAnsi="宋体" w:eastAsia="宋体" w:cs="宋体"/>
          <w:b/>
          <w:bCs/>
          <w:color w:val="auto"/>
          <w:sz w:val="24"/>
          <w:szCs w:val="18"/>
          <w:highlight w:val="none"/>
        </w:rPr>
        <w:t>投标保证金金额及缴纳账户</w:t>
      </w:r>
    </w:p>
    <w:p w14:paraId="47C5E3C2">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44C31A97">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七、其他补充事宜</w:t>
      </w:r>
    </w:p>
    <w:p w14:paraId="0539B2CC">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42A3C1D1">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0C082CC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0623849D">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2"/>
    <w:p w14:paraId="3F669C8F">
      <w:pPr>
        <w:spacing w:line="420" w:lineRule="exact"/>
        <w:ind w:firstLine="437"/>
        <w:outlineLvl w:val="1"/>
        <w:rPr>
          <w:rFonts w:ascii="宋体" w:hAnsi="宋体" w:eastAsia="宋体" w:cs="宋体"/>
          <w:b/>
          <w:bCs/>
          <w:color w:val="auto"/>
          <w:sz w:val="24"/>
          <w:szCs w:val="18"/>
          <w:highlight w:val="none"/>
        </w:rPr>
      </w:pPr>
      <w:bookmarkStart w:id="16" w:name="_Toc7265"/>
      <w:bookmarkStart w:id="17" w:name="_Toc13296"/>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5DB81FDD">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4C97DD9F">
      <w:pPr>
        <w:spacing w:line="420" w:lineRule="exact"/>
        <w:ind w:firstLine="435"/>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名  称：</w:t>
      </w:r>
      <w:r>
        <w:rPr>
          <w:rFonts w:hint="eastAsia" w:ascii="宋体" w:hAnsi="宋体" w:eastAsia="宋体" w:cs="宋体"/>
          <w:color w:val="auto"/>
          <w:sz w:val="24"/>
          <w:szCs w:val="18"/>
          <w:highlight w:val="none"/>
          <w:u w:val="none"/>
          <w:lang w:eastAsia="zh-CN"/>
        </w:rPr>
        <w:t>滁州市公安局</w:t>
      </w:r>
    </w:p>
    <w:p w14:paraId="2A1539D6">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w:t>
      </w:r>
      <w:r>
        <w:rPr>
          <w:rFonts w:hint="eastAsia" w:ascii="宋体" w:hAnsi="宋体" w:eastAsia="宋体" w:cs="宋体"/>
          <w:color w:val="auto"/>
          <w:sz w:val="24"/>
          <w:szCs w:val="18"/>
          <w:highlight w:val="none"/>
          <w:u w:val="none"/>
          <w:lang w:val="en-US" w:eastAsia="zh-CN"/>
        </w:rPr>
        <w:t>：滁州市龙蟠大道111号</w:t>
      </w:r>
    </w:p>
    <w:p w14:paraId="7050623A">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联系人：</w:t>
      </w:r>
      <w:r>
        <w:rPr>
          <w:rFonts w:hint="eastAsia" w:ascii="宋体" w:hAnsi="宋体" w:eastAsia="宋体" w:cs="宋体"/>
          <w:color w:val="auto"/>
          <w:sz w:val="24"/>
          <w:szCs w:val="18"/>
          <w:highlight w:val="none"/>
          <w:u w:val="none"/>
          <w:lang w:val="en-US" w:eastAsia="zh-CN"/>
        </w:rPr>
        <w:t>吴山</w:t>
      </w:r>
      <w:r>
        <w:rPr>
          <w:rFonts w:hint="eastAsia" w:ascii="宋体" w:hAnsi="宋体" w:eastAsia="宋体" w:cs="宋体"/>
          <w:color w:val="auto"/>
          <w:sz w:val="24"/>
          <w:szCs w:val="18"/>
          <w:highlight w:val="none"/>
          <w:u w:val="none"/>
        </w:rPr>
        <w:t xml:space="preserve"> </w:t>
      </w:r>
    </w:p>
    <w:p w14:paraId="3CE832D8">
      <w:pPr>
        <w:spacing w:line="420" w:lineRule="exact"/>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szCs w:val="18"/>
          <w:highlight w:val="none"/>
          <w:u w:val="none"/>
        </w:rPr>
        <w:t>联系方式</w:t>
      </w:r>
      <w:r>
        <w:rPr>
          <w:rFonts w:hint="eastAsia" w:ascii="宋体" w:hAnsi="宋体" w:eastAsia="宋体" w:cs="宋体"/>
          <w:color w:val="auto"/>
          <w:sz w:val="24"/>
          <w:szCs w:val="18"/>
          <w:highlight w:val="none"/>
          <w:u w:val="none"/>
          <w:lang w:eastAsia="zh-CN"/>
        </w:rPr>
        <w:t>：15855097753</w:t>
      </w:r>
    </w:p>
    <w:p w14:paraId="7305C387">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2.采购代理机构信息</w:t>
      </w:r>
    </w:p>
    <w:p w14:paraId="7E51314D">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名  称：</w:t>
      </w:r>
      <w:r>
        <w:rPr>
          <w:rFonts w:hint="eastAsia" w:ascii="宋体" w:hAnsi="宋体" w:eastAsia="宋体" w:cs="宋体"/>
          <w:color w:val="auto"/>
          <w:sz w:val="24"/>
          <w:szCs w:val="18"/>
          <w:highlight w:val="none"/>
          <w:u w:val="none"/>
          <w:lang w:val="en-US" w:eastAsia="zh-CN"/>
        </w:rPr>
        <w:t>滁州市城投工程咨询管理有限公司</w:t>
      </w:r>
    </w:p>
    <w:p w14:paraId="41D686FB">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w:t>
      </w:r>
      <w:r>
        <w:rPr>
          <w:rFonts w:hint="eastAsia" w:ascii="宋体" w:hAnsi="宋体" w:eastAsia="宋体" w:cs="宋体"/>
          <w:color w:val="auto"/>
          <w:sz w:val="24"/>
          <w:szCs w:val="18"/>
          <w:highlight w:val="none"/>
          <w:u w:val="none"/>
          <w:lang w:val="en-US" w:eastAsia="zh-CN"/>
        </w:rPr>
        <w:t>滁州市龙蟠大道109号房产商务大厦6楼</w:t>
      </w:r>
    </w:p>
    <w:p w14:paraId="4FD7BC4D">
      <w:pPr>
        <w:spacing w:line="420" w:lineRule="exact"/>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szCs w:val="18"/>
          <w:highlight w:val="none"/>
          <w:u w:val="none"/>
        </w:rPr>
        <w:t>联系人：</w:t>
      </w:r>
      <w:r>
        <w:rPr>
          <w:rFonts w:hint="eastAsia" w:ascii="宋体" w:hAnsi="宋体" w:eastAsia="宋体" w:cs="宋体"/>
          <w:color w:val="auto"/>
          <w:sz w:val="24"/>
          <w:szCs w:val="18"/>
          <w:highlight w:val="none"/>
          <w:u w:val="none"/>
          <w:lang w:val="en-US" w:eastAsia="zh-CN"/>
        </w:rPr>
        <w:t>周蓓蕾</w:t>
      </w:r>
    </w:p>
    <w:p w14:paraId="73B2671F">
      <w:pPr>
        <w:spacing w:line="420" w:lineRule="exact"/>
        <w:ind w:firstLine="435"/>
        <w:rPr>
          <w:rFonts w:hint="default"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联系方式：</w:t>
      </w:r>
      <w:r>
        <w:rPr>
          <w:rFonts w:hint="eastAsia" w:ascii="宋体" w:hAnsi="宋体" w:eastAsia="宋体" w:cs="宋体"/>
          <w:color w:val="auto"/>
          <w:sz w:val="24"/>
          <w:szCs w:val="18"/>
          <w:highlight w:val="none"/>
          <w:u w:val="none"/>
          <w:lang w:eastAsia="zh-CN"/>
        </w:rPr>
        <w:t>0550-351951</w:t>
      </w:r>
      <w:r>
        <w:rPr>
          <w:rFonts w:hint="eastAsia" w:ascii="宋体" w:hAnsi="宋体" w:eastAsia="宋体" w:cs="宋体"/>
          <w:color w:val="auto"/>
          <w:sz w:val="24"/>
          <w:szCs w:val="18"/>
          <w:highlight w:val="none"/>
          <w:u w:val="none"/>
          <w:lang w:val="en-US" w:eastAsia="zh-CN"/>
        </w:rPr>
        <w:t>9</w:t>
      </w:r>
      <w:r>
        <w:rPr>
          <w:rFonts w:hint="eastAsia" w:ascii="宋体" w:hAnsi="宋体" w:eastAsia="宋体" w:cs="宋体"/>
          <w:color w:val="auto"/>
          <w:sz w:val="24"/>
          <w:szCs w:val="18"/>
          <w:highlight w:val="none"/>
          <w:u w:val="none"/>
          <w:lang w:eastAsia="zh-CN"/>
        </w:rPr>
        <w:t>、18</w:t>
      </w:r>
      <w:r>
        <w:rPr>
          <w:rFonts w:hint="eastAsia" w:ascii="宋体" w:hAnsi="宋体" w:eastAsia="宋体" w:cs="宋体"/>
          <w:color w:val="auto"/>
          <w:sz w:val="24"/>
          <w:szCs w:val="18"/>
          <w:highlight w:val="none"/>
          <w:u w:val="none"/>
          <w:lang w:val="en-US" w:eastAsia="zh-CN"/>
        </w:rPr>
        <w:t>005505728</w:t>
      </w:r>
    </w:p>
    <w:p w14:paraId="7D8360AE">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3.政府采购监督管理部门信息</w:t>
      </w:r>
    </w:p>
    <w:p w14:paraId="178987DE">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名  称：滁州市公共资源交易监督管理局</w:t>
      </w:r>
    </w:p>
    <w:p w14:paraId="385B8F9B">
      <w:pPr>
        <w:spacing w:line="420" w:lineRule="exact"/>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w:t>
      </w: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楼</w:t>
      </w:r>
    </w:p>
    <w:p w14:paraId="76A49EDC">
      <w:pPr>
        <w:spacing w:line="420" w:lineRule="exact"/>
        <w:ind w:firstLine="435"/>
        <w:rPr>
          <w:rFonts w:ascii="宋体" w:hAnsi="宋体" w:eastAsia="宋体"/>
          <w:color w:val="auto"/>
          <w:sz w:val="24"/>
          <w:szCs w:val="18"/>
          <w:highlight w:val="none"/>
        </w:rPr>
      </w:pPr>
      <w:r>
        <w:rPr>
          <w:rFonts w:hint="eastAsia" w:ascii="宋体" w:hAnsi="宋体" w:eastAsia="宋体" w:cs="宋体"/>
          <w:color w:val="auto"/>
          <w:sz w:val="24"/>
          <w:szCs w:val="18"/>
          <w:highlight w:val="none"/>
          <w:u w:val="none"/>
        </w:rPr>
        <w:t>联系方式：0550-3801656</w:t>
      </w:r>
      <w:r>
        <w:rPr>
          <w:rFonts w:ascii="宋体" w:hAnsi="宋体" w:eastAsia="宋体"/>
          <w:color w:val="auto"/>
          <w:sz w:val="24"/>
          <w:szCs w:val="18"/>
          <w:highlight w:val="none"/>
        </w:rPr>
        <w:br w:type="page"/>
      </w:r>
    </w:p>
    <w:p w14:paraId="6E968A6C">
      <w:pPr>
        <w:spacing w:line="360" w:lineRule="auto"/>
        <w:jc w:val="center"/>
        <w:outlineLvl w:val="0"/>
        <w:rPr>
          <w:rFonts w:asciiTheme="minorEastAsia" w:hAnsiTheme="minorEastAsia" w:eastAsiaTheme="minorEastAsia"/>
          <w:b/>
          <w:color w:val="auto"/>
          <w:sz w:val="28"/>
          <w:highlight w:val="none"/>
        </w:rPr>
      </w:pPr>
      <w:bookmarkStart w:id="18"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1B604C30">
      <w:pPr>
        <w:spacing w:line="360" w:lineRule="auto"/>
        <w:jc w:val="center"/>
        <w:outlineLvl w:val="1"/>
        <w:rPr>
          <w:rFonts w:asciiTheme="minorEastAsia" w:hAnsiTheme="minorEastAsia" w:eastAsiaTheme="minorEastAsia"/>
          <w:b/>
          <w:color w:val="auto"/>
          <w:sz w:val="24"/>
          <w:highlight w:val="none"/>
        </w:rPr>
      </w:pPr>
      <w:bookmarkStart w:id="19" w:name="_Toc13589"/>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02CC15C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618"/>
      </w:tblGrid>
      <w:tr w14:paraId="0DCE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8A9606E">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033" w:type="dxa"/>
            <w:vAlign w:val="center"/>
          </w:tcPr>
          <w:p w14:paraId="6AA86D20">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618" w:type="dxa"/>
            <w:vAlign w:val="center"/>
          </w:tcPr>
          <w:p w14:paraId="42FBC87D">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1D4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FE7FF1">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033" w:type="dxa"/>
            <w:vAlign w:val="center"/>
          </w:tcPr>
          <w:p w14:paraId="7720AEE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5618" w:type="dxa"/>
            <w:vAlign w:val="center"/>
          </w:tcPr>
          <w:p w14:paraId="4A3C75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848A1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94BDEE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BCD311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183B42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0025596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5797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6266A2E">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2033" w:type="dxa"/>
            <w:vAlign w:val="center"/>
          </w:tcPr>
          <w:p w14:paraId="3158379C">
            <w:pPr>
              <w:pStyle w:val="4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618" w:type="dxa"/>
            <w:vAlign w:val="center"/>
          </w:tcPr>
          <w:p w14:paraId="0E5B5F5C">
            <w:pPr>
              <w:pStyle w:val="45"/>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6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25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8ABD282">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2033" w:type="dxa"/>
            <w:vAlign w:val="center"/>
          </w:tcPr>
          <w:p w14:paraId="1057DEEA">
            <w:pPr>
              <w:pStyle w:val="4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618" w:type="dxa"/>
            <w:vAlign w:val="center"/>
          </w:tcPr>
          <w:p w14:paraId="68C9C60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p w14:paraId="265B4D6B">
            <w:pPr>
              <w:pStyle w:val="45"/>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0643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Align w:val="center"/>
          </w:tcPr>
          <w:p w14:paraId="59F9094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2033" w:type="dxa"/>
            <w:vAlign w:val="center"/>
          </w:tcPr>
          <w:p w14:paraId="77CF9D40">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5618" w:type="dxa"/>
            <w:vAlign w:val="center"/>
          </w:tcPr>
          <w:p w14:paraId="2A104260">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F6D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62989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2033" w:type="dxa"/>
            <w:vAlign w:val="center"/>
          </w:tcPr>
          <w:p w14:paraId="166BE4B9">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618" w:type="dxa"/>
            <w:vAlign w:val="center"/>
          </w:tcPr>
          <w:p w14:paraId="3356809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2FEA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E8824A3">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033" w:type="dxa"/>
            <w:vAlign w:val="center"/>
          </w:tcPr>
          <w:p w14:paraId="7FCA113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618" w:type="dxa"/>
            <w:vAlign w:val="center"/>
          </w:tcPr>
          <w:p w14:paraId="12056D07">
            <w:pPr>
              <w:pStyle w:val="45"/>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szCs w:val="24"/>
                <w:highlight w:val="none"/>
              </w:rPr>
              <w:t>（以本项目网上招投标系统解密倒计时为准）</w:t>
            </w:r>
          </w:p>
        </w:tc>
      </w:tr>
      <w:tr w14:paraId="16E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FFDB2F6">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2033" w:type="dxa"/>
            <w:vAlign w:val="center"/>
          </w:tcPr>
          <w:p w14:paraId="0EA1DB1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5618" w:type="dxa"/>
            <w:vAlign w:val="center"/>
          </w:tcPr>
          <w:p w14:paraId="5355D388">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0EEBDFC">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54A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977508">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2033" w:type="dxa"/>
            <w:vAlign w:val="center"/>
          </w:tcPr>
          <w:p w14:paraId="6AB0F20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5618" w:type="dxa"/>
            <w:vAlign w:val="center"/>
          </w:tcPr>
          <w:p w14:paraId="45F08B1C">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695839E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345F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46D3A9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2033" w:type="dxa"/>
            <w:vAlign w:val="center"/>
          </w:tcPr>
          <w:p w14:paraId="09F1C5D9">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58520C36">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val="0"/>
                <w:iCs/>
                <w:color w:val="auto"/>
                <w:sz w:val="24"/>
                <w:highlight w:val="none"/>
              </w:rPr>
              <w:t>（非专门面向中小企业采购项目适用）</w:t>
            </w:r>
          </w:p>
        </w:tc>
        <w:tc>
          <w:tcPr>
            <w:tcW w:w="5618" w:type="dxa"/>
            <w:vAlign w:val="center"/>
          </w:tcPr>
          <w:p w14:paraId="6752322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FC355F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3C1D6B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6C5876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5EF8378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6DD7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B029D01">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33D187A6">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仿宋_GB2312"/>
                <w:b w:val="0"/>
                <w:bCs/>
                <w:i w:val="0"/>
                <w:iCs/>
                <w:color w:val="auto"/>
                <w:kern w:val="0"/>
                <w:sz w:val="24"/>
                <w:szCs w:val="28"/>
                <w:highlight w:val="none"/>
                <w:lang w:val="en-US" w:eastAsia="zh-CN" w:bidi="ar-SA"/>
              </w:rPr>
              <w:t>（本项目不采用）</w:t>
            </w:r>
          </w:p>
        </w:tc>
        <w:tc>
          <w:tcPr>
            <w:tcW w:w="5618" w:type="dxa"/>
            <w:vAlign w:val="center"/>
          </w:tcPr>
          <w:p w14:paraId="66E9938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627938F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201D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9575C2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033" w:type="dxa"/>
            <w:vAlign w:val="center"/>
          </w:tcPr>
          <w:p w14:paraId="1BDB47F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5618" w:type="dxa"/>
            <w:vAlign w:val="center"/>
          </w:tcPr>
          <w:p w14:paraId="7673A0D7">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5F91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26A201">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33" w:type="dxa"/>
            <w:vAlign w:val="center"/>
          </w:tcPr>
          <w:p w14:paraId="0A25CCA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5618" w:type="dxa"/>
            <w:vAlign w:val="center"/>
          </w:tcPr>
          <w:p w14:paraId="6B22AA6E">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8E3D13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153D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2F7A9">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2033" w:type="dxa"/>
            <w:vAlign w:val="center"/>
          </w:tcPr>
          <w:p w14:paraId="5B87782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5618" w:type="dxa"/>
            <w:vAlign w:val="center"/>
          </w:tcPr>
          <w:p w14:paraId="1212B269">
            <w:pPr>
              <w:pStyle w:val="4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0F3A812C">
            <w:pPr>
              <w:pStyle w:val="45"/>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val="0"/>
                <w:iCs w:val="0"/>
                <w:color w:val="auto"/>
                <w:sz w:val="24"/>
                <w:highlight w:val="none"/>
                <w:u w:val="none"/>
              </w:rPr>
              <w:t>（如有）</w:t>
            </w:r>
          </w:p>
          <w:p w14:paraId="596C79A3">
            <w:pPr>
              <w:pStyle w:val="45"/>
              <w:widowControl w:val="0"/>
              <w:spacing w:before="0" w:beforeAutospacing="0" w:after="0" w:afterAutospacing="0" w:line="360" w:lineRule="auto"/>
              <w:jc w:val="both"/>
              <w:rPr>
                <w:rFonts w:hint="eastAsia" w:ascii="宋体" w:hAnsi="宋体" w:eastAsia="宋体"/>
                <w:b w:val="0"/>
                <w:bCs w:val="0"/>
                <w:color w:val="auto"/>
                <w:sz w:val="24"/>
                <w:szCs w:val="24"/>
                <w:highlight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tc>
      </w:tr>
      <w:tr w14:paraId="7AAD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25AE46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2033" w:type="dxa"/>
            <w:vAlign w:val="center"/>
          </w:tcPr>
          <w:p w14:paraId="36DB12C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5618" w:type="dxa"/>
            <w:vAlign w:val="center"/>
          </w:tcPr>
          <w:p w14:paraId="5525B256">
            <w:pPr>
              <w:pStyle w:val="4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4AB5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0A4F0C">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2033" w:type="dxa"/>
            <w:vAlign w:val="center"/>
          </w:tcPr>
          <w:p w14:paraId="0975F49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5618" w:type="dxa"/>
            <w:vAlign w:val="center"/>
          </w:tcPr>
          <w:p w14:paraId="4E3C6B4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284977B7">
            <w:pPr>
              <w:pStyle w:val="45"/>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400C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06" w:type="dxa"/>
            <w:vAlign w:val="center"/>
          </w:tcPr>
          <w:p w14:paraId="11EE4973">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2033" w:type="dxa"/>
            <w:vAlign w:val="center"/>
          </w:tcPr>
          <w:p w14:paraId="68D3AF1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618" w:type="dxa"/>
          </w:tcPr>
          <w:p w14:paraId="0F00A91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CAFDD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25BFC9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9B430AA">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0B9D52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F61347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489774D">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1C6D549">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p>
          <w:p w14:paraId="185EA29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u w:val="single"/>
              </w:rPr>
              <w:t xml:space="preserve">       </w:t>
            </w:r>
          </w:p>
          <w:p w14:paraId="319E9B28">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4E22B4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BD2F8A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F50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2B408B8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2033" w:type="dxa"/>
            <w:vAlign w:val="center"/>
          </w:tcPr>
          <w:p w14:paraId="2CD1F045">
            <w:pPr>
              <w:pStyle w:val="4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5618" w:type="dxa"/>
          </w:tcPr>
          <w:p w14:paraId="0A7B5B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389475D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2139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8B0E796">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2033" w:type="dxa"/>
            <w:vAlign w:val="center"/>
          </w:tcPr>
          <w:p w14:paraId="5E1A1894">
            <w:pPr>
              <w:pStyle w:val="4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5618" w:type="dxa"/>
            <w:vAlign w:val="center"/>
          </w:tcPr>
          <w:p w14:paraId="056C62B6">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29E2908D">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lang w:val="en-US" w:eastAsia="zh-CN"/>
              </w:rPr>
              <w:t>转账</w:t>
            </w:r>
            <w:r>
              <w:rPr>
                <w:rFonts w:ascii="宋体" w:hAnsi="宋体" w:eastAsia="宋体" w:cs="宋体"/>
                <w:color w:val="auto"/>
                <w:sz w:val="24"/>
                <w:szCs w:val="24"/>
                <w:highlight w:val="none"/>
                <w:u w:val="single" w:color="auto"/>
              </w:rPr>
              <w:t xml:space="preserve">   </w:t>
            </w:r>
          </w:p>
          <w:p w14:paraId="26B11CB6">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5250.00元</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bCs w:val="0"/>
                <w:color w:val="auto"/>
                <w:kern w:val="2"/>
                <w:sz w:val="24"/>
                <w:szCs w:val="24"/>
                <w:highlight w:val="none"/>
                <w:u w:val="single"/>
                <w:lang w:val="en-US" w:eastAsia="zh-CN"/>
              </w:rPr>
              <w:t>参考计价格【2002】1980号文件规定的50%</w:t>
            </w:r>
            <w:r>
              <w:rPr>
                <w:rFonts w:hint="eastAsia" w:ascii="宋体" w:hAnsi="宋体" w:eastAsia="宋体" w:cs="宋体"/>
                <w:b w:val="0"/>
                <w:bCs w:val="0"/>
                <w:color w:val="auto"/>
                <w:kern w:val="2"/>
                <w:sz w:val="24"/>
                <w:szCs w:val="24"/>
                <w:highlight w:val="none"/>
                <w:u w:val="single"/>
              </w:rPr>
              <w:t>，以最高限价计算</w:t>
            </w:r>
            <w:r>
              <w:rPr>
                <w:rFonts w:hint="eastAsia" w:ascii="宋体" w:hAnsi="宋体" w:eastAsia="宋体" w:cs="宋体"/>
                <w:b w:val="0"/>
                <w:bCs w:val="0"/>
                <w:color w:val="auto"/>
                <w:kern w:val="2"/>
                <w:sz w:val="24"/>
                <w:szCs w:val="24"/>
                <w:highlight w:val="none"/>
                <w:u w:val="single"/>
                <w:lang w:eastAsia="zh-CN"/>
              </w:rPr>
              <w:t>。</w:t>
            </w:r>
          </w:p>
        </w:tc>
      </w:tr>
      <w:tr w14:paraId="65BB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645DE89">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2033" w:type="dxa"/>
            <w:vAlign w:val="center"/>
          </w:tcPr>
          <w:p w14:paraId="729D3C1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618" w:type="dxa"/>
            <w:vAlign w:val="center"/>
          </w:tcPr>
          <w:p w14:paraId="7B2B63C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bCs/>
                <w:color w:val="auto"/>
                <w:kern w:val="0"/>
                <w:sz w:val="24"/>
                <w:szCs w:val="28"/>
                <w:highlight w:val="none"/>
                <w:u w:val="single"/>
              </w:rPr>
              <w:t xml:space="preserve"> </w:t>
            </w:r>
          </w:p>
          <w:p w14:paraId="4D17542D">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s="宋体"/>
                <w:color w:val="auto"/>
                <w:sz w:val="24"/>
                <w:highlight w:val="none"/>
                <w:u w:val="single"/>
                <w:lang w:eastAsia="zh-CN"/>
              </w:rPr>
              <w:t>滁州市公安局、滁州市城投工程咨询管理有限公司</w:t>
            </w:r>
            <w:r>
              <w:rPr>
                <w:rFonts w:hint="eastAsia" w:ascii="宋体" w:hAnsi="宋体" w:eastAsia="宋体" w:cs="宋体"/>
                <w:color w:val="auto"/>
                <w:sz w:val="24"/>
                <w:highlight w:val="none"/>
                <w:u w:val="single"/>
              </w:rPr>
              <w:t>；</w:t>
            </w:r>
          </w:p>
          <w:p w14:paraId="056D301D">
            <w:pPr>
              <w:pStyle w:val="45"/>
              <w:widowControl w:val="0"/>
              <w:spacing w:before="0" w:beforeAutospacing="0" w:after="0" w:afterAutospacing="0" w:line="500" w:lineRule="exact"/>
              <w:jc w:val="both"/>
              <w:rPr>
                <w:rFonts w:hint="eastAsia"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lang w:eastAsia="zh-CN"/>
              </w:rPr>
              <w:t>15855097753</w:t>
            </w:r>
            <w:r>
              <w:rPr>
                <w:rFonts w:hint="eastAsia" w:ascii="宋体" w:hAnsi="宋体" w:eastAsia="宋体" w:cs="宋体"/>
                <w:b/>
                <w:bCs w:val="0"/>
                <w:color w:val="auto"/>
                <w:sz w:val="24"/>
                <w:highlight w:val="none"/>
                <w:u w:val="single"/>
              </w:rPr>
              <w:t>、</w:t>
            </w:r>
            <w:r>
              <w:rPr>
                <w:rFonts w:hint="eastAsia" w:ascii="宋体" w:hAnsi="宋体" w:eastAsia="宋体" w:cs="宋体"/>
                <w:color w:val="auto"/>
                <w:sz w:val="24"/>
                <w:highlight w:val="none"/>
                <w:u w:val="single"/>
                <w:lang w:eastAsia="zh-CN"/>
              </w:rPr>
              <w:t>0550-3519519</w:t>
            </w:r>
            <w:r>
              <w:rPr>
                <w:rFonts w:hint="eastAsia" w:ascii="宋体" w:hAnsi="宋体" w:eastAsia="宋体" w:cs="宋体"/>
                <w:color w:val="auto"/>
                <w:sz w:val="24"/>
                <w:highlight w:val="none"/>
                <w:u w:val="single"/>
              </w:rPr>
              <w:t>；</w:t>
            </w:r>
          </w:p>
          <w:p w14:paraId="64E3F6CC">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滁州市龙蟠大道111号、滁州</w:t>
            </w:r>
            <w:r>
              <w:rPr>
                <w:rFonts w:hint="eastAsia" w:ascii="宋体" w:hAnsi="宋体" w:eastAsia="宋体" w:cs="宋体"/>
                <w:color w:val="auto"/>
                <w:sz w:val="24"/>
                <w:highlight w:val="none"/>
                <w:u w:val="single"/>
              </w:rPr>
              <w:t>市龙蟠大道109号房产大厦</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楼。</w:t>
            </w:r>
          </w:p>
        </w:tc>
      </w:tr>
      <w:tr w14:paraId="47C4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C21D41D">
            <w:pPr>
              <w:pStyle w:val="46"/>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2033" w:type="dxa"/>
            <w:vAlign w:val="center"/>
          </w:tcPr>
          <w:p w14:paraId="37E201CE">
            <w:pPr>
              <w:pStyle w:val="4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5618" w:type="dxa"/>
            <w:vAlign w:val="center"/>
          </w:tcPr>
          <w:p w14:paraId="7704E2F4">
            <w:pPr>
              <w:pStyle w:val="45"/>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5B118DF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9622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11C82A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ADA5BA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7D6AC175">
            <w:pPr>
              <w:pStyle w:val="45"/>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084F8E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2D22E592">
            <w:pPr>
              <w:pStyle w:val="45"/>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7C2B08BC">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2ABDF8DC">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7DB6769C">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65C752F0">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0174DA83">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165D3050">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51BDB5F5">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03A11D95">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168916FE">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b w:val="0"/>
                <w:color w:val="auto"/>
                <w:kern w:val="2"/>
                <w:sz w:val="24"/>
                <w:szCs w:val="24"/>
                <w:highlight w:val="none"/>
                <w:lang w:eastAsia="zh-CN"/>
              </w:rPr>
              <w:t>0512-58188516</w:t>
            </w:r>
            <w:r>
              <w:rPr>
                <w:rFonts w:hint="eastAsia" w:ascii="宋体" w:hAnsi="宋体" w:eastAsia="宋体" w:cs="宋体"/>
                <w:b w:val="0"/>
                <w:color w:val="auto"/>
                <w:kern w:val="2"/>
                <w:sz w:val="24"/>
                <w:szCs w:val="24"/>
                <w:highlight w:val="none"/>
              </w:rPr>
              <w:t>。</w:t>
            </w:r>
          </w:p>
          <w:p w14:paraId="47F10925">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0AAE8FC">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（4）投标人应当用本单位CA数字证书制作投标文件，制作成功后进行投标文件上传。</w:t>
            </w:r>
          </w:p>
          <w:p w14:paraId="291DA3FA">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FCF6DEA">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79E6494F">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503CFC2D">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3D6242D5">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9347302">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5876A360">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06A5BB98">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B3949C7">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71D463B3">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22B4AF48">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招标文件第六章投标文件格式、附件1“关于联合惩戒失信行为加强信用查询管理的通知”等章节中“招标人”、“供应商”，等同于“采购人”、“投标人”。</w:t>
            </w:r>
          </w:p>
          <w:p w14:paraId="7AE6BDF9">
            <w:pPr>
              <w:pStyle w:val="45"/>
              <w:widowControl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rPr>
              <w:t>落实政府采购支持节能产品、环境标志产品政策。</w:t>
            </w:r>
          </w:p>
          <w:p w14:paraId="6A3A0279">
            <w:pPr>
              <w:pStyle w:val="45"/>
              <w:widowControl w:val="0"/>
              <w:spacing w:before="0" w:beforeAutospacing="0" w:after="0" w:afterAutospacing="0" w:line="500" w:lineRule="exact"/>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9.</w:t>
            </w:r>
            <w:r>
              <w:rPr>
                <w:rFonts w:hint="eastAsia" w:ascii="宋体" w:hAnsi="宋体" w:eastAsia="宋体" w:cs="宋体"/>
                <w:b w:val="0"/>
                <w:color w:val="auto"/>
                <w:kern w:val="2"/>
                <w:sz w:val="24"/>
                <w:szCs w:val="24"/>
                <w:highlight w:val="none"/>
              </w:rPr>
              <w:t>系统中提供的表格与采购文件中不一致时，以采购文件中提供的表格格式为准。</w:t>
            </w:r>
          </w:p>
        </w:tc>
      </w:tr>
    </w:tbl>
    <w:p w14:paraId="307B80F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B0EDA3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696C3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11E04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F707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F63C8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5D11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C6141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C890A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0C9D8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D8FA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2860D3E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779E0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08812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5AE19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B174C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4603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358FF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6791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A0BC9E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063755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066A63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071012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322CE6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14A106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4F2A608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6940BB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136356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52E129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002DEC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2B0C82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57D8045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5788CB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25A498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E5189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8CE56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08D645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01FB98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4948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2A554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0E62D4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FD09B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152F12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738BB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1C0A55C">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119B4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9BF0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65F904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84C01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0F56D7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289E3C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49D3A88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707C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65DB7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63EF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B74F7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17C58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D4930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7CFBBE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0FD0E7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2962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7F4173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7DCAA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369CF7F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FAAEF6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C8BC7E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E7702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0B31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35F79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11BD64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A66A90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0DC420D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63CB50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408ECBC6">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75225B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6ADE6E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305382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86444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24E49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783257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475A9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59ACC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本项目采用远程开标，具体操作方法详见服务指南&gt;交易须知&gt;开标大厅远程解密、质疑(异议)及回复以及评标过程中询标流程操作手册。</w:t>
      </w:r>
    </w:p>
    <w:p w14:paraId="4253D2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8A8D1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73641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159727E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7B3C8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04D96D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43AC7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F9D6C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3C555A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5F0DC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2622AC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60898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611F1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87516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BDA9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B9ED6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15D5B8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74181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0056108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15000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47D6C4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410CCC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44C1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E8FE2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57848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08D683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BB65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1AA9B11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C52297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01210AA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699CC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color w:val="auto"/>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2AD094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30A7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96EF17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303A27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FC485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5CB24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76E0D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64658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D71FE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3C56FE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985AF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732E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99226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3758F0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437A5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E53820C">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379C6C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8311F5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9469B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07976A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77CF4EC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4C106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FBEEE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62013C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F0379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w:t>
      </w:r>
      <w:r>
        <w:rPr>
          <w:rFonts w:hint="eastAsia" w:ascii="宋体" w:hAnsi="宋体" w:eastAsia="宋体" w:cs="宋体"/>
          <w:color w:val="auto"/>
          <w:sz w:val="24"/>
          <w:szCs w:val="24"/>
          <w:highlight w:val="none"/>
        </w:rPr>
        <w:t>和滁州市公共资源交易中心网</w:t>
      </w:r>
      <w:r>
        <w:rPr>
          <w:rFonts w:hint="eastAsia" w:ascii="宋体" w:hAnsi="宋体" w:eastAsia="宋体"/>
          <w:color w:val="auto"/>
          <w:sz w:val="24"/>
          <w:szCs w:val="18"/>
          <w:highlight w:val="none"/>
        </w:rPr>
        <w:t>上发布中标结果公告。</w:t>
      </w:r>
    </w:p>
    <w:p w14:paraId="47BA3C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rPr>
        <w:t>服务范围</w:t>
      </w:r>
      <w:r>
        <w:rPr>
          <w:rFonts w:asciiTheme="minorEastAsia" w:hAnsiTheme="minorEastAsia" w:eastAsiaTheme="minorEastAsia"/>
          <w:color w:val="auto"/>
          <w:sz w:val="24"/>
          <w:highlight w:val="none"/>
        </w:rPr>
        <w:t>、服务要求</w:t>
      </w:r>
      <w:r>
        <w:rPr>
          <w:rFonts w:hint="eastAsia" w:asciiTheme="minorEastAsia" w:hAnsiTheme="minorEastAsia" w:eastAsiaTheme="minorEastAsia"/>
          <w:color w:val="auto"/>
          <w:sz w:val="24"/>
          <w:highlight w:val="none"/>
          <w:lang w:eastAsia="zh-CN"/>
        </w:rPr>
        <w:t>、</w:t>
      </w:r>
      <w:r>
        <w:rPr>
          <w:rFonts w:hint="eastAsia" w:ascii="宋体" w:hAnsi="宋体" w:eastAsia="宋体" w:cs="宋体"/>
          <w:color w:val="auto"/>
          <w:sz w:val="24"/>
          <w:highlight w:val="none"/>
        </w:rPr>
        <w:t>服务时间、服务标准</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0C13B7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797E1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BE9066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261B7AC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08C6F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50E370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3C797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E1B47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4481B7E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7028EE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2CB6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EFEBC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9D74F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0D8B2B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96E2534">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69427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438FFBA">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0B8050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149C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CE5B199">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2D5D88FD">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B1778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34421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A6863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7A5AF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E9AA5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0B2464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32.投诉</w:t>
      </w:r>
    </w:p>
    <w:p w14:paraId="6D2C279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0204044">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7BE2B6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t>32.3政府采购监督管理部门在处理投诉事项期间，可以视具体情况书面通知采购人暂停采购活动，但暂停时间最长不得超过30日。</w:t>
      </w:r>
    </w:p>
    <w:p w14:paraId="288534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33.需要补充的其他内容</w:t>
      </w:r>
    </w:p>
    <w:p w14:paraId="7C64A69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t>需要补充的其他内容，见投标人须知前附表。</w:t>
      </w:r>
    </w:p>
    <w:p w14:paraId="70DF63DF">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51AD6BE9">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30" w:name="_Toc22605"/>
      <w:r>
        <w:rPr>
          <w:rFonts w:hint="eastAsia" w:asciiTheme="minorEastAsia" w:hAnsiTheme="minorEastAsia" w:eastAsiaTheme="minorEastAsia"/>
          <w:b/>
          <w:color w:val="auto"/>
          <w:sz w:val="28"/>
          <w:highlight w:val="none"/>
        </w:rPr>
        <w:t>采购需求</w:t>
      </w:r>
      <w:bookmarkEnd w:id="30"/>
    </w:p>
    <w:p w14:paraId="27A01D5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C7F196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可以进行优化，提供满足采购人实际需要的更优（或者性能实质上不低于的）服务方案，且此方案须经评标委员会评审认可。</w:t>
      </w:r>
    </w:p>
    <w:p w14:paraId="35EF44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FC98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2173F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1079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bCs/>
          <w:color w:val="auto"/>
          <w:sz w:val="24"/>
          <w:szCs w:val="18"/>
          <w:highlight w:val="none"/>
          <w:lang w:val="en-US" w:eastAsia="zh-CN"/>
        </w:rPr>
      </w:pPr>
      <w:r>
        <w:rPr>
          <w:rFonts w:hint="eastAsia" w:ascii="宋体" w:hAnsi="宋体" w:eastAsia="宋体" w:cs="宋体"/>
          <w:color w:val="auto"/>
          <w:sz w:val="24"/>
          <w:szCs w:val="24"/>
          <w:highlight w:val="none"/>
        </w:rPr>
        <w:t>3.如采购人允许采用分包方式履行合同的，应当明确可以分包履行的相关内容</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本项目不允许分包</w:t>
      </w:r>
      <w:r>
        <w:rPr>
          <w:rFonts w:hint="eastAsia" w:ascii="宋体" w:hAnsi="宋体" w:eastAsia="宋体" w:cs="宋体"/>
          <w:color w:val="auto"/>
          <w:sz w:val="24"/>
          <w:szCs w:val="24"/>
          <w:highlight w:val="none"/>
          <w:lang w:val="en-US" w:eastAsia="zh-CN"/>
        </w:rPr>
        <w:t>。</w:t>
      </w:r>
    </w:p>
    <w:p w14:paraId="1CA1B7DF">
      <w:pPr>
        <w:spacing w:line="360" w:lineRule="auto"/>
        <w:ind w:firstLine="437"/>
        <w:outlineLvl w:val="1"/>
        <w:rPr>
          <w:rFonts w:ascii="宋体" w:hAnsi="宋体" w:eastAsia="宋体"/>
          <w:b/>
          <w:color w:val="auto"/>
          <w:sz w:val="24"/>
          <w:szCs w:val="18"/>
          <w:highlight w:val="none"/>
        </w:rPr>
      </w:pPr>
      <w:bookmarkStart w:id="31" w:name="_Toc21798"/>
      <w:bookmarkStart w:id="32" w:name="_Toc4148"/>
      <w:bookmarkStart w:id="33" w:name="_Hlk23621890"/>
      <w:r>
        <w:rPr>
          <w:rFonts w:hint="eastAsia" w:ascii="宋体" w:hAnsi="宋体" w:eastAsia="宋体"/>
          <w:b/>
          <w:color w:val="auto"/>
          <w:sz w:val="24"/>
          <w:szCs w:val="18"/>
          <w:highlight w:val="none"/>
        </w:rPr>
        <w:t>一、采购需求前附表</w:t>
      </w:r>
      <w:bookmarkEnd w:id="31"/>
      <w:bookmarkEnd w:id="32"/>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44F4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1E6EC09">
            <w:pPr>
              <w:pStyle w:val="4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2A3392BD">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484" w:type="dxa"/>
            <w:vAlign w:val="center"/>
          </w:tcPr>
          <w:p w14:paraId="429F0B4B">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54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D56BF5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0D6466C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jc w:val="center"/>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lang w:val="en-US" w:eastAsia="zh-CN"/>
              </w:rPr>
              <w:t>付款方式</w:t>
            </w:r>
          </w:p>
        </w:tc>
        <w:tc>
          <w:tcPr>
            <w:tcW w:w="5484" w:type="dxa"/>
            <w:vAlign w:val="center"/>
          </w:tcPr>
          <w:p w14:paraId="15C54529">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每月应提供完整规范的供货明细清单、各类报表及正式发票，报经采购人指定人员签字确认，采购人根据每月对服务内容检查考核结果支付服务费用（考核标准按采购人规定要求执行）。考核合格，采购人于次月底前支付上月的服务费；考核不合格，采购人依据考核情况酌情扣减服务费且同步进行整改，</w:t>
            </w:r>
            <w:r>
              <w:rPr>
                <w:rFonts w:hint="eastAsia" w:ascii="宋体" w:hAnsi="宋体" w:eastAsia="宋体" w:cs="宋体"/>
                <w:b w:val="0"/>
                <w:color w:val="auto"/>
                <w:sz w:val="24"/>
                <w:szCs w:val="24"/>
                <w:highlight w:val="none"/>
                <w:lang w:val="en-US" w:eastAsia="zh-CN"/>
              </w:rPr>
              <w:t>若整改仍不合格的解除合同</w:t>
            </w:r>
            <w:r>
              <w:rPr>
                <w:rFonts w:hint="eastAsia" w:ascii="宋体" w:hAnsi="宋体" w:eastAsia="宋体" w:cs="宋体"/>
                <w:color w:val="auto"/>
                <w:sz w:val="24"/>
                <w:szCs w:val="24"/>
                <w:highlight w:val="none"/>
                <w:lang w:val="en-US" w:eastAsia="zh-CN"/>
              </w:rPr>
              <w:t>。</w:t>
            </w:r>
          </w:p>
        </w:tc>
      </w:tr>
      <w:tr w14:paraId="1269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B95E40D">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58CFFB3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服务地点</w:t>
            </w:r>
          </w:p>
        </w:tc>
        <w:tc>
          <w:tcPr>
            <w:tcW w:w="5484" w:type="dxa"/>
            <w:vAlign w:val="center"/>
          </w:tcPr>
          <w:p w14:paraId="3A5939B4">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滁州市公安局人民警察训练中心，采购人指定地点</w:t>
            </w:r>
          </w:p>
        </w:tc>
      </w:tr>
      <w:tr w14:paraId="476D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A1DEFFC">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0AE604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服务期限</w:t>
            </w:r>
          </w:p>
        </w:tc>
        <w:tc>
          <w:tcPr>
            <w:tcW w:w="5484" w:type="dxa"/>
            <w:vAlign w:val="center"/>
          </w:tcPr>
          <w:p w14:paraId="77F9B916">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三年，合同一年一签。</w:t>
            </w:r>
          </w:p>
        </w:tc>
      </w:tr>
      <w:tr w14:paraId="762B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9F74E0C">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2032" w:type="dxa"/>
            <w:vAlign w:val="center"/>
          </w:tcPr>
          <w:p w14:paraId="309FE37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本项目采购标的名称及所属行业</w:t>
            </w:r>
          </w:p>
        </w:tc>
        <w:tc>
          <w:tcPr>
            <w:tcW w:w="5484" w:type="dxa"/>
            <w:vAlign w:val="center"/>
          </w:tcPr>
          <w:p w14:paraId="618954F1">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val="en-US" w:eastAsia="zh-CN"/>
              </w:rPr>
              <w:t>滁州市公安局人民警察训练中心食堂原材料采购项目</w:t>
            </w:r>
          </w:p>
          <w:p w14:paraId="07B7AE7B">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零售业</w:t>
            </w:r>
          </w:p>
        </w:tc>
      </w:tr>
    </w:tbl>
    <w:p w14:paraId="40DEABF5">
      <w:pPr>
        <w:spacing w:line="360" w:lineRule="auto"/>
        <w:ind w:firstLine="437"/>
        <w:outlineLvl w:val="1"/>
        <w:rPr>
          <w:rFonts w:hint="eastAsia" w:ascii="宋体" w:hAnsi="宋体" w:eastAsia="宋体"/>
          <w:b/>
          <w:color w:val="auto"/>
          <w:sz w:val="24"/>
          <w:szCs w:val="18"/>
          <w:highlight w:val="none"/>
          <w:lang w:val="en-US" w:eastAsia="zh-CN"/>
        </w:rPr>
      </w:pPr>
      <w:bookmarkStart w:id="34" w:name="_Toc16543"/>
      <w:bookmarkStart w:id="35" w:name="_Hlk16461016"/>
      <w:r>
        <w:rPr>
          <w:rFonts w:hint="eastAsia" w:ascii="宋体" w:hAnsi="宋体" w:eastAsia="宋体"/>
          <w:b/>
          <w:color w:val="auto"/>
          <w:sz w:val="24"/>
          <w:szCs w:val="18"/>
          <w:highlight w:val="none"/>
          <w:lang w:val="en-US" w:eastAsia="zh-CN"/>
        </w:rPr>
        <w:t>二、项目概况</w:t>
      </w:r>
    </w:p>
    <w:p w14:paraId="0EEAB36D">
      <w:pPr>
        <w:spacing w:line="440" w:lineRule="exact"/>
        <w:ind w:firstLine="437"/>
        <w:outlineLvl w:val="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val="en-US" w:eastAsia="zh-CN"/>
        </w:rPr>
        <w:t>滁州市公安局人民警察训练中心</w:t>
      </w:r>
      <w:r>
        <w:rPr>
          <w:rFonts w:hint="eastAsia" w:ascii="宋体" w:hAnsi="宋体" w:eastAsia="宋体" w:cs="宋体"/>
          <w:color w:val="auto"/>
          <w:sz w:val="24"/>
          <w:highlight w:val="none"/>
        </w:rPr>
        <w:t>食堂供应粮食类、蔬菜类、家禽类、水产类、鲜肉类、冷冻品类、豆制品类、干货调味品、水果、点心等食堂所有原材料。采购的具体数量和品种</w:t>
      </w:r>
      <w:r>
        <w:rPr>
          <w:rFonts w:hint="eastAsia" w:ascii="宋体" w:hAnsi="宋体" w:eastAsia="宋体" w:cs="宋体"/>
          <w:color w:val="auto"/>
          <w:sz w:val="24"/>
          <w:highlight w:val="none"/>
          <w:lang w:val="en-US" w:eastAsia="zh-CN"/>
        </w:rPr>
        <w:t>以</w:t>
      </w:r>
      <w:r>
        <w:rPr>
          <w:rFonts w:hint="eastAsia" w:ascii="宋体" w:hAnsi="宋体" w:eastAsia="宋体" w:cs="宋体"/>
          <w:color w:val="auto"/>
          <w:sz w:val="24"/>
          <w:highlight w:val="none"/>
        </w:rPr>
        <w:t>实际发生</w:t>
      </w:r>
      <w:r>
        <w:rPr>
          <w:rFonts w:hint="eastAsia" w:ascii="宋体" w:hAnsi="宋体" w:eastAsia="宋体" w:cs="宋体"/>
          <w:color w:val="auto"/>
          <w:sz w:val="24"/>
          <w:highlight w:val="none"/>
          <w:lang w:val="en-US" w:eastAsia="zh-CN"/>
        </w:rPr>
        <w:t>为准</w:t>
      </w:r>
      <w:r>
        <w:rPr>
          <w:rFonts w:hint="eastAsia" w:ascii="宋体" w:hAnsi="宋体" w:eastAsia="宋体" w:cs="宋体"/>
          <w:color w:val="auto"/>
          <w:sz w:val="24"/>
          <w:highlight w:val="none"/>
          <w:lang w:eastAsia="zh-CN"/>
        </w:rPr>
        <w:t>。</w:t>
      </w:r>
    </w:p>
    <w:p w14:paraId="7620657F">
      <w:pPr>
        <w:spacing w:line="440" w:lineRule="exact"/>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三、服务需求</w:t>
      </w:r>
    </w:p>
    <w:p w14:paraId="59AC5740">
      <w:pPr>
        <w:spacing w:line="440" w:lineRule="exact"/>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1.配送要求</w:t>
      </w:r>
    </w:p>
    <w:p w14:paraId="2C2E2E0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中标人应当在接到订单后的次日早晨7:30前将菜品及时送到采购人指定地点并负责物资装卸，现场过秤。如遇特殊情况(天气、交通事故等非人为因素)在经采购人同意后可推迟0.5小时。交付前的风险及运费由中标人承担。其中蔬菜类、肉类、水产类等要求每日供货，遇到临时需要时，中标人能够按照要求及时供补货。</w:t>
      </w:r>
    </w:p>
    <w:p w14:paraId="370E3DBB">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若釆购人遇特殊情况，需要提前开饭或临时增加副食品品种和数量，采购人提前2小时将订单通知中标人，中标人应及时调整送货时间，并确保在收到通知后2个小时内送达。如遇不可抗力货物不能按时送达，需与采购人</w:t>
      </w:r>
      <w:r>
        <w:rPr>
          <w:rFonts w:hint="eastAsia" w:ascii="宋体" w:hAnsi="宋体" w:eastAsia="宋体" w:cs="宋体"/>
          <w:color w:val="auto"/>
          <w:sz w:val="24"/>
          <w:szCs w:val="24"/>
          <w:highlight w:val="none"/>
          <w:lang w:val="en-US" w:eastAsia="zh-CN"/>
        </w:rPr>
        <w:t>指定人员</w:t>
      </w:r>
      <w:r>
        <w:rPr>
          <w:rFonts w:hint="eastAsia" w:ascii="宋体" w:hAnsi="宋体" w:eastAsia="宋体"/>
          <w:color w:val="auto"/>
          <w:sz w:val="24"/>
          <w:highlight w:val="none"/>
          <w:lang w:val="en-US" w:eastAsia="zh-CN"/>
        </w:rPr>
        <w:t>沟通解决。针对实际情况，中标人应拟定应急方案与采购人</w:t>
      </w:r>
      <w:r>
        <w:rPr>
          <w:rFonts w:hint="eastAsia" w:ascii="宋体" w:hAnsi="宋体" w:eastAsia="宋体" w:cs="宋体"/>
          <w:color w:val="auto"/>
          <w:sz w:val="24"/>
          <w:szCs w:val="24"/>
          <w:highlight w:val="none"/>
          <w:lang w:val="en-US" w:eastAsia="zh-CN"/>
        </w:rPr>
        <w:t>指定人员</w:t>
      </w:r>
      <w:r>
        <w:rPr>
          <w:rFonts w:hint="eastAsia" w:ascii="宋体" w:hAnsi="宋体" w:eastAsia="宋体"/>
          <w:color w:val="auto"/>
          <w:sz w:val="24"/>
          <w:highlight w:val="none"/>
          <w:lang w:val="en-US" w:eastAsia="zh-CN"/>
        </w:rPr>
        <w:t>协商对接。</w:t>
      </w:r>
    </w:p>
    <w:p w14:paraId="5FD2936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（3）中标人擅自推迟送货，采购人有权拒绝验收签单。</w:t>
      </w:r>
    </w:p>
    <w:p w14:paraId="18CA512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（4）每日及每批次提供的原料，必须经</w:t>
      </w:r>
      <w:r>
        <w:rPr>
          <w:rFonts w:hint="eastAsia" w:ascii="宋体" w:hAnsi="宋体" w:eastAsia="宋体" w:cs="宋体"/>
          <w:color w:val="auto"/>
          <w:sz w:val="24"/>
          <w:szCs w:val="24"/>
          <w:highlight w:val="none"/>
          <w:lang w:val="en-US" w:eastAsia="zh-CN"/>
        </w:rPr>
        <w:t>采购人指定人员确认</w:t>
      </w:r>
      <w:r>
        <w:rPr>
          <w:rFonts w:hint="eastAsia" w:ascii="宋体" w:hAnsi="宋体" w:eastAsia="宋体"/>
          <w:color w:val="auto"/>
          <w:sz w:val="24"/>
          <w:highlight w:val="none"/>
          <w:lang w:val="en-US" w:eastAsia="zh-CN"/>
        </w:rPr>
        <w:t>验收签单后才能视为有效，否则均视为无效供货。每日配送的副食品必须以采购人提供所需菜品清单为准。</w:t>
      </w:r>
    </w:p>
    <w:p w14:paraId="25803BB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（5）中标人必须对每日及每批次提供的食品提供相应检验检疫证，并附有追溯证明等相关证明，否则采购人有权拒绝验收签单。</w:t>
      </w:r>
    </w:p>
    <w:p w14:paraId="0C6B31E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（6）规格包装的产品交付时，必须原包装完好无损，否则采购人有权拒绝验收签单。</w:t>
      </w:r>
    </w:p>
    <w:p w14:paraId="5933E2F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（7）中标人应具备应急配送能力。中标人须承诺合同签订后做到紧急情况下在接到采购人通知后15分钟之内响应并及时供货。</w:t>
      </w:r>
    </w:p>
    <w:p w14:paraId="491A95DB">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（8）实际配送量以采购人验收数量为准。如因个别品种市场短缺无法供应，中标人应及时与</w:t>
      </w:r>
      <w:r>
        <w:rPr>
          <w:rFonts w:hint="eastAsia" w:ascii="宋体" w:hAnsi="宋体" w:eastAsia="宋体" w:cs="宋体"/>
          <w:color w:val="auto"/>
          <w:sz w:val="24"/>
          <w:szCs w:val="24"/>
          <w:highlight w:val="none"/>
          <w:lang w:val="en-US" w:eastAsia="zh-CN"/>
        </w:rPr>
        <w:t>采购人指定人员</w:t>
      </w:r>
      <w:r>
        <w:rPr>
          <w:rFonts w:hint="eastAsia" w:ascii="宋体" w:hAnsi="宋体" w:eastAsia="宋体"/>
          <w:color w:val="auto"/>
          <w:sz w:val="24"/>
          <w:highlight w:val="none"/>
          <w:lang w:val="en-US" w:eastAsia="zh-CN"/>
        </w:rPr>
        <w:t>联系进行调整更换。</w:t>
      </w:r>
    </w:p>
    <w:p w14:paraId="21EA2271">
      <w:pPr>
        <w:spacing w:line="440" w:lineRule="exact"/>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2.包装要求</w:t>
      </w:r>
    </w:p>
    <w:p w14:paraId="685C200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（1）全部菜品均应采用适当保护措施，防止在运输过程中损坏或变质；</w:t>
      </w:r>
    </w:p>
    <w:p w14:paraId="229E4F1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（2）每种菜品必须单独分装，如因其保护措施不妥而引起货物变质或丢失等任何损失的责任和费用均由中标人自行承担。</w:t>
      </w:r>
    </w:p>
    <w:p w14:paraId="62514446">
      <w:pPr>
        <w:spacing w:line="440" w:lineRule="exact"/>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3.质量要求</w:t>
      </w:r>
    </w:p>
    <w:p w14:paraId="0515700B">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（1）中标人应按照采购人订单的品名、重量及中标价进行配送，食材必须符合国家食品安全质量要求，并提供食材相应的农残检测报告、肉禽检验检疫报告。</w:t>
      </w:r>
    </w:p>
    <w:p w14:paraId="6FD390C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中标人应严格遵守《中华人民共和国食品安全法》相关规定，确保食品质量符合国家相关产品质量标准，符合国家强制性规范要求，所供产品质量为同类产品中一类以上产品，必须确保每日或每批次提供的食材经过相关检验检疫。如出现因食用其提供的食材导致食物安全事故发生，中标人除承担一切经济赔偿外，还应依法承担全部法律责任。</w:t>
      </w:r>
    </w:p>
    <w:p w14:paraId="07980A6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 一经发现供应以下食品，除全部退货外，有权立即停止中标人供货并解除合同，中标人承担由此造成的一切经济和法律责任：</w:t>
      </w:r>
    </w:p>
    <w:p w14:paraId="782F2FF3">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①</w:t>
      </w:r>
      <w:r>
        <w:rPr>
          <w:rFonts w:hint="eastAsia" w:ascii="宋体" w:hAnsi="宋体" w:eastAsia="宋体"/>
          <w:color w:val="auto"/>
          <w:sz w:val="24"/>
          <w:highlight w:val="none"/>
          <w:lang w:val="en-US" w:eastAsia="zh-CN"/>
        </w:rPr>
        <w:t xml:space="preserve"> 腐败变质、油脂酸败、霉变、生虫、污秽不洁、混有异物或者其他感官性状异常，对人体健康有害的。</w:t>
      </w:r>
    </w:p>
    <w:p w14:paraId="1A90768D">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②</w:t>
      </w:r>
      <w:r>
        <w:rPr>
          <w:rFonts w:hint="eastAsia" w:ascii="宋体" w:hAnsi="宋体" w:eastAsia="宋体"/>
          <w:color w:val="auto"/>
          <w:sz w:val="24"/>
          <w:highlight w:val="none"/>
          <w:lang w:val="en-US" w:eastAsia="zh-CN"/>
        </w:rPr>
        <w:t>含有毒、有害物质或者被有害物质污染，对人体健康有害的。</w:t>
      </w:r>
    </w:p>
    <w:p w14:paraId="7AE3F7A0">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③</w:t>
      </w:r>
      <w:r>
        <w:rPr>
          <w:rFonts w:hint="eastAsia" w:ascii="宋体" w:hAnsi="宋体" w:eastAsia="宋体"/>
          <w:color w:val="auto"/>
          <w:sz w:val="24"/>
          <w:highlight w:val="none"/>
          <w:lang w:val="en-US" w:eastAsia="zh-CN"/>
        </w:rPr>
        <w:t>含有致病性寄生虫、微生物或者微生物含量超过国家限定标准的。</w:t>
      </w:r>
    </w:p>
    <w:p w14:paraId="5C35B2AB">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④</w:t>
      </w:r>
      <w:r>
        <w:rPr>
          <w:rFonts w:hint="eastAsia" w:ascii="宋体" w:hAnsi="宋体" w:eastAsia="宋体"/>
          <w:color w:val="auto"/>
          <w:sz w:val="24"/>
          <w:highlight w:val="none"/>
          <w:lang w:val="en-US" w:eastAsia="zh-CN"/>
        </w:rPr>
        <w:t>无定点屠宰证明、无卫生检验检疫或者检验不合格的肉类及其制品。</w:t>
      </w:r>
    </w:p>
    <w:p w14:paraId="2F022AA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⑤</w:t>
      </w:r>
      <w:r>
        <w:rPr>
          <w:rFonts w:hint="eastAsia" w:ascii="宋体" w:hAnsi="宋体" w:eastAsia="宋体"/>
          <w:color w:val="auto"/>
          <w:sz w:val="24"/>
          <w:highlight w:val="none"/>
          <w:lang w:val="en-US" w:eastAsia="zh-CN"/>
        </w:rPr>
        <w:t>掺假、掺杂、伪造、影响营养及卫生的含有未经卫生行政部门批准用的添加剂、农药（残留）。</w:t>
      </w:r>
    </w:p>
    <w:p w14:paraId="629A9943">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⑥</w:t>
      </w:r>
      <w:r>
        <w:rPr>
          <w:rFonts w:hint="eastAsia" w:ascii="宋体" w:hAnsi="宋体" w:eastAsia="宋体"/>
          <w:color w:val="auto"/>
          <w:sz w:val="24"/>
          <w:highlight w:val="none"/>
          <w:lang w:val="en-US" w:eastAsia="zh-CN"/>
        </w:rPr>
        <w:t>用非食品原料加工的，加入非食品用化学物质或者将非食品当作食品的。</w:t>
      </w:r>
    </w:p>
    <w:p w14:paraId="43F7D63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⑦</w:t>
      </w:r>
      <w:r>
        <w:rPr>
          <w:rFonts w:hint="eastAsia" w:ascii="宋体" w:hAnsi="宋体" w:eastAsia="宋体"/>
          <w:color w:val="auto"/>
          <w:sz w:val="24"/>
          <w:highlight w:val="none"/>
          <w:lang w:val="en-US" w:eastAsia="zh-CN"/>
        </w:rPr>
        <w:t>使用病死、毒死或死因不明的禽、畜、兽、水产动物及其制品。</w:t>
      </w:r>
    </w:p>
    <w:p w14:paraId="235858E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⑧</w:t>
      </w:r>
      <w:r>
        <w:rPr>
          <w:rFonts w:hint="eastAsia" w:ascii="宋体" w:hAnsi="宋体" w:eastAsia="宋体"/>
          <w:color w:val="auto"/>
          <w:sz w:val="24"/>
          <w:highlight w:val="none"/>
          <w:lang w:val="en-US" w:eastAsia="zh-CN"/>
        </w:rPr>
        <w:t>超过保质期限的食材。</w:t>
      </w:r>
    </w:p>
    <w:p w14:paraId="5AC10A0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⑨</w:t>
      </w:r>
      <w:r>
        <w:rPr>
          <w:rFonts w:hint="eastAsia" w:ascii="宋体" w:hAnsi="宋体" w:eastAsia="宋体"/>
          <w:color w:val="auto"/>
          <w:sz w:val="24"/>
          <w:highlight w:val="none"/>
          <w:lang w:val="en-US" w:eastAsia="zh-CN"/>
        </w:rPr>
        <w:t>其他可能存在导致出现食品安全隐患的食材。</w:t>
      </w:r>
    </w:p>
    <w:p w14:paraId="4DB0162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（4）肉类、禽蛋类必须具有相应的动物检验检疫证明，肉类产品应具有屠宰证明等相关产品证明。</w:t>
      </w:r>
    </w:p>
    <w:p w14:paraId="3EA09C8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（5）所供应的食材中水产、家禽类为净菜（新鲜消毒），蔬菜类可使用率应达95%以上。</w:t>
      </w:r>
    </w:p>
    <w:p w14:paraId="4107799E">
      <w:pPr>
        <w:spacing w:line="440" w:lineRule="exact"/>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4.食材具体标准及要求</w:t>
      </w:r>
    </w:p>
    <w:p w14:paraId="2B5EA703">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（1）叶菜类（如：白菜、菠菜、韭菜、茼蒿等）</w:t>
      </w:r>
    </w:p>
    <w:p w14:paraId="405E9EE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 叶片完整、新鲜，无黄叶、花斑叶、烂叶、虫害；</w:t>
      </w:r>
    </w:p>
    <w:p w14:paraId="4C65CBD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 叶片肥厚细嫩，无干尖、烂梢。</w:t>
      </w:r>
    </w:p>
    <w:p w14:paraId="41D4539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（2）根茎类（如：萝卜、茭白、土豆、山药等）</w:t>
      </w:r>
    </w:p>
    <w:p w14:paraId="5EEE07AC">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2.1 表皮完整，无坑洞，无芽眼、芽苗、虫眼等；</w:t>
      </w:r>
    </w:p>
    <w:p w14:paraId="219AA78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 用手弹打具结实感，无干瘪、空心、黑心；</w:t>
      </w:r>
    </w:p>
    <w:p w14:paraId="7770861D">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2.3 肉质肥厚。</w:t>
      </w:r>
    </w:p>
    <w:p w14:paraId="194E8E8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（3）果菜类（如：黄瓜、辣椒、番茄、豌豆等）</w:t>
      </w:r>
    </w:p>
    <w:p w14:paraId="5FED731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 表皮完整、新鲜，无坑洞、虫眼，无变质；</w:t>
      </w:r>
    </w:p>
    <w:p w14:paraId="7DB6384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3.2 用手弹打具结实感；</w:t>
      </w:r>
    </w:p>
    <w:p w14:paraId="4ED4D38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3.3 肉质肥厚。</w:t>
      </w:r>
    </w:p>
    <w:p w14:paraId="18E7D792">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（4）花菜类（如：花椰菜、西兰花、黄花菜、芥蓝等）</w:t>
      </w:r>
    </w:p>
    <w:p w14:paraId="22E6EFD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4.1 花球坚实，无发乌、褐变、虫咬、霉变现象；</w:t>
      </w:r>
    </w:p>
    <w:p w14:paraId="7D9A071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4.2 色泽鲜明，有脆性；</w:t>
      </w:r>
    </w:p>
    <w:p w14:paraId="1E2FF7B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 芽苗类（如：花生芽、黄豆芽、绿豆芽等）</w:t>
      </w:r>
    </w:p>
    <w:p w14:paraId="330B88F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5.1 芽苗挺直，芽身短而粗，根须少；</w:t>
      </w:r>
    </w:p>
    <w:p w14:paraId="36DFBD62">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5.2 芽身色泽洁白晶莹，无变色，霉变；</w:t>
      </w:r>
    </w:p>
    <w:p w14:paraId="5BDFD04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5.3 芽瓣完整，无破损、变色。</w:t>
      </w:r>
    </w:p>
    <w:p w14:paraId="57FA29BC">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（6）菌类（如：平菇、木耳、口蘑菇、银耳等）菌身完整、饱满，大小均匀，无腐烂部分。</w:t>
      </w:r>
    </w:p>
    <w:p w14:paraId="781A0A1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（7）水产品类质量要求</w:t>
      </w:r>
    </w:p>
    <w:p w14:paraId="189A679D">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 鲜鱼表面有光泽，黏液清洁透明，鱼鳞发光，不易脱落；</w:t>
      </w:r>
    </w:p>
    <w:p w14:paraId="40FEEFA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7.2 鲜鱼眼睛澄清明亮饱满，鳃盖紧闭，鱼鳃清洁，鳃丝鲜红清晰，无黏液和污垢臭味；</w:t>
      </w:r>
    </w:p>
    <w:p w14:paraId="303B043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7.3 鲜鱼肌肉坚实有弹性，用手指压凹陷处立即复原，肚腹无膨胀骨肉不分离；</w:t>
      </w:r>
    </w:p>
    <w:p w14:paraId="45731EC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7.4 鲜鱼有特有的鲜腥味，无异味；</w:t>
      </w:r>
    </w:p>
    <w:p w14:paraId="67AC4B6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7.5 冰鲜鱼体表粘液透明，滑而不粘；</w:t>
      </w:r>
    </w:p>
    <w:p w14:paraId="2752F873">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7.6 冰鲜鱼气味正常；</w:t>
      </w:r>
    </w:p>
    <w:p w14:paraId="5A22697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7.7 冰鲜鱼鳃盖紧闭，淡水鱼鳃鲜红或粉红，海水鱼鳃紫色或紫红；</w:t>
      </w:r>
    </w:p>
    <w:p w14:paraId="1C20F28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7.8 冰鲜鱼鱼眼澄清透明，眼球突出；</w:t>
      </w:r>
    </w:p>
    <w:p w14:paraId="19542920">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7.9 冰鲜鱼鱼鳞完整，不易脱落；</w:t>
      </w:r>
    </w:p>
    <w:p w14:paraId="36050C3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7.10 冰鲜鱼鱼腹发白，不膨胀，肛内内缩；</w:t>
      </w:r>
    </w:p>
    <w:p w14:paraId="5ECA514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7.11 冰鲜鱼鱼体肌肉有弹性，不易压出凹陷或凹陷能迅速复平；</w:t>
      </w:r>
    </w:p>
    <w:p w14:paraId="333E9E9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7.12 冰鲜鱼外形平直、完整、大小均匀，体表无伤痕、无破损；</w:t>
      </w:r>
    </w:p>
    <w:p w14:paraId="4EAF456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7.13 冰冻水产品包装完整,无破损、污物；</w:t>
      </w:r>
    </w:p>
    <w:p w14:paraId="5A2ACD5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7.14 冰冻坚实，未化冰；</w:t>
      </w:r>
    </w:p>
    <w:p w14:paraId="6F281E3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7.15 解冻后，肉质紧实，无杂质、异物，无碱味、腐败味，无防腐剂气味；</w:t>
      </w:r>
    </w:p>
    <w:p w14:paraId="50DFEEA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7.16 具有本品种应有的外形和色泽；</w:t>
      </w:r>
    </w:p>
    <w:p w14:paraId="52ACE1B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7.17 冷冻食材外形平直、完整，无破损；</w:t>
      </w:r>
    </w:p>
    <w:p w14:paraId="7B52D3D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7.18 水产需中标人到场当面宰杀，并打扫干净。持动物产品检疫合格证明，所有畜肉必须为鲜货；</w:t>
      </w:r>
    </w:p>
    <w:p w14:paraId="6E06444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（8）畜肉类质量要求</w:t>
      </w:r>
    </w:p>
    <w:p w14:paraId="7D08979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8.1 持动物产品检疫合格证明，所有畜肉必须为鲜货；</w:t>
      </w:r>
    </w:p>
    <w:p w14:paraId="14442DAE">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 猪肉为精腿肉无油膘，表皮呈乳白色、无毛、不腻手，肉质有光泽、红色均匀、肥肉白色且清新，肉质结实、肉层分明、质纹细嫩、有韧性，指压后凹陷立即恢复、表面无积水现；</w:t>
      </w:r>
    </w:p>
    <w:p w14:paraId="2ADC91C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8.3 猪蹄需带筋，长约15cm，配送前须烧洗，避免多毛和毛腥味；</w:t>
      </w:r>
    </w:p>
    <w:p w14:paraId="03D75D17">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8.4 肘子需去骨，每根不超过3斤；</w:t>
      </w:r>
    </w:p>
    <w:p w14:paraId="60C792DB">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8.5 精五花须去掉两头，无油膘、无肉泡；</w:t>
      </w:r>
    </w:p>
    <w:p w14:paraId="71149E5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8.6 排骨取中排，须去掉两头；</w:t>
      </w:r>
    </w:p>
    <w:p w14:paraId="63EDEA65">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8.7 猪上杂须为一套；</w:t>
      </w:r>
    </w:p>
    <w:p w14:paraId="7267403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8.8 鲜兔肉质色泽红亮、无异味；</w:t>
      </w:r>
    </w:p>
    <w:p w14:paraId="020FEB8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8.9 精牛肉须无肉筋，烧牛肉须配送中牛腩，卤牛肉须配送牛小腱子肉。</w:t>
      </w:r>
    </w:p>
    <w:p w14:paraId="05F816D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（9）禽肉类质量要求</w:t>
      </w:r>
    </w:p>
    <w:p w14:paraId="078FA42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9.1 鲜禽肌肉结实、有弹性，表面无积水现象，表面干爽，指压不存痕；</w:t>
      </w:r>
    </w:p>
    <w:p w14:paraId="346CA0A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9.2 鸡肉呈玫瑰红色，鸭、鹅肉为红色，脂肪呈白色或淡黄色，有光泽，硬度适中，无不良颗粒存在。</w:t>
      </w:r>
    </w:p>
    <w:p w14:paraId="72D289C8">
      <w:pPr>
        <w:spacing w:line="440" w:lineRule="exact"/>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 xml:space="preserve">5.干货调料类、成品包装类要求 </w:t>
      </w:r>
    </w:p>
    <w:p w14:paraId="08C91F0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（1）外包装统一基本要求: 商品外包装完好无损、商标图案等,清晰明了,生产日期符合采购人要求。</w:t>
      </w:r>
    </w:p>
    <w:p w14:paraId="3760230A">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（2）统一要求有SC标识的产品在产品包装上应有SC标识。</w:t>
      </w:r>
    </w:p>
    <w:p w14:paraId="0C88B850">
      <w:pPr>
        <w:spacing w:line="440" w:lineRule="exact"/>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6.运输要求</w:t>
      </w:r>
    </w:p>
    <w:p w14:paraId="1CC0DB19">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中标人应采用洁净、防雨、无异味车辆运输。</w:t>
      </w:r>
    </w:p>
    <w:p w14:paraId="461A7D15">
      <w:pPr>
        <w:numPr>
          <w:ilvl w:val="0"/>
          <w:numId w:val="2"/>
        </w:numPr>
        <w:spacing w:line="440" w:lineRule="exact"/>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其他要求</w:t>
      </w:r>
    </w:p>
    <w:p w14:paraId="703EC30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（1）中标人供货时需遵守采购人关于监管安全方面的要求及规定。供应商中标后，须与采购人签订廉政协议书。</w:t>
      </w:r>
    </w:p>
    <w:p w14:paraId="4E9D4154">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产品供货到指定地点后，由采购人和中标人共同进行验收，按质量要求对所提供产品数量、质量、相关单证等方面进行验收，采购人和中标人应在验收单上共同签字确认验收合格。如对产品质量有异议，中标人须无条件更换或退货。</w:t>
      </w:r>
    </w:p>
    <w:p w14:paraId="0ED1F003">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（3）新鲜肉类供货需保持新鲜，合同签订后供货时要有检疫合格章。</w:t>
      </w:r>
    </w:p>
    <w:p w14:paraId="06B845E6">
      <w:pPr>
        <w:spacing w:line="440" w:lineRule="exact"/>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（4）当日送达菜品非采购人原因而出现质量不达标、缺斤少两、配送错误等问题，由中标人负责30分钟之内补换货，包换或包退，并承担因此而产生的一切费用。</w:t>
      </w:r>
    </w:p>
    <w:p w14:paraId="249216CA">
      <w:pPr>
        <w:spacing w:line="440" w:lineRule="exact"/>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（5）要求安排固定专人及配送员与</w:t>
      </w:r>
      <w:r>
        <w:rPr>
          <w:rFonts w:hint="eastAsia" w:ascii="宋体" w:hAnsi="宋体" w:eastAsia="宋体" w:cs="宋体"/>
          <w:color w:val="auto"/>
          <w:sz w:val="24"/>
          <w:szCs w:val="24"/>
          <w:highlight w:val="none"/>
          <w:lang w:val="en-US" w:eastAsia="zh-CN"/>
        </w:rPr>
        <w:t>采购人指定人员</w:t>
      </w:r>
      <w:r>
        <w:rPr>
          <w:rFonts w:hint="eastAsia" w:ascii="宋体" w:hAnsi="宋体" w:eastAsia="宋体"/>
          <w:color w:val="auto"/>
          <w:sz w:val="24"/>
          <w:highlight w:val="none"/>
          <w:lang w:val="en-US" w:eastAsia="zh-CN"/>
        </w:rPr>
        <w:t>对接，及时处理解决如下单、加订、提前、延后、质量不符合、缺斤短两等实际问题，如无意外情况，一般不允许更换。</w:t>
      </w:r>
    </w:p>
    <w:p w14:paraId="22DF7CDB">
      <w:pPr>
        <w:spacing w:line="440" w:lineRule="exact"/>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（6）需粗加工的菜品(如去皮、砍斩等)，按采购人需求应当提前处理好或自带工具现场处理。</w:t>
      </w:r>
    </w:p>
    <w:p w14:paraId="76911005">
      <w:pPr>
        <w:spacing w:line="440" w:lineRule="exact"/>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（7）中标人在供应过程中，如果发生出现质量问题或造成食物中毒，如变质等情况，经查实后确属中标人责任，中标人应自行承担全部责任。</w:t>
      </w:r>
    </w:p>
    <w:p w14:paraId="5BE00F95">
      <w:pPr>
        <w:spacing w:line="440" w:lineRule="exact"/>
        <w:ind w:firstLine="435"/>
        <w:rPr>
          <w:rFonts w:hint="default"/>
          <w:highlight w:val="none"/>
          <w:lang w:val="en-US" w:eastAsia="zh-CN"/>
        </w:rPr>
      </w:pPr>
      <w:r>
        <w:rPr>
          <w:rFonts w:hint="eastAsia" w:ascii="宋体" w:hAnsi="宋体" w:eastAsia="宋体"/>
          <w:color w:val="auto"/>
          <w:sz w:val="24"/>
          <w:highlight w:val="none"/>
          <w:lang w:val="en-US" w:eastAsia="zh-CN"/>
        </w:rPr>
        <w:t>（8）非采购人的人为原因而出现产品质量问题，中标人负责包换或包退，并承担因此而产生的一切费用。</w:t>
      </w:r>
    </w:p>
    <w:p w14:paraId="3EC4163F">
      <w:pPr>
        <w:spacing w:line="440" w:lineRule="exact"/>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四、报价要求</w:t>
      </w:r>
    </w:p>
    <w:p w14:paraId="4732C2B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本项目投标报价采用百分比报价。本项目以当月滁州市发展和改革委员会官网（http://fgw.chuzhou.gov.cn/xwdt/jggs/msspjg/index.html）《滁州市滁城主要超市和农贸市场民生商品市场价格公示》公示品目中各类食材单价的平均价作为相应食材当月的价格；滁州市发展和改革委员会官网公示范围内没有价格的，则由采购人成立3人及以上的询价小组进行市场询价，最终确定的价格为相应食材当月的价格。</w:t>
      </w:r>
    </w:p>
    <w:p w14:paraId="7340D05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例如：若中标人的投标报价为80%，即当月结算价为相应食材当月价格乘以中标费率乘以相应食材当月使用数量的累加之和。即当月结算价=∑相应食材当月价格*80%*相应食材当月使用数量。</w:t>
      </w:r>
    </w:p>
    <w:p w14:paraId="683872F8">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以菜心为例，供货当时菜心平均价格为2.0元/kg，则中标人当日的菜心配送单价为：2.0*80％＝1.6元/kg。</w:t>
      </w:r>
    </w:p>
    <w:p w14:paraId="24365611">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2.本项目最终结算以实际发生量为准据实结算，最终合计结算金额不超过本项目预算。</w:t>
      </w:r>
    </w:p>
    <w:p w14:paraId="49E3CB67">
      <w:pPr>
        <w:spacing w:line="440" w:lineRule="exact"/>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五、售后服务要求</w:t>
      </w:r>
    </w:p>
    <w:p w14:paraId="29EEB77F">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1.当货物出现问题时，供货商接到采购人电话后，响应时间不得超过1小时，2小时应能到达现场。 </w:t>
      </w:r>
    </w:p>
    <w:p w14:paraId="24E1F9D0">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2.供货商必须保证所供货物完全符合本合同规定的规格、性能，货物质量及要求符合相关标准。 </w:t>
      </w:r>
    </w:p>
    <w:p w14:paraId="77EA0346">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3.所有货物须为全新的、未使用过的原装正品，供货商所提供的货物在结算时，应提供发票等。 </w:t>
      </w:r>
    </w:p>
    <w:p w14:paraId="1EE74832">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4.供应商应承诺肉制品、蔬菜、水产品、豆制品、禽蛋质保期不低于3天，调味品质保期不低于7天，粳米、高筋粉、食用油质保期不低于3个月。</w:t>
      </w:r>
    </w:p>
    <w:p w14:paraId="2A93DC35">
      <w:pPr>
        <w:spacing w:line="440" w:lineRule="exact"/>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六、服务质量考核及标准</w:t>
      </w:r>
    </w:p>
    <w:p w14:paraId="18C06853">
      <w:pPr>
        <w:spacing w:line="440" w:lineRule="exact"/>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合同签订后，每月考核一次，月考核得分90分以上(含90分)的，全额付款；月考核得分低于90分且高于等于80分的，每减少1分，扣除当月货款的1%；月考核得分低于80分的，每减少1分，扣除该月货款的2%；月考核得分低于70分或连续两个月考核得分低于80分，除按规定扣货款外，采购人单方面提前解除合同。</w:t>
      </w:r>
    </w:p>
    <w:p w14:paraId="4D66D04D">
      <w:pPr>
        <w:spacing w:line="440" w:lineRule="exact"/>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2.中标人须按服务质量考核表的要求接受采购人的考核，考核标准如下:</w:t>
      </w:r>
    </w:p>
    <w:tbl>
      <w:tblPr>
        <w:tblStyle w:val="26"/>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500"/>
        <w:gridCol w:w="1659"/>
      </w:tblGrid>
      <w:tr w14:paraId="004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73D918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服务质量考核细则表</w:t>
            </w:r>
          </w:p>
        </w:tc>
      </w:tr>
      <w:tr w14:paraId="0D4B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8599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w:t>
            </w:r>
          </w:p>
          <w:p w14:paraId="12D40F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w:t>
            </w:r>
          </w:p>
          <w:p w14:paraId="505507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w:t>
            </w:r>
          </w:p>
          <w:p w14:paraId="226907D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量</w:t>
            </w:r>
          </w:p>
        </w:tc>
        <w:tc>
          <w:tcPr>
            <w:tcW w:w="6500" w:type="dxa"/>
            <w:tcBorders>
              <w:top w:val="single" w:color="auto" w:sz="4" w:space="0"/>
              <w:left w:val="single" w:color="auto" w:sz="4" w:space="0"/>
              <w:bottom w:val="single" w:color="auto" w:sz="4" w:space="0"/>
              <w:right w:val="single" w:color="auto" w:sz="4" w:space="0"/>
              <w:tl2br w:val="nil"/>
              <w:tr2bl w:val="nil"/>
            </w:tcBorders>
            <w:noWrap w:val="0"/>
            <w:vAlign w:val="top"/>
          </w:tcPr>
          <w:p w14:paraId="062C211C">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1、同一品种货物两次(含)以上发现质量不合格，能在30分钟内及时调换合格的，扣1分；超过30分钟的扣2分。</w:t>
            </w:r>
          </w:p>
          <w:p w14:paraId="24DFD204">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2、产品验收不合格，每拒收一次扣1分。</w:t>
            </w:r>
          </w:p>
          <w:p w14:paraId="0032F3BB">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3、在包装、运输、装卸等环节不符合食品卫生要求的，每次扣1分。</w:t>
            </w:r>
          </w:p>
          <w:p w14:paraId="7B7D219A">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4、把采购人验收不合格退货的货物重新配送给采购人的，每发现一次扣10分。</w:t>
            </w:r>
          </w:p>
        </w:tc>
        <w:tc>
          <w:tcPr>
            <w:tcW w:w="1659" w:type="dxa"/>
            <w:vMerge w:val="restart"/>
            <w:tcBorders>
              <w:top w:val="single" w:color="auto" w:sz="4" w:space="0"/>
              <w:left w:val="single" w:color="auto" w:sz="4" w:space="0"/>
              <w:right w:val="single" w:color="auto" w:sz="4" w:space="0"/>
              <w:tl2br w:val="nil"/>
              <w:tr2bl w:val="nil"/>
            </w:tcBorders>
            <w:noWrap w:val="0"/>
            <w:vAlign w:val="center"/>
          </w:tcPr>
          <w:p w14:paraId="2C6828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考核基本分为100分，按月考核督导。</w:t>
            </w:r>
          </w:p>
        </w:tc>
      </w:tr>
      <w:tr w14:paraId="177E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E2A8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w:t>
            </w:r>
          </w:p>
          <w:p w14:paraId="49F603C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w:t>
            </w:r>
          </w:p>
        </w:tc>
        <w:tc>
          <w:tcPr>
            <w:tcW w:w="6500" w:type="dxa"/>
            <w:tcBorders>
              <w:top w:val="single" w:color="auto" w:sz="4" w:space="0"/>
              <w:left w:val="single" w:color="auto" w:sz="4" w:space="0"/>
              <w:bottom w:val="single" w:color="auto" w:sz="4" w:space="0"/>
              <w:right w:val="single" w:color="auto" w:sz="4" w:space="0"/>
              <w:tl2br w:val="nil"/>
              <w:tr2bl w:val="nil"/>
            </w:tcBorders>
            <w:noWrap w:val="0"/>
            <w:vAlign w:val="top"/>
          </w:tcPr>
          <w:p w14:paraId="7308125B">
            <w:pPr>
              <w:widowControl/>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1、违反招标文件和合同规定，擅自更改货物品牌、规格、数量、质量等，每次扣2分</w:t>
            </w:r>
            <w:r>
              <w:rPr>
                <w:rFonts w:hint="eastAsia" w:ascii="宋体" w:hAnsi="宋体" w:eastAsia="宋体" w:cs="宋体"/>
                <w:color w:val="auto"/>
                <w:sz w:val="21"/>
                <w:szCs w:val="21"/>
                <w:highlight w:val="none"/>
                <w:lang w:eastAsia="zh-CN"/>
              </w:rPr>
              <w:t>。</w:t>
            </w:r>
          </w:p>
          <w:p w14:paraId="68D515F1">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2、未按釆购计划品种、数量、时间供货的，每次扣2分。</w:t>
            </w:r>
          </w:p>
          <w:p w14:paraId="4DD60AE1">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3、未按要求随货提供相关票证或提供虚假票证的，每次扣2分。</w:t>
            </w:r>
          </w:p>
          <w:p w14:paraId="566F6AF1">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4、要求及时供货，每延误1次扣1分。</w:t>
            </w:r>
          </w:p>
          <w:p w14:paraId="71081E3D">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5、发生退货情况，造成采购人饭堂无法按时供应的，每次扣5分。</w:t>
            </w:r>
          </w:p>
        </w:tc>
        <w:tc>
          <w:tcPr>
            <w:tcW w:w="1659" w:type="dxa"/>
            <w:vMerge w:val="continue"/>
            <w:tcBorders>
              <w:left w:val="single" w:color="auto" w:sz="4" w:space="0"/>
              <w:right w:val="single" w:color="auto" w:sz="4" w:space="0"/>
              <w:tl2br w:val="nil"/>
              <w:tr2bl w:val="nil"/>
            </w:tcBorders>
            <w:noWrap w:val="0"/>
            <w:vAlign w:val="top"/>
          </w:tcPr>
          <w:p w14:paraId="55107B6D">
            <w:pPr>
              <w:spacing w:line="360" w:lineRule="auto"/>
              <w:rPr>
                <w:rFonts w:hint="eastAsia" w:ascii="宋体" w:hAnsi="宋体" w:eastAsia="宋体" w:cs="宋体"/>
                <w:color w:val="auto"/>
                <w:sz w:val="21"/>
                <w:szCs w:val="21"/>
                <w:highlight w:val="none"/>
              </w:rPr>
            </w:pPr>
          </w:p>
        </w:tc>
      </w:tr>
      <w:tr w14:paraId="24DC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F37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w:t>
            </w:r>
          </w:p>
          <w:p w14:paraId="42E8E6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p>
          <w:p w14:paraId="2FE1E7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w:t>
            </w:r>
          </w:p>
          <w:p w14:paraId="53EAFF2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量</w:t>
            </w:r>
          </w:p>
        </w:tc>
        <w:tc>
          <w:tcPr>
            <w:tcW w:w="6500" w:type="dxa"/>
            <w:tcBorders>
              <w:top w:val="single" w:color="auto" w:sz="4" w:space="0"/>
              <w:left w:val="single" w:color="auto" w:sz="4" w:space="0"/>
              <w:bottom w:val="single" w:color="auto" w:sz="4" w:space="0"/>
              <w:right w:val="single" w:color="auto" w:sz="4" w:space="0"/>
              <w:tl2br w:val="nil"/>
              <w:tr2bl w:val="nil"/>
            </w:tcBorders>
            <w:noWrap w:val="0"/>
            <w:vAlign w:val="top"/>
          </w:tcPr>
          <w:p w14:paraId="31654780">
            <w:pPr>
              <w:widowControl/>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sz w:val="21"/>
                <w:szCs w:val="21"/>
                <w:highlight w:val="none"/>
                <w:lang w:val="en-US" w:eastAsia="zh-CN"/>
              </w:rPr>
              <w:t>中标人</w:t>
            </w:r>
            <w:r>
              <w:rPr>
                <w:rFonts w:hint="eastAsia" w:ascii="宋体" w:hAnsi="宋体" w:eastAsia="宋体" w:cs="宋体"/>
                <w:color w:val="auto"/>
                <w:sz w:val="21"/>
                <w:szCs w:val="21"/>
                <w:highlight w:val="none"/>
              </w:rPr>
              <w:t>服务配合度，即应变配合采购能力、特殊需求配合程度。货物出现问题积极配合查找原因的，不及时反馈处理结果的，每次扣2分</w:t>
            </w:r>
            <w:r>
              <w:rPr>
                <w:rFonts w:hint="eastAsia" w:ascii="宋体" w:hAnsi="宋体" w:eastAsia="宋体" w:cs="宋体"/>
                <w:color w:val="auto"/>
                <w:sz w:val="21"/>
                <w:szCs w:val="21"/>
                <w:highlight w:val="none"/>
                <w:lang w:eastAsia="zh-CN"/>
              </w:rPr>
              <w:t>。</w:t>
            </w:r>
          </w:p>
          <w:p w14:paraId="181364B1">
            <w:pPr>
              <w:widowControl/>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2、对</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提出的合理建议未能在约定期限内回复的，每次扣1分</w:t>
            </w:r>
            <w:r>
              <w:rPr>
                <w:rFonts w:hint="eastAsia" w:ascii="宋体" w:hAnsi="宋体" w:eastAsia="宋体" w:cs="宋体"/>
                <w:color w:val="auto"/>
                <w:sz w:val="21"/>
                <w:szCs w:val="21"/>
                <w:highlight w:val="none"/>
                <w:lang w:eastAsia="zh-CN"/>
              </w:rPr>
              <w:t>。</w:t>
            </w:r>
          </w:p>
          <w:p w14:paraId="6C8A2DF7">
            <w:pPr>
              <w:widowControl/>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sz w:val="21"/>
                <w:szCs w:val="21"/>
                <w:highlight w:val="none"/>
                <w:lang w:val="en-US" w:eastAsia="zh-CN"/>
              </w:rPr>
              <w:t>中标人</w:t>
            </w:r>
            <w:r>
              <w:rPr>
                <w:rFonts w:hint="eastAsia" w:ascii="宋体" w:hAnsi="宋体" w:eastAsia="宋体" w:cs="宋体"/>
                <w:color w:val="auto"/>
                <w:sz w:val="21"/>
                <w:szCs w:val="21"/>
                <w:highlight w:val="none"/>
              </w:rPr>
              <w:t>组织机构发生调整、经营机构、联系人联系方式变更，未及时通知采购人</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，造成无法及时联系的，每次扣5分。</w:t>
            </w:r>
          </w:p>
          <w:p w14:paraId="3CED0A4E">
            <w:pPr>
              <w:widowControl/>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4、不遵守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的各项管理规定，或泄露采购人内部情况，每次扣5分</w:t>
            </w:r>
            <w:r>
              <w:rPr>
                <w:rFonts w:hint="eastAsia" w:ascii="宋体" w:hAnsi="宋体" w:eastAsia="宋体" w:cs="宋体"/>
                <w:color w:val="auto"/>
                <w:sz w:val="21"/>
                <w:szCs w:val="21"/>
                <w:highlight w:val="none"/>
                <w:lang w:eastAsia="zh-CN"/>
              </w:rPr>
              <w:t>。</w:t>
            </w:r>
          </w:p>
        </w:tc>
        <w:tc>
          <w:tcPr>
            <w:tcW w:w="1659" w:type="dxa"/>
            <w:vMerge w:val="continue"/>
            <w:tcBorders>
              <w:left w:val="single" w:color="auto" w:sz="4" w:space="0"/>
              <w:right w:val="single" w:color="auto" w:sz="4" w:space="0"/>
              <w:tl2br w:val="nil"/>
              <w:tr2bl w:val="nil"/>
            </w:tcBorders>
            <w:noWrap w:val="0"/>
            <w:vAlign w:val="top"/>
          </w:tcPr>
          <w:p w14:paraId="067E1847">
            <w:pPr>
              <w:spacing w:line="360" w:lineRule="auto"/>
              <w:rPr>
                <w:rFonts w:hint="eastAsia" w:ascii="宋体" w:hAnsi="宋体" w:eastAsia="宋体" w:cs="宋体"/>
                <w:color w:val="auto"/>
                <w:sz w:val="21"/>
                <w:szCs w:val="21"/>
                <w:highlight w:val="none"/>
              </w:rPr>
            </w:pPr>
          </w:p>
        </w:tc>
      </w:tr>
      <w:tr w14:paraId="0C04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FD42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食材单价</w:t>
            </w:r>
          </w:p>
        </w:tc>
        <w:tc>
          <w:tcPr>
            <w:tcW w:w="6500" w:type="dxa"/>
            <w:tcBorders>
              <w:top w:val="single" w:color="auto" w:sz="4" w:space="0"/>
              <w:left w:val="single" w:color="auto" w:sz="4" w:space="0"/>
              <w:bottom w:val="single" w:color="auto" w:sz="4" w:space="0"/>
              <w:right w:val="single" w:color="auto" w:sz="4" w:space="0"/>
              <w:tl2br w:val="nil"/>
              <w:tr2bl w:val="nil"/>
            </w:tcBorders>
            <w:noWrap w:val="0"/>
            <w:vAlign w:val="top"/>
          </w:tcPr>
          <w:p w14:paraId="731A7C23">
            <w:pPr>
              <w:keepNext w:val="0"/>
              <w:keepLines w:val="0"/>
              <w:pageBreakBefore w:val="0"/>
              <w:widowControl/>
              <w:kinsoku/>
              <w:wordWrap w:val="0"/>
              <w:overflowPunct/>
              <w:topLinePunct w:val="0"/>
              <w:autoSpaceDE/>
              <w:autoSpaceDN/>
              <w:bidi w:val="0"/>
              <w:adjustRightInd/>
              <w:snapToGrid/>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中标人</w:t>
            </w:r>
            <w:r>
              <w:rPr>
                <w:rFonts w:hint="eastAsia" w:ascii="宋体" w:hAnsi="宋体" w:eastAsia="宋体" w:cs="宋体"/>
                <w:color w:val="auto"/>
                <w:sz w:val="21"/>
                <w:szCs w:val="21"/>
                <w:highlight w:val="none"/>
              </w:rPr>
              <w:t>提供的食材价格必须严格按照合同约定执行，不得高于</w:t>
            </w:r>
            <w:r>
              <w:rPr>
                <w:rFonts w:hint="eastAsia" w:ascii="宋体" w:hAnsi="宋体" w:eastAsia="宋体" w:cs="宋体"/>
                <w:color w:val="auto"/>
                <w:sz w:val="21"/>
                <w:szCs w:val="21"/>
                <w:highlight w:val="none"/>
                <w:lang w:val="en-US" w:eastAsia="zh-CN"/>
              </w:rPr>
              <w:t>滁州市发展和改革委员会官网（http://fgw.chuzhou.gov.cn/xwdt/jggs/msspjg/index.html）《滁州市滁城主要超市和农贸市场民生商品市场价格公示》公示品目中各类食材单价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人将不定期进行抽查，如发现违反合同规定的，每次扣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1659" w:type="dxa"/>
            <w:vMerge w:val="continue"/>
            <w:tcBorders>
              <w:left w:val="single" w:color="auto" w:sz="4" w:space="0"/>
              <w:bottom w:val="single" w:color="auto" w:sz="4" w:space="0"/>
              <w:right w:val="single" w:color="auto" w:sz="4" w:space="0"/>
              <w:tl2br w:val="nil"/>
              <w:tr2bl w:val="nil"/>
            </w:tcBorders>
            <w:noWrap w:val="0"/>
            <w:vAlign w:val="top"/>
          </w:tcPr>
          <w:p w14:paraId="5B5437BA">
            <w:pPr>
              <w:spacing w:line="360" w:lineRule="auto"/>
              <w:rPr>
                <w:rFonts w:hint="eastAsia" w:ascii="宋体" w:hAnsi="宋体" w:eastAsia="宋体" w:cs="宋体"/>
                <w:color w:val="auto"/>
                <w:sz w:val="21"/>
                <w:szCs w:val="21"/>
                <w:highlight w:val="none"/>
              </w:rPr>
            </w:pPr>
          </w:p>
        </w:tc>
      </w:tr>
    </w:tbl>
    <w:p w14:paraId="75FEC230">
      <w:pPr>
        <w:rPr>
          <w:rFonts w:hint="eastAsia" w:ascii="宋体" w:hAnsi="宋体" w:eastAsia="宋体"/>
          <w:b/>
          <w:color w:val="auto"/>
          <w:sz w:val="24"/>
          <w:szCs w:val="18"/>
          <w:highlight w:val="none"/>
          <w:lang w:val="en-US" w:eastAsia="zh-CN"/>
        </w:rPr>
      </w:pPr>
    </w:p>
    <w:bookmarkEnd w:id="33"/>
    <w:bookmarkEnd w:id="34"/>
    <w:bookmarkEnd w:id="35"/>
    <w:p w14:paraId="2A5B8134">
      <w:pPr>
        <w:rPr>
          <w:rFonts w:hint="eastAsia" w:asciiTheme="minorEastAsia" w:hAnsiTheme="minorEastAsia" w:eastAsiaTheme="minorEastAsia"/>
          <w:b/>
          <w:color w:val="auto"/>
          <w:sz w:val="28"/>
          <w:highlight w:val="none"/>
        </w:rPr>
      </w:pPr>
      <w:bookmarkStart w:id="36" w:name="_Toc30824"/>
      <w:r>
        <w:rPr>
          <w:rFonts w:hint="eastAsia" w:asciiTheme="minorEastAsia" w:hAnsiTheme="minorEastAsia" w:eastAsiaTheme="minorEastAsia"/>
          <w:b/>
          <w:color w:val="auto"/>
          <w:sz w:val="28"/>
          <w:highlight w:val="none"/>
        </w:rPr>
        <w:br w:type="page"/>
      </w:r>
    </w:p>
    <w:p w14:paraId="445FC501">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36"/>
    </w:p>
    <w:p w14:paraId="48B918CD">
      <w:pPr>
        <w:spacing w:line="360" w:lineRule="auto"/>
        <w:ind w:firstLine="437"/>
        <w:outlineLvl w:val="1"/>
        <w:rPr>
          <w:rFonts w:asciiTheme="minorEastAsia" w:hAnsiTheme="minorEastAsia" w:eastAsiaTheme="minorEastAsia"/>
          <w:b/>
          <w:color w:val="auto"/>
          <w:sz w:val="24"/>
          <w:highlight w:val="none"/>
        </w:rPr>
      </w:pPr>
      <w:bookmarkStart w:id="37" w:name="_Toc4705"/>
      <w:bookmarkStart w:id="38" w:name="_Toc11823"/>
      <w:r>
        <w:rPr>
          <w:rFonts w:hint="eastAsia" w:asciiTheme="minorEastAsia" w:hAnsiTheme="minorEastAsia" w:eastAsiaTheme="minorEastAsia"/>
          <w:b/>
          <w:color w:val="auto"/>
          <w:sz w:val="24"/>
          <w:highlight w:val="none"/>
        </w:rPr>
        <w:t>一、总则</w:t>
      </w:r>
      <w:bookmarkEnd w:id="37"/>
      <w:bookmarkEnd w:id="38"/>
    </w:p>
    <w:p w14:paraId="1093B7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6E48C6D">
      <w:pPr>
        <w:spacing w:line="360" w:lineRule="auto"/>
        <w:ind w:firstLine="437"/>
        <w:outlineLvl w:val="1"/>
        <w:rPr>
          <w:rFonts w:asciiTheme="minorEastAsia" w:hAnsiTheme="minorEastAsia" w:eastAsiaTheme="minorEastAsia"/>
          <w:b/>
          <w:color w:val="auto"/>
          <w:sz w:val="24"/>
          <w:highlight w:val="none"/>
        </w:rPr>
      </w:pPr>
      <w:bookmarkStart w:id="39" w:name="_Toc31871"/>
      <w:bookmarkStart w:id="40" w:name="_Toc32410"/>
      <w:r>
        <w:rPr>
          <w:rFonts w:hint="eastAsia" w:asciiTheme="minorEastAsia" w:hAnsiTheme="minorEastAsia" w:eastAsiaTheme="minorEastAsia"/>
          <w:b/>
          <w:color w:val="auto"/>
          <w:sz w:val="24"/>
          <w:highlight w:val="none"/>
        </w:rPr>
        <w:t>二、评标方法</w:t>
      </w:r>
      <w:bookmarkEnd w:id="39"/>
      <w:bookmarkEnd w:id="40"/>
    </w:p>
    <w:p w14:paraId="47DB8AF8">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651"/>
        <w:gridCol w:w="4557"/>
        <w:gridCol w:w="1891"/>
      </w:tblGrid>
      <w:tr w14:paraId="08F1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57DB301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68C3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bottom w:val="single" w:color="auto" w:sz="4" w:space="0"/>
            </w:tcBorders>
            <w:vAlign w:val="center"/>
          </w:tcPr>
          <w:p w14:paraId="442D7C0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1" w:type="dxa"/>
            <w:tcBorders>
              <w:bottom w:val="single" w:color="auto" w:sz="4" w:space="0"/>
            </w:tcBorders>
            <w:vAlign w:val="center"/>
          </w:tcPr>
          <w:p w14:paraId="0DB8FFB4">
            <w:pPr>
              <w:pStyle w:val="46"/>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4557" w:type="dxa"/>
            <w:tcBorders>
              <w:bottom w:val="single" w:color="auto" w:sz="4" w:space="0"/>
            </w:tcBorders>
            <w:vAlign w:val="center"/>
          </w:tcPr>
          <w:p w14:paraId="5AF3D98C">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891" w:type="dxa"/>
            <w:tcBorders>
              <w:bottom w:val="single" w:color="auto" w:sz="4" w:space="0"/>
            </w:tcBorders>
            <w:vAlign w:val="center"/>
          </w:tcPr>
          <w:p w14:paraId="52A22C8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156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62" w:type="dxa"/>
            <w:tcBorders>
              <w:bottom w:val="single" w:color="auto" w:sz="4" w:space="0"/>
            </w:tcBorders>
            <w:vAlign w:val="center"/>
          </w:tcPr>
          <w:p w14:paraId="65EFF3D7">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1651" w:type="dxa"/>
            <w:tcBorders>
              <w:bottom w:val="single" w:color="auto" w:sz="4" w:space="0"/>
            </w:tcBorders>
            <w:vAlign w:val="center"/>
          </w:tcPr>
          <w:p w14:paraId="0C93D5AC">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557" w:type="dxa"/>
            <w:tcBorders>
              <w:bottom w:val="single" w:color="auto" w:sz="4" w:space="0"/>
            </w:tcBorders>
            <w:vAlign w:val="center"/>
          </w:tcPr>
          <w:p w14:paraId="08B21DE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5E69E82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1C5D31F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75B0DE1">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74527FC3">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891" w:type="dxa"/>
            <w:vAlign w:val="center"/>
          </w:tcPr>
          <w:p w14:paraId="6333383E">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7CB3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62" w:type="dxa"/>
            <w:tcBorders>
              <w:bottom w:val="single" w:color="auto" w:sz="4" w:space="0"/>
            </w:tcBorders>
            <w:vAlign w:val="center"/>
          </w:tcPr>
          <w:p w14:paraId="2FB06C33">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1651" w:type="dxa"/>
            <w:tcBorders>
              <w:bottom w:val="single" w:color="auto" w:sz="4" w:space="0"/>
            </w:tcBorders>
            <w:vAlign w:val="center"/>
          </w:tcPr>
          <w:p w14:paraId="1025D13F">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4557" w:type="dxa"/>
            <w:tcBorders>
              <w:bottom w:val="single" w:color="auto" w:sz="4" w:space="0"/>
            </w:tcBorders>
            <w:vAlign w:val="center"/>
          </w:tcPr>
          <w:p w14:paraId="2F1B29D1">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891" w:type="dxa"/>
            <w:vAlign w:val="center"/>
          </w:tcPr>
          <w:p w14:paraId="4CDC076D">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92C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bottom w:val="single" w:color="auto" w:sz="4" w:space="0"/>
            </w:tcBorders>
            <w:vAlign w:val="center"/>
          </w:tcPr>
          <w:p w14:paraId="2F0AC5F7">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651" w:type="dxa"/>
            <w:tcBorders>
              <w:bottom w:val="single" w:color="auto" w:sz="4" w:space="0"/>
            </w:tcBorders>
            <w:vAlign w:val="center"/>
          </w:tcPr>
          <w:p w14:paraId="69678487">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4557" w:type="dxa"/>
            <w:tcBorders>
              <w:bottom w:val="single" w:color="auto" w:sz="4" w:space="0"/>
            </w:tcBorders>
            <w:vAlign w:val="center"/>
          </w:tcPr>
          <w:p w14:paraId="4DD8C936">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891" w:type="dxa"/>
            <w:tcBorders>
              <w:bottom w:val="single" w:color="auto" w:sz="4" w:space="0"/>
            </w:tcBorders>
            <w:vAlign w:val="center"/>
          </w:tcPr>
          <w:p w14:paraId="0CD0F50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0395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bottom w:val="single" w:color="auto" w:sz="4" w:space="0"/>
            </w:tcBorders>
            <w:vAlign w:val="center"/>
          </w:tcPr>
          <w:p w14:paraId="369B9862">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1651" w:type="dxa"/>
            <w:tcBorders>
              <w:bottom w:val="single" w:color="auto" w:sz="4" w:space="0"/>
            </w:tcBorders>
            <w:vAlign w:val="center"/>
          </w:tcPr>
          <w:p w14:paraId="08F1D918">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4557" w:type="dxa"/>
            <w:tcBorders>
              <w:bottom w:val="single" w:color="auto" w:sz="4" w:space="0"/>
            </w:tcBorders>
            <w:vAlign w:val="top"/>
          </w:tcPr>
          <w:p w14:paraId="37D069F3">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3356BA0B">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065AE831">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91" w:type="dxa"/>
            <w:tcBorders>
              <w:bottom w:val="single" w:color="auto" w:sz="4" w:space="0"/>
            </w:tcBorders>
            <w:vAlign w:val="center"/>
          </w:tcPr>
          <w:p w14:paraId="5D3B435A">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225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bottom w:val="single" w:color="auto" w:sz="4" w:space="0"/>
            </w:tcBorders>
            <w:vAlign w:val="center"/>
          </w:tcPr>
          <w:p w14:paraId="32C2A736">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651" w:type="dxa"/>
            <w:tcBorders>
              <w:bottom w:val="single" w:color="auto" w:sz="4" w:space="0"/>
            </w:tcBorders>
            <w:vAlign w:val="center"/>
          </w:tcPr>
          <w:p w14:paraId="6A47864D">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4557" w:type="dxa"/>
            <w:tcBorders>
              <w:bottom w:val="single" w:color="auto" w:sz="4" w:space="0"/>
            </w:tcBorders>
            <w:vAlign w:val="center"/>
          </w:tcPr>
          <w:p w14:paraId="0D9CFF8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891" w:type="dxa"/>
            <w:tcBorders>
              <w:bottom w:val="single" w:color="auto" w:sz="4" w:space="0"/>
            </w:tcBorders>
            <w:vAlign w:val="center"/>
          </w:tcPr>
          <w:p w14:paraId="0961B5F1">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01B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4AD960E4">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1651" w:type="dxa"/>
            <w:vAlign w:val="center"/>
          </w:tcPr>
          <w:p w14:paraId="5740DE36">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4557" w:type="dxa"/>
            <w:vAlign w:val="center"/>
          </w:tcPr>
          <w:p w14:paraId="12EB3ED6">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891" w:type="dxa"/>
            <w:vAlign w:val="center"/>
          </w:tcPr>
          <w:p w14:paraId="34159F73">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549662BF">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384237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45ED56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7"/>
        <w:gridCol w:w="3128"/>
        <w:gridCol w:w="2511"/>
      </w:tblGrid>
      <w:tr w14:paraId="4731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6154A0A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3A1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7272694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2117" w:type="dxa"/>
            <w:tcBorders>
              <w:bottom w:val="single" w:color="auto" w:sz="4" w:space="0"/>
            </w:tcBorders>
            <w:vAlign w:val="center"/>
          </w:tcPr>
          <w:p w14:paraId="62C765CE">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3128" w:type="dxa"/>
            <w:tcBorders>
              <w:bottom w:val="single" w:color="auto" w:sz="4" w:space="0"/>
            </w:tcBorders>
            <w:vAlign w:val="center"/>
          </w:tcPr>
          <w:p w14:paraId="2789251E">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2511" w:type="dxa"/>
            <w:tcBorders>
              <w:bottom w:val="single" w:color="auto" w:sz="4" w:space="0"/>
            </w:tcBorders>
            <w:vAlign w:val="center"/>
          </w:tcPr>
          <w:p w14:paraId="6BE39FD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429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16176B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117" w:type="dxa"/>
            <w:vAlign w:val="center"/>
          </w:tcPr>
          <w:p w14:paraId="487EA49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3128" w:type="dxa"/>
            <w:vAlign w:val="center"/>
          </w:tcPr>
          <w:p w14:paraId="3E918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59007F6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266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537139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17" w:type="dxa"/>
            <w:vAlign w:val="center"/>
          </w:tcPr>
          <w:p w14:paraId="2BC5A46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3128" w:type="dxa"/>
            <w:vAlign w:val="center"/>
          </w:tcPr>
          <w:p w14:paraId="06024FA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054A19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20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9C24026">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2117" w:type="dxa"/>
            <w:vAlign w:val="center"/>
          </w:tcPr>
          <w:p w14:paraId="374F208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128" w:type="dxa"/>
            <w:vAlign w:val="center"/>
          </w:tcPr>
          <w:p w14:paraId="2D0807C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5BF4837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0F6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9F7725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17" w:type="dxa"/>
            <w:vAlign w:val="center"/>
          </w:tcPr>
          <w:p w14:paraId="4628DCF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3128" w:type="dxa"/>
            <w:vAlign w:val="center"/>
          </w:tcPr>
          <w:p w14:paraId="5DF1566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2511" w:type="dxa"/>
            <w:vAlign w:val="center"/>
          </w:tcPr>
          <w:p w14:paraId="52A730D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90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69670DE">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2117" w:type="dxa"/>
            <w:vAlign w:val="center"/>
          </w:tcPr>
          <w:p w14:paraId="2A90894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128" w:type="dxa"/>
            <w:vAlign w:val="center"/>
          </w:tcPr>
          <w:p w14:paraId="244D02F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2511" w:type="dxa"/>
            <w:vAlign w:val="center"/>
          </w:tcPr>
          <w:p w14:paraId="6596E0CE">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159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5F2CAB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7D0684B4">
            <w:pPr>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128" w:type="dxa"/>
            <w:vAlign w:val="center"/>
          </w:tcPr>
          <w:p w14:paraId="416AC74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2511" w:type="dxa"/>
            <w:vAlign w:val="center"/>
          </w:tcPr>
          <w:p w14:paraId="425439C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EB5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BF3D4D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2117" w:type="dxa"/>
            <w:vAlign w:val="center"/>
          </w:tcPr>
          <w:p w14:paraId="399624C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128" w:type="dxa"/>
            <w:vAlign w:val="center"/>
          </w:tcPr>
          <w:p w14:paraId="159D869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11" w:type="dxa"/>
            <w:vAlign w:val="center"/>
          </w:tcPr>
          <w:p w14:paraId="066C6299">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8B93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2DC6EAC6">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6"/>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50"/>
        <w:gridCol w:w="4438"/>
        <w:gridCol w:w="2260"/>
      </w:tblGrid>
      <w:tr w14:paraId="472C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3" w:type="dxa"/>
            <w:gridSpan w:val="4"/>
            <w:tcBorders>
              <w:bottom w:val="single" w:color="auto" w:sz="4" w:space="0"/>
            </w:tcBorders>
            <w:vAlign w:val="center"/>
          </w:tcPr>
          <w:p w14:paraId="68DF7907">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7BF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3F37D67">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4CF8D1E8">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8" w:type="dxa"/>
            <w:tcBorders>
              <w:bottom w:val="single" w:color="auto" w:sz="4" w:space="0"/>
            </w:tcBorders>
            <w:vAlign w:val="center"/>
          </w:tcPr>
          <w:p w14:paraId="2FFB1EC2">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53D72E72">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73E1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AE1ADD2">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7B3D780B">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8" w:type="dxa"/>
            <w:tcBorders>
              <w:bottom w:val="single" w:color="auto" w:sz="4" w:space="0"/>
            </w:tcBorders>
            <w:vAlign w:val="center"/>
          </w:tcPr>
          <w:p w14:paraId="0B3AD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242688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451152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782F06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6607C5C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1291D289">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058C9F7B">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F2DBD03">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3F038DC">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35F6925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7B280D1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15EE915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7B5B1C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3A19636">
      <w:pPr>
        <w:spacing w:line="440" w:lineRule="exact"/>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本项目综合评分满分为100分，其中：</w:t>
      </w:r>
      <w:r>
        <w:rPr>
          <w:rFonts w:hint="eastAsia" w:asciiTheme="minorEastAsia" w:hAnsiTheme="minorEastAsia" w:eastAsiaTheme="minorEastAsia"/>
          <w:color w:val="auto"/>
          <w:sz w:val="24"/>
          <w:highlight w:val="none"/>
          <w:lang w:val="en-US" w:eastAsia="zh-CN"/>
        </w:rPr>
        <w:t>资信分值占总分值的权重为30%，技术分值占总分值的权重为50%，价格分值占总分值的权重为20%。具体评分细则如下：</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105"/>
        <w:gridCol w:w="4129"/>
        <w:gridCol w:w="1202"/>
      </w:tblGrid>
      <w:tr w14:paraId="13C2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41B7D16">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2105" w:type="dxa"/>
            <w:tcBorders>
              <w:top w:val="single" w:color="auto" w:sz="4" w:space="0"/>
              <w:left w:val="single" w:color="auto" w:sz="4" w:space="0"/>
              <w:bottom w:val="single" w:color="auto" w:sz="4" w:space="0"/>
              <w:right w:val="single" w:color="auto" w:sz="4" w:space="0"/>
            </w:tcBorders>
            <w:vAlign w:val="center"/>
          </w:tcPr>
          <w:p w14:paraId="3BF628B7">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4129" w:type="dxa"/>
            <w:tcBorders>
              <w:top w:val="single" w:color="auto" w:sz="4" w:space="0"/>
              <w:left w:val="single" w:color="auto" w:sz="4" w:space="0"/>
              <w:bottom w:val="single" w:color="auto" w:sz="4" w:space="0"/>
              <w:right w:val="single" w:color="auto" w:sz="4" w:space="0"/>
            </w:tcBorders>
            <w:vAlign w:val="center"/>
          </w:tcPr>
          <w:p w14:paraId="4C20476D">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1202" w:type="dxa"/>
            <w:tcBorders>
              <w:top w:val="single" w:color="auto" w:sz="4" w:space="0"/>
              <w:left w:val="single" w:color="auto" w:sz="4" w:space="0"/>
              <w:bottom w:val="single" w:color="auto" w:sz="4" w:space="0"/>
              <w:right w:val="single" w:color="auto" w:sz="4" w:space="0"/>
            </w:tcBorders>
            <w:vAlign w:val="center"/>
          </w:tcPr>
          <w:p w14:paraId="069F8C58">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4C4E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tcBorders>
              <w:left w:val="single" w:color="auto" w:sz="4" w:space="0"/>
              <w:right w:val="single" w:color="auto" w:sz="4" w:space="0"/>
            </w:tcBorders>
            <w:vAlign w:val="center"/>
          </w:tcPr>
          <w:p w14:paraId="34F07BD1">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资信</w:t>
            </w:r>
            <w:r>
              <w:rPr>
                <w:rFonts w:hint="eastAsia" w:asciiTheme="minorEastAsia" w:hAnsiTheme="minorEastAsia" w:eastAsiaTheme="minorEastAsia"/>
                <w:color w:val="auto"/>
                <w:sz w:val="24"/>
                <w:szCs w:val="24"/>
                <w:highlight w:val="none"/>
              </w:rPr>
              <w:t>分</w:t>
            </w:r>
          </w:p>
          <w:p w14:paraId="6E8A3BEF">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78B62783">
            <w:pPr>
              <w:keepNext w:val="0"/>
              <w:keepLines w:val="0"/>
              <w:pageBreakBefore w:val="0"/>
              <w:kinsoku/>
              <w:wordWrap/>
              <w:overflowPunct/>
              <w:topLinePunct w:val="0"/>
              <w:autoSpaceDE/>
              <w:autoSpaceDN/>
              <w:bidi w:val="0"/>
              <w:spacing w:line="400" w:lineRule="exact"/>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1.投标人</w:t>
            </w:r>
            <w:r>
              <w:rPr>
                <w:rFonts w:hint="eastAsia" w:asciiTheme="minorEastAsia" w:hAnsiTheme="minorEastAsia" w:eastAsiaTheme="minorEastAsia"/>
                <w:color w:val="auto"/>
                <w:sz w:val="24"/>
                <w:szCs w:val="24"/>
                <w:highlight w:val="none"/>
              </w:rPr>
              <w:t>业绩</w:t>
            </w: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75C2D192">
            <w:pPr>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zh-CN" w:bidi="ar"/>
              </w:rPr>
            </w:pPr>
            <w:r>
              <w:rPr>
                <w:rFonts w:hint="eastAsia" w:asciiTheme="minorEastAsia" w:hAnsiTheme="minorEastAsia" w:eastAsiaTheme="minorEastAsia"/>
                <w:color w:val="auto"/>
                <w:sz w:val="24"/>
                <w:szCs w:val="24"/>
                <w:highlight w:val="none"/>
                <w:lang w:val="en-US" w:eastAsia="zh-CN"/>
              </w:rPr>
              <w:t>投标人</w:t>
            </w:r>
            <w:r>
              <w:rPr>
                <w:rFonts w:hint="eastAsia" w:ascii="宋体" w:hAnsi="宋体" w:eastAsia="宋体" w:cs="宋体"/>
                <w:color w:val="auto"/>
                <w:sz w:val="24"/>
                <w:szCs w:val="24"/>
                <w:highlight w:val="none"/>
                <w:lang w:val="zh-CN" w:bidi="ar"/>
              </w:rPr>
              <w:t>具有“食堂副食品</w:t>
            </w:r>
            <w:r>
              <w:rPr>
                <w:rFonts w:hint="eastAsia" w:ascii="宋体" w:hAnsi="宋体" w:eastAsia="宋体" w:cs="宋体"/>
                <w:color w:val="auto"/>
                <w:sz w:val="24"/>
                <w:szCs w:val="24"/>
                <w:highlight w:val="none"/>
                <w:lang w:val="zh-CN" w:eastAsia="zh-CN" w:bidi="ar"/>
              </w:rPr>
              <w:t>（</w:t>
            </w:r>
            <w:r>
              <w:rPr>
                <w:rFonts w:hint="eastAsia" w:ascii="宋体" w:hAnsi="宋体" w:eastAsia="宋体" w:cs="宋体"/>
                <w:color w:val="auto"/>
                <w:sz w:val="24"/>
                <w:szCs w:val="24"/>
                <w:highlight w:val="none"/>
                <w:lang w:val="en-US" w:eastAsia="zh-CN" w:bidi="ar"/>
              </w:rPr>
              <w:t>含</w:t>
            </w:r>
            <w:r>
              <w:rPr>
                <w:rFonts w:hint="eastAsia" w:ascii="宋体" w:hAnsi="宋体" w:eastAsia="宋体" w:cs="宋体"/>
                <w:color w:val="auto"/>
                <w:sz w:val="24"/>
                <w:szCs w:val="24"/>
                <w:highlight w:val="none"/>
                <w:lang w:val="zh-CN" w:bidi="ar"/>
              </w:rPr>
              <w:t>菜品</w:t>
            </w:r>
            <w:r>
              <w:rPr>
                <w:rFonts w:hint="eastAsia" w:ascii="宋体" w:hAnsi="宋体" w:eastAsia="宋体" w:cs="宋体"/>
                <w:color w:val="auto"/>
                <w:sz w:val="24"/>
                <w:szCs w:val="24"/>
                <w:highlight w:val="none"/>
                <w:lang w:val="zh-CN" w:eastAsia="zh-CN" w:bidi="ar"/>
              </w:rPr>
              <w:t>）</w:t>
            </w:r>
            <w:r>
              <w:rPr>
                <w:rFonts w:hint="eastAsia" w:ascii="宋体" w:hAnsi="宋体" w:eastAsia="宋体" w:cs="宋体"/>
                <w:color w:val="auto"/>
                <w:sz w:val="24"/>
                <w:szCs w:val="24"/>
                <w:highlight w:val="none"/>
                <w:lang w:val="en-US" w:eastAsia="zh-CN" w:bidi="ar"/>
              </w:rPr>
              <w:t>配送或食材配送</w:t>
            </w:r>
            <w:r>
              <w:rPr>
                <w:rFonts w:hint="eastAsia" w:ascii="宋体" w:hAnsi="宋体" w:eastAsia="宋体" w:cs="宋体"/>
                <w:color w:val="auto"/>
                <w:sz w:val="24"/>
                <w:szCs w:val="24"/>
                <w:highlight w:val="none"/>
                <w:lang w:val="zh-CN" w:bidi="ar"/>
              </w:rPr>
              <w:t>”供货业绩的，每提供一个得2分，其他的不得分，最高得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zh-CN" w:bidi="ar"/>
              </w:rPr>
              <w:t>分。</w:t>
            </w:r>
          </w:p>
          <w:p w14:paraId="06198307">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zh-CN" w:eastAsia="zh-CN" w:bidi="ar"/>
              </w:rPr>
            </w:pPr>
            <w:r>
              <w:rPr>
                <w:rFonts w:hint="eastAsia" w:ascii="宋体" w:hAnsi="宋体" w:eastAsia="宋体" w:cs="宋体"/>
                <w:color w:val="auto"/>
                <w:sz w:val="24"/>
                <w:szCs w:val="24"/>
                <w:highlight w:val="none"/>
                <w:lang w:val="zh-CN" w:bidi="ar"/>
              </w:rPr>
              <w:t>注：①投标文件中提供业绩合同扫描件，时间以合同签订时间为准；若合同材料中无法体现签订时间、</w:t>
            </w:r>
            <w:r>
              <w:rPr>
                <w:rFonts w:hint="eastAsia" w:ascii="宋体" w:hAnsi="宋体" w:eastAsia="宋体" w:cs="宋体"/>
                <w:color w:val="auto"/>
                <w:sz w:val="24"/>
                <w:szCs w:val="24"/>
                <w:highlight w:val="none"/>
                <w:lang w:val="en-US" w:eastAsia="zh-CN" w:bidi="ar"/>
              </w:rPr>
              <w:t>业绩</w:t>
            </w:r>
            <w:r>
              <w:rPr>
                <w:rFonts w:hint="eastAsia" w:ascii="宋体" w:hAnsi="宋体" w:eastAsia="宋体" w:cs="宋体"/>
                <w:color w:val="auto"/>
                <w:sz w:val="24"/>
                <w:szCs w:val="24"/>
                <w:highlight w:val="none"/>
                <w:lang w:val="zh-CN" w:bidi="ar"/>
              </w:rPr>
              <w:t>内容等关键评</w:t>
            </w:r>
            <w:r>
              <w:rPr>
                <w:rFonts w:hint="eastAsia" w:ascii="宋体" w:hAnsi="宋体" w:eastAsia="宋体" w:cs="宋体"/>
                <w:color w:val="auto"/>
                <w:sz w:val="24"/>
                <w:szCs w:val="24"/>
                <w:highlight w:val="none"/>
                <w:lang w:val="zh-CN" w:eastAsia="zh-CN" w:bidi="ar"/>
              </w:rPr>
              <w:t>审因素的，须另</w:t>
            </w:r>
            <w:r>
              <w:rPr>
                <w:rFonts w:hint="eastAsia" w:ascii="宋体" w:hAnsi="宋体" w:eastAsia="宋体" w:cs="宋体"/>
                <w:color w:val="auto"/>
                <w:sz w:val="24"/>
                <w:szCs w:val="24"/>
                <w:highlight w:val="none"/>
                <w:lang w:val="en-US" w:eastAsia="zh-CN" w:bidi="ar"/>
              </w:rPr>
              <w:t>外提供</w:t>
            </w:r>
            <w:r>
              <w:rPr>
                <w:rFonts w:hint="eastAsia" w:ascii="宋体" w:hAnsi="宋体" w:eastAsia="宋体" w:cs="宋体"/>
                <w:color w:val="auto"/>
                <w:sz w:val="24"/>
                <w:szCs w:val="24"/>
                <w:highlight w:val="none"/>
                <w:lang w:val="zh-CN" w:eastAsia="zh-CN" w:bidi="ar"/>
              </w:rPr>
              <w:t>业主（合同甲方）出具的</w:t>
            </w:r>
            <w:r>
              <w:rPr>
                <w:rFonts w:hint="eastAsia" w:ascii="宋体" w:hAnsi="宋体" w:eastAsia="宋体" w:cs="宋体"/>
                <w:color w:val="auto"/>
                <w:sz w:val="24"/>
                <w:szCs w:val="24"/>
                <w:highlight w:val="none"/>
                <w:lang w:val="en-US" w:eastAsia="zh-CN" w:bidi="ar"/>
              </w:rPr>
              <w:t>盖章证明材料扫描件</w:t>
            </w:r>
            <w:r>
              <w:rPr>
                <w:rFonts w:hint="eastAsia" w:ascii="宋体" w:hAnsi="宋体" w:eastAsia="宋体" w:cs="宋体"/>
                <w:color w:val="auto"/>
                <w:sz w:val="24"/>
                <w:szCs w:val="24"/>
                <w:highlight w:val="none"/>
                <w:lang w:val="zh-CN" w:eastAsia="zh-CN" w:bidi="ar"/>
              </w:rPr>
              <w:t>。</w:t>
            </w:r>
          </w:p>
          <w:p w14:paraId="4D1D9B02">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zh-CN" w:bidi="ar"/>
              </w:rPr>
              <w:t>②</w:t>
            </w:r>
            <w:r>
              <w:rPr>
                <w:rFonts w:hint="eastAsia" w:ascii="宋体" w:hAnsi="宋体" w:eastAsia="宋体" w:cs="宋体"/>
                <w:color w:val="auto"/>
                <w:sz w:val="24"/>
                <w:szCs w:val="24"/>
                <w:highlight w:val="none"/>
                <w:lang w:val="en-US" w:eastAsia="zh-CN" w:bidi="ar"/>
              </w:rPr>
              <w:t>分年度签订的</w:t>
            </w:r>
            <w:r>
              <w:rPr>
                <w:rFonts w:hint="eastAsia" w:ascii="宋体" w:hAnsi="宋体" w:eastAsia="宋体" w:cs="宋体"/>
                <w:color w:val="auto"/>
                <w:sz w:val="24"/>
                <w:szCs w:val="24"/>
                <w:highlight w:val="none"/>
                <w:lang w:val="zh-CN" w:bidi="ar"/>
              </w:rPr>
              <w:t>同一</w:t>
            </w:r>
            <w:r>
              <w:rPr>
                <w:rFonts w:hint="eastAsia" w:ascii="宋体" w:hAnsi="宋体" w:eastAsia="宋体" w:cs="宋体"/>
                <w:color w:val="auto"/>
                <w:sz w:val="24"/>
                <w:szCs w:val="24"/>
                <w:highlight w:val="none"/>
                <w:lang w:val="en-US" w:eastAsia="zh-CN" w:bidi="ar"/>
              </w:rPr>
              <w:t>项目业绩</w:t>
            </w:r>
            <w:r>
              <w:rPr>
                <w:rFonts w:hint="eastAsia" w:ascii="宋体" w:hAnsi="宋体" w:eastAsia="宋体" w:cs="宋体"/>
                <w:color w:val="auto"/>
                <w:sz w:val="24"/>
                <w:szCs w:val="24"/>
                <w:highlight w:val="none"/>
                <w:lang w:val="zh-CN" w:bidi="ar"/>
              </w:rPr>
              <w:t>不重复计分。</w:t>
            </w:r>
          </w:p>
          <w:p w14:paraId="769EE75D">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color w:val="auto"/>
                <w:kern w:val="2"/>
                <w:sz w:val="21"/>
                <w:highlight w:val="none"/>
                <w:lang w:val="zh-CN" w:eastAsia="zh-CN" w:bidi="ar-SA"/>
              </w:rPr>
            </w:pPr>
            <w:r>
              <w:rPr>
                <w:rFonts w:hint="eastAsia" w:ascii="宋体" w:hAnsi="宋体" w:eastAsia="宋体" w:cs="宋体"/>
                <w:color w:val="auto"/>
                <w:sz w:val="24"/>
                <w:szCs w:val="24"/>
                <w:highlight w:val="none"/>
                <w:lang w:val="en-US" w:eastAsia="zh-CN" w:bidi="ar"/>
              </w:rPr>
              <w:t>③投标人</w:t>
            </w:r>
            <w:r>
              <w:rPr>
                <w:rFonts w:hint="eastAsia" w:ascii="宋体" w:hAnsi="宋体" w:eastAsia="宋体" w:cs="宋体"/>
                <w:color w:val="auto"/>
                <w:sz w:val="24"/>
                <w:szCs w:val="24"/>
                <w:highlight w:val="none"/>
                <w:lang w:val="zh-CN" w:bidi="ar"/>
              </w:rPr>
              <w:t>只需提供2个评审业绩，若</w:t>
            </w:r>
            <w:r>
              <w:rPr>
                <w:rFonts w:hint="eastAsia" w:ascii="宋体" w:hAnsi="宋体" w:eastAsia="宋体" w:cs="宋体"/>
                <w:color w:val="auto"/>
                <w:sz w:val="24"/>
                <w:szCs w:val="24"/>
                <w:highlight w:val="none"/>
                <w:lang w:val="en-US" w:eastAsia="zh-CN" w:bidi="ar"/>
              </w:rPr>
              <w:t>投标人</w:t>
            </w:r>
            <w:r>
              <w:rPr>
                <w:rFonts w:hint="eastAsia" w:ascii="宋体" w:hAnsi="宋体" w:eastAsia="宋体" w:cs="宋体"/>
                <w:color w:val="auto"/>
                <w:sz w:val="24"/>
                <w:szCs w:val="24"/>
                <w:highlight w:val="none"/>
                <w:lang w:val="zh-CN" w:bidi="ar"/>
              </w:rPr>
              <w:t>提供业绩个数超过2个，则按照排列顺序从首个业绩开始评审至对应数量（2个），超出部分业绩不进行评审。对应数量（2个）业绩不符合</w:t>
            </w:r>
            <w:r>
              <w:rPr>
                <w:rFonts w:hint="eastAsia" w:ascii="宋体" w:hAnsi="宋体" w:eastAsia="宋体" w:cs="宋体"/>
                <w:color w:val="auto"/>
                <w:sz w:val="24"/>
                <w:szCs w:val="24"/>
                <w:highlight w:val="none"/>
                <w:lang w:val="en-US" w:eastAsia="zh-CN" w:bidi="ar"/>
              </w:rPr>
              <w:t>招标</w:t>
            </w:r>
            <w:r>
              <w:rPr>
                <w:rFonts w:hint="eastAsia" w:ascii="宋体" w:hAnsi="宋体" w:eastAsia="宋体" w:cs="宋体"/>
                <w:color w:val="auto"/>
                <w:sz w:val="24"/>
                <w:szCs w:val="24"/>
                <w:highlight w:val="none"/>
                <w:lang w:val="zh-CN" w:bidi="ar"/>
              </w:rPr>
              <w:t>文件要求不得分的，不再补充评审超出部分业绩。如：提供2个业绩即得满分的，按照响应文件排序评审第一、第二项业绩，其余超出部分不再评审。</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314E28A7">
            <w:pPr>
              <w:keepNext w:val="0"/>
              <w:keepLines w:val="0"/>
              <w:pageBreakBefore w:val="0"/>
              <w:kinsoku/>
              <w:wordWrap/>
              <w:overflowPunct/>
              <w:topLinePunct w:val="0"/>
              <w:autoSpaceDE/>
              <w:autoSpaceDN/>
              <w:bidi w:val="0"/>
              <w:spacing w:line="400" w:lineRule="exact"/>
              <w:jc w:val="center"/>
              <w:textAlignment w:val="auto"/>
              <w:rPr>
                <w:rFonts w:hint="eastAsia" w:cs="@仿宋_GB2312" w:asciiTheme="minorEastAsia" w:hAnsiTheme="minorEastAsia" w:eastAsiaTheme="minorEastAsia"/>
                <w:b/>
                <w:bCs/>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分</w:t>
            </w:r>
          </w:p>
        </w:tc>
      </w:tr>
      <w:tr w14:paraId="01E1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5EE07BD2">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6CEDA55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4"/>
                <w:szCs w:val="24"/>
                <w:highlight w:val="none"/>
                <w:lang w:val="en-US" w:eastAsia="zh-CN" w:bidi="ar"/>
              </w:rPr>
            </w:pPr>
            <w:r>
              <w:rPr>
                <w:rFonts w:hint="eastAsia" w:asciiTheme="minorEastAsia" w:hAnsiTheme="minorEastAsia" w:eastAsiaTheme="minorEastAsia"/>
                <w:color w:val="auto"/>
                <w:sz w:val="24"/>
                <w:szCs w:val="24"/>
                <w:highlight w:val="none"/>
                <w:lang w:val="en-US" w:eastAsia="zh-CN"/>
              </w:rPr>
              <w:t>2.供货渠道</w:t>
            </w: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693B6E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投标人所供的粮食类、蔬菜类、鲜肉类、家禽类、水产类、干货调味品类、水果类、糕点原材料类八类产品具有稳定的进货渠道，每提供一类产品的供货渠道证明材料的2分；未提供的不得分，满分16分。</w:t>
            </w:r>
          </w:p>
          <w:p w14:paraId="1369CE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spacing w:val="1"/>
                <w:kern w:val="0"/>
                <w:sz w:val="24"/>
                <w:szCs w:val="24"/>
                <w:highlight w:val="none"/>
                <w:lang w:val="en-US" w:eastAsia="zh-CN"/>
              </w:rPr>
              <w:t>注：投标文件中须提供供货合同（或销售协议）证明材料扫描件。</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07F3441C">
            <w:pPr>
              <w:keepNext w:val="0"/>
              <w:keepLines w:val="0"/>
              <w:pageBreakBefore w:val="0"/>
              <w:kinsoku/>
              <w:wordWrap/>
              <w:overflowPunct/>
              <w:topLinePunct w:val="0"/>
              <w:autoSpaceDE/>
              <w:autoSpaceDN/>
              <w:bidi w:val="0"/>
              <w:spacing w:line="400" w:lineRule="exact"/>
              <w:jc w:val="center"/>
              <w:textAlignment w:val="auto"/>
              <w:rPr>
                <w:rFonts w:hint="eastAsia" w:cs="@仿宋_GB2312" w:asciiTheme="minorEastAsia" w:hAnsiTheme="minorEastAsia" w:eastAsiaTheme="minorEastAsia"/>
                <w:b/>
                <w:bCs/>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16</w:t>
            </w:r>
            <w:r>
              <w:rPr>
                <w:rFonts w:hint="eastAsia" w:asciiTheme="minorEastAsia" w:hAnsiTheme="minorEastAsia" w:eastAsiaTheme="minorEastAsia"/>
                <w:color w:val="auto"/>
                <w:sz w:val="24"/>
                <w:szCs w:val="24"/>
                <w:highlight w:val="none"/>
              </w:rPr>
              <w:t>分</w:t>
            </w:r>
          </w:p>
        </w:tc>
      </w:tr>
      <w:tr w14:paraId="6FAE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373474CF">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128E143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3.食品安全责任险</w:t>
            </w: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5EE88A43">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投标人为提供食材（肉、禽、蛋、蔬菜等）购买过食品安全责任保险的得2分，无责任险的不得分。</w:t>
            </w:r>
          </w:p>
          <w:p w14:paraId="705319AB">
            <w:pPr>
              <w:keepNext w:val="0"/>
              <w:keepLines w:val="0"/>
              <w:pageBreakBefore w:val="0"/>
              <w:kinsoku/>
              <w:wordWrap/>
              <w:overflowPunct/>
              <w:topLinePunct w:val="0"/>
              <w:autoSpaceDE/>
              <w:autoSpaceDN/>
              <w:bidi w:val="0"/>
              <w:spacing w:line="400" w:lineRule="exact"/>
              <w:jc w:val="left"/>
              <w:textAlignment w:val="auto"/>
              <w:rPr>
                <w:rFonts w:hint="eastAsia"/>
                <w:highlight w:val="none"/>
                <w:lang w:val="en-US" w:eastAsia="zh-CN"/>
              </w:rPr>
            </w:pPr>
            <w:r>
              <w:rPr>
                <w:rFonts w:hint="eastAsia" w:asciiTheme="minorEastAsia" w:hAnsiTheme="minorEastAsia" w:eastAsiaTheme="minorEastAsia"/>
                <w:color w:val="auto"/>
                <w:sz w:val="24"/>
                <w:szCs w:val="24"/>
                <w:highlight w:val="none"/>
                <w:lang w:val="en-US" w:eastAsia="zh-CN"/>
              </w:rPr>
              <w:t>注:投标文件中提供食品安全责任保险单及发票扫描件。</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7986C532">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0-2分</w:t>
            </w:r>
          </w:p>
        </w:tc>
      </w:tr>
      <w:tr w14:paraId="5FD6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2EC2D752">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437649ED">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4.人员配备</w:t>
            </w: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32093187">
            <w:pPr>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zh-CN" w:bidi="ar"/>
              </w:rPr>
            </w:pPr>
            <w:r>
              <w:rPr>
                <w:rFonts w:hint="eastAsia" w:asciiTheme="minorEastAsia" w:hAnsiTheme="minorEastAsia" w:eastAsiaTheme="minorEastAsia"/>
                <w:color w:val="auto"/>
                <w:sz w:val="24"/>
                <w:szCs w:val="24"/>
                <w:highlight w:val="none"/>
                <w:lang w:val="en-US" w:eastAsia="zh-CN"/>
              </w:rPr>
              <w:t>（1）具有食品安全管理员证书或食品安全管理师证书，每提供1个得2分；</w:t>
            </w:r>
            <w:r>
              <w:rPr>
                <w:rFonts w:hint="eastAsia" w:ascii="宋体" w:hAnsi="宋体" w:eastAsia="宋体" w:cs="宋体"/>
                <w:color w:val="auto"/>
                <w:sz w:val="24"/>
                <w:szCs w:val="24"/>
                <w:highlight w:val="none"/>
                <w:lang w:val="zh-CN" w:bidi="ar"/>
              </w:rPr>
              <w:t>其他的不得分，</w:t>
            </w:r>
            <w:r>
              <w:rPr>
                <w:rFonts w:hint="eastAsia" w:ascii="宋体" w:hAnsi="宋体" w:eastAsia="宋体" w:cs="宋体"/>
                <w:color w:val="auto"/>
                <w:sz w:val="24"/>
                <w:szCs w:val="24"/>
                <w:highlight w:val="none"/>
                <w:lang w:val="en-US" w:eastAsia="zh-CN" w:bidi="ar"/>
              </w:rPr>
              <w:t>本条</w:t>
            </w:r>
            <w:r>
              <w:rPr>
                <w:rFonts w:hint="eastAsia" w:ascii="宋体" w:hAnsi="宋体" w:eastAsia="宋体" w:cs="宋体"/>
                <w:color w:val="auto"/>
                <w:sz w:val="24"/>
                <w:szCs w:val="24"/>
                <w:highlight w:val="none"/>
                <w:lang w:val="zh-CN" w:bidi="ar"/>
              </w:rPr>
              <w:t>最高得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zh-CN" w:bidi="ar"/>
              </w:rPr>
              <w:t>分。</w:t>
            </w:r>
          </w:p>
          <w:p w14:paraId="7FE4A609">
            <w:pPr>
              <w:keepNext w:val="0"/>
              <w:keepLines w:val="0"/>
              <w:pageBreakBefore w:val="0"/>
              <w:kinsoku/>
              <w:wordWrap/>
              <w:overflowPunct/>
              <w:topLinePunct w:val="0"/>
              <w:autoSpaceDE/>
              <w:autoSpaceDN/>
              <w:bidi w:val="0"/>
              <w:spacing w:line="400" w:lineRule="exact"/>
              <w:jc w:val="both"/>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（2）配备专职食品检验工的，每提供1个得2分；</w:t>
            </w:r>
            <w:r>
              <w:rPr>
                <w:rFonts w:hint="eastAsia" w:ascii="宋体" w:hAnsi="宋体" w:eastAsia="宋体" w:cs="宋体"/>
                <w:color w:val="auto"/>
                <w:sz w:val="24"/>
                <w:szCs w:val="24"/>
                <w:highlight w:val="none"/>
                <w:lang w:val="zh-CN" w:bidi="ar"/>
              </w:rPr>
              <w:t>其他的不得分，</w:t>
            </w:r>
            <w:r>
              <w:rPr>
                <w:rFonts w:hint="eastAsia" w:ascii="宋体" w:hAnsi="宋体" w:eastAsia="宋体" w:cs="宋体"/>
                <w:color w:val="auto"/>
                <w:sz w:val="24"/>
                <w:szCs w:val="24"/>
                <w:highlight w:val="none"/>
                <w:lang w:val="en-US" w:eastAsia="zh-CN" w:bidi="ar"/>
              </w:rPr>
              <w:t>本条</w:t>
            </w:r>
            <w:r>
              <w:rPr>
                <w:rFonts w:hint="eastAsia" w:ascii="宋体" w:hAnsi="宋体" w:eastAsia="宋体" w:cs="宋体"/>
                <w:color w:val="auto"/>
                <w:sz w:val="24"/>
                <w:szCs w:val="24"/>
                <w:highlight w:val="none"/>
                <w:lang w:val="zh-CN" w:bidi="ar"/>
              </w:rPr>
              <w:t>最高得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zh-CN" w:bidi="ar"/>
              </w:rPr>
              <w:t>分。</w:t>
            </w:r>
          </w:p>
          <w:p w14:paraId="55255F9F">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注：投标文件中须同时提供①人员配备名单（格式自拟，至少包含人员姓名、岗位安排）；②提供人员身份证和相应证书的扫描件；③社保部门出具的本单位为其缴纳的投标前近三个月内任意一月的养老保险证明或供应商提供承诺已为上述人员缴纳养老保险证明的承诺书（格式自拟）。</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00975A0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0-8分</w:t>
            </w:r>
          </w:p>
        </w:tc>
      </w:tr>
      <w:tr w14:paraId="6321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tcBorders>
              <w:left w:val="single" w:color="auto" w:sz="4" w:space="0"/>
              <w:right w:val="single" w:color="auto" w:sz="4" w:space="0"/>
            </w:tcBorders>
            <w:vAlign w:val="center"/>
          </w:tcPr>
          <w:p w14:paraId="3EDE449C">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技术</w:t>
            </w:r>
            <w:r>
              <w:rPr>
                <w:rFonts w:hint="eastAsia" w:asciiTheme="minorEastAsia" w:hAnsiTheme="minorEastAsia" w:eastAsiaTheme="minorEastAsia"/>
                <w:color w:val="auto"/>
                <w:sz w:val="24"/>
                <w:szCs w:val="24"/>
                <w:highlight w:val="none"/>
              </w:rPr>
              <w:t>分</w:t>
            </w:r>
          </w:p>
          <w:p w14:paraId="24D892E0">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50</w:t>
            </w:r>
            <w:r>
              <w:rPr>
                <w:rFonts w:hint="eastAsia" w:asciiTheme="minorEastAsia" w:hAnsiTheme="minorEastAsia" w:eastAsiaTheme="minorEastAsia"/>
                <w:color w:val="auto"/>
                <w:sz w:val="24"/>
                <w:szCs w:val="24"/>
                <w:highlight w:val="none"/>
              </w:rPr>
              <w:t>分）</w:t>
            </w:r>
          </w:p>
        </w:tc>
        <w:tc>
          <w:tcPr>
            <w:tcW w:w="2105" w:type="dxa"/>
            <w:tcBorders>
              <w:top w:val="single" w:color="auto" w:sz="4" w:space="0"/>
              <w:left w:val="single" w:color="auto" w:sz="4" w:space="0"/>
              <w:bottom w:val="single" w:color="auto" w:sz="4" w:space="0"/>
              <w:right w:val="single" w:color="auto" w:sz="4" w:space="0"/>
            </w:tcBorders>
            <w:vAlign w:val="center"/>
          </w:tcPr>
          <w:p w14:paraId="24359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配送能力</w:t>
            </w:r>
          </w:p>
        </w:tc>
        <w:tc>
          <w:tcPr>
            <w:tcW w:w="4129" w:type="dxa"/>
            <w:tcBorders>
              <w:top w:val="single" w:color="auto" w:sz="4" w:space="0"/>
              <w:left w:val="single" w:color="auto" w:sz="4" w:space="0"/>
              <w:bottom w:val="single" w:color="auto" w:sz="4" w:space="0"/>
              <w:right w:val="single" w:color="auto" w:sz="4" w:space="0"/>
            </w:tcBorders>
            <w:vAlign w:val="center"/>
          </w:tcPr>
          <w:p w14:paraId="2AF33A79">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评标委员会根据投标人提供的配送能力说明、处理库存的解决方案等方面综合评审：</w:t>
            </w:r>
          </w:p>
          <w:p w14:paraId="0170052A">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（1）优于本项目采购需求，完整详细、 </w:t>
            </w:r>
          </w:p>
          <w:p w14:paraId="3185CDC3">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实用、针对性强的，得5分； </w:t>
            </w:r>
          </w:p>
          <w:p w14:paraId="13948BE3">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（2）适合本项目采购需求完整详细、 </w:t>
            </w:r>
          </w:p>
          <w:p w14:paraId="20788C05">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合理，但无具体针对性的，得3分； </w:t>
            </w:r>
          </w:p>
          <w:p w14:paraId="1E97996A">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（3）适合本项目采购需求，但细节有待改善的，得1分； </w:t>
            </w:r>
          </w:p>
          <w:p w14:paraId="4F7828DF">
            <w:pPr>
              <w:keepNext w:val="0"/>
              <w:keepLines w:val="0"/>
              <w:pageBreakBefore w:val="0"/>
              <w:kinsoku/>
              <w:wordWrap/>
              <w:overflowPunct/>
              <w:topLinePunct w:val="0"/>
              <w:autoSpaceDE/>
              <w:autoSpaceDN/>
              <w:bidi w:val="0"/>
              <w:spacing w:line="400" w:lineRule="exact"/>
              <w:jc w:val="left"/>
              <w:textAlignment w:val="auto"/>
              <w:rPr>
                <w:rFonts w:hint="default" w:ascii="宋体" w:hAnsi="宋体" w:eastAsia="宋体" w:cs="宋体"/>
                <w:color w:val="auto"/>
                <w:spacing w:val="1"/>
                <w:kern w:val="0"/>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（4）未提供相关内容不得分。</w:t>
            </w:r>
          </w:p>
        </w:tc>
        <w:tc>
          <w:tcPr>
            <w:tcW w:w="1202" w:type="dxa"/>
            <w:tcBorders>
              <w:top w:val="single" w:color="auto" w:sz="4" w:space="0"/>
              <w:left w:val="single" w:color="auto" w:sz="4" w:space="0"/>
              <w:bottom w:val="single" w:color="auto" w:sz="4" w:space="0"/>
              <w:right w:val="single" w:color="auto" w:sz="4" w:space="0"/>
            </w:tcBorders>
            <w:vAlign w:val="center"/>
          </w:tcPr>
          <w:p w14:paraId="78529FB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552C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0334A761">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588A8C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2.配送方案</w:t>
            </w:r>
          </w:p>
          <w:p w14:paraId="6BB37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4129" w:type="dxa"/>
            <w:tcBorders>
              <w:top w:val="single" w:color="auto" w:sz="4" w:space="0"/>
              <w:left w:val="single" w:color="auto" w:sz="4" w:space="0"/>
              <w:bottom w:val="single" w:color="auto" w:sz="4" w:space="0"/>
              <w:right w:val="single" w:color="auto" w:sz="4" w:space="0"/>
            </w:tcBorders>
            <w:vAlign w:val="center"/>
          </w:tcPr>
          <w:p w14:paraId="3DDD05CC">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根据投标人提供的配送服务方案（包括但不限于：项目理解、项目重难点分析、货源、采购渠道、供货保障、人员配置、专人专线服务、安全保障措施、品质监控、日常管理组织、防疫措施、各类食材配送运输方式及各种规章制度等），进行综合评审： </w:t>
            </w:r>
          </w:p>
          <w:p w14:paraId="104F5E3A">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（1）对本项目特点和难点理解准确，配送服务方案优于本项目采购需求，完整详细的，得5分； </w:t>
            </w:r>
          </w:p>
          <w:p w14:paraId="2305F708">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（2）配送服务方案适合本项目采购需求，合理的，得3分； </w:t>
            </w:r>
          </w:p>
          <w:p w14:paraId="12EA8E92">
            <w:pPr>
              <w:keepNext w:val="0"/>
              <w:keepLines w:val="0"/>
              <w:pageBreakBefore w:val="0"/>
              <w:kinsoku/>
              <w:wordWrap/>
              <w:overflowPunct/>
              <w:topLinePunct w:val="0"/>
              <w:autoSpaceDE/>
              <w:autoSpaceDN/>
              <w:bidi w:val="0"/>
              <w:spacing w:line="40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（3）对本项目特点和难点理解有待提升，配送服务方案有待改善，得1分； </w:t>
            </w:r>
          </w:p>
          <w:p w14:paraId="21DD23CC">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pacing w:val="1"/>
                <w:kern w:val="0"/>
                <w:sz w:val="24"/>
                <w:szCs w:val="24"/>
                <w:highlight w:val="none"/>
              </w:rPr>
            </w:pPr>
            <w:r>
              <w:rPr>
                <w:rFonts w:hint="eastAsia" w:asciiTheme="minorEastAsia" w:hAnsiTheme="minorEastAsia" w:eastAsiaTheme="minorEastAsia"/>
                <w:color w:val="auto"/>
                <w:sz w:val="24"/>
                <w:szCs w:val="24"/>
                <w:highlight w:val="none"/>
                <w:lang w:val="en-US" w:eastAsia="zh-CN"/>
              </w:rPr>
              <w:t>（4）配送服务方案不可行或者未提供的，不得分。</w:t>
            </w:r>
          </w:p>
        </w:tc>
        <w:tc>
          <w:tcPr>
            <w:tcW w:w="1202" w:type="dxa"/>
            <w:tcBorders>
              <w:top w:val="single" w:color="auto" w:sz="4" w:space="0"/>
              <w:left w:val="single" w:color="auto" w:sz="4" w:space="0"/>
              <w:bottom w:val="single" w:color="auto" w:sz="4" w:space="0"/>
              <w:right w:val="single" w:color="auto" w:sz="4" w:space="0"/>
            </w:tcBorders>
            <w:vAlign w:val="center"/>
          </w:tcPr>
          <w:p w14:paraId="5D6B673B">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042D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6CEAABED">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164FE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3.食材管理方案</w:t>
            </w: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2D025A8C">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对投标人提供的食材管理方案从以下几个方面进行综合评分：具有完善的原材料采购验收制度，具有原材料冷藏保管措施，冷藏场地存放规划等方面。 </w:t>
            </w:r>
          </w:p>
          <w:p w14:paraId="426AB8FD">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（1）方案优于本项目采购需求，完整详细的，得5分； </w:t>
            </w:r>
          </w:p>
          <w:p w14:paraId="3E6C0983">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（2）方案适合本项目采购需求合理的，得3分； </w:t>
            </w:r>
          </w:p>
          <w:p w14:paraId="1210CB54">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（3）方案适合本项目采购需求，但有待改善的，得1分； </w:t>
            </w:r>
          </w:p>
          <w:p w14:paraId="232105D4">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（4）方案不可行或者</w:t>
            </w:r>
            <w:bookmarkStart w:id="288" w:name="_GoBack"/>
            <w:bookmarkEnd w:id="288"/>
            <w:r>
              <w:rPr>
                <w:rFonts w:hint="eastAsia" w:ascii="宋体" w:hAnsi="宋体" w:eastAsia="宋体" w:cs="宋体"/>
                <w:color w:val="000000"/>
                <w:kern w:val="0"/>
                <w:sz w:val="24"/>
                <w:szCs w:val="24"/>
                <w:highlight w:val="none"/>
                <w:lang w:val="en-US" w:eastAsia="zh-CN" w:bidi="ar"/>
              </w:rPr>
              <w:t>未提供，不得分。</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4B21DE19">
            <w:pPr>
              <w:keepNext w:val="0"/>
              <w:keepLines w:val="0"/>
              <w:pageBreakBefore w:val="0"/>
              <w:widowControl/>
              <w:kinsoku/>
              <w:wordWrap/>
              <w:overflowPunct/>
              <w:topLinePunct w:val="0"/>
              <w:autoSpaceDE/>
              <w:autoSpaceDN/>
              <w:bidi w:val="0"/>
              <w:spacing w:line="400" w:lineRule="exact"/>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0-5分</w:t>
            </w:r>
          </w:p>
        </w:tc>
      </w:tr>
      <w:tr w14:paraId="544C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693D71E1">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2B7AD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4.食品安全管理制度</w:t>
            </w:r>
          </w:p>
          <w:p w14:paraId="42C46C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p>
        </w:tc>
        <w:tc>
          <w:tcPr>
            <w:tcW w:w="4129" w:type="dxa"/>
            <w:tcBorders>
              <w:top w:val="single" w:color="auto" w:sz="4" w:space="0"/>
              <w:left w:val="single" w:color="auto" w:sz="4" w:space="0"/>
              <w:bottom w:val="single" w:color="auto" w:sz="4" w:space="0"/>
              <w:right w:val="single" w:color="auto" w:sz="4" w:space="0"/>
            </w:tcBorders>
            <w:vAlign w:val="center"/>
          </w:tcPr>
          <w:p w14:paraId="2C4268F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根据投标人提供的食品安全管理制度进行综合评审： </w:t>
            </w:r>
          </w:p>
          <w:p w14:paraId="00A23B13">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（1）食品安全管理制度的日常管理完善、 对各个环节的保障措施能够分析透彻、安全措施完善能满足采购需求的，得 5 分； </w:t>
            </w:r>
          </w:p>
          <w:p w14:paraId="62EBEB52">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（2）食品安全管理制度的日常管理完善、对各个环节的保障措施能够分析透彻、安全措施完善，但出现了不适用本项目特性的内容的，得3分；</w:t>
            </w:r>
          </w:p>
          <w:p w14:paraId="7CF562F8">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（3）食品安全管理制度日常管理、对各个环节的保障措施、安全措施等缺项或关键点缺失的得，得1分； </w:t>
            </w:r>
          </w:p>
          <w:p w14:paraId="7EE10B02">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000000"/>
                <w:kern w:val="0"/>
                <w:sz w:val="24"/>
                <w:szCs w:val="24"/>
                <w:highlight w:val="none"/>
                <w:lang w:val="en-US" w:eastAsia="zh-CN" w:bidi="ar"/>
              </w:rPr>
              <w:t>（4）不提供食品安全管理制度，不得分。</w:t>
            </w:r>
          </w:p>
        </w:tc>
        <w:tc>
          <w:tcPr>
            <w:tcW w:w="1202" w:type="dxa"/>
            <w:tcBorders>
              <w:top w:val="single" w:color="auto" w:sz="4" w:space="0"/>
              <w:left w:val="single" w:color="auto" w:sz="4" w:space="0"/>
              <w:bottom w:val="single" w:color="auto" w:sz="4" w:space="0"/>
              <w:right w:val="single" w:color="auto" w:sz="4" w:space="0"/>
            </w:tcBorders>
            <w:vAlign w:val="center"/>
          </w:tcPr>
          <w:p w14:paraId="2649A415">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2864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2DAECC3D">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7E5364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5.食品安全保障方案</w:t>
            </w:r>
          </w:p>
          <w:p w14:paraId="51D72A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p>
        </w:tc>
        <w:tc>
          <w:tcPr>
            <w:tcW w:w="4129" w:type="dxa"/>
            <w:tcBorders>
              <w:top w:val="single" w:color="auto" w:sz="4" w:space="0"/>
              <w:left w:val="single" w:color="auto" w:sz="4" w:space="0"/>
              <w:bottom w:val="single" w:color="auto" w:sz="4" w:space="0"/>
              <w:right w:val="single" w:color="auto" w:sz="4" w:space="0"/>
            </w:tcBorders>
            <w:shd w:val="clear" w:color="auto" w:fill="auto"/>
            <w:vAlign w:val="center"/>
          </w:tcPr>
          <w:p w14:paraId="7961779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根据供应商提供的食品安全保障措施方案（包括但不限于：货物的加工、包装、检测、保存等各环节的质量保证措施等），进行综合评审： </w:t>
            </w:r>
          </w:p>
          <w:p w14:paraId="313FA1B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（1）对本项目特点和难点理解准确，食品安全保障措施方案优于本项目采购需求，完整详细的，得5分； </w:t>
            </w:r>
          </w:p>
          <w:p w14:paraId="276EDBD0">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（2）对本项目特点和难点理解准确，食品安全保障措施方案适合本项目采购需求的，得3分； </w:t>
            </w:r>
          </w:p>
          <w:p w14:paraId="3FA3D61E">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（3）对本项目特点和难点理解有待提升， 食品安全保障措施方案有待提升的，得1分； </w:t>
            </w:r>
          </w:p>
          <w:p w14:paraId="3A06824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（4）未提供</w:t>
            </w:r>
            <w:r>
              <w:rPr>
                <w:rFonts w:hint="eastAsia" w:ascii="宋体" w:hAnsi="宋体" w:eastAsia="宋体" w:cs="宋体"/>
                <w:b w:val="0"/>
                <w:bCs/>
                <w:color w:val="auto"/>
                <w:sz w:val="24"/>
                <w:szCs w:val="24"/>
                <w:highlight w:val="none"/>
                <w:lang w:val="en-US" w:eastAsia="zh-CN"/>
              </w:rPr>
              <w:t>食品安全保障方案的不得</w:t>
            </w:r>
            <w:r>
              <w:rPr>
                <w:rFonts w:hint="eastAsia" w:ascii="宋体" w:hAnsi="宋体" w:eastAsia="宋体" w:cs="宋体"/>
                <w:color w:val="000000"/>
                <w:kern w:val="0"/>
                <w:sz w:val="24"/>
                <w:szCs w:val="24"/>
                <w:highlight w:val="none"/>
                <w:lang w:val="en-US" w:eastAsia="zh-CN" w:bidi="ar"/>
              </w:rPr>
              <w:t>分。</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66390B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r>
      <w:tr w14:paraId="0DA5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86" w:type="dxa"/>
            <w:vMerge w:val="continue"/>
            <w:tcBorders>
              <w:left w:val="single" w:color="auto" w:sz="4" w:space="0"/>
              <w:right w:val="single" w:color="auto" w:sz="4" w:space="0"/>
            </w:tcBorders>
            <w:vAlign w:val="center"/>
          </w:tcPr>
          <w:p w14:paraId="3C118D89">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479CE9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6.恶劣天气保证配送应急预案</w:t>
            </w:r>
          </w:p>
          <w:p w14:paraId="16EB76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4129" w:type="dxa"/>
            <w:tcBorders>
              <w:top w:val="single" w:color="auto" w:sz="4" w:space="0"/>
              <w:left w:val="single" w:color="auto" w:sz="4" w:space="0"/>
              <w:bottom w:val="single" w:color="auto" w:sz="4" w:space="0"/>
              <w:right w:val="single" w:color="auto" w:sz="4" w:space="0"/>
            </w:tcBorders>
            <w:vAlign w:val="center"/>
          </w:tcPr>
          <w:p w14:paraId="60954EF6">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根据投标人提供的有恶劣天气保证配送应急预案，对于配送路线规划设定进行综合评分： </w:t>
            </w:r>
          </w:p>
          <w:p w14:paraId="135F10A1">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（1）预案完整详细、有针对的，得5 分； </w:t>
            </w:r>
          </w:p>
          <w:p w14:paraId="4F624F0E">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（2）预案合理可行的，得3分； </w:t>
            </w:r>
          </w:p>
          <w:p w14:paraId="719816BC">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（3）预案有待改善的，得1分； </w:t>
            </w:r>
          </w:p>
          <w:p w14:paraId="40BEA9BB">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（4）未提供的不得分。</w:t>
            </w:r>
          </w:p>
        </w:tc>
        <w:tc>
          <w:tcPr>
            <w:tcW w:w="1202" w:type="dxa"/>
            <w:tcBorders>
              <w:top w:val="single" w:color="auto" w:sz="4" w:space="0"/>
              <w:left w:val="single" w:color="auto" w:sz="4" w:space="0"/>
              <w:bottom w:val="single" w:color="auto" w:sz="4" w:space="0"/>
              <w:right w:val="single" w:color="auto" w:sz="4" w:space="0"/>
            </w:tcBorders>
            <w:vAlign w:val="center"/>
          </w:tcPr>
          <w:p w14:paraId="1A0485C2">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2771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3EFD5625">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001691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7.应急处理措施</w:t>
            </w:r>
          </w:p>
          <w:p w14:paraId="55C797D4">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p>
        </w:tc>
        <w:tc>
          <w:tcPr>
            <w:tcW w:w="4129" w:type="dxa"/>
            <w:tcBorders>
              <w:top w:val="single" w:color="auto" w:sz="4" w:space="0"/>
              <w:left w:val="single" w:color="auto" w:sz="4" w:space="0"/>
              <w:bottom w:val="single" w:color="auto" w:sz="4" w:space="0"/>
              <w:right w:val="single" w:color="auto" w:sz="4" w:space="0"/>
            </w:tcBorders>
            <w:vAlign w:val="center"/>
          </w:tcPr>
          <w:p w14:paraId="0F765DC4">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根据供应商提供的应急处理措施(包括但不限于：货源短缺、食物品质不良、运输环节突发 事故、食品安全事故、特殊时期应急），进行综合评分： </w:t>
            </w:r>
          </w:p>
          <w:p w14:paraId="65E2B13B">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（1）措施优于本项目采购需求，完整详细、实用的，得5分； </w:t>
            </w:r>
          </w:p>
          <w:p w14:paraId="3BDB67C1">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（2）措施适合本项目采购需求合理的，得3分； </w:t>
            </w:r>
          </w:p>
          <w:p w14:paraId="421961DC">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（3）措施适合本项目采购需求，但有待改善的，得1分； </w:t>
            </w:r>
          </w:p>
          <w:p w14:paraId="22A0310B">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（4）措施不可行或者未提供，不得分。</w:t>
            </w:r>
          </w:p>
        </w:tc>
        <w:tc>
          <w:tcPr>
            <w:tcW w:w="1202" w:type="dxa"/>
            <w:tcBorders>
              <w:top w:val="single" w:color="auto" w:sz="4" w:space="0"/>
              <w:left w:val="single" w:color="auto" w:sz="4" w:space="0"/>
              <w:bottom w:val="single" w:color="auto" w:sz="4" w:space="0"/>
              <w:right w:val="single" w:color="auto" w:sz="4" w:space="0"/>
            </w:tcBorders>
            <w:vAlign w:val="center"/>
          </w:tcPr>
          <w:p w14:paraId="297E71CE">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2A7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6" w:type="dxa"/>
            <w:vMerge w:val="continue"/>
            <w:tcBorders>
              <w:left w:val="single" w:color="auto" w:sz="4" w:space="0"/>
              <w:right w:val="single" w:color="auto" w:sz="4" w:space="0"/>
            </w:tcBorders>
            <w:vAlign w:val="center"/>
          </w:tcPr>
          <w:p w14:paraId="26800357">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70D69C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8.其他增值服务承诺（非价格优惠）以及特色服务方案</w:t>
            </w:r>
          </w:p>
        </w:tc>
        <w:tc>
          <w:tcPr>
            <w:tcW w:w="4129" w:type="dxa"/>
            <w:tcBorders>
              <w:top w:val="single" w:color="auto" w:sz="4" w:space="0"/>
              <w:left w:val="single" w:color="auto" w:sz="4" w:space="0"/>
              <w:bottom w:val="single" w:color="auto" w:sz="4" w:space="0"/>
              <w:right w:val="single" w:color="auto" w:sz="4" w:space="0"/>
            </w:tcBorders>
            <w:vAlign w:val="center"/>
          </w:tcPr>
          <w:p w14:paraId="352231C2">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评标委员会根据供应商投标文件中提供其他增值服务承诺（非价格优惠）以及特色服务方案方案进行打分，方案包括但不限于以下内容：</w:t>
            </w:r>
          </w:p>
          <w:p w14:paraId="521241FE">
            <w:pPr>
              <w:keepNext w:val="0"/>
              <w:keepLines w:val="0"/>
              <w:pageBreakBefore w:val="0"/>
              <w:widowControl/>
              <w:numPr>
                <w:ilvl w:val="0"/>
                <w:numId w:val="3"/>
              </w:numPr>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增值服务承诺条件多，增值服务力度大，可实施性强的得5分；</w:t>
            </w:r>
          </w:p>
          <w:p w14:paraId="74AAA019">
            <w:pPr>
              <w:keepNext w:val="0"/>
              <w:keepLines w:val="0"/>
              <w:pageBreakBefore w:val="0"/>
              <w:widowControl/>
              <w:numPr>
                <w:ilvl w:val="0"/>
                <w:numId w:val="3"/>
              </w:numPr>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增值服务承诺条件较多，有可实施性强的得3分；</w:t>
            </w:r>
          </w:p>
          <w:p w14:paraId="06AB7F69">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（3）增值服务承诺有待完善的得1分；</w:t>
            </w:r>
          </w:p>
          <w:p w14:paraId="0F9254B2">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（4）差或未提供的不得分。</w:t>
            </w:r>
          </w:p>
        </w:tc>
        <w:tc>
          <w:tcPr>
            <w:tcW w:w="1202" w:type="dxa"/>
            <w:tcBorders>
              <w:top w:val="single" w:color="auto" w:sz="4" w:space="0"/>
              <w:left w:val="single" w:color="auto" w:sz="4" w:space="0"/>
              <w:bottom w:val="single" w:color="auto" w:sz="4" w:space="0"/>
              <w:right w:val="single" w:color="auto" w:sz="4" w:space="0"/>
            </w:tcBorders>
            <w:vAlign w:val="center"/>
          </w:tcPr>
          <w:p w14:paraId="632DF0E2">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48BD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086" w:type="dxa"/>
            <w:vMerge w:val="continue"/>
            <w:tcBorders>
              <w:left w:val="single" w:color="auto" w:sz="4" w:space="0"/>
              <w:right w:val="single" w:color="auto" w:sz="4" w:space="0"/>
            </w:tcBorders>
            <w:vAlign w:val="center"/>
          </w:tcPr>
          <w:p w14:paraId="74C11D7F">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50EF4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9.保障制度</w:t>
            </w:r>
          </w:p>
        </w:tc>
        <w:tc>
          <w:tcPr>
            <w:tcW w:w="4129" w:type="dxa"/>
            <w:tcBorders>
              <w:top w:val="single" w:color="auto" w:sz="4" w:space="0"/>
              <w:left w:val="single" w:color="auto" w:sz="4" w:space="0"/>
              <w:bottom w:val="single" w:color="auto" w:sz="4" w:space="0"/>
              <w:right w:val="single" w:color="auto" w:sz="4" w:space="0"/>
            </w:tcBorders>
            <w:vAlign w:val="center"/>
          </w:tcPr>
          <w:p w14:paraId="734639C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根据投标人提供的保障制度情况，包括且不限于：服务对象档案管理保障制度；服务质量保障制度；投诉处理有效解决保障制度等进行综合评分：</w:t>
            </w:r>
          </w:p>
          <w:p w14:paraId="4053FF41">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（1）对本项目特点和难点理解准确，保障制度优于本项目采购需求，完整详细，可行实用的，得5分；</w:t>
            </w:r>
          </w:p>
          <w:p w14:paraId="1DF2E841">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（2）对本项目特点和难点理解有待提升，保障制度基本适合本项目采购需求的，得3分；</w:t>
            </w:r>
          </w:p>
          <w:p w14:paraId="1DCB8DE5">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（3）对本项目特点和难点理解有偏差，保障制度内容欠缺，可行性有待改善，得1分；</w:t>
            </w:r>
          </w:p>
          <w:p w14:paraId="1851096B">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Times New Roman" w:eastAsia="宋体" w:cs="宋体"/>
                <w:szCs w:val="21"/>
                <w:highlight w:val="none"/>
                <w:lang w:val="en-US" w:eastAsia="zh-CN"/>
              </w:rPr>
            </w:pPr>
            <w:r>
              <w:rPr>
                <w:rFonts w:hint="eastAsia" w:ascii="宋体" w:hAnsi="宋体" w:eastAsia="宋体" w:cs="宋体"/>
                <w:color w:val="000000"/>
                <w:kern w:val="0"/>
                <w:sz w:val="24"/>
                <w:szCs w:val="24"/>
                <w:highlight w:val="none"/>
                <w:lang w:val="en-US" w:eastAsia="zh-CN" w:bidi="ar"/>
              </w:rPr>
              <w:t>（4）未提供的不得分。</w:t>
            </w:r>
          </w:p>
        </w:tc>
        <w:tc>
          <w:tcPr>
            <w:tcW w:w="1202" w:type="dxa"/>
            <w:tcBorders>
              <w:top w:val="single" w:color="auto" w:sz="4" w:space="0"/>
              <w:left w:val="single" w:color="auto" w:sz="4" w:space="0"/>
              <w:bottom w:val="single" w:color="auto" w:sz="4" w:space="0"/>
              <w:right w:val="single" w:color="auto" w:sz="4" w:space="0"/>
            </w:tcBorders>
            <w:vAlign w:val="center"/>
          </w:tcPr>
          <w:p w14:paraId="3A69341D">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2579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tcBorders>
              <w:left w:val="single" w:color="auto" w:sz="4" w:space="0"/>
              <w:right w:val="single" w:color="auto" w:sz="4" w:space="0"/>
            </w:tcBorders>
            <w:vAlign w:val="center"/>
          </w:tcPr>
          <w:p w14:paraId="5E52B230">
            <w:pPr>
              <w:keepNext w:val="0"/>
              <w:keepLines w:val="0"/>
              <w:pageBreakBefore w:val="0"/>
              <w:kinsoku/>
              <w:wordWrap/>
              <w:overflowPunct/>
              <w:topLinePunct w:val="0"/>
              <w:autoSpaceDE/>
              <w:autoSpaceDN/>
              <w:bidi w:val="0"/>
              <w:spacing w:line="400" w:lineRule="exact"/>
              <w:ind w:firstLine="435"/>
              <w:jc w:val="center"/>
              <w:textAlignment w:val="auto"/>
              <w:rPr>
                <w:rFonts w:hint="eastAsia" w:asciiTheme="minorEastAsia" w:hAnsiTheme="minorEastAsia" w:eastAsiaTheme="minorEastAsia"/>
                <w:b/>
                <w:bCs/>
                <w:color w:val="auto"/>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3AC231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10.售后方案</w:t>
            </w:r>
          </w:p>
        </w:tc>
        <w:tc>
          <w:tcPr>
            <w:tcW w:w="4129" w:type="dxa"/>
            <w:tcBorders>
              <w:top w:val="single" w:color="auto" w:sz="4" w:space="0"/>
              <w:left w:val="single" w:color="auto" w:sz="4" w:space="0"/>
              <w:bottom w:val="single" w:color="auto" w:sz="4" w:space="0"/>
              <w:right w:val="single" w:color="auto" w:sz="4" w:space="0"/>
            </w:tcBorders>
            <w:vAlign w:val="center"/>
          </w:tcPr>
          <w:p w14:paraId="2325B245">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根据供应商提供的售后服务方案（包括但不限于售后服务响应时间、售后服务措施方案、退换货方案等），进行综合评审： </w:t>
            </w:r>
          </w:p>
          <w:p w14:paraId="4121238D">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（1）对本项目特点和难点理解准确，售后服务方案优于本项目采购需求，完整详细、实用、针对性强，得5分； </w:t>
            </w:r>
          </w:p>
          <w:p w14:paraId="053EE828">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（2）对本项目特点和难点理解基本准确，售后服务方案基本适合本项目采购需求的，得3分； </w:t>
            </w:r>
          </w:p>
          <w:p w14:paraId="1B7B64AE">
            <w:pPr>
              <w:keepNext w:val="0"/>
              <w:keepLines w:val="0"/>
              <w:pageBreakBefore w:val="0"/>
              <w:widowControl/>
              <w:suppressLineNumbers w:val="0"/>
              <w:kinsoku/>
              <w:wordWrap/>
              <w:overflowPunct/>
              <w:topLinePunct w:val="0"/>
              <w:autoSpaceDE/>
              <w:autoSpaceDN/>
              <w:bidi w:val="0"/>
              <w:spacing w:line="400" w:lineRule="exact"/>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（3）对本项目特点和难点理解有待提升，售后服务方案与本项目采购需求匹配度不高、有待改善的，得1分； </w:t>
            </w:r>
          </w:p>
          <w:p w14:paraId="1CD7773D">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000000"/>
                <w:kern w:val="0"/>
                <w:sz w:val="24"/>
                <w:szCs w:val="24"/>
                <w:highlight w:val="none"/>
                <w:lang w:val="en-US" w:eastAsia="zh-CN" w:bidi="ar"/>
              </w:rPr>
              <w:t>（4）售后服务方案不可行或者未提供的不得分。</w:t>
            </w:r>
          </w:p>
        </w:tc>
        <w:tc>
          <w:tcPr>
            <w:tcW w:w="1202" w:type="dxa"/>
            <w:tcBorders>
              <w:top w:val="single" w:color="auto" w:sz="4" w:space="0"/>
              <w:left w:val="single" w:color="auto" w:sz="4" w:space="0"/>
              <w:bottom w:val="single" w:color="auto" w:sz="4" w:space="0"/>
              <w:right w:val="single" w:color="auto" w:sz="4" w:space="0"/>
            </w:tcBorders>
            <w:vAlign w:val="center"/>
          </w:tcPr>
          <w:p w14:paraId="5BAA3DED">
            <w:pPr>
              <w:keepNext w:val="0"/>
              <w:keepLines w:val="0"/>
              <w:pageBreakBefore w:val="0"/>
              <w:widowControl/>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7B6D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tcBorders>
              <w:left w:val="single" w:color="auto" w:sz="4" w:space="0"/>
              <w:right w:val="single" w:color="auto" w:sz="4" w:space="0"/>
            </w:tcBorders>
            <w:vAlign w:val="center"/>
          </w:tcPr>
          <w:p w14:paraId="4348396D">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w:t>
            </w:r>
          </w:p>
          <w:p w14:paraId="5CF283B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20</w:t>
            </w:r>
            <w:r>
              <w:rPr>
                <w:rFonts w:hint="eastAsia" w:asciiTheme="minorEastAsia" w:hAnsiTheme="minorEastAsia" w:eastAsiaTheme="minorEastAsia"/>
                <w:color w:val="auto"/>
                <w:sz w:val="24"/>
                <w:szCs w:val="24"/>
                <w:highlight w:val="none"/>
              </w:rPr>
              <w:t>分）</w:t>
            </w:r>
          </w:p>
        </w:tc>
        <w:tc>
          <w:tcPr>
            <w:tcW w:w="7436" w:type="dxa"/>
            <w:gridSpan w:val="3"/>
            <w:tcBorders>
              <w:top w:val="single" w:color="auto" w:sz="4" w:space="0"/>
              <w:left w:val="single" w:color="auto" w:sz="4" w:space="0"/>
              <w:bottom w:val="single" w:color="auto" w:sz="4" w:space="0"/>
              <w:right w:val="single" w:color="auto" w:sz="4" w:space="0"/>
            </w:tcBorders>
            <w:vAlign w:val="center"/>
          </w:tcPr>
          <w:p w14:paraId="41DCB052">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lang w:val="en-US" w:eastAsia="zh-CN"/>
              </w:rPr>
              <w:t>20</w:t>
            </w:r>
            <w:r>
              <w:rPr>
                <w:rFonts w:hint="eastAsia" w:asciiTheme="minorEastAsia" w:hAnsiTheme="minorEastAsia" w:eastAsiaTheme="minorEastAsia"/>
                <w:color w:val="auto"/>
                <w:sz w:val="24"/>
                <w:szCs w:val="24"/>
                <w:highlight w:val="none"/>
              </w:rPr>
              <w:t>分。其他</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的价格分统一按照下列公式计算：</w:t>
            </w:r>
          </w:p>
          <w:p w14:paraId="2AEE1F53">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u w:val="single"/>
                <w:lang w:val="en-US" w:eastAsia="zh-CN"/>
              </w:rPr>
              <w:t>20</w:t>
            </w:r>
            <w:r>
              <w:rPr>
                <w:rFonts w:hint="eastAsia" w:asciiTheme="minorEastAsia" w:hAnsiTheme="minorEastAsia" w:eastAsiaTheme="minorEastAsia"/>
                <w:color w:val="auto"/>
                <w:sz w:val="24"/>
                <w:szCs w:val="24"/>
                <w:highlight w:val="none"/>
              </w:rPr>
              <w:t>％×100</w:t>
            </w:r>
          </w:p>
        </w:tc>
      </w:tr>
    </w:tbl>
    <w:p w14:paraId="3EA18879">
      <w:pPr>
        <w:numPr>
          <w:ilvl w:val="0"/>
          <w:numId w:val="0"/>
        </w:numPr>
        <w:spacing w:line="360" w:lineRule="auto"/>
        <w:ind w:leftChars="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注：投标报价</w:t>
      </w:r>
      <w:r>
        <w:rPr>
          <w:rFonts w:hint="eastAsia" w:ascii="宋体" w:hAnsi="宋体" w:eastAsia="宋体"/>
          <w:color w:val="auto"/>
          <w:sz w:val="24"/>
          <w:highlight w:val="none"/>
          <w:lang w:val="en-US" w:eastAsia="zh-CN"/>
        </w:rPr>
        <w:t>精确到小数点后两位，第三位四舍五入（例：80.126%，即为80.13%）。</w:t>
      </w:r>
    </w:p>
    <w:p w14:paraId="27EFD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ECFF2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150BD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35773AC2">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三、无效投标条款</w:t>
      </w:r>
    </w:p>
    <w:p w14:paraId="2772EF48">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4ECDAD91">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(1)未在开标截止时间前通过网上招标投标系统递交有效电子投标文件的，开标系统不予接收，投标将被拒绝。</w:t>
      </w:r>
    </w:p>
    <w:p w14:paraId="3BB727A8">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7C2965BA">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5461039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019B7FCE">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318065FD">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3BA5B5C7">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20D84F7E">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31AE4ED1">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71A3E000">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1FE09A8C">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5AD0E7AB">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19008AE6">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02D59BAD">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32B9F508">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2631170">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(13)其它情形，经评标委员会委提出按无效投标处理，并经公共资源交易监督部门核准的；</w:t>
      </w:r>
    </w:p>
    <w:p w14:paraId="20E47803">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2CA9582A">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0ED797C0">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(16)招标公告未写明允许采购进口产品，投标人所投产品为进口产品的；</w:t>
      </w:r>
    </w:p>
    <w:p w14:paraId="51AA7C8C">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(17)招标文件规定的其它无效投标情形。</w:t>
      </w:r>
    </w:p>
    <w:p w14:paraId="087C70DA">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3.3投标人有下列情形之一的,符合性审查后其投标按无效投标处理：</w:t>
      </w:r>
    </w:p>
    <w:p w14:paraId="7EB851C2">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435E0921">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(2)未按规定的格式填写导致实质性内容不全以及实质上不响应，或者关键字迹模糊、无法辨认;经公共资源交易监督部门核准的；</w:t>
      </w:r>
    </w:p>
    <w:p w14:paraId="579C8026">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4284ED93">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633FE30A">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75772F90">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10AB43FC">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53BFAD72">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6843646B">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4FA76D40">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3.4投标人有下列情形之一的,详细评审后其投标按无效投标处理：</w:t>
      </w:r>
    </w:p>
    <w:p w14:paraId="14B19996">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598CB741">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6052CABF">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41D1837A">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3D5418D8">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6EADF7F8">
      <w:pPr>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(6)其它情形，经评标委员会委提出按无效投标处理，并经公共资源交易监督部门核准的；</w:t>
      </w:r>
    </w:p>
    <w:p w14:paraId="4257A75A">
      <w:pPr>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(7)招标文件规定的其它无效投标情形。</w:t>
      </w:r>
    </w:p>
    <w:p w14:paraId="5E063918">
      <w:pPr>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(6)其它情形，经评标委员会委提出按无效投标处理，并经公共资源交易监督部门核准的；</w:t>
      </w:r>
    </w:p>
    <w:p w14:paraId="67EFFEA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(7)招标文件规定的其它无效投标情形</w:t>
      </w:r>
      <w:r>
        <w:rPr>
          <w:rFonts w:hint="eastAsia" w:ascii="宋体" w:hAnsi="宋体" w:eastAsia="宋体" w:cs="宋体"/>
          <w:color w:val="auto"/>
          <w:sz w:val="24"/>
          <w:szCs w:val="24"/>
          <w:highlight w:val="none"/>
          <w:lang w:eastAsia="zh-CN"/>
        </w:rPr>
        <w:t>。</w:t>
      </w:r>
      <w:r>
        <w:rPr>
          <w:rFonts w:asciiTheme="minorEastAsia" w:hAnsiTheme="minorEastAsia" w:eastAsiaTheme="minorEastAsia"/>
          <w:color w:val="auto"/>
          <w:sz w:val="24"/>
          <w:highlight w:val="none"/>
        </w:rPr>
        <w:br w:type="page"/>
      </w:r>
    </w:p>
    <w:p w14:paraId="7643C6BE">
      <w:pPr>
        <w:spacing w:line="360" w:lineRule="auto"/>
        <w:jc w:val="center"/>
        <w:outlineLvl w:val="0"/>
        <w:rPr>
          <w:rFonts w:hint="eastAsia" w:asciiTheme="minorEastAsia" w:hAnsiTheme="minorEastAsia" w:eastAsiaTheme="minorEastAsia"/>
          <w:b/>
          <w:color w:val="auto"/>
          <w:sz w:val="28"/>
          <w:highlight w:val="none"/>
          <w:lang w:eastAsia="zh-CN"/>
        </w:rPr>
      </w:pPr>
      <w:bookmarkStart w:id="41"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1"/>
    </w:p>
    <w:p w14:paraId="08ECCFB3">
      <w:pPr>
        <w:spacing w:line="480" w:lineRule="auto"/>
        <w:jc w:val="center"/>
        <w:outlineLvl w:val="9"/>
        <w:rPr>
          <w:rFonts w:cs="Times New Roman" w:asciiTheme="minorEastAsia" w:hAnsiTheme="minorEastAsia" w:eastAsiaTheme="minorEastAsia"/>
          <w:b/>
          <w:color w:val="auto"/>
          <w:sz w:val="28"/>
          <w:szCs w:val="28"/>
          <w:highlight w:val="none"/>
        </w:rPr>
      </w:pPr>
      <w:bookmarkStart w:id="42" w:name="_Toc331685784"/>
    </w:p>
    <w:p w14:paraId="4D04FF1A">
      <w:pPr>
        <w:spacing w:line="480" w:lineRule="auto"/>
        <w:jc w:val="center"/>
        <w:outlineLvl w:val="9"/>
        <w:rPr>
          <w:rFonts w:cs="Times New Roman" w:asciiTheme="minorEastAsia" w:hAnsiTheme="minorEastAsia" w:eastAsiaTheme="minorEastAsia"/>
          <w:b/>
          <w:color w:val="auto"/>
          <w:sz w:val="28"/>
          <w:szCs w:val="28"/>
          <w:highlight w:val="none"/>
        </w:rPr>
      </w:pPr>
    </w:p>
    <w:p w14:paraId="3A4624BB">
      <w:pPr>
        <w:pStyle w:val="11"/>
        <w:rPr>
          <w:color w:val="auto"/>
          <w:highlight w:val="none"/>
        </w:rPr>
      </w:pPr>
    </w:p>
    <w:p w14:paraId="031CB081">
      <w:pPr>
        <w:spacing w:line="480" w:lineRule="auto"/>
        <w:jc w:val="center"/>
        <w:outlineLvl w:val="1"/>
        <w:rPr>
          <w:rFonts w:cs="Times New Roman" w:asciiTheme="minorEastAsia" w:hAnsiTheme="minorEastAsia" w:eastAsiaTheme="minorEastAsia"/>
          <w:b/>
          <w:color w:val="auto"/>
          <w:sz w:val="28"/>
          <w:szCs w:val="28"/>
          <w:highlight w:val="none"/>
        </w:rPr>
      </w:pPr>
      <w:bookmarkStart w:id="43"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43"/>
    </w:p>
    <w:p w14:paraId="4213C135">
      <w:pPr>
        <w:spacing w:line="480" w:lineRule="auto"/>
        <w:jc w:val="center"/>
        <w:outlineLvl w:val="1"/>
        <w:rPr>
          <w:rFonts w:cs="Times New Roman" w:asciiTheme="minorEastAsia" w:hAnsiTheme="minorEastAsia" w:eastAsiaTheme="minorEastAsia"/>
          <w:b/>
          <w:color w:val="auto"/>
          <w:sz w:val="28"/>
          <w:szCs w:val="28"/>
          <w:highlight w:val="none"/>
        </w:rPr>
      </w:pPr>
      <w:bookmarkStart w:id="44" w:name="_Toc8560"/>
      <w:r>
        <w:rPr>
          <w:rFonts w:hint="eastAsia" w:cs="Times New Roman" w:asciiTheme="minorEastAsia" w:hAnsiTheme="minorEastAsia" w:eastAsiaTheme="minorEastAsia"/>
          <w:b/>
          <w:color w:val="auto"/>
          <w:sz w:val="28"/>
          <w:szCs w:val="28"/>
          <w:highlight w:val="none"/>
        </w:rPr>
        <w:t>（服务类）</w:t>
      </w:r>
      <w:bookmarkEnd w:id="44"/>
    </w:p>
    <w:p w14:paraId="232C7C6D">
      <w:pPr>
        <w:spacing w:line="480" w:lineRule="auto"/>
        <w:jc w:val="center"/>
        <w:rPr>
          <w:rFonts w:cs="Times New Roman" w:asciiTheme="minorEastAsia" w:hAnsiTheme="minorEastAsia" w:eastAsiaTheme="minorEastAsia"/>
          <w:b/>
          <w:color w:val="auto"/>
          <w:sz w:val="24"/>
          <w:szCs w:val="24"/>
          <w:highlight w:val="none"/>
        </w:rPr>
      </w:pPr>
    </w:p>
    <w:p w14:paraId="04A33839">
      <w:pPr>
        <w:spacing w:line="480" w:lineRule="auto"/>
        <w:jc w:val="center"/>
        <w:rPr>
          <w:rFonts w:cs="Times New Roman" w:asciiTheme="minorEastAsia" w:hAnsiTheme="minorEastAsia" w:eastAsiaTheme="minorEastAsia"/>
          <w:b/>
          <w:color w:val="auto"/>
          <w:sz w:val="24"/>
          <w:szCs w:val="24"/>
          <w:highlight w:val="none"/>
        </w:rPr>
      </w:pPr>
    </w:p>
    <w:p w14:paraId="72F581CC">
      <w:pPr>
        <w:spacing w:line="480" w:lineRule="auto"/>
        <w:jc w:val="center"/>
        <w:rPr>
          <w:rFonts w:cs="Times New Roman" w:asciiTheme="minorEastAsia" w:hAnsiTheme="minorEastAsia" w:eastAsiaTheme="minorEastAsia"/>
          <w:b/>
          <w:color w:val="auto"/>
          <w:sz w:val="24"/>
          <w:szCs w:val="24"/>
          <w:highlight w:val="none"/>
        </w:rPr>
      </w:pPr>
    </w:p>
    <w:p w14:paraId="4AB26875">
      <w:pPr>
        <w:spacing w:line="360" w:lineRule="auto"/>
        <w:jc w:val="center"/>
        <w:outlineLvl w:val="1"/>
        <w:rPr>
          <w:rFonts w:asciiTheme="minorEastAsia" w:hAnsiTheme="minorEastAsia" w:eastAsiaTheme="minorEastAsia"/>
          <w:b/>
          <w:color w:val="auto"/>
          <w:sz w:val="24"/>
          <w:highlight w:val="none"/>
        </w:rPr>
      </w:pPr>
      <w:bookmarkStart w:id="45" w:name="_Toc2449"/>
      <w:r>
        <w:rPr>
          <w:rFonts w:hint="eastAsia" w:asciiTheme="minorEastAsia" w:hAnsiTheme="minorEastAsia" w:eastAsiaTheme="minorEastAsia"/>
          <w:b/>
          <w:color w:val="auto"/>
          <w:sz w:val="24"/>
          <w:highlight w:val="none"/>
        </w:rPr>
        <w:t>第一部分 合同书</w:t>
      </w:r>
      <w:bookmarkEnd w:id="45"/>
    </w:p>
    <w:p w14:paraId="14582765">
      <w:pPr>
        <w:spacing w:line="480" w:lineRule="auto"/>
        <w:jc w:val="center"/>
        <w:rPr>
          <w:rFonts w:cs="Times New Roman" w:asciiTheme="minorEastAsia" w:hAnsiTheme="minorEastAsia" w:eastAsiaTheme="minorEastAsia"/>
          <w:b/>
          <w:color w:val="auto"/>
          <w:sz w:val="24"/>
          <w:szCs w:val="24"/>
          <w:highlight w:val="none"/>
        </w:rPr>
      </w:pPr>
    </w:p>
    <w:p w14:paraId="269F76CB">
      <w:pPr>
        <w:spacing w:line="480" w:lineRule="auto"/>
        <w:jc w:val="center"/>
        <w:rPr>
          <w:rFonts w:cs="Times New Roman" w:asciiTheme="minorEastAsia" w:hAnsiTheme="minorEastAsia" w:eastAsiaTheme="minorEastAsia"/>
          <w:b/>
          <w:color w:val="auto"/>
          <w:sz w:val="24"/>
          <w:szCs w:val="24"/>
          <w:highlight w:val="none"/>
        </w:rPr>
      </w:pPr>
    </w:p>
    <w:p w14:paraId="4A420588">
      <w:pPr>
        <w:pStyle w:val="11"/>
        <w:rPr>
          <w:color w:val="auto"/>
          <w:highlight w:val="none"/>
        </w:rPr>
      </w:pPr>
    </w:p>
    <w:p w14:paraId="30221F5E">
      <w:pPr>
        <w:pStyle w:val="11"/>
        <w:rPr>
          <w:color w:val="auto"/>
          <w:highlight w:val="none"/>
        </w:rPr>
      </w:pPr>
    </w:p>
    <w:p w14:paraId="1806A479">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滁州市公安局人民警察训练中心食堂原材料采购项目</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52884AFC">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lang w:eastAsia="zh-CN"/>
        </w:rPr>
        <w:t xml:space="preserve"> </w:t>
      </w:r>
      <w:r>
        <w:rPr>
          <w:rFonts w:hint="default" w:cs="Times New Roman" w:asciiTheme="minorEastAsia" w:hAnsiTheme="minorEastAsia" w:eastAsiaTheme="minorEastAsia"/>
          <w:color w:val="auto"/>
          <w:sz w:val="24"/>
          <w:szCs w:val="24"/>
          <w:highlight w:val="none"/>
          <w:u w:val="single"/>
          <w:lang w:eastAsia="zh-CN"/>
        </w:rPr>
        <w:t>czsjcg202605-02</w:t>
      </w:r>
      <w:r>
        <w:rPr>
          <w:rFonts w:hint="eastAsia" w:cs="Times New Roman" w:asciiTheme="minorEastAsia" w:hAnsiTheme="minorEastAsia" w:eastAsiaTheme="minorEastAsia"/>
          <w:color w:val="auto"/>
          <w:sz w:val="24"/>
          <w:szCs w:val="24"/>
          <w:highlight w:val="none"/>
          <w:u w:val="single"/>
          <w:lang w:val="en-US" w:eastAsia="zh-CN"/>
        </w:rPr>
        <w:t>3</w:t>
      </w:r>
    </w:p>
    <w:p w14:paraId="204A6CF0">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滁州市公安局</w:t>
      </w:r>
      <w:r>
        <w:rPr>
          <w:rFonts w:hint="eastAsia" w:cs="Times New Roman" w:asciiTheme="minorEastAsia" w:hAnsiTheme="minorEastAsia" w:eastAsiaTheme="minorEastAsia"/>
          <w:color w:val="auto"/>
          <w:sz w:val="24"/>
          <w:szCs w:val="24"/>
          <w:highlight w:val="none"/>
          <w:u w:val="single"/>
        </w:rPr>
        <w:t xml:space="preserve">     </w:t>
      </w:r>
    </w:p>
    <w:p w14:paraId="072517E6">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16D4D1CE">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滁州市公安局</w:t>
      </w:r>
      <w:r>
        <w:rPr>
          <w:rFonts w:hint="eastAsia" w:cs="Times New Roman" w:asciiTheme="minorEastAsia" w:hAnsiTheme="minorEastAsia" w:eastAsiaTheme="minorEastAsia"/>
          <w:color w:val="auto"/>
          <w:sz w:val="24"/>
          <w:szCs w:val="24"/>
          <w:highlight w:val="none"/>
          <w:u w:val="single"/>
        </w:rPr>
        <w:t xml:space="preserve">        </w:t>
      </w:r>
    </w:p>
    <w:p w14:paraId="37E944B2">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090FAF7E">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44E37F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滁州市公安局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滁州市城投工程咨询管理有限公司</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6CE99907">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D9F7D5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46" w:name="_Toc3029"/>
      <w:bookmarkStart w:id="47" w:name="_Toc24059"/>
      <w:bookmarkStart w:id="48" w:name="_Toc2232"/>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46"/>
      <w:bookmarkEnd w:id="47"/>
      <w:bookmarkEnd w:id="48"/>
    </w:p>
    <w:p w14:paraId="465CF5D8">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EC122A5">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76E8C4BC">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38B30E8F">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22976704">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3238D1B7">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7E8CD0B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49" w:name="_Toc6773"/>
      <w:bookmarkStart w:id="50" w:name="_Toc22185"/>
      <w:bookmarkStart w:id="51" w:name="_Toc6311"/>
      <w:bookmarkStart w:id="52" w:name="_Toc18585"/>
      <w:bookmarkStart w:id="53" w:name="_Toc2918"/>
      <w:r>
        <w:rPr>
          <w:rFonts w:hint="eastAsia" w:cs="Times New Roman" w:asciiTheme="minorEastAsia" w:hAnsiTheme="minorEastAsia" w:eastAsiaTheme="minorEastAsia"/>
          <w:b/>
          <w:bCs/>
          <w:color w:val="auto"/>
          <w:sz w:val="24"/>
          <w:szCs w:val="24"/>
          <w:highlight w:val="none"/>
          <w:lang w:val="zh-CN"/>
        </w:rPr>
        <w:t xml:space="preserve">1.2 </w:t>
      </w:r>
      <w:bookmarkEnd w:id="49"/>
      <w:bookmarkEnd w:id="50"/>
      <w:bookmarkEnd w:id="51"/>
      <w:bookmarkEnd w:id="52"/>
      <w:bookmarkEnd w:id="53"/>
      <w:r>
        <w:rPr>
          <w:rFonts w:hint="eastAsia" w:cs="Times New Roman" w:asciiTheme="minorEastAsia" w:hAnsiTheme="minorEastAsia" w:eastAsiaTheme="minorEastAsia"/>
          <w:b/>
          <w:bCs/>
          <w:color w:val="auto"/>
          <w:sz w:val="24"/>
          <w:szCs w:val="24"/>
          <w:highlight w:val="none"/>
          <w:lang w:val="zh-CN"/>
        </w:rPr>
        <w:t>服务</w:t>
      </w:r>
    </w:p>
    <w:p w14:paraId="5EDDC8CF">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eastAsia="zh-CN"/>
        </w:rPr>
        <w:t>滁州市公安局人民警察训练中心食堂原材料采购项目</w:t>
      </w:r>
      <w:r>
        <w:rPr>
          <w:rFonts w:hint="eastAsia" w:cs="Times New Roman" w:asciiTheme="minorEastAsia" w:hAnsiTheme="minorEastAsia" w:eastAsiaTheme="minorEastAsia"/>
          <w:color w:val="auto"/>
          <w:sz w:val="24"/>
          <w:szCs w:val="24"/>
          <w:highlight w:val="none"/>
        </w:rPr>
        <w:t>；</w:t>
      </w:r>
    </w:p>
    <w:p w14:paraId="35EA5FE6">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ascii="宋体" w:hAnsi="宋体" w:eastAsia="宋体" w:cs="宋体"/>
          <w:sz w:val="24"/>
          <w:highlight w:val="none"/>
          <w:u w:val="single"/>
        </w:rPr>
        <w:t>招标文件第</w:t>
      </w:r>
      <w:r>
        <w:rPr>
          <w:rFonts w:hint="eastAsia" w:ascii="宋体" w:hAnsi="宋体" w:eastAsia="宋体" w:cs="宋体"/>
          <w:sz w:val="24"/>
          <w:highlight w:val="none"/>
          <w:u w:val="single"/>
          <w:lang w:val="en-US" w:eastAsia="zh-CN"/>
        </w:rPr>
        <w:t>三</w:t>
      </w:r>
      <w:r>
        <w:rPr>
          <w:rFonts w:hint="eastAsia" w:ascii="宋体" w:hAnsi="宋体" w:eastAsia="宋体" w:cs="宋体"/>
          <w:sz w:val="24"/>
          <w:highlight w:val="none"/>
          <w:u w:val="single"/>
        </w:rPr>
        <w:t>章采购需求全部内容</w:t>
      </w:r>
      <w:r>
        <w:rPr>
          <w:rFonts w:hint="eastAsia" w:cs="Times New Roman" w:asciiTheme="minorEastAsia" w:hAnsiTheme="minorEastAsia" w:eastAsiaTheme="minorEastAsia"/>
          <w:color w:val="auto"/>
          <w:sz w:val="24"/>
          <w:szCs w:val="24"/>
          <w:highlight w:val="none"/>
        </w:rPr>
        <w:t>；</w:t>
      </w:r>
    </w:p>
    <w:p w14:paraId="014935A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满足招标文件要求及采购人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cs="Times New Roman" w:asciiTheme="minorEastAsia" w:hAnsiTheme="minorEastAsia" w:eastAsiaTheme="minorEastAsia"/>
          <w:color w:val="auto"/>
          <w:sz w:val="24"/>
          <w:szCs w:val="24"/>
          <w:highlight w:val="none"/>
        </w:rPr>
        <w:t>。</w:t>
      </w:r>
    </w:p>
    <w:p w14:paraId="54B174D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4" w:name="_Toc21551"/>
      <w:bookmarkStart w:id="55" w:name="_Toc21631"/>
      <w:bookmarkStart w:id="56"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54"/>
      <w:bookmarkEnd w:id="55"/>
      <w:bookmarkEnd w:id="56"/>
    </w:p>
    <w:p w14:paraId="674D8393">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w:t>
      </w:r>
      <w:r>
        <w:rPr>
          <w:rFonts w:hint="eastAsia" w:cs="Times New Roman" w:asciiTheme="minorEastAsia" w:hAnsiTheme="minorEastAsia" w:eastAsiaTheme="minorEastAsia"/>
          <w:color w:val="auto"/>
          <w:sz w:val="24"/>
          <w:szCs w:val="24"/>
          <w:highlight w:val="none"/>
          <w:lang w:val="en-US" w:eastAsia="zh-CN"/>
        </w:rPr>
        <w:t>费率</w:t>
      </w:r>
      <w:r>
        <w:rPr>
          <w:rFonts w:cs="Times New Roman" w:asciiTheme="minorEastAsia" w:hAnsiTheme="minorEastAsia" w:eastAsiaTheme="minorEastAsia"/>
          <w:color w:val="auto"/>
          <w:sz w:val="24"/>
          <w:szCs w:val="24"/>
          <w:highlight w:val="none"/>
        </w:rPr>
        <w:t>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lang w:val="en-US" w:eastAsia="zh-CN"/>
        </w:rPr>
        <w:t>%</w:t>
      </w:r>
      <w:r>
        <w:rPr>
          <w:rFonts w:cs="Times New Roman" w:asciiTheme="minorEastAsia" w:hAnsiTheme="minorEastAsia" w:eastAsiaTheme="minorEastAsia"/>
          <w:color w:val="auto"/>
          <w:sz w:val="24"/>
          <w:szCs w:val="24"/>
          <w:highlight w:val="none"/>
        </w:rPr>
        <w:t>。</w:t>
      </w:r>
    </w:p>
    <w:p w14:paraId="7BF44F6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当月结算费用=∑相应食材当月价格*中标费率*相应食材当月使用数量</w:t>
      </w:r>
    </w:p>
    <w:p w14:paraId="0136023F">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本项目以当月滁州市发展和改革委员会官网（http://fgw.chuzhou.gov.cn/xwdt/jggs/msspjg/index.html）《滁州市滁城主要超市和农贸市场民生商品市场价格公示》公示品目中各类食材单价的平均价作为相应食材当月的价格；滁州市发展和改革委员会官网公示范围内没有价格的，则由采购人成立3人及以上的询价小组进行市场询价，最终确定的价格为相应食材当月的价格。</w:t>
      </w:r>
    </w:p>
    <w:p w14:paraId="2CB423A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7" w:name="_Toc22618"/>
      <w:bookmarkStart w:id="58" w:name="_Toc10340"/>
      <w:bookmarkStart w:id="59"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7"/>
      <w:bookmarkEnd w:id="58"/>
      <w:bookmarkEnd w:id="59"/>
    </w:p>
    <w:p w14:paraId="3743C6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0DE0C09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ascii="宋体" w:hAnsi="宋体" w:eastAsia="宋体" w:cs="宋体"/>
          <w:color w:val="000000" w:themeColor="text1"/>
          <w:sz w:val="24"/>
          <w:szCs w:val="24"/>
          <w:highlight w:val="none"/>
          <w:u w:val="single"/>
          <w14:textFill>
            <w14:solidFill>
              <w14:schemeClr w14:val="tx1"/>
            </w14:solidFill>
          </w14:textFill>
        </w:rPr>
        <w:t>开具符合要求的发票</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05B692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0" w:name="_Toc32071"/>
      <w:bookmarkStart w:id="61" w:name="_Toc19304"/>
      <w:bookmarkStart w:id="62" w:name="_Toc2846"/>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60"/>
      <w:bookmarkEnd w:id="61"/>
      <w:bookmarkEnd w:id="62"/>
    </w:p>
    <w:p w14:paraId="43FCE287">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000000" w:themeColor="text1"/>
          <w:sz w:val="24"/>
          <w:szCs w:val="24"/>
          <w:highlight w:val="none"/>
          <w:u w:val="single"/>
          <w14:textFill>
            <w14:solidFill>
              <w14:schemeClr w14:val="tx1"/>
            </w14:solidFill>
          </w14:textFill>
        </w:rPr>
        <w:t>三年，合同一年一签</w:t>
      </w:r>
      <w:r>
        <w:rPr>
          <w:rFonts w:hint="eastAsia" w:cs="Times New Roman" w:asciiTheme="minorEastAsia" w:hAnsiTheme="minorEastAsia" w:eastAsiaTheme="minorEastAsia"/>
          <w:color w:val="auto"/>
          <w:sz w:val="24"/>
          <w:szCs w:val="24"/>
          <w:highlight w:val="none"/>
        </w:rPr>
        <w:t>；</w:t>
      </w:r>
    </w:p>
    <w:p w14:paraId="549C61B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cs="Times New Roman" w:asciiTheme="minorEastAsia" w:hAnsiTheme="minorEastAsia" w:eastAsiaTheme="minorEastAsia"/>
          <w:color w:val="auto"/>
          <w:sz w:val="24"/>
          <w:szCs w:val="24"/>
          <w:highlight w:val="none"/>
        </w:rPr>
        <w:t>；</w:t>
      </w:r>
    </w:p>
    <w:p w14:paraId="0D0403B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auto"/>
          <w:sz w:val="24"/>
          <w:szCs w:val="24"/>
          <w:highlight w:val="none"/>
        </w:rPr>
        <w:t>。</w:t>
      </w:r>
    </w:p>
    <w:p w14:paraId="5E86F2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3" w:name="_Toc27250"/>
      <w:bookmarkStart w:id="64" w:name="_Toc19554"/>
      <w:bookmarkStart w:id="65" w:name="_Toc21423"/>
      <w:r>
        <w:rPr>
          <w:rFonts w:hint="eastAsia" w:cs="Times New Roman" w:asciiTheme="minorEastAsia" w:hAnsiTheme="minorEastAsia" w:eastAsiaTheme="minorEastAsia"/>
          <w:b/>
          <w:bCs/>
          <w:color w:val="auto"/>
          <w:sz w:val="24"/>
          <w:szCs w:val="24"/>
          <w:highlight w:val="none"/>
          <w:lang w:val="zh-CN"/>
        </w:rPr>
        <w:t>1.6 违约责任</w:t>
      </w:r>
      <w:bookmarkEnd w:id="63"/>
      <w:bookmarkEnd w:id="64"/>
      <w:bookmarkEnd w:id="65"/>
    </w:p>
    <w:p w14:paraId="59106381">
      <w:pPr>
        <w:spacing w:line="440" w:lineRule="exact"/>
        <w:ind w:firstLine="435"/>
        <w:rPr>
          <w:rFonts w:hint="eastAsia" w:cs="Times New Roman" w:asciiTheme="minorEastAsia" w:hAnsiTheme="minorEastAsia" w:eastAsiaTheme="minorEastAsia"/>
          <w:color w:val="auto"/>
          <w:sz w:val="24"/>
          <w:szCs w:val="24"/>
          <w:highlight w:val="none"/>
          <w:lang w:eastAsia="zh-CN"/>
        </w:rPr>
      </w:pPr>
      <w:bookmarkStart w:id="66" w:name="_Toc15583"/>
      <w:bookmarkStart w:id="67" w:name="_Toc28375"/>
      <w:bookmarkStart w:id="68" w:name="_Toc16021"/>
      <w:r>
        <w:rPr>
          <w:rFonts w:hint="eastAsia" w:cs="Times New Roman" w:asciiTheme="minorEastAsia" w:hAnsiTheme="minorEastAsia" w:eastAsiaTheme="minorEastAsia"/>
          <w:color w:val="auto"/>
          <w:sz w:val="24"/>
          <w:szCs w:val="24"/>
          <w:highlight w:val="none"/>
        </w:rPr>
        <w:t>1.6.1</w:t>
      </w:r>
      <w:r>
        <w:rPr>
          <w:rFonts w:hint="eastAsia" w:asciiTheme="minorEastAsia" w:hAnsiTheme="minorEastAsia" w:eastAsiaTheme="minorEastAsia"/>
          <w:color w:val="auto"/>
          <w:sz w:val="24"/>
          <w:highlight w:val="none"/>
        </w:rPr>
        <w:t>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olor w:val="auto"/>
          <w:sz w:val="24"/>
          <w:highlight w:val="none"/>
          <w:u w:val="single"/>
        </w:rPr>
        <w:t xml:space="preserve"> 0.1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10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违约金从当季工程进度款中扣除）</w:t>
      </w:r>
      <w:r>
        <w:rPr>
          <w:rFonts w:hint="eastAsia" w:asciiTheme="minorEastAsia" w:hAnsiTheme="minorEastAsia" w:eastAsiaTheme="minorEastAsia"/>
          <w:color w:val="auto"/>
          <w:sz w:val="24"/>
          <w:highlight w:val="none"/>
        </w:rPr>
        <w:t>；</w:t>
      </w:r>
    </w:p>
    <w:p w14:paraId="584D7ECB">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454E4F41">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75D7963">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185C8E1">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29B0852">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178B3CC">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2B4FAF6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66"/>
      <w:bookmarkEnd w:id="67"/>
      <w:bookmarkEnd w:id="68"/>
    </w:p>
    <w:p w14:paraId="539ED6F0">
      <w:pPr>
        <w:spacing w:line="440" w:lineRule="exact"/>
        <w:ind w:firstLine="435"/>
        <w:rPr>
          <w:rFonts w:hint="eastAsia" w:cs="Times New Roman" w:asciiTheme="minorEastAsia" w:hAnsiTheme="minorEastAsia" w:eastAsiaTheme="minorEastAsia"/>
          <w:color w:val="auto"/>
          <w:sz w:val="24"/>
          <w:szCs w:val="24"/>
          <w:highlight w:val="none"/>
        </w:rPr>
      </w:pPr>
      <w:bookmarkStart w:id="69" w:name="_Toc11173"/>
      <w:bookmarkStart w:id="70" w:name="_Toc15322"/>
      <w:bookmarkStart w:id="71" w:name="_Toc7245"/>
      <w:r>
        <w:rPr>
          <w:rFonts w:hint="eastAsia" w:cs="Times New Roman" w:asciiTheme="minorEastAsia" w:hAnsiTheme="minorEastAsia" w:eastAsiaTheme="minorEastAsia"/>
          <w:color w:val="auto"/>
          <w:sz w:val="24"/>
          <w:szCs w:val="24"/>
          <w:highlight w:val="none"/>
        </w:rPr>
        <w:t>本合同履行过程中发生的任何争议，双方当事人均可通过和解或者调解解决；不愿和解、调解或者和解、调解不成的，可以选择下列第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4F0B1AD4">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（1）将争议提交</w:t>
      </w:r>
      <w:r>
        <w:rPr>
          <w:rFonts w:hint="eastAsia" w:cs="Times New Roman" w:asciiTheme="minorEastAsia" w:hAnsiTheme="minorEastAsia" w:eastAsiaTheme="minorEastAsia"/>
          <w:color w:val="auto"/>
          <w:sz w:val="24"/>
          <w:szCs w:val="24"/>
          <w:highlight w:val="none"/>
          <w:u w:val="single"/>
        </w:rPr>
        <w:t xml:space="preserve">  滁州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291D41BC">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（2）向</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2B08A53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69"/>
      <w:bookmarkEnd w:id="70"/>
      <w:bookmarkEnd w:id="71"/>
    </w:p>
    <w:p w14:paraId="4A8304A7">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52733E1B">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461ADAEC">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442653A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4C865511">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437EB83C">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5DA85DCB">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52A90723">
      <w:pPr>
        <w:widowControl/>
        <w:spacing w:line="560" w:lineRule="exact"/>
        <w:jc w:val="left"/>
        <w:rPr>
          <w:rFonts w:cs="Times New Roman" w:asciiTheme="minorEastAsia" w:hAnsiTheme="minorEastAsia" w:eastAsiaTheme="minorEastAsia"/>
          <w:bCs/>
          <w:color w:val="auto"/>
          <w:sz w:val="24"/>
          <w:szCs w:val="24"/>
          <w:highlight w:val="none"/>
        </w:rPr>
      </w:pPr>
      <w:bookmarkStart w:id="72"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30AD7E18">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73" w:name="_Hlk110099149"/>
      <w:r>
        <w:rPr>
          <w:rFonts w:hint="eastAsia" w:ascii="宋体" w:hAnsi="宋体" w:eastAsia="宋体"/>
          <w:color w:val="auto"/>
          <w:sz w:val="24"/>
          <w:szCs w:val="24"/>
          <w:highlight w:val="none"/>
        </w:rPr>
        <w:t>乙方账户信息</w:t>
      </w:r>
    </w:p>
    <w:p w14:paraId="6598F955">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AF84037">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07C1E11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73"/>
    <w:p w14:paraId="3C5A8C0E">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1FF66124">
      <w:pPr>
        <w:spacing w:line="360" w:lineRule="auto"/>
        <w:jc w:val="center"/>
        <w:outlineLvl w:val="1"/>
        <w:rPr>
          <w:rFonts w:asciiTheme="minorEastAsia" w:hAnsiTheme="minorEastAsia" w:eastAsiaTheme="minorEastAsia"/>
          <w:b/>
          <w:color w:val="auto"/>
          <w:sz w:val="24"/>
          <w:highlight w:val="none"/>
        </w:rPr>
      </w:pPr>
      <w:bookmarkStart w:id="74"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72"/>
      <w:bookmarkEnd w:id="74"/>
    </w:p>
    <w:p w14:paraId="5F562D5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5" w:name="_Ref467379205"/>
      <w:bookmarkStart w:id="76" w:name="_Ref467379101"/>
      <w:bookmarkStart w:id="77" w:name="_Ref467379109"/>
      <w:bookmarkStart w:id="78" w:name="_Ref467379225"/>
      <w:bookmarkStart w:id="79" w:name="_Ref467379094"/>
      <w:bookmarkStart w:id="80" w:name="_Toc259093669"/>
      <w:bookmarkStart w:id="81" w:name="_Ref467378404"/>
      <w:bookmarkStart w:id="82" w:name="_Toc279701240"/>
      <w:bookmarkStart w:id="83" w:name="_Ref467378499"/>
      <w:bookmarkStart w:id="84" w:name="_Ref467378463"/>
      <w:bookmarkStart w:id="85" w:name="_Ref467379214"/>
      <w:bookmarkStart w:id="86" w:name="_Toc28763"/>
      <w:bookmarkStart w:id="87" w:name="_Toc19614"/>
      <w:bookmarkStart w:id="88" w:name="_Toc487900349"/>
      <w:bookmarkStart w:id="89" w:name="_Ref467379195"/>
      <w:bookmarkStart w:id="90" w:name="_Toc1691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A82DA2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049B29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6D65008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29A901C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3C902FEB">
      <w:pPr>
        <w:spacing w:line="360" w:lineRule="auto"/>
        <w:ind w:firstLine="435"/>
        <w:rPr>
          <w:rFonts w:cs="Times New Roman" w:asciiTheme="minorEastAsia" w:hAnsiTheme="minorEastAsia" w:eastAsiaTheme="minorEastAsia"/>
          <w:color w:val="auto"/>
          <w:sz w:val="24"/>
          <w:szCs w:val="24"/>
          <w:highlight w:val="none"/>
        </w:rPr>
      </w:pPr>
      <w:bookmarkStart w:id="91"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91"/>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37192914">
      <w:pPr>
        <w:spacing w:line="360" w:lineRule="auto"/>
        <w:ind w:firstLine="435"/>
        <w:rPr>
          <w:rFonts w:cs="Times New Roman" w:asciiTheme="minorEastAsia" w:hAnsiTheme="minorEastAsia" w:eastAsiaTheme="minorEastAsia"/>
          <w:color w:val="auto"/>
          <w:sz w:val="24"/>
          <w:szCs w:val="24"/>
          <w:highlight w:val="none"/>
        </w:rPr>
      </w:pPr>
      <w:bookmarkStart w:id="92"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92"/>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D105B4">
      <w:pPr>
        <w:spacing w:line="360" w:lineRule="auto"/>
        <w:ind w:firstLine="435"/>
        <w:rPr>
          <w:rFonts w:cs="Times New Roman" w:asciiTheme="minorEastAsia" w:hAnsiTheme="minorEastAsia" w:eastAsiaTheme="minorEastAsia"/>
          <w:color w:val="auto"/>
          <w:sz w:val="24"/>
          <w:szCs w:val="24"/>
          <w:highlight w:val="none"/>
        </w:rPr>
      </w:pPr>
      <w:bookmarkStart w:id="93"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93"/>
    </w:p>
    <w:p w14:paraId="18296C9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4" w:name="_Toc13336"/>
      <w:bookmarkStart w:id="95" w:name="_Toc32504"/>
      <w:bookmarkStart w:id="96" w:name="_Toc27635"/>
      <w:bookmarkStart w:id="97" w:name="_Toc259093670"/>
      <w:bookmarkStart w:id="98" w:name="_Toc487900350"/>
      <w:bookmarkStart w:id="99" w:name="_Toc27970124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94"/>
      <w:bookmarkEnd w:id="95"/>
      <w:bookmarkEnd w:id="96"/>
      <w:bookmarkEnd w:id="97"/>
      <w:bookmarkEnd w:id="98"/>
      <w:bookmarkEnd w:id="99"/>
    </w:p>
    <w:p w14:paraId="6D0E0D6A">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4A3CBFC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0" w:name="_Toc31634"/>
      <w:bookmarkStart w:id="101" w:name="_Toc27853"/>
      <w:bookmarkStart w:id="102" w:name="_Toc279701242"/>
      <w:bookmarkStart w:id="103" w:name="_Toc9829"/>
      <w:bookmarkStart w:id="104" w:name="_Toc487900351"/>
      <w:bookmarkStart w:id="105" w:name="_Toc25909367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00"/>
      <w:bookmarkEnd w:id="101"/>
      <w:bookmarkEnd w:id="102"/>
      <w:bookmarkEnd w:id="103"/>
      <w:bookmarkEnd w:id="104"/>
      <w:bookmarkEnd w:id="105"/>
    </w:p>
    <w:p w14:paraId="5848EC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4D9997F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24A3EA0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6" w:name="_Toc259093674"/>
      <w:bookmarkStart w:id="107" w:name="_Ref467378591"/>
      <w:bookmarkStart w:id="108" w:name="_Ref467379527"/>
      <w:bookmarkStart w:id="109" w:name="_Toc487900354"/>
      <w:bookmarkStart w:id="110" w:name="_Toc279701245"/>
      <w:bookmarkStart w:id="111" w:name="_Ref467378541"/>
      <w:bookmarkStart w:id="112" w:name="_Ref467379542"/>
      <w:bookmarkStart w:id="113" w:name="_Ref467379536"/>
      <w:bookmarkStart w:id="114" w:name="_Toc30272"/>
      <w:bookmarkStart w:id="115" w:name="_Toc19074"/>
      <w:bookmarkStart w:id="116" w:name="_Toc26182"/>
      <w:r>
        <w:rPr>
          <w:rFonts w:hint="eastAsia" w:cs="Times New Roman" w:asciiTheme="minorEastAsia" w:hAnsiTheme="minorEastAsia" w:eastAsiaTheme="minorEastAsia"/>
          <w:b/>
          <w:bCs/>
          <w:color w:val="auto"/>
          <w:sz w:val="24"/>
          <w:szCs w:val="24"/>
          <w:highlight w:val="none"/>
          <w:lang w:val="zh-CN"/>
        </w:rPr>
        <w:t>2.</w:t>
      </w:r>
      <w:bookmarkEnd w:id="106"/>
      <w:bookmarkEnd w:id="107"/>
      <w:bookmarkEnd w:id="108"/>
      <w:bookmarkEnd w:id="109"/>
      <w:bookmarkEnd w:id="110"/>
      <w:bookmarkEnd w:id="111"/>
      <w:bookmarkEnd w:id="112"/>
      <w:bookmarkEnd w:id="113"/>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14"/>
      <w:bookmarkEnd w:id="115"/>
      <w:bookmarkEnd w:id="116"/>
    </w:p>
    <w:p w14:paraId="1B0E0538">
      <w:pPr>
        <w:spacing w:line="360" w:lineRule="auto"/>
        <w:ind w:firstLine="435"/>
        <w:rPr>
          <w:rFonts w:cs="Times New Roman" w:asciiTheme="minorEastAsia" w:hAnsiTheme="minorEastAsia" w:eastAsiaTheme="minorEastAsia"/>
          <w:color w:val="auto"/>
          <w:sz w:val="24"/>
          <w:szCs w:val="24"/>
          <w:highlight w:val="none"/>
        </w:rPr>
      </w:pPr>
      <w:bookmarkStart w:id="117" w:name="_Toc186431854"/>
      <w:bookmarkStart w:id="118" w:name="_Toc487900357"/>
      <w:bookmarkStart w:id="119" w:name="_Toc279701247"/>
      <w:bookmarkStart w:id="120" w:name="_Toc259093676"/>
      <w:bookmarkStart w:id="121" w:name="_Ref467379793"/>
      <w:bookmarkStart w:id="122" w:name="_Ref46737980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00A054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17"/>
      <w:bookmarkStart w:id="123" w:name="_Toc186431855"/>
      <w:r>
        <w:rPr>
          <w:rFonts w:hint="eastAsia" w:cs="Times New Roman" w:asciiTheme="minorEastAsia" w:hAnsiTheme="minorEastAsia" w:eastAsiaTheme="minorEastAsia"/>
          <w:color w:val="auto"/>
          <w:sz w:val="24"/>
          <w:szCs w:val="24"/>
          <w:highlight w:val="none"/>
        </w:rPr>
        <w:t>。</w:t>
      </w:r>
    </w:p>
    <w:bookmarkEnd w:id="123"/>
    <w:p w14:paraId="46BF656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4" w:name="_Toc19219"/>
      <w:bookmarkStart w:id="125" w:name="_Toc7836"/>
      <w:bookmarkStart w:id="126"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18"/>
      <w:bookmarkEnd w:id="119"/>
      <w:bookmarkEnd w:id="120"/>
      <w:bookmarkEnd w:id="121"/>
      <w:bookmarkEnd w:id="122"/>
      <w:bookmarkEnd w:id="124"/>
      <w:bookmarkEnd w:id="125"/>
      <w:bookmarkEnd w:id="126"/>
    </w:p>
    <w:p w14:paraId="0CDB7CC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120783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7" w:name="_Toc259093677"/>
      <w:bookmarkStart w:id="128" w:name="_Ref467379852"/>
      <w:bookmarkStart w:id="129" w:name="_Ref467379923"/>
      <w:bookmarkStart w:id="130" w:name="_Ref467379863"/>
      <w:bookmarkStart w:id="131" w:name="_Toc487900358"/>
      <w:bookmarkStart w:id="132" w:name="_Toc279701248"/>
      <w:bookmarkStart w:id="133" w:name="_Toc3225"/>
      <w:bookmarkStart w:id="134" w:name="_Toc16110"/>
      <w:bookmarkStart w:id="135" w:name="_Toc7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27"/>
      <w:bookmarkEnd w:id="128"/>
      <w:bookmarkEnd w:id="129"/>
      <w:bookmarkEnd w:id="130"/>
      <w:bookmarkEnd w:id="131"/>
      <w:bookmarkEnd w:id="132"/>
      <w:r>
        <w:rPr>
          <w:rFonts w:cs="Times New Roman" w:asciiTheme="minorEastAsia" w:hAnsiTheme="minorEastAsia" w:eastAsiaTheme="minorEastAsia"/>
          <w:b/>
          <w:bCs/>
          <w:color w:val="auto"/>
          <w:sz w:val="24"/>
          <w:szCs w:val="24"/>
          <w:highlight w:val="none"/>
          <w:lang w:val="zh-CN"/>
        </w:rPr>
        <w:t>和保密义务</w:t>
      </w:r>
      <w:bookmarkEnd w:id="133"/>
      <w:bookmarkEnd w:id="134"/>
      <w:bookmarkEnd w:id="135"/>
    </w:p>
    <w:p w14:paraId="23F644F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2CD43DF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BC93CD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489FC72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6" w:name="_Toc7860"/>
      <w:r>
        <w:rPr>
          <w:rFonts w:cs="Times New Roman" w:asciiTheme="minorEastAsia" w:hAnsiTheme="minorEastAsia" w:eastAsiaTheme="minorEastAsia"/>
          <w:b/>
          <w:bCs/>
          <w:color w:val="auto"/>
          <w:sz w:val="24"/>
          <w:szCs w:val="24"/>
          <w:highlight w:val="none"/>
          <w:lang w:val="zh-CN"/>
        </w:rPr>
        <w:t>2.7 质量保证</w:t>
      </w:r>
      <w:bookmarkEnd w:id="136"/>
    </w:p>
    <w:p w14:paraId="0842077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69A6FCA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7F60D322">
      <w:pPr>
        <w:spacing w:line="360" w:lineRule="auto"/>
        <w:ind w:firstLine="437"/>
        <w:outlineLvl w:val="2"/>
        <w:rPr>
          <w:rFonts w:cs="Times New Roman" w:asciiTheme="minorEastAsia" w:hAnsiTheme="minorEastAsia" w:eastAsiaTheme="minorEastAsia"/>
          <w:b/>
          <w:color w:val="auto"/>
          <w:sz w:val="24"/>
          <w:szCs w:val="24"/>
          <w:highlight w:val="none"/>
        </w:rPr>
      </w:pPr>
      <w:bookmarkStart w:id="137" w:name="_Toc22267"/>
      <w:r>
        <w:rPr>
          <w:rFonts w:hint="eastAsia" w:cs="Times New Roman" w:asciiTheme="minorEastAsia" w:hAnsiTheme="minorEastAsia" w:eastAsiaTheme="minorEastAsia"/>
          <w:b/>
          <w:color w:val="auto"/>
          <w:sz w:val="24"/>
          <w:szCs w:val="24"/>
          <w:highlight w:val="none"/>
        </w:rPr>
        <w:t>2.8 延迟履行</w:t>
      </w:r>
      <w:bookmarkEnd w:id="137"/>
    </w:p>
    <w:p w14:paraId="26C0E63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65EB5FB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8" w:name="_Toc7502"/>
      <w:bookmarkStart w:id="139" w:name="_Toc487900364"/>
      <w:bookmarkStart w:id="140" w:name="_Toc279701254"/>
      <w:bookmarkStart w:id="141" w:name="_Ref467378121"/>
      <w:bookmarkStart w:id="142" w:name="_Toc259093683"/>
      <w:r>
        <w:rPr>
          <w:rFonts w:cs="Times New Roman" w:asciiTheme="minorEastAsia" w:hAnsiTheme="minorEastAsia" w:eastAsiaTheme="minorEastAsia"/>
          <w:b/>
          <w:bCs/>
          <w:color w:val="auto"/>
          <w:sz w:val="24"/>
          <w:szCs w:val="24"/>
          <w:highlight w:val="none"/>
          <w:lang w:val="zh-CN"/>
        </w:rPr>
        <w:t>2.9 合同变更</w:t>
      </w:r>
      <w:bookmarkEnd w:id="138"/>
    </w:p>
    <w:p w14:paraId="3D6636C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63E83C1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43" w:name="_Toc259093688"/>
      <w:bookmarkStart w:id="144" w:name="_Toc487900369"/>
      <w:bookmarkStart w:id="145" w:name="_Toc279701259"/>
    </w:p>
    <w:p w14:paraId="3A74875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6" w:name="_Toc22955"/>
      <w:bookmarkStart w:id="147" w:name="_Toc10366"/>
      <w:bookmarkStart w:id="148"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43"/>
      <w:bookmarkEnd w:id="144"/>
      <w:bookmarkEnd w:id="145"/>
      <w:r>
        <w:rPr>
          <w:rFonts w:cs="Times New Roman" w:asciiTheme="minorEastAsia" w:hAnsiTheme="minorEastAsia" w:eastAsiaTheme="minorEastAsia"/>
          <w:b/>
          <w:bCs/>
          <w:color w:val="auto"/>
          <w:sz w:val="24"/>
          <w:szCs w:val="24"/>
          <w:highlight w:val="none"/>
          <w:lang w:val="zh-CN"/>
        </w:rPr>
        <w:t>和分包</w:t>
      </w:r>
      <w:bookmarkEnd w:id="146"/>
      <w:bookmarkEnd w:id="147"/>
      <w:bookmarkEnd w:id="148"/>
    </w:p>
    <w:p w14:paraId="1D181BD7">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28C8D79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9" w:name="_Toc14066"/>
      <w:bookmarkStart w:id="150" w:name="_Toc13566"/>
      <w:bookmarkStart w:id="151"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49"/>
      <w:bookmarkEnd w:id="150"/>
      <w:bookmarkEnd w:id="151"/>
    </w:p>
    <w:p w14:paraId="6F8B4D0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460274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61CC0B2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32EEE74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0B90887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259093684"/>
      <w:bookmarkStart w:id="153" w:name="_Toc689"/>
      <w:bookmarkStart w:id="154" w:name="_Toc487900365"/>
      <w:bookmarkStart w:id="155" w:name="_Toc30676"/>
      <w:bookmarkStart w:id="156" w:name="_Toc279701255"/>
      <w:bookmarkStart w:id="157" w:name="_Toc696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52"/>
      <w:bookmarkEnd w:id="153"/>
      <w:bookmarkEnd w:id="154"/>
      <w:bookmarkEnd w:id="155"/>
      <w:bookmarkEnd w:id="156"/>
      <w:bookmarkEnd w:id="157"/>
    </w:p>
    <w:p w14:paraId="7D4E56A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4ACD82E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8" w:name="_Toc487900368"/>
      <w:bookmarkStart w:id="159" w:name="_Toc259093687"/>
      <w:bookmarkStart w:id="160" w:name="_Toc16959"/>
      <w:bookmarkStart w:id="161" w:name="_Toc8298"/>
      <w:bookmarkStart w:id="162" w:name="_Toc279701258"/>
      <w:bookmarkStart w:id="163" w:name="_Toc7102"/>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58"/>
      <w:bookmarkEnd w:id="159"/>
      <w:bookmarkEnd w:id="160"/>
      <w:bookmarkEnd w:id="161"/>
      <w:bookmarkEnd w:id="162"/>
      <w:bookmarkEnd w:id="163"/>
    </w:p>
    <w:p w14:paraId="1700570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5A76A153">
      <w:pPr>
        <w:spacing w:line="360" w:lineRule="auto"/>
        <w:ind w:firstLine="437"/>
        <w:outlineLvl w:val="2"/>
        <w:rPr>
          <w:rFonts w:cs="Times New Roman" w:asciiTheme="minorEastAsia" w:hAnsiTheme="minorEastAsia" w:eastAsiaTheme="minorEastAsia"/>
          <w:b/>
          <w:color w:val="auto"/>
          <w:sz w:val="24"/>
          <w:szCs w:val="24"/>
          <w:highlight w:val="none"/>
        </w:rPr>
      </w:pPr>
      <w:bookmarkStart w:id="164" w:name="_Toc15387"/>
      <w:bookmarkStart w:id="165" w:name="_Toc29333"/>
      <w:bookmarkStart w:id="166" w:name="_Toc613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64"/>
      <w:bookmarkEnd w:id="165"/>
      <w:bookmarkEnd w:id="166"/>
    </w:p>
    <w:p w14:paraId="30E85F6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0D22E8F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4B600B1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7" w:name="_Toc1125"/>
      <w:bookmarkStart w:id="168" w:name="_Toc14563"/>
      <w:bookmarkStart w:id="169" w:name="_Toc659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67"/>
      <w:bookmarkEnd w:id="168"/>
      <w:bookmarkEnd w:id="169"/>
    </w:p>
    <w:p w14:paraId="633E945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578C80A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6F40A8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39"/>
    <w:bookmarkEnd w:id="140"/>
    <w:bookmarkEnd w:id="141"/>
    <w:bookmarkEnd w:id="142"/>
    <w:p w14:paraId="6A04D3A3">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70" w:name="_Toc259093692"/>
      <w:bookmarkStart w:id="171" w:name="_Toc18567"/>
      <w:bookmarkStart w:id="172" w:name="_Toc487900373"/>
      <w:bookmarkStart w:id="173" w:name="_Toc10330"/>
      <w:bookmarkStart w:id="174" w:name="_Toc279701263"/>
      <w:bookmarkStart w:id="175" w:name="_Toc1277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70"/>
      <w:bookmarkEnd w:id="171"/>
      <w:bookmarkEnd w:id="172"/>
      <w:bookmarkEnd w:id="173"/>
      <w:bookmarkEnd w:id="174"/>
      <w:bookmarkEnd w:id="175"/>
    </w:p>
    <w:p w14:paraId="1250C1F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22635D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2A3B057A">
      <w:pPr>
        <w:spacing w:line="360" w:lineRule="auto"/>
        <w:ind w:firstLine="437"/>
        <w:outlineLvl w:val="2"/>
        <w:rPr>
          <w:rFonts w:cs="Times New Roman" w:asciiTheme="minorEastAsia" w:hAnsiTheme="minorEastAsia" w:eastAsiaTheme="minorEastAsia"/>
          <w:b/>
          <w:color w:val="auto"/>
          <w:sz w:val="24"/>
          <w:szCs w:val="24"/>
          <w:highlight w:val="none"/>
        </w:rPr>
      </w:pPr>
      <w:bookmarkStart w:id="176" w:name="_Toc12004"/>
      <w:bookmarkStart w:id="177" w:name="_Toc259093693"/>
      <w:bookmarkStart w:id="178" w:name="_Toc279701264"/>
      <w:bookmarkStart w:id="179" w:name="_Toc3148"/>
      <w:bookmarkStart w:id="180" w:name="_Toc16673"/>
      <w:bookmarkStart w:id="181"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76"/>
      <w:bookmarkEnd w:id="177"/>
      <w:bookmarkEnd w:id="178"/>
      <w:bookmarkEnd w:id="179"/>
      <w:bookmarkEnd w:id="180"/>
    </w:p>
    <w:p w14:paraId="3595211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0FBC7A0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0AD90C9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81"/>
    <w:p w14:paraId="13E5E66D">
      <w:pPr>
        <w:spacing w:line="360" w:lineRule="auto"/>
        <w:ind w:firstLine="437"/>
        <w:outlineLvl w:val="2"/>
        <w:rPr>
          <w:rFonts w:cs="Times New Roman" w:asciiTheme="minorEastAsia" w:hAnsiTheme="minorEastAsia" w:eastAsiaTheme="minorEastAsia"/>
          <w:b/>
          <w:color w:val="auto"/>
          <w:sz w:val="24"/>
          <w:szCs w:val="24"/>
          <w:highlight w:val="none"/>
        </w:rPr>
      </w:pPr>
      <w:bookmarkStart w:id="182" w:name="_Toc19890"/>
      <w:bookmarkStart w:id="183" w:name="_Toc14001"/>
      <w:bookmarkStart w:id="184"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82"/>
      <w:bookmarkEnd w:id="183"/>
      <w:bookmarkEnd w:id="184"/>
    </w:p>
    <w:p w14:paraId="717BB62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586C3380">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85"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5"/>
    </w:p>
    <w:p w14:paraId="1E78C3E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6F1A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A74AF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3CF71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50849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1067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2.5</w:t>
            </w:r>
          </w:p>
        </w:tc>
        <w:tc>
          <w:tcPr>
            <w:tcW w:w="7568" w:type="dxa"/>
            <w:vAlign w:val="center"/>
          </w:tcPr>
          <w:p w14:paraId="412D83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lang w:val="en-US" w:eastAsia="zh-CN"/>
              </w:rPr>
              <w:t>乙方每月应提供完整规范的供货明细清单、各类报表及正式发票，报经甲方指定人员签字确认，甲方根据每月对服务内容检查考核结果支付服务费用（考核标准按甲方规定要求执行）。考核合格，甲方于次月底前支付上月的服务费；考核不合格，甲方依据考核情况酌情扣减服务费且同步进行整改，</w:t>
            </w:r>
            <w:r>
              <w:rPr>
                <w:rFonts w:hint="eastAsia" w:ascii="宋体" w:hAnsi="宋体" w:eastAsia="宋体" w:cs="宋体"/>
                <w:b w:val="0"/>
                <w:color w:val="auto"/>
                <w:sz w:val="24"/>
                <w:szCs w:val="24"/>
                <w:highlight w:val="none"/>
                <w:lang w:val="en-US" w:eastAsia="zh-CN"/>
              </w:rPr>
              <w:t>若整改仍不合格的解除合同</w:t>
            </w:r>
            <w:r>
              <w:rPr>
                <w:rFonts w:hint="eastAsia" w:ascii="宋体" w:hAnsi="宋体" w:eastAsia="宋体" w:cs="宋体"/>
                <w:color w:val="auto"/>
                <w:sz w:val="24"/>
                <w:szCs w:val="24"/>
                <w:highlight w:val="none"/>
                <w:lang w:val="en-US" w:eastAsia="zh-CN"/>
              </w:rPr>
              <w:t>。</w:t>
            </w:r>
          </w:p>
        </w:tc>
      </w:tr>
      <w:tr w14:paraId="7BF32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086BD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2.11.3</w:t>
            </w:r>
          </w:p>
        </w:tc>
        <w:tc>
          <w:tcPr>
            <w:tcW w:w="7568" w:type="dxa"/>
            <w:vAlign w:val="center"/>
          </w:tcPr>
          <w:p w14:paraId="369B9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tc>
      </w:tr>
      <w:tr w14:paraId="19662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A9842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2.11.4</w:t>
            </w:r>
          </w:p>
        </w:tc>
        <w:tc>
          <w:tcPr>
            <w:tcW w:w="7568" w:type="dxa"/>
            <w:vAlign w:val="center"/>
          </w:tcPr>
          <w:p w14:paraId="36CA9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tc>
      </w:tr>
      <w:tr w14:paraId="28652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41E7A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3A233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59F4F1DB">
            <w:pPr>
              <w:keepNext w:val="0"/>
              <w:keepLines w:val="0"/>
              <w:pageBreakBefore w:val="0"/>
              <w:widowControl w:val="0"/>
              <w:kinsoku/>
              <w:wordWrap/>
              <w:overflowPunct/>
              <w:topLinePunct w:val="0"/>
              <w:autoSpaceDE/>
              <w:autoSpaceDN/>
              <w:bidi w:val="0"/>
              <w:adjustRightInd/>
              <w:snapToGrid/>
              <w:spacing w:line="360" w:lineRule="exact"/>
              <w:textAlignment w:val="auto"/>
              <w:rPr>
                <w:rFonts w:cs="Times New Roman" w:asciiTheme="minorEastAsia" w:hAnsiTheme="minorEastAsia" w:eastAsiaTheme="minorEastAsia"/>
                <w:color w:val="auto"/>
                <w:sz w:val="24"/>
                <w:szCs w:val="24"/>
                <w:highlight w:val="none"/>
              </w:rPr>
            </w:pPr>
            <w:r>
              <w:rPr>
                <w:rFonts w:hint="eastAsia" w:ascii="宋体" w:hAnsi="宋体" w:eastAsia="宋体" w:cs="宋体"/>
                <w:color w:val="000000"/>
                <w:sz w:val="24"/>
                <w:szCs w:val="24"/>
                <w:highlight w:val="none"/>
              </w:rPr>
              <w:t>2.15.3验收书的内容以</w:t>
            </w:r>
            <w:r>
              <w:rPr>
                <w:rFonts w:hint="eastAsia" w:ascii="宋体" w:hAnsi="宋体" w:eastAsia="宋体" w:cs="宋体"/>
                <w:color w:val="000000"/>
                <w:sz w:val="24"/>
                <w:szCs w:val="24"/>
                <w:highlight w:val="none"/>
                <w:lang w:val="en-US" w:eastAsia="zh-CN"/>
              </w:rPr>
              <w:t>考核结论</w:t>
            </w:r>
            <w:r>
              <w:rPr>
                <w:rFonts w:hint="eastAsia" w:ascii="宋体" w:hAnsi="宋体" w:eastAsia="宋体" w:cs="宋体"/>
                <w:color w:val="000000"/>
                <w:sz w:val="24"/>
                <w:szCs w:val="24"/>
                <w:highlight w:val="none"/>
              </w:rPr>
              <w:t>作为结算依据。</w:t>
            </w:r>
          </w:p>
        </w:tc>
      </w:tr>
      <w:tr w14:paraId="735A5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286A6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eastAsiaTheme="minorEastAsia"/>
                <w:color w:val="auto"/>
                <w:sz w:val="24"/>
                <w:szCs w:val="24"/>
                <w:highlight w:val="none"/>
              </w:rPr>
            </w:pPr>
            <w:r>
              <w:rPr>
                <w:rFonts w:hint="eastAsia" w:ascii="宋体" w:hAnsi="宋体" w:eastAsia="宋体"/>
                <w:color w:val="auto"/>
                <w:sz w:val="24"/>
                <w:highlight w:val="none"/>
              </w:rPr>
              <w:t>2.17</w:t>
            </w:r>
          </w:p>
        </w:tc>
        <w:tc>
          <w:tcPr>
            <w:tcW w:w="7568" w:type="dxa"/>
            <w:vAlign w:val="center"/>
          </w:tcPr>
          <w:p w14:paraId="564A9D76">
            <w:pPr>
              <w:keepNext w:val="0"/>
              <w:keepLines w:val="0"/>
              <w:pageBreakBefore w:val="0"/>
              <w:widowControl w:val="0"/>
              <w:kinsoku/>
              <w:wordWrap/>
              <w:overflowPunct/>
              <w:topLinePunct w:val="0"/>
              <w:autoSpaceDE/>
              <w:autoSpaceDN/>
              <w:bidi w:val="0"/>
              <w:adjustRightInd/>
              <w:snapToGrid/>
              <w:spacing w:line="360" w:lineRule="exact"/>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0BB58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12BF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7568" w:type="dxa"/>
            <w:vAlign w:val="center"/>
          </w:tcPr>
          <w:p w14:paraId="16B2B8A3">
            <w:pPr>
              <w:keepNext w:val="0"/>
              <w:keepLines w:val="0"/>
              <w:pageBreakBefore w:val="0"/>
              <w:widowControl w:val="0"/>
              <w:kinsoku/>
              <w:wordWrap/>
              <w:overflowPunct/>
              <w:topLinePunct w:val="0"/>
              <w:autoSpaceDE/>
              <w:autoSpaceDN/>
              <w:bidi w:val="0"/>
              <w:adjustRightInd/>
              <w:snapToGrid/>
              <w:spacing w:line="360" w:lineRule="exact"/>
              <w:textAlignment w:val="auto"/>
              <w:rPr>
                <w:rFonts w:cs="Times New Roman" w:asciiTheme="minorEastAsia" w:hAnsiTheme="minorEastAsia" w:eastAsiaTheme="minorEastAsia"/>
                <w:color w:val="auto"/>
                <w:sz w:val="24"/>
                <w:szCs w:val="24"/>
                <w:highlight w:val="none"/>
                <w:u w:val="single"/>
              </w:rPr>
            </w:pPr>
            <w:r>
              <w:rPr>
                <w:rFonts w:hint="eastAsia" w:ascii="宋体" w:hAnsi="宋体" w:eastAsia="宋体" w:cs="宋体"/>
                <w:color w:val="auto"/>
                <w:sz w:val="24"/>
                <w:highlight w:val="none"/>
              </w:rPr>
              <w:t>合同一式陆份，甲乙双方各执叁份。</w:t>
            </w:r>
          </w:p>
        </w:tc>
      </w:tr>
      <w:tr w14:paraId="1195B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2F3CF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3</w:t>
            </w:r>
          </w:p>
        </w:tc>
        <w:tc>
          <w:tcPr>
            <w:tcW w:w="7568" w:type="dxa"/>
            <w:vAlign w:val="center"/>
          </w:tcPr>
          <w:p w14:paraId="57F14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甲方一经发现供应以下食品，除全部退货外，有权立即停止乙方供货并解除合同，乙方承担由此造成的一切经济和法律责任：</w:t>
            </w:r>
          </w:p>
          <w:p w14:paraId="3E963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① 腐败变质、油脂酸败、霉变、生虫、污秽不洁、混有异物或者其他感官性状异常，对人体健康有害的。</w:t>
            </w:r>
          </w:p>
          <w:p w14:paraId="613BE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②含有毒、有害物质或者被有害物质污染，对人体健康有害的。</w:t>
            </w:r>
          </w:p>
          <w:p w14:paraId="565D7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③含有致病性寄生虫、微生物或者微生物含量超过国家限定标准的。</w:t>
            </w:r>
          </w:p>
          <w:p w14:paraId="7408E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④无定点屠宰证明、无卫生检验检疫或者检验不合格的肉类及其制品。</w:t>
            </w:r>
          </w:p>
          <w:p w14:paraId="374CB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⑤掺假、掺杂、伪造、影响营养及卫生的含有未经卫生行政部门批准用的添加剂、农药（残留）。</w:t>
            </w:r>
          </w:p>
          <w:p w14:paraId="64605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⑥用非食品原料加工的，加入非食品用化学物质或者将非食品当作食品的。</w:t>
            </w:r>
          </w:p>
          <w:p w14:paraId="1ACBC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⑦使用病死、毒死或死因不明的禽、畜、兽、水产动物及其制品。</w:t>
            </w:r>
          </w:p>
          <w:p w14:paraId="1D2C85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⑧超过保质期限的食材。</w:t>
            </w:r>
          </w:p>
          <w:p w14:paraId="1C207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cs="Times New Roman" w:asciiTheme="minorEastAsia" w:hAnsiTheme="minorEastAsia" w:eastAsiaTheme="minorEastAsia"/>
                <w:color w:val="auto"/>
                <w:sz w:val="24"/>
                <w:szCs w:val="24"/>
                <w:highlight w:val="none"/>
                <w:u w:val="single"/>
              </w:rPr>
            </w:pPr>
            <w:r>
              <w:rPr>
                <w:rFonts w:hint="eastAsia" w:ascii="宋体" w:hAnsi="宋体" w:eastAsia="宋体" w:cs="宋体"/>
                <w:color w:val="000000"/>
                <w:sz w:val="24"/>
                <w:szCs w:val="24"/>
                <w:highlight w:val="none"/>
                <w:lang w:val="en-US" w:eastAsia="zh-CN"/>
              </w:rPr>
              <w:t>⑨其他可能存在导致出现食品安全隐患的食材。</w:t>
            </w:r>
          </w:p>
        </w:tc>
      </w:tr>
      <w:tr w14:paraId="78F9A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CD4768A">
            <w:pPr>
              <w:keepNext w:val="0"/>
              <w:keepLines w:val="0"/>
              <w:pageBreakBefore w:val="0"/>
              <w:widowControl w:val="0"/>
              <w:kinsoku/>
              <w:wordWrap/>
              <w:overflowPunct/>
              <w:topLinePunct w:val="0"/>
              <w:autoSpaceDE/>
              <w:autoSpaceDN/>
              <w:bidi w:val="0"/>
              <w:adjustRightInd/>
              <w:snapToGrid/>
              <w:spacing w:line="360" w:lineRule="exact"/>
              <w:textAlignment w:val="auto"/>
              <w:rPr>
                <w:rFonts w:cs="Times New Roman" w:asciiTheme="minorEastAsia" w:hAnsiTheme="minorEastAsia" w:eastAsiaTheme="minorEastAsia"/>
                <w:color w:val="auto"/>
                <w:sz w:val="24"/>
                <w:szCs w:val="24"/>
                <w:highlight w:val="none"/>
              </w:rPr>
            </w:pPr>
          </w:p>
        </w:tc>
        <w:tc>
          <w:tcPr>
            <w:tcW w:w="7568" w:type="dxa"/>
            <w:vAlign w:val="center"/>
          </w:tcPr>
          <w:p w14:paraId="26506D9C">
            <w:pPr>
              <w:keepNext w:val="0"/>
              <w:keepLines w:val="0"/>
              <w:pageBreakBefore w:val="0"/>
              <w:widowControl w:val="0"/>
              <w:kinsoku/>
              <w:wordWrap/>
              <w:overflowPunct/>
              <w:topLinePunct w:val="0"/>
              <w:autoSpaceDE/>
              <w:autoSpaceDN/>
              <w:bidi w:val="0"/>
              <w:adjustRightInd/>
              <w:snapToGrid/>
              <w:spacing w:line="360" w:lineRule="exact"/>
              <w:textAlignment w:val="auto"/>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（签订合同时可补充）</w:t>
            </w:r>
          </w:p>
        </w:tc>
      </w:tr>
      <w:tr w14:paraId="6095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0DA0C8E">
            <w:pPr>
              <w:keepNext w:val="0"/>
              <w:keepLines w:val="0"/>
              <w:pageBreakBefore w:val="0"/>
              <w:widowControl w:val="0"/>
              <w:kinsoku/>
              <w:wordWrap/>
              <w:overflowPunct/>
              <w:topLinePunct w:val="0"/>
              <w:autoSpaceDE/>
              <w:autoSpaceDN/>
              <w:bidi w:val="0"/>
              <w:adjustRightInd/>
              <w:snapToGrid/>
              <w:spacing w:line="360" w:lineRule="exact"/>
              <w:textAlignment w:val="auto"/>
              <w:rPr>
                <w:rFonts w:cs="Times New Roman" w:asciiTheme="minorEastAsia" w:hAnsiTheme="minorEastAsia" w:eastAsiaTheme="minorEastAsia"/>
                <w:color w:val="auto"/>
                <w:sz w:val="24"/>
                <w:szCs w:val="24"/>
                <w:highlight w:val="none"/>
              </w:rPr>
            </w:pPr>
          </w:p>
        </w:tc>
        <w:tc>
          <w:tcPr>
            <w:tcW w:w="7568" w:type="dxa"/>
            <w:vAlign w:val="center"/>
          </w:tcPr>
          <w:p w14:paraId="63173245">
            <w:pPr>
              <w:keepNext w:val="0"/>
              <w:keepLines w:val="0"/>
              <w:pageBreakBefore w:val="0"/>
              <w:widowControl w:val="0"/>
              <w:kinsoku/>
              <w:wordWrap/>
              <w:overflowPunct/>
              <w:topLinePunct w:val="0"/>
              <w:autoSpaceDE/>
              <w:autoSpaceDN/>
              <w:bidi w:val="0"/>
              <w:adjustRightInd/>
              <w:snapToGrid/>
              <w:spacing w:line="360" w:lineRule="exact"/>
              <w:textAlignment w:val="auto"/>
              <w:rPr>
                <w:rFonts w:cs="Times New Roman" w:asciiTheme="minorEastAsia" w:hAnsiTheme="minorEastAsia" w:eastAsiaTheme="minorEastAsia"/>
                <w:color w:val="auto"/>
                <w:sz w:val="24"/>
                <w:szCs w:val="24"/>
                <w:highlight w:val="none"/>
              </w:rPr>
            </w:pPr>
          </w:p>
        </w:tc>
      </w:tr>
      <w:bookmarkEnd w:id="42"/>
    </w:tbl>
    <w:p w14:paraId="44210F3B">
      <w:pPr>
        <w:spacing w:line="360" w:lineRule="auto"/>
        <w:jc w:val="center"/>
        <w:outlineLvl w:val="0"/>
        <w:rPr>
          <w:rFonts w:asciiTheme="minorEastAsia" w:hAnsiTheme="minorEastAsia" w:eastAsiaTheme="minorEastAsia"/>
          <w:b/>
          <w:color w:val="auto"/>
          <w:sz w:val="28"/>
          <w:highlight w:val="none"/>
        </w:rPr>
      </w:pPr>
      <w:bookmarkStart w:id="186" w:name="_Toc13555"/>
      <w:r>
        <w:rPr>
          <w:rFonts w:hint="eastAsia" w:asciiTheme="minorEastAsia" w:hAnsiTheme="minorEastAsia" w:eastAsiaTheme="minorEastAsia"/>
          <w:b/>
          <w:color w:val="auto"/>
          <w:sz w:val="28"/>
          <w:highlight w:val="none"/>
        </w:rPr>
        <w:t>第六章  投标文件格式</w:t>
      </w:r>
      <w:bookmarkEnd w:id="186"/>
    </w:p>
    <w:p w14:paraId="7F26137E">
      <w:pPr>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10AA7C57">
      <w:pPr>
        <w:jc w:val="center"/>
        <w:rPr>
          <w:rFonts w:hint="eastAsia" w:ascii="宋体" w:hAnsi="宋体" w:eastAsia="宋体" w:cs="宋体"/>
          <w:color w:val="auto"/>
          <w:sz w:val="20"/>
          <w:highlight w:val="none"/>
        </w:rPr>
      </w:pPr>
    </w:p>
    <w:p w14:paraId="4E573DBB">
      <w:pPr>
        <w:rPr>
          <w:rFonts w:hint="eastAsia" w:ascii="宋体" w:hAnsi="宋体" w:eastAsia="宋体" w:cs="宋体"/>
          <w:color w:val="auto"/>
          <w:sz w:val="20"/>
          <w:highlight w:val="none"/>
        </w:rPr>
      </w:pPr>
    </w:p>
    <w:p w14:paraId="654AA13B">
      <w:pPr>
        <w:jc w:val="center"/>
        <w:rPr>
          <w:rFonts w:hint="eastAsia" w:ascii="宋体" w:hAnsi="宋体" w:eastAsia="宋体" w:cs="宋体"/>
          <w:b/>
          <w:color w:val="auto"/>
          <w:sz w:val="44"/>
          <w:szCs w:val="44"/>
          <w:highlight w:val="none"/>
        </w:rPr>
      </w:pPr>
      <w:bookmarkStart w:id="187" w:name="_Toc350698753"/>
      <w:bookmarkStart w:id="188" w:name="_Toc449028949"/>
      <w:r>
        <w:rPr>
          <w:rFonts w:hint="eastAsia" w:ascii="宋体" w:hAnsi="宋体" w:eastAsia="宋体" w:cs="宋体"/>
          <w:b/>
          <w:color w:val="auto"/>
          <w:sz w:val="44"/>
          <w:szCs w:val="44"/>
          <w:highlight w:val="none"/>
        </w:rPr>
        <w:t>资信证明文件</w:t>
      </w:r>
      <w:bookmarkEnd w:id="187"/>
      <w:bookmarkEnd w:id="188"/>
    </w:p>
    <w:p w14:paraId="31F96FF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4D7CCFA6">
      <w:pPr>
        <w:jc w:val="center"/>
        <w:rPr>
          <w:rFonts w:hint="eastAsia" w:ascii="宋体" w:hAnsi="宋体" w:eastAsia="宋体" w:cs="宋体"/>
          <w:color w:val="auto"/>
          <w:sz w:val="44"/>
          <w:szCs w:val="44"/>
          <w:highlight w:val="none"/>
        </w:rPr>
      </w:pPr>
    </w:p>
    <w:p w14:paraId="6E4E7D6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70C8359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C699AFC">
      <w:pPr>
        <w:rPr>
          <w:rFonts w:hint="eastAsia" w:ascii="宋体" w:hAnsi="宋体" w:eastAsia="宋体" w:cs="宋体"/>
          <w:color w:val="auto"/>
          <w:sz w:val="28"/>
          <w:szCs w:val="28"/>
          <w:highlight w:val="none"/>
        </w:rPr>
      </w:pPr>
    </w:p>
    <w:p w14:paraId="0FFA91A1">
      <w:pPr>
        <w:rPr>
          <w:rFonts w:hint="eastAsia" w:ascii="宋体" w:hAnsi="宋体" w:eastAsia="宋体" w:cs="宋体"/>
          <w:color w:val="auto"/>
          <w:sz w:val="28"/>
          <w:szCs w:val="28"/>
          <w:highlight w:val="none"/>
        </w:rPr>
      </w:pPr>
    </w:p>
    <w:p w14:paraId="15BB3A6A">
      <w:pPr>
        <w:rPr>
          <w:rFonts w:hint="eastAsia" w:ascii="宋体" w:hAnsi="宋体" w:eastAsia="宋体" w:cs="宋体"/>
          <w:color w:val="auto"/>
          <w:sz w:val="28"/>
          <w:szCs w:val="28"/>
          <w:highlight w:val="none"/>
        </w:rPr>
      </w:pPr>
    </w:p>
    <w:p w14:paraId="440832EB">
      <w:pPr>
        <w:rPr>
          <w:rFonts w:hint="eastAsia" w:ascii="宋体" w:hAnsi="宋体" w:eastAsia="宋体" w:cs="宋体"/>
          <w:color w:val="auto"/>
          <w:sz w:val="28"/>
          <w:szCs w:val="28"/>
          <w:highlight w:val="none"/>
        </w:rPr>
      </w:pPr>
    </w:p>
    <w:p w14:paraId="161E137F">
      <w:pPr>
        <w:rPr>
          <w:rFonts w:hint="eastAsia" w:ascii="宋体" w:hAnsi="宋体" w:eastAsia="宋体" w:cs="宋体"/>
          <w:color w:val="auto"/>
          <w:sz w:val="28"/>
          <w:szCs w:val="28"/>
          <w:highlight w:val="none"/>
        </w:rPr>
      </w:pPr>
    </w:p>
    <w:p w14:paraId="0217A13A">
      <w:pPr>
        <w:rPr>
          <w:rFonts w:hint="eastAsia" w:ascii="宋体" w:hAnsi="宋体" w:eastAsia="宋体" w:cs="宋体"/>
          <w:color w:val="auto"/>
          <w:sz w:val="28"/>
          <w:szCs w:val="28"/>
          <w:highlight w:val="none"/>
        </w:rPr>
      </w:pPr>
    </w:p>
    <w:p w14:paraId="61FC07EC">
      <w:pPr>
        <w:rPr>
          <w:rFonts w:hint="eastAsia" w:ascii="宋体" w:hAnsi="宋体" w:eastAsia="宋体" w:cs="宋体"/>
          <w:color w:val="auto"/>
          <w:sz w:val="28"/>
          <w:szCs w:val="28"/>
          <w:highlight w:val="none"/>
        </w:rPr>
      </w:pPr>
    </w:p>
    <w:p w14:paraId="11B14A15">
      <w:pPr>
        <w:rPr>
          <w:rFonts w:hint="eastAsia" w:ascii="宋体" w:hAnsi="宋体" w:eastAsia="宋体" w:cs="宋体"/>
          <w:color w:val="auto"/>
          <w:sz w:val="28"/>
          <w:szCs w:val="28"/>
          <w:highlight w:val="none"/>
        </w:rPr>
      </w:pPr>
    </w:p>
    <w:p w14:paraId="1B451EC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7502B690">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42C79E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05B7DA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4EA9D25">
      <w:pPr>
        <w:jc w:val="center"/>
        <w:rPr>
          <w:rFonts w:hint="eastAsia" w:ascii="宋体" w:hAnsi="宋体" w:eastAsia="宋体" w:cs="宋体"/>
          <w:b/>
          <w:color w:val="auto"/>
          <w:sz w:val="44"/>
          <w:szCs w:val="44"/>
          <w:highlight w:val="none"/>
        </w:rPr>
      </w:pPr>
      <w:bookmarkStart w:id="189" w:name="_Toc28960"/>
      <w:bookmarkStart w:id="190" w:name="_Toc17986"/>
      <w:r>
        <w:rPr>
          <w:rFonts w:hint="eastAsia" w:ascii="宋体" w:hAnsi="宋体" w:eastAsia="宋体" w:cs="宋体"/>
          <w:b/>
          <w:color w:val="auto"/>
          <w:sz w:val="36"/>
          <w:szCs w:val="36"/>
          <w:highlight w:val="none"/>
        </w:rPr>
        <w:t>目   录</w:t>
      </w:r>
    </w:p>
    <w:p w14:paraId="1ABE2014">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D84451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4F1371D3">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0B7BD70E">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1446AE01">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65C46D1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020464F9">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56681AA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352C6185">
      <w:pPr>
        <w:spacing w:line="5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4）中小企业声明函，残疾人福利性企业（格式见附件）；</w:t>
      </w:r>
    </w:p>
    <w:p w14:paraId="25456C83">
      <w:pPr>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（5）省级以上监狱管理局、戒毒管理局（含新疆生产建设兵团）出具的属于监狱企业的证明（如是）；</w:t>
      </w:r>
    </w:p>
    <w:p w14:paraId="24142A47">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）诚信投标承诺书（格式见附件）；</w:t>
      </w:r>
    </w:p>
    <w:p w14:paraId="4B2A504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）招标文件中要求的资信评审和资信评分的支持资料；</w:t>
      </w:r>
    </w:p>
    <w:p w14:paraId="509C55D0">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）投标人认为需要提供的其他资信证明材料</w:t>
      </w:r>
      <w:r>
        <w:rPr>
          <w:rFonts w:hint="eastAsia" w:ascii="宋体" w:hAnsi="宋体" w:eastAsia="宋体" w:cs="宋体"/>
          <w:color w:val="auto"/>
          <w:szCs w:val="21"/>
          <w:highlight w:val="none"/>
          <w:lang w:eastAsia="zh-CN"/>
        </w:rPr>
        <w:t>。</w:t>
      </w:r>
    </w:p>
    <w:p w14:paraId="207E205E">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4E1D7B1">
      <w:pPr>
        <w:spacing w:line="360" w:lineRule="auto"/>
        <w:jc w:val="center"/>
        <w:outlineLvl w:val="1"/>
        <w:rPr>
          <w:rFonts w:hint="eastAsia" w:asciiTheme="minorEastAsia" w:hAnsiTheme="minorEastAsia" w:eastAsiaTheme="minorEastAsia"/>
          <w:b/>
          <w:color w:val="auto"/>
          <w:sz w:val="24"/>
          <w:highlight w:val="none"/>
        </w:rPr>
      </w:pPr>
      <w:bookmarkStart w:id="191" w:name="_Toc18881"/>
      <w:r>
        <w:rPr>
          <w:rFonts w:hint="eastAsia" w:asciiTheme="minorEastAsia" w:hAnsiTheme="minorEastAsia" w:eastAsiaTheme="minorEastAsia"/>
          <w:b/>
          <w:color w:val="auto"/>
          <w:sz w:val="24"/>
          <w:highlight w:val="none"/>
          <w:lang w:val="en-US" w:eastAsia="zh-CN"/>
        </w:rPr>
        <w:t>（1）投标人资格声明书</w:t>
      </w:r>
      <w:bookmarkEnd w:id="191"/>
      <w:r>
        <w:rPr>
          <w:rFonts w:hint="eastAsia" w:asciiTheme="minorEastAsia" w:hAnsiTheme="minorEastAsia" w:eastAsiaTheme="minorEastAsia"/>
          <w:b/>
          <w:color w:val="auto"/>
          <w:sz w:val="24"/>
          <w:highlight w:val="none"/>
          <w:lang w:val="en-US" w:eastAsia="zh-CN"/>
        </w:rPr>
        <w:t xml:space="preserve"> </w:t>
      </w:r>
    </w:p>
    <w:p w14:paraId="7B08DB44">
      <w:pPr>
        <w:pStyle w:val="1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C0CF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0A5FCE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2B2A5F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68B0E0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774B6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07D2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3B14A9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5D4BAB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880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EE5E5B8">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52ABB1D8">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10CF02DD">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39D3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2FC1C2">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06E3FD75">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6B48084A">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DE4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9D2E1E">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7CB2CA4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9CA853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289227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94AF9A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9D92210">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C838C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65A6C1B">
      <w:pPr>
        <w:spacing w:line="360" w:lineRule="auto"/>
        <w:jc w:val="center"/>
        <w:outlineLvl w:val="1"/>
        <w:rPr>
          <w:rFonts w:asciiTheme="minorEastAsia" w:hAnsiTheme="minorEastAsia" w:eastAsiaTheme="minorEastAsia"/>
          <w:b/>
          <w:color w:val="auto"/>
          <w:sz w:val="24"/>
          <w:highlight w:val="none"/>
        </w:rPr>
      </w:pPr>
      <w:bookmarkStart w:id="192" w:name="_Toc24583"/>
      <w:bookmarkStart w:id="193" w:name="_Toc11607"/>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授权书</w:t>
      </w:r>
      <w:bookmarkEnd w:id="192"/>
      <w:bookmarkEnd w:id="193"/>
    </w:p>
    <w:p w14:paraId="60D4C263">
      <w:pPr>
        <w:pStyle w:val="14"/>
        <w:snapToGrid w:val="0"/>
        <w:spacing w:line="360" w:lineRule="auto"/>
        <w:ind w:firstLine="480" w:firstLineChars="200"/>
        <w:jc w:val="left"/>
        <w:rPr>
          <w:rFonts w:hAnsi="宋体" w:eastAsia="宋体"/>
          <w:color w:val="auto"/>
          <w:sz w:val="24"/>
          <w:szCs w:val="28"/>
          <w:highlight w:val="none"/>
        </w:rPr>
      </w:pPr>
    </w:p>
    <w:p w14:paraId="2A0D732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E23657B">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BF6FDB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5FD1ECE2">
      <w:pPr>
        <w:spacing w:line="360" w:lineRule="auto"/>
        <w:ind w:firstLine="435"/>
        <w:rPr>
          <w:rFonts w:asciiTheme="minorEastAsia" w:hAnsiTheme="minorEastAsia" w:eastAsiaTheme="minorEastAsia"/>
          <w:color w:val="auto"/>
          <w:sz w:val="24"/>
          <w:highlight w:val="none"/>
        </w:rPr>
      </w:pPr>
    </w:p>
    <w:p w14:paraId="0F7B601B">
      <w:pPr>
        <w:spacing w:line="360" w:lineRule="auto"/>
        <w:ind w:firstLine="435"/>
        <w:rPr>
          <w:rFonts w:asciiTheme="minorEastAsia" w:hAnsiTheme="minorEastAsia" w:eastAsiaTheme="minorEastAsia"/>
          <w:color w:val="auto"/>
          <w:sz w:val="24"/>
          <w:highlight w:val="none"/>
        </w:rPr>
      </w:pPr>
    </w:p>
    <w:p w14:paraId="4399571C">
      <w:pPr>
        <w:spacing w:line="360" w:lineRule="auto"/>
        <w:ind w:firstLine="435"/>
        <w:rPr>
          <w:rFonts w:asciiTheme="minorEastAsia" w:hAnsiTheme="minorEastAsia" w:eastAsiaTheme="minorEastAsia"/>
          <w:color w:val="auto"/>
          <w:sz w:val="24"/>
          <w:highlight w:val="none"/>
        </w:rPr>
      </w:pPr>
    </w:p>
    <w:p w14:paraId="3BFCB254">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6CBDB34">
      <w:pPr>
        <w:spacing w:line="360" w:lineRule="auto"/>
        <w:ind w:firstLine="435"/>
        <w:rPr>
          <w:rFonts w:hAnsi="宋体" w:eastAsia="宋体"/>
          <w:color w:val="auto"/>
          <w:sz w:val="24"/>
          <w:szCs w:val="28"/>
          <w:highlight w:val="none"/>
          <w:lang w:val="zh-CN"/>
        </w:rPr>
      </w:pPr>
    </w:p>
    <w:p w14:paraId="795554C3">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DDA3E0D">
      <w:pPr>
        <w:spacing w:line="360" w:lineRule="auto"/>
        <w:rPr>
          <w:rFonts w:ascii="宋体" w:hAnsi="宋体" w:eastAsia="宋体"/>
          <w:color w:val="auto"/>
          <w:sz w:val="24"/>
          <w:szCs w:val="28"/>
          <w:highlight w:val="none"/>
        </w:rPr>
      </w:pPr>
    </w:p>
    <w:p w14:paraId="494E31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DC01959">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16B813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E9541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5AF214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63CD28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3490D8">
      <w:pPr>
        <w:spacing w:line="360" w:lineRule="auto"/>
        <w:jc w:val="center"/>
        <w:outlineLvl w:val="1"/>
        <w:rPr>
          <w:rFonts w:hint="eastAsia" w:ascii="宋体" w:hAnsi="宋体" w:eastAsia="宋体" w:cs="宋体"/>
          <w:b/>
          <w:color w:val="auto"/>
          <w:sz w:val="24"/>
          <w:highlight w:val="none"/>
        </w:rPr>
      </w:pPr>
      <w:bookmarkStart w:id="194" w:name="_Toc32226"/>
      <w:bookmarkStart w:id="195" w:name="_Toc31027"/>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3）</w:t>
      </w:r>
      <w:r>
        <w:rPr>
          <w:rFonts w:hint="eastAsia" w:ascii="宋体" w:hAnsi="宋体" w:eastAsia="宋体" w:cs="宋体"/>
          <w:b/>
          <w:color w:val="auto"/>
          <w:sz w:val="24"/>
          <w:highlight w:val="none"/>
        </w:rPr>
        <w:t>诚信投标承诺书</w:t>
      </w:r>
    </w:p>
    <w:p w14:paraId="69E8F8C4">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C03D3C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041470C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17D673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506B8E6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370CEA9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0FDEAE6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6B97055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1B4D700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62ED4D4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0088AF9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4644DC6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79CF73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F7BE22A">
      <w:pPr>
        <w:spacing w:line="500" w:lineRule="exact"/>
        <w:ind w:firstLine="420" w:firstLineChars="200"/>
        <w:rPr>
          <w:rFonts w:hint="eastAsia" w:ascii="宋体" w:hAnsi="宋体" w:eastAsia="宋体" w:cs="宋体"/>
          <w:color w:val="auto"/>
          <w:szCs w:val="21"/>
          <w:highlight w:val="none"/>
          <w:lang w:eastAsia="zh-CN"/>
        </w:rPr>
      </w:pPr>
    </w:p>
    <w:bookmarkEnd w:id="194"/>
    <w:bookmarkEnd w:id="195"/>
    <w:p w14:paraId="2B34FE1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15ADFF3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0FFB138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D6676F4">
      <w:pPr>
        <w:widowControl/>
        <w:ind w:firstLine="3780" w:firstLineChars="18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010B8300">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788A787">
      <w:pPr>
        <w:spacing w:line="360" w:lineRule="auto"/>
        <w:jc w:val="center"/>
        <w:outlineLvl w:val="1"/>
        <w:rPr>
          <w:rFonts w:asciiTheme="minorEastAsia" w:hAnsiTheme="minorEastAsia" w:eastAsiaTheme="minorEastAsia"/>
          <w:color w:val="auto"/>
          <w:sz w:val="24"/>
          <w:szCs w:val="24"/>
          <w:highlight w:val="none"/>
        </w:rPr>
      </w:pPr>
      <w:bookmarkStart w:id="196" w:name="_Toc23068"/>
      <w:r>
        <w:rPr>
          <w:rFonts w:hint="eastAsia" w:asciiTheme="minorEastAsia" w:hAnsiTheme="minorEastAsia" w:eastAsiaTheme="minorEastAsia"/>
          <w:b/>
          <w:color w:val="auto"/>
          <w:sz w:val="24"/>
          <w:highlight w:val="none"/>
          <w:lang w:val="en-US" w:eastAsia="zh-CN"/>
        </w:rPr>
        <w:t>（4）中小企业声明函</w:t>
      </w:r>
      <w:bookmarkEnd w:id="196"/>
    </w:p>
    <w:p w14:paraId="4313C86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1CD9C3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67183C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DC1667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50553D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BDDB843">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D779B0E">
      <w:pPr>
        <w:spacing w:line="360" w:lineRule="auto"/>
        <w:ind w:firstLine="435"/>
        <w:rPr>
          <w:rFonts w:asciiTheme="minorEastAsia" w:hAnsiTheme="minorEastAsia" w:eastAsiaTheme="minorEastAsia"/>
          <w:color w:val="auto"/>
          <w:sz w:val="24"/>
          <w:szCs w:val="24"/>
          <w:highlight w:val="none"/>
        </w:rPr>
      </w:pPr>
    </w:p>
    <w:p w14:paraId="497C34EB">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6DA024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D1E663C">
      <w:pPr>
        <w:keepNext w:val="0"/>
        <w:keepLines w:val="0"/>
        <w:pageBreakBefore w:val="0"/>
        <w:widowControl w:val="0"/>
        <w:tabs>
          <w:tab w:val="left" w:pos="4620"/>
        </w:tabs>
        <w:kinsoku/>
        <w:wordWrap/>
        <w:overflowPunct/>
        <w:topLinePunct w:val="0"/>
        <w:autoSpaceDE/>
        <w:autoSpaceDN/>
        <w:bidi w:val="0"/>
        <w:adjustRightInd/>
        <w:snapToGrid/>
        <w:spacing w:line="420" w:lineRule="exact"/>
        <w:jc w:val="left"/>
        <w:textAlignment w:val="auto"/>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77DAF2C0">
      <w:pPr>
        <w:keepNext w:val="0"/>
        <w:keepLines w:val="0"/>
        <w:pageBreakBefore w:val="0"/>
        <w:widowControl w:val="0"/>
        <w:tabs>
          <w:tab w:val="left" w:pos="4620"/>
        </w:tabs>
        <w:kinsoku/>
        <w:wordWrap/>
        <w:overflowPunct/>
        <w:topLinePunct w:val="0"/>
        <w:autoSpaceDE/>
        <w:autoSpaceDN/>
        <w:bidi w:val="0"/>
        <w:adjustRightInd/>
        <w:snapToGrid/>
        <w:spacing w:line="420" w:lineRule="exac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11CA4D7F">
      <w:pPr>
        <w:keepNext w:val="0"/>
        <w:keepLines w:val="0"/>
        <w:pageBreakBefore w:val="0"/>
        <w:widowControl w:val="0"/>
        <w:tabs>
          <w:tab w:val="left" w:pos="4620"/>
        </w:tabs>
        <w:kinsoku/>
        <w:wordWrap/>
        <w:overflowPunct/>
        <w:topLinePunct w:val="0"/>
        <w:autoSpaceDE/>
        <w:autoSpaceDN/>
        <w:bidi w:val="0"/>
        <w:adjustRightInd/>
        <w:snapToGrid/>
        <w:spacing w:line="42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773609D">
      <w:pPr>
        <w:keepNext w:val="0"/>
        <w:keepLines w:val="0"/>
        <w:pageBreakBefore w:val="0"/>
        <w:widowControl w:val="0"/>
        <w:tabs>
          <w:tab w:val="left" w:pos="4620"/>
        </w:tabs>
        <w:kinsoku/>
        <w:wordWrap/>
        <w:overflowPunct/>
        <w:topLinePunct w:val="0"/>
        <w:autoSpaceDE/>
        <w:autoSpaceDN/>
        <w:bidi w:val="0"/>
        <w:adjustRightInd/>
        <w:snapToGrid/>
        <w:spacing w:line="42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1DAC9F4">
      <w:pPr>
        <w:keepNext w:val="0"/>
        <w:keepLines w:val="0"/>
        <w:pageBreakBefore w:val="0"/>
        <w:widowControl w:val="0"/>
        <w:tabs>
          <w:tab w:val="left" w:pos="4620"/>
        </w:tabs>
        <w:kinsoku/>
        <w:wordWrap/>
        <w:overflowPunct/>
        <w:topLinePunct w:val="0"/>
        <w:autoSpaceDE/>
        <w:autoSpaceDN/>
        <w:bidi w:val="0"/>
        <w:adjustRightInd/>
        <w:snapToGrid/>
        <w:spacing w:line="42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36926A3A">
      <w:pPr>
        <w:keepNext w:val="0"/>
        <w:keepLines w:val="0"/>
        <w:pageBreakBefore w:val="0"/>
        <w:widowControl w:val="0"/>
        <w:tabs>
          <w:tab w:val="left" w:pos="4620"/>
        </w:tabs>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b/>
          <w:color w:val="auto"/>
          <w:sz w:val="24"/>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bookmarkStart w:id="197" w:name="_Toc16713"/>
    </w:p>
    <w:p w14:paraId="4A1979ED">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98" w:name="_Toc17315"/>
      <w:r>
        <w:rPr>
          <w:rFonts w:hint="eastAsia" w:asciiTheme="minorEastAsia" w:hAnsiTheme="minorEastAsia" w:eastAsiaTheme="minorEastAsia"/>
          <w:b/>
          <w:color w:val="auto"/>
          <w:sz w:val="24"/>
          <w:highlight w:val="none"/>
          <w:lang w:val="en-US" w:eastAsia="zh-CN"/>
        </w:rPr>
        <w:t>（5）残疾人福利性单位声明函</w:t>
      </w:r>
      <w:bookmarkEnd w:id="197"/>
      <w:bookmarkEnd w:id="198"/>
    </w:p>
    <w:p w14:paraId="179080DD">
      <w:pPr>
        <w:pStyle w:val="11"/>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393358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76FD4D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B190140">
      <w:pPr>
        <w:spacing w:line="360" w:lineRule="auto"/>
        <w:ind w:firstLine="4228" w:firstLineChars="1762"/>
        <w:rPr>
          <w:rFonts w:asciiTheme="minorEastAsia" w:hAnsiTheme="minorEastAsia" w:eastAsiaTheme="minorEastAsia"/>
          <w:color w:val="auto"/>
          <w:sz w:val="24"/>
          <w:szCs w:val="24"/>
          <w:highlight w:val="none"/>
        </w:rPr>
      </w:pPr>
    </w:p>
    <w:p w14:paraId="58D82BD4">
      <w:pPr>
        <w:spacing w:line="360" w:lineRule="auto"/>
        <w:ind w:firstLine="4228" w:firstLineChars="1762"/>
        <w:rPr>
          <w:rFonts w:asciiTheme="minorEastAsia" w:hAnsiTheme="minorEastAsia" w:eastAsiaTheme="minorEastAsia"/>
          <w:color w:val="auto"/>
          <w:sz w:val="24"/>
          <w:szCs w:val="24"/>
          <w:highlight w:val="none"/>
        </w:rPr>
      </w:pPr>
    </w:p>
    <w:p w14:paraId="514CF97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8B39CF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B0CEB8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07712E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w:t>
      </w:r>
      <w:r>
        <w:rPr>
          <w:rFonts w:hint="eastAsia" w:ascii="宋体" w:hAnsi="宋体" w:eastAsia="宋体" w:cs="@仿宋_GB2312"/>
          <w:b/>
          <w:color w:val="auto"/>
          <w:sz w:val="24"/>
          <w:szCs w:val="20"/>
          <w:highlight w:val="none"/>
        </w:rPr>
        <w:t>关于符合本国产品标准的声明函</w:t>
      </w:r>
    </w:p>
    <w:p w14:paraId="4C2E85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395C285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1CBDC8F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523D125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0F6EEB1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544B857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6AA81FC3">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059099F4">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5258EE34">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258647F7">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1.产品如有型号，请在“产品名称”栏一并填写。</w:t>
      </w:r>
    </w:p>
    <w:p w14:paraId="7FF4817C">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2.生产厂名与厂址应与生产厂营业执照载明的相关信息保持一致。</w:t>
      </w:r>
    </w:p>
    <w:p w14:paraId="114A2138">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3.上述声明函中标注</w:t>
      </w:r>
      <w:r>
        <w:rPr>
          <w:rFonts w:hint="eastAsia" w:ascii="宋体" w:hAnsi="宋体" w:eastAsia="宋体" w:cs="Times New Roman"/>
          <w:b w:val="0"/>
          <w:bCs/>
          <w:color w:val="auto"/>
          <w:szCs w:val="24"/>
          <w:highlight w:val="none"/>
          <w:u w:val="single"/>
          <w:lang w:val="en-US" w:eastAsia="zh-CN"/>
        </w:rPr>
        <w:t xml:space="preserve">  /  </w:t>
      </w:r>
      <w:r>
        <w:rPr>
          <w:rFonts w:hint="eastAsia" w:ascii="宋体" w:hAnsi="宋体" w:eastAsia="宋体" w:cs="Times New Roman"/>
          <w:b w:val="0"/>
          <w:bCs/>
          <w:color w:val="auto"/>
          <w:szCs w:val="24"/>
          <w:highlight w:val="none"/>
          <w:lang w:val="en-US" w:eastAsia="zh-CN"/>
        </w:rPr>
        <w:t>的，无需填写。</w:t>
      </w:r>
    </w:p>
    <w:p w14:paraId="79FD5A18">
      <w:pPr>
        <w:tabs>
          <w:tab w:val="left" w:pos="4620"/>
        </w:tabs>
        <w:spacing w:line="360" w:lineRule="auto"/>
        <w:jc w:val="left"/>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1DEFAB11">
      <w:pPr>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F7EBA3">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7D7EFD2">
      <w:pPr>
        <w:pageBreakBefore/>
        <w:wordWrap w:val="0"/>
        <w:spacing w:before="100" w:beforeAutospacing="1" w:after="100" w:afterAutospacing="1"/>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C05919F">
      <w:pPr>
        <w:jc w:val="center"/>
        <w:rPr>
          <w:rFonts w:hint="eastAsia" w:ascii="宋体" w:hAnsi="宋体" w:eastAsia="宋体" w:cs="宋体"/>
          <w:b/>
          <w:color w:val="auto"/>
          <w:sz w:val="44"/>
          <w:szCs w:val="44"/>
          <w:highlight w:val="none"/>
        </w:rPr>
      </w:pPr>
      <w:bookmarkStart w:id="199" w:name="_Toc449028953"/>
      <w:bookmarkStart w:id="200" w:name="_Toc387149626"/>
    </w:p>
    <w:p w14:paraId="20156001">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199"/>
      <w:bookmarkEnd w:id="200"/>
    </w:p>
    <w:p w14:paraId="5E335DFE">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69C72647">
      <w:pPr>
        <w:jc w:val="center"/>
        <w:rPr>
          <w:rFonts w:hint="eastAsia" w:ascii="宋体" w:hAnsi="宋体" w:eastAsia="宋体" w:cs="宋体"/>
          <w:color w:val="auto"/>
          <w:sz w:val="44"/>
          <w:szCs w:val="44"/>
          <w:highlight w:val="none"/>
        </w:rPr>
      </w:pPr>
    </w:p>
    <w:p w14:paraId="0359C0A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AD678C6">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B22422F">
      <w:pPr>
        <w:rPr>
          <w:rFonts w:hint="eastAsia" w:ascii="宋体" w:hAnsi="宋体" w:eastAsia="宋体" w:cs="宋体"/>
          <w:color w:val="auto"/>
          <w:sz w:val="28"/>
          <w:szCs w:val="28"/>
          <w:highlight w:val="none"/>
        </w:rPr>
      </w:pPr>
    </w:p>
    <w:p w14:paraId="4349C9D8">
      <w:pPr>
        <w:rPr>
          <w:rFonts w:hint="eastAsia" w:ascii="宋体" w:hAnsi="宋体" w:eastAsia="宋体" w:cs="宋体"/>
          <w:color w:val="auto"/>
          <w:sz w:val="28"/>
          <w:szCs w:val="28"/>
          <w:highlight w:val="none"/>
        </w:rPr>
      </w:pPr>
    </w:p>
    <w:p w14:paraId="4788B60B">
      <w:pPr>
        <w:tabs>
          <w:tab w:val="left" w:pos="25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5F6A09D6">
      <w:pPr>
        <w:rPr>
          <w:rFonts w:hint="eastAsia" w:ascii="宋体" w:hAnsi="宋体" w:eastAsia="宋体" w:cs="宋体"/>
          <w:color w:val="auto"/>
          <w:sz w:val="28"/>
          <w:szCs w:val="28"/>
          <w:highlight w:val="none"/>
        </w:rPr>
      </w:pPr>
    </w:p>
    <w:p w14:paraId="4D392C53">
      <w:pPr>
        <w:rPr>
          <w:rFonts w:hint="eastAsia" w:ascii="宋体" w:hAnsi="宋体" w:eastAsia="宋体" w:cs="宋体"/>
          <w:color w:val="auto"/>
          <w:sz w:val="28"/>
          <w:szCs w:val="28"/>
          <w:highlight w:val="none"/>
        </w:rPr>
      </w:pPr>
    </w:p>
    <w:p w14:paraId="755D0E15">
      <w:pPr>
        <w:rPr>
          <w:rFonts w:hint="eastAsia" w:ascii="宋体" w:hAnsi="宋体" w:eastAsia="宋体" w:cs="宋体"/>
          <w:color w:val="auto"/>
          <w:sz w:val="28"/>
          <w:szCs w:val="28"/>
          <w:highlight w:val="none"/>
        </w:rPr>
      </w:pPr>
    </w:p>
    <w:p w14:paraId="089DDBDC">
      <w:pPr>
        <w:rPr>
          <w:rFonts w:hint="eastAsia" w:ascii="宋体" w:hAnsi="宋体" w:eastAsia="宋体" w:cs="宋体"/>
          <w:color w:val="auto"/>
          <w:sz w:val="28"/>
          <w:szCs w:val="28"/>
          <w:highlight w:val="none"/>
        </w:rPr>
      </w:pPr>
    </w:p>
    <w:p w14:paraId="0E69C7A8">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0BAEF3A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D162FE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B893CE8">
      <w:pPr>
        <w:rPr>
          <w:rFonts w:hint="eastAsia" w:ascii="宋体" w:hAnsi="宋体" w:eastAsia="宋体" w:cs="宋体"/>
          <w:b/>
          <w:color w:val="auto"/>
          <w:sz w:val="24"/>
          <w:highlight w:val="none"/>
        </w:rPr>
      </w:pPr>
    </w:p>
    <w:p w14:paraId="4497F589">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A792ADA">
      <w:pPr>
        <w:pageBreakBefore/>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C91ADC4">
      <w:pPr>
        <w:spacing w:line="400" w:lineRule="exact"/>
        <w:rPr>
          <w:rFonts w:ascii="宋体"/>
          <w:color w:val="auto"/>
          <w:szCs w:val="21"/>
          <w:highlight w:val="none"/>
        </w:rPr>
      </w:pPr>
    </w:p>
    <w:p w14:paraId="1FA9E226">
      <w:pPr>
        <w:spacing w:line="440" w:lineRule="exact"/>
        <w:ind w:left="42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（1）投标响应表（格式见附件）；</w:t>
      </w:r>
    </w:p>
    <w:p w14:paraId="76442B9B">
      <w:pPr>
        <w:spacing w:line="440" w:lineRule="exact"/>
        <w:ind w:left="42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（2）诚信履约承诺函（格式见附件）；</w:t>
      </w:r>
    </w:p>
    <w:p w14:paraId="45E08BCE">
      <w:pPr>
        <w:spacing w:line="440" w:lineRule="exact"/>
        <w:ind w:left="42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（3）招标文件中要求的技术标评审及技术标评分的支持资料；</w:t>
      </w:r>
    </w:p>
    <w:p w14:paraId="62E3897D">
      <w:pPr>
        <w:spacing w:line="440" w:lineRule="exact"/>
        <w:ind w:left="42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（4）投标人认为需要提供的其他技术证明材料（如有）。</w:t>
      </w:r>
    </w:p>
    <w:p w14:paraId="17C48097">
      <w:pPr>
        <w:spacing w:line="500" w:lineRule="exact"/>
        <w:rPr>
          <w:rFonts w:ascii="宋体" w:hAnsi="宋体" w:eastAsia="宋体" w:cs="宋体"/>
          <w:b/>
          <w:color w:val="auto"/>
          <w:sz w:val="24"/>
          <w:szCs w:val="24"/>
          <w:highlight w:val="none"/>
        </w:rPr>
      </w:pPr>
    </w:p>
    <w:p w14:paraId="22EAD57A">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FAD558F">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投标响应表</w:t>
      </w:r>
    </w:p>
    <w:p w14:paraId="68EC343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38FF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61225517">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193A3B01">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8" w:type="dxa"/>
            <w:vAlign w:val="center"/>
          </w:tcPr>
          <w:p w14:paraId="7B3A206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2575" w:type="dxa"/>
            <w:vAlign w:val="center"/>
          </w:tcPr>
          <w:p w14:paraId="049B72F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810" w:type="dxa"/>
            <w:vAlign w:val="center"/>
          </w:tcPr>
          <w:p w14:paraId="0AA14D58">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530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7ABC9F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335DDBF3">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498" w:type="dxa"/>
            <w:vAlign w:val="center"/>
          </w:tcPr>
          <w:p w14:paraId="5ACAAA08">
            <w:pPr>
              <w:jc w:val="center"/>
              <w:rPr>
                <w:rFonts w:asciiTheme="minorEastAsia" w:hAnsiTheme="minorEastAsia" w:eastAsiaTheme="minorEastAsia"/>
                <w:color w:val="auto"/>
                <w:sz w:val="24"/>
                <w:highlight w:val="none"/>
              </w:rPr>
            </w:pPr>
          </w:p>
        </w:tc>
        <w:tc>
          <w:tcPr>
            <w:tcW w:w="2575" w:type="dxa"/>
            <w:vAlign w:val="center"/>
          </w:tcPr>
          <w:p w14:paraId="3AC5A85F">
            <w:pPr>
              <w:jc w:val="center"/>
              <w:rPr>
                <w:rFonts w:asciiTheme="minorEastAsia" w:hAnsiTheme="minorEastAsia" w:eastAsiaTheme="minorEastAsia"/>
                <w:color w:val="auto"/>
                <w:sz w:val="24"/>
                <w:highlight w:val="none"/>
              </w:rPr>
            </w:pPr>
          </w:p>
        </w:tc>
        <w:tc>
          <w:tcPr>
            <w:tcW w:w="810" w:type="dxa"/>
            <w:vAlign w:val="center"/>
          </w:tcPr>
          <w:p w14:paraId="3F8C0838">
            <w:pPr>
              <w:jc w:val="center"/>
              <w:rPr>
                <w:rFonts w:asciiTheme="minorEastAsia" w:hAnsiTheme="minorEastAsia" w:eastAsiaTheme="minorEastAsia"/>
                <w:color w:val="auto"/>
                <w:sz w:val="24"/>
                <w:highlight w:val="none"/>
              </w:rPr>
            </w:pPr>
          </w:p>
        </w:tc>
      </w:tr>
      <w:tr w14:paraId="7D90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91BF4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32E2D873">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2498" w:type="dxa"/>
            <w:vAlign w:val="center"/>
          </w:tcPr>
          <w:p w14:paraId="3E779C1F">
            <w:pPr>
              <w:jc w:val="center"/>
              <w:rPr>
                <w:rFonts w:asciiTheme="minorEastAsia" w:hAnsiTheme="minorEastAsia" w:eastAsiaTheme="minorEastAsia"/>
                <w:color w:val="auto"/>
                <w:sz w:val="24"/>
                <w:highlight w:val="none"/>
              </w:rPr>
            </w:pPr>
          </w:p>
        </w:tc>
        <w:tc>
          <w:tcPr>
            <w:tcW w:w="2575" w:type="dxa"/>
            <w:vAlign w:val="center"/>
          </w:tcPr>
          <w:p w14:paraId="4D76D4E9">
            <w:pPr>
              <w:jc w:val="center"/>
              <w:rPr>
                <w:rFonts w:asciiTheme="minorEastAsia" w:hAnsiTheme="minorEastAsia" w:eastAsiaTheme="minorEastAsia"/>
                <w:color w:val="auto"/>
                <w:sz w:val="24"/>
                <w:highlight w:val="none"/>
              </w:rPr>
            </w:pPr>
          </w:p>
        </w:tc>
        <w:tc>
          <w:tcPr>
            <w:tcW w:w="810" w:type="dxa"/>
            <w:vAlign w:val="center"/>
          </w:tcPr>
          <w:p w14:paraId="6448F65C">
            <w:pPr>
              <w:jc w:val="center"/>
              <w:rPr>
                <w:rFonts w:asciiTheme="minorEastAsia" w:hAnsiTheme="minorEastAsia" w:eastAsiaTheme="minorEastAsia"/>
                <w:color w:val="auto"/>
                <w:sz w:val="24"/>
                <w:highlight w:val="none"/>
              </w:rPr>
            </w:pPr>
          </w:p>
        </w:tc>
      </w:tr>
      <w:tr w14:paraId="734A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55811A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3DFC27A2">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2498" w:type="dxa"/>
            <w:vAlign w:val="center"/>
          </w:tcPr>
          <w:p w14:paraId="32226268">
            <w:pPr>
              <w:jc w:val="center"/>
              <w:rPr>
                <w:rFonts w:asciiTheme="minorEastAsia" w:hAnsiTheme="minorEastAsia" w:eastAsiaTheme="minorEastAsia"/>
                <w:color w:val="auto"/>
                <w:sz w:val="24"/>
                <w:highlight w:val="none"/>
              </w:rPr>
            </w:pPr>
          </w:p>
        </w:tc>
        <w:tc>
          <w:tcPr>
            <w:tcW w:w="2575" w:type="dxa"/>
            <w:vAlign w:val="center"/>
          </w:tcPr>
          <w:p w14:paraId="3211E779">
            <w:pPr>
              <w:pStyle w:val="53"/>
              <w:jc w:val="center"/>
              <w:rPr>
                <w:rFonts w:asciiTheme="minorEastAsia" w:hAnsiTheme="minorEastAsia" w:eastAsiaTheme="minorEastAsia"/>
                <w:color w:val="auto"/>
                <w:highlight w:val="none"/>
              </w:rPr>
            </w:pPr>
          </w:p>
        </w:tc>
        <w:tc>
          <w:tcPr>
            <w:tcW w:w="810" w:type="dxa"/>
            <w:vAlign w:val="center"/>
          </w:tcPr>
          <w:p w14:paraId="1C08E11E">
            <w:pPr>
              <w:jc w:val="center"/>
              <w:rPr>
                <w:rFonts w:asciiTheme="minorEastAsia" w:hAnsiTheme="minorEastAsia" w:eastAsiaTheme="minorEastAsia"/>
                <w:color w:val="auto"/>
                <w:sz w:val="24"/>
                <w:highlight w:val="none"/>
              </w:rPr>
            </w:pPr>
          </w:p>
        </w:tc>
      </w:tr>
      <w:tr w14:paraId="167F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D54C8C6">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1916" w:type="dxa"/>
            <w:vAlign w:val="center"/>
          </w:tcPr>
          <w:p w14:paraId="72654B4D">
            <w:pPr>
              <w:jc w:val="center"/>
              <w:rPr>
                <w:rFonts w:hint="eastAsia" w:ascii="宋体" w:hAnsi="宋体" w:eastAsia="宋体"/>
                <w:color w:val="auto"/>
                <w:sz w:val="24"/>
                <w:highlight w:val="none"/>
              </w:rPr>
            </w:pPr>
            <w:r>
              <w:rPr>
                <w:rFonts w:hint="eastAsia" w:ascii="宋体" w:hAnsi="宋体" w:eastAsia="宋体"/>
                <w:sz w:val="24"/>
                <w:highlight w:val="none"/>
              </w:rPr>
              <w:t>“采购需求”所列的所有内容</w:t>
            </w:r>
          </w:p>
        </w:tc>
        <w:tc>
          <w:tcPr>
            <w:tcW w:w="2498" w:type="dxa"/>
            <w:vAlign w:val="center"/>
          </w:tcPr>
          <w:p w14:paraId="0618A023">
            <w:pPr>
              <w:jc w:val="center"/>
              <w:rPr>
                <w:rFonts w:asciiTheme="minorEastAsia" w:hAnsiTheme="minorEastAsia" w:eastAsiaTheme="minorEastAsia"/>
                <w:color w:val="auto"/>
                <w:sz w:val="24"/>
                <w:highlight w:val="none"/>
              </w:rPr>
            </w:pPr>
          </w:p>
        </w:tc>
        <w:tc>
          <w:tcPr>
            <w:tcW w:w="2575" w:type="dxa"/>
            <w:vAlign w:val="center"/>
          </w:tcPr>
          <w:p w14:paraId="1FEF478F">
            <w:pPr>
              <w:pStyle w:val="53"/>
              <w:jc w:val="center"/>
              <w:rPr>
                <w:rFonts w:asciiTheme="minorEastAsia" w:hAnsiTheme="minorEastAsia" w:eastAsiaTheme="minorEastAsia"/>
                <w:color w:val="auto"/>
                <w:highlight w:val="none"/>
              </w:rPr>
            </w:pPr>
          </w:p>
        </w:tc>
        <w:tc>
          <w:tcPr>
            <w:tcW w:w="810" w:type="dxa"/>
            <w:vAlign w:val="center"/>
          </w:tcPr>
          <w:p w14:paraId="49615BE2">
            <w:pPr>
              <w:jc w:val="center"/>
              <w:rPr>
                <w:rFonts w:asciiTheme="minorEastAsia" w:hAnsiTheme="minorEastAsia" w:eastAsiaTheme="minorEastAsia"/>
                <w:color w:val="auto"/>
                <w:sz w:val="24"/>
                <w:highlight w:val="none"/>
              </w:rPr>
            </w:pPr>
          </w:p>
        </w:tc>
      </w:tr>
      <w:tr w14:paraId="21DC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75F4E5B">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w:t>
            </w:r>
          </w:p>
        </w:tc>
        <w:tc>
          <w:tcPr>
            <w:tcW w:w="1916" w:type="dxa"/>
            <w:vAlign w:val="center"/>
          </w:tcPr>
          <w:p w14:paraId="4385050D">
            <w:pPr>
              <w:jc w:val="center"/>
              <w:rPr>
                <w:rFonts w:hint="eastAsia" w:ascii="宋体" w:hAnsi="宋体" w:eastAsia="宋体"/>
                <w:sz w:val="24"/>
                <w:highlight w:val="none"/>
              </w:rPr>
            </w:pPr>
          </w:p>
        </w:tc>
        <w:tc>
          <w:tcPr>
            <w:tcW w:w="2498" w:type="dxa"/>
            <w:vAlign w:val="center"/>
          </w:tcPr>
          <w:p w14:paraId="07AC9E35">
            <w:pPr>
              <w:jc w:val="center"/>
              <w:rPr>
                <w:rFonts w:asciiTheme="minorEastAsia" w:hAnsiTheme="minorEastAsia" w:eastAsiaTheme="minorEastAsia"/>
                <w:color w:val="auto"/>
                <w:sz w:val="24"/>
                <w:highlight w:val="none"/>
              </w:rPr>
            </w:pPr>
          </w:p>
        </w:tc>
        <w:tc>
          <w:tcPr>
            <w:tcW w:w="2575" w:type="dxa"/>
            <w:vAlign w:val="center"/>
          </w:tcPr>
          <w:p w14:paraId="1955AF4C">
            <w:pPr>
              <w:pStyle w:val="53"/>
              <w:jc w:val="center"/>
              <w:rPr>
                <w:rFonts w:asciiTheme="minorEastAsia" w:hAnsiTheme="minorEastAsia" w:eastAsiaTheme="minorEastAsia"/>
                <w:color w:val="auto"/>
                <w:highlight w:val="none"/>
              </w:rPr>
            </w:pPr>
          </w:p>
        </w:tc>
        <w:tc>
          <w:tcPr>
            <w:tcW w:w="810" w:type="dxa"/>
            <w:vAlign w:val="center"/>
          </w:tcPr>
          <w:p w14:paraId="7A79C6E0">
            <w:pPr>
              <w:jc w:val="center"/>
              <w:rPr>
                <w:rFonts w:asciiTheme="minorEastAsia" w:hAnsiTheme="minorEastAsia" w:eastAsiaTheme="minorEastAsia"/>
                <w:color w:val="auto"/>
                <w:sz w:val="24"/>
                <w:highlight w:val="none"/>
              </w:rPr>
            </w:pPr>
          </w:p>
        </w:tc>
      </w:tr>
    </w:tbl>
    <w:p w14:paraId="626D63F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55AB12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30B2F37">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584A814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（2）诚信履约承诺函</w:t>
      </w:r>
    </w:p>
    <w:p w14:paraId="74EFE3FB">
      <w:pPr>
        <w:spacing w:line="360" w:lineRule="auto"/>
        <w:rPr>
          <w:rFonts w:asciiTheme="minorEastAsia" w:hAnsiTheme="minorEastAsia" w:eastAsiaTheme="minorEastAsia"/>
          <w:b/>
          <w:bCs/>
          <w:color w:val="auto"/>
          <w:sz w:val="24"/>
          <w:highlight w:val="none"/>
        </w:rPr>
      </w:pPr>
    </w:p>
    <w:p w14:paraId="7C57E7D2">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3C9ADD6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378681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8E5C39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A5999C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9D08B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F5516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4BD17C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BBD475">
      <w:pPr>
        <w:spacing w:line="360" w:lineRule="auto"/>
        <w:rPr>
          <w:rFonts w:asciiTheme="minorEastAsia" w:hAnsiTheme="minorEastAsia" w:eastAsiaTheme="minorEastAsia"/>
          <w:bCs/>
          <w:color w:val="auto"/>
          <w:sz w:val="24"/>
          <w:highlight w:val="none"/>
        </w:rPr>
      </w:pPr>
    </w:p>
    <w:p w14:paraId="05AF279C">
      <w:pPr>
        <w:spacing w:line="360" w:lineRule="auto"/>
        <w:rPr>
          <w:rFonts w:asciiTheme="minorEastAsia" w:hAnsiTheme="minorEastAsia" w:eastAsiaTheme="minorEastAsia"/>
          <w:bCs/>
          <w:color w:val="auto"/>
          <w:sz w:val="24"/>
          <w:highlight w:val="none"/>
        </w:rPr>
      </w:pPr>
    </w:p>
    <w:p w14:paraId="7B5034C4">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15B44A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740C37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65E989DA">
      <w:pPr>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211A7E3F">
      <w:pPr>
        <w:jc w:val="center"/>
        <w:rPr>
          <w:rFonts w:hint="eastAsia" w:ascii="宋体" w:hAnsi="宋体" w:eastAsia="宋体" w:cs="宋体"/>
          <w:color w:val="auto"/>
          <w:sz w:val="20"/>
          <w:highlight w:val="none"/>
        </w:rPr>
      </w:pPr>
    </w:p>
    <w:p w14:paraId="6BBDD776">
      <w:pPr>
        <w:rPr>
          <w:rFonts w:hint="eastAsia" w:ascii="宋体" w:hAnsi="宋体" w:eastAsia="宋体" w:cs="宋体"/>
          <w:color w:val="auto"/>
          <w:sz w:val="20"/>
          <w:highlight w:val="none"/>
        </w:rPr>
      </w:pPr>
    </w:p>
    <w:p w14:paraId="733B216A">
      <w:pPr>
        <w:pStyle w:val="2"/>
        <w:rPr>
          <w:rFonts w:hint="eastAsia" w:ascii="宋体" w:hAnsi="宋体" w:eastAsia="宋体" w:cs="宋体"/>
          <w:color w:val="auto"/>
          <w:highlight w:val="none"/>
        </w:rPr>
      </w:pPr>
    </w:p>
    <w:p w14:paraId="5FE55061">
      <w:pPr>
        <w:jc w:val="center"/>
        <w:rPr>
          <w:rFonts w:hint="eastAsia" w:ascii="宋体" w:hAnsi="宋体" w:eastAsia="宋体" w:cs="宋体"/>
          <w:b/>
          <w:color w:val="auto"/>
          <w:sz w:val="44"/>
          <w:szCs w:val="44"/>
          <w:highlight w:val="none"/>
        </w:rPr>
      </w:pPr>
      <w:bookmarkStart w:id="201" w:name="_Toc449028954"/>
      <w:r>
        <w:rPr>
          <w:rFonts w:hint="eastAsia" w:ascii="宋体" w:hAnsi="宋体" w:eastAsia="宋体" w:cs="宋体"/>
          <w:b/>
          <w:color w:val="auto"/>
          <w:sz w:val="44"/>
          <w:szCs w:val="44"/>
          <w:highlight w:val="none"/>
        </w:rPr>
        <w:t>商务标</w:t>
      </w:r>
      <w:bookmarkEnd w:id="201"/>
    </w:p>
    <w:p w14:paraId="4E9F3D86">
      <w:pPr>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04A20CA7">
      <w:pPr>
        <w:jc w:val="center"/>
        <w:rPr>
          <w:rFonts w:hint="eastAsia" w:ascii="宋体" w:hAnsi="宋体" w:eastAsia="宋体" w:cs="宋体"/>
          <w:color w:val="auto"/>
          <w:sz w:val="36"/>
          <w:szCs w:val="36"/>
          <w:highlight w:val="none"/>
        </w:rPr>
      </w:pPr>
    </w:p>
    <w:p w14:paraId="114204C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06AE812B">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0E116A36">
      <w:pPr>
        <w:rPr>
          <w:rFonts w:hint="eastAsia" w:ascii="宋体" w:hAnsi="宋体" w:eastAsia="宋体" w:cs="宋体"/>
          <w:color w:val="auto"/>
          <w:sz w:val="28"/>
          <w:szCs w:val="28"/>
          <w:highlight w:val="none"/>
        </w:rPr>
      </w:pPr>
    </w:p>
    <w:p w14:paraId="5519622F">
      <w:pPr>
        <w:rPr>
          <w:rFonts w:hint="eastAsia" w:ascii="宋体" w:hAnsi="宋体" w:eastAsia="宋体" w:cs="宋体"/>
          <w:color w:val="auto"/>
          <w:sz w:val="28"/>
          <w:szCs w:val="28"/>
          <w:highlight w:val="none"/>
        </w:rPr>
      </w:pPr>
    </w:p>
    <w:p w14:paraId="7876A135">
      <w:pPr>
        <w:rPr>
          <w:rFonts w:hint="eastAsia" w:ascii="宋体" w:hAnsi="宋体" w:eastAsia="宋体" w:cs="宋体"/>
          <w:color w:val="auto"/>
          <w:sz w:val="28"/>
          <w:szCs w:val="28"/>
          <w:highlight w:val="none"/>
        </w:rPr>
      </w:pPr>
    </w:p>
    <w:p w14:paraId="5BC61392">
      <w:pPr>
        <w:rPr>
          <w:rFonts w:hint="eastAsia" w:ascii="宋体" w:hAnsi="宋体" w:eastAsia="宋体" w:cs="宋体"/>
          <w:color w:val="auto"/>
          <w:sz w:val="28"/>
          <w:szCs w:val="28"/>
          <w:highlight w:val="none"/>
        </w:rPr>
      </w:pPr>
    </w:p>
    <w:p w14:paraId="11EF97E1">
      <w:pPr>
        <w:rPr>
          <w:rFonts w:hint="eastAsia" w:ascii="宋体" w:hAnsi="宋体" w:eastAsia="宋体" w:cs="宋体"/>
          <w:color w:val="auto"/>
          <w:sz w:val="28"/>
          <w:szCs w:val="28"/>
          <w:highlight w:val="none"/>
        </w:rPr>
      </w:pPr>
    </w:p>
    <w:p w14:paraId="69E06AC1">
      <w:pPr>
        <w:rPr>
          <w:rFonts w:hint="eastAsia" w:ascii="宋体" w:hAnsi="宋体" w:eastAsia="宋体" w:cs="宋体"/>
          <w:color w:val="auto"/>
          <w:sz w:val="28"/>
          <w:szCs w:val="28"/>
          <w:highlight w:val="none"/>
        </w:rPr>
      </w:pPr>
    </w:p>
    <w:p w14:paraId="25A2A713">
      <w:pPr>
        <w:rPr>
          <w:rFonts w:hint="eastAsia" w:ascii="宋体" w:hAnsi="宋体" w:eastAsia="宋体" w:cs="宋体"/>
          <w:color w:val="auto"/>
          <w:sz w:val="28"/>
          <w:szCs w:val="28"/>
          <w:highlight w:val="none"/>
        </w:rPr>
      </w:pPr>
    </w:p>
    <w:p w14:paraId="553A796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FBC6DC3">
      <w:pPr>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2C616198">
      <w:pPr>
        <w:spacing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F83274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1ADE09C">
      <w:pPr>
        <w:spacing w:line="400" w:lineRule="exact"/>
        <w:ind w:firstLine="3379" w:firstLineChars="93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6A873254">
      <w:pPr>
        <w:spacing w:line="400" w:lineRule="exact"/>
        <w:ind w:firstLine="4130" w:firstLineChars="935"/>
        <w:rPr>
          <w:rFonts w:hint="eastAsia" w:ascii="宋体" w:hAnsi="宋体" w:eastAsia="宋体" w:cs="宋体"/>
          <w:b/>
          <w:color w:val="auto"/>
          <w:sz w:val="44"/>
          <w:szCs w:val="44"/>
          <w:highlight w:val="none"/>
        </w:rPr>
      </w:pPr>
    </w:p>
    <w:p w14:paraId="1ACA6616">
      <w:pPr>
        <w:spacing w:line="440" w:lineRule="exact"/>
        <w:ind w:left="420"/>
        <w:jc w:val="left"/>
        <w:rPr>
          <w:rFonts w:ascii="宋体" w:hAnsi="宋体" w:eastAsia="宋体"/>
          <w:color w:val="auto"/>
          <w:szCs w:val="21"/>
          <w:highlight w:val="none"/>
        </w:rPr>
      </w:pPr>
      <w:bookmarkStart w:id="202" w:name="_Hlk111065821"/>
      <w:r>
        <w:rPr>
          <w:rFonts w:hint="eastAsia" w:ascii="宋体" w:hAnsi="宋体" w:eastAsia="宋体"/>
          <w:color w:val="auto"/>
          <w:szCs w:val="21"/>
          <w:highlight w:val="none"/>
        </w:rPr>
        <w:t>（1）开标一览表（格式见附件）；</w:t>
      </w:r>
    </w:p>
    <w:p w14:paraId="1D1FA477">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02"/>
    <w:p w14:paraId="708DE5B4">
      <w:pPr>
        <w:tabs>
          <w:tab w:val="left" w:pos="14"/>
        </w:tabs>
        <w:spacing w:line="44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）投标人认为需要提供的其他材料。</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如有</w:t>
      </w:r>
      <w:r>
        <w:rPr>
          <w:rFonts w:hint="eastAsia" w:ascii="宋体" w:hAnsi="宋体" w:eastAsia="宋体"/>
          <w:color w:val="auto"/>
          <w:szCs w:val="21"/>
          <w:highlight w:val="none"/>
          <w:lang w:eastAsia="zh-CN"/>
        </w:rPr>
        <w:t>）</w:t>
      </w:r>
    </w:p>
    <w:p w14:paraId="4FAC1FB5">
      <w:pPr>
        <w:rPr>
          <w:rFonts w:ascii="宋体" w:hAnsi="宋体" w:eastAsia="宋体"/>
          <w:color w:val="auto"/>
          <w:szCs w:val="21"/>
          <w:highlight w:val="none"/>
        </w:rPr>
      </w:pPr>
      <w:r>
        <w:rPr>
          <w:rFonts w:hint="eastAsia" w:ascii="宋体" w:hAnsi="宋体" w:eastAsia="宋体"/>
          <w:color w:val="auto"/>
          <w:szCs w:val="21"/>
          <w:highlight w:val="none"/>
        </w:rPr>
        <w:br w:type="page"/>
      </w:r>
    </w:p>
    <w:p w14:paraId="6E9BD9D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开标一览表</w:t>
      </w:r>
      <w:bookmarkEnd w:id="189"/>
      <w:bookmarkEnd w:id="190"/>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01DC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304" w:type="dxa"/>
            <w:tcBorders>
              <w:top w:val="single" w:color="auto" w:sz="4" w:space="0"/>
              <w:bottom w:val="single" w:color="auto" w:sz="4" w:space="0"/>
              <w:right w:val="single" w:color="auto" w:sz="4" w:space="0"/>
            </w:tcBorders>
            <w:vAlign w:val="center"/>
          </w:tcPr>
          <w:p w14:paraId="5018A8F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6218" w:type="dxa"/>
            <w:tcBorders>
              <w:top w:val="single" w:color="auto" w:sz="4" w:space="0"/>
              <w:bottom w:val="single" w:color="auto" w:sz="4" w:space="0"/>
              <w:right w:val="single" w:color="auto" w:sz="4" w:space="0"/>
            </w:tcBorders>
            <w:vAlign w:val="center"/>
          </w:tcPr>
          <w:p w14:paraId="736EFAF8">
            <w:pPr>
              <w:spacing w:line="360" w:lineRule="exact"/>
              <w:jc w:val="center"/>
              <w:rPr>
                <w:rFonts w:asciiTheme="minorEastAsia" w:hAnsiTheme="minorEastAsia" w:eastAsiaTheme="minorEastAsia"/>
                <w:bCs/>
                <w:color w:val="auto"/>
                <w:sz w:val="24"/>
                <w:highlight w:val="none"/>
                <w:u w:val="single"/>
              </w:rPr>
            </w:pPr>
          </w:p>
        </w:tc>
      </w:tr>
      <w:tr w14:paraId="6EB6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6DB878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6218" w:type="dxa"/>
            <w:tcBorders>
              <w:top w:val="nil"/>
            </w:tcBorders>
            <w:vAlign w:val="center"/>
          </w:tcPr>
          <w:p w14:paraId="374DD195">
            <w:pPr>
              <w:spacing w:line="360" w:lineRule="auto"/>
              <w:rPr>
                <w:rFonts w:asciiTheme="minorEastAsia" w:hAnsiTheme="minorEastAsia" w:eastAsiaTheme="minorEastAsia"/>
                <w:color w:val="auto"/>
                <w:sz w:val="24"/>
                <w:highlight w:val="none"/>
              </w:rPr>
            </w:pPr>
          </w:p>
        </w:tc>
      </w:tr>
      <w:tr w14:paraId="4EEA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6C1CE1E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218" w:type="dxa"/>
            <w:tcBorders>
              <w:top w:val="nil"/>
            </w:tcBorders>
            <w:vAlign w:val="center"/>
          </w:tcPr>
          <w:p w14:paraId="77A33DBB">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1C4B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B7D80D9">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6218" w:type="dxa"/>
            <w:tcBorders>
              <w:top w:val="nil"/>
            </w:tcBorders>
            <w:vAlign w:val="center"/>
          </w:tcPr>
          <w:p w14:paraId="15B1821A">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百分之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1E55D18D">
            <w:pPr>
              <w:keepNext w:val="0"/>
              <w:keepLines w:val="0"/>
              <w:pageBreakBefore w:val="0"/>
              <w:kinsoku/>
              <w:wordWrap/>
              <w:overflowPunct/>
              <w:topLinePunct w:val="0"/>
              <w:autoSpaceDE/>
              <w:autoSpaceDN/>
              <w:bidi w:val="0"/>
              <w:adjustRightInd/>
              <w:spacing w:line="360" w:lineRule="auto"/>
              <w:ind w:right="-670"/>
              <w:textAlignment w:val="auto"/>
              <w:rPr>
                <w:rFonts w:hint="eastAsia"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p>
        </w:tc>
      </w:tr>
      <w:tr w14:paraId="3871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363082A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6218" w:type="dxa"/>
            <w:tcBorders>
              <w:top w:val="nil"/>
            </w:tcBorders>
            <w:vAlign w:val="center"/>
          </w:tcPr>
          <w:p w14:paraId="67A4C101">
            <w:pPr>
              <w:spacing w:line="360" w:lineRule="auto"/>
              <w:jc w:val="left"/>
              <w:rPr>
                <w:rFonts w:asciiTheme="minorEastAsia" w:hAnsiTheme="minorEastAsia" w:eastAsiaTheme="minorEastAsia"/>
                <w:color w:val="auto"/>
                <w:sz w:val="24"/>
                <w:szCs w:val="28"/>
                <w:highlight w:val="none"/>
              </w:rPr>
            </w:pPr>
          </w:p>
        </w:tc>
      </w:tr>
    </w:tbl>
    <w:p w14:paraId="394724B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2E60390">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A6DF12A">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647918A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568EBC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559EB3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228947F2">
      <w:pPr>
        <w:spacing w:line="360" w:lineRule="auto"/>
        <w:jc w:val="center"/>
        <w:outlineLvl w:val="1"/>
        <w:rPr>
          <w:rFonts w:asciiTheme="minorEastAsia" w:hAnsiTheme="minorEastAsia" w:eastAsiaTheme="minorEastAsia"/>
          <w:b/>
          <w:color w:val="auto"/>
          <w:sz w:val="24"/>
          <w:highlight w:val="none"/>
        </w:rPr>
      </w:pPr>
      <w:bookmarkStart w:id="203" w:name="_Toc6120"/>
      <w:bookmarkStart w:id="204" w:name="_Toc6441"/>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投标函</w:t>
      </w:r>
      <w:bookmarkEnd w:id="203"/>
      <w:bookmarkEnd w:id="204"/>
    </w:p>
    <w:p w14:paraId="3BB65E0F">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960A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C272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ECA6D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68533D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118EB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0246D80">
      <w:pPr>
        <w:spacing w:line="360" w:lineRule="auto"/>
        <w:ind w:firstLine="4800" w:firstLineChars="2000"/>
        <w:rPr>
          <w:rFonts w:ascii="宋体" w:hAnsi="宋体" w:eastAsia="宋体"/>
          <w:color w:val="auto"/>
          <w:sz w:val="24"/>
          <w:highlight w:val="none"/>
        </w:rPr>
      </w:pPr>
    </w:p>
    <w:p w14:paraId="0C04682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A0EA2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272000B">
      <w:pPr>
        <w:rPr>
          <w:rFonts w:hint="eastAsia" w:ascii="宋体" w:hAnsi="宋体" w:eastAsia="宋体" w:cs="Times New Roman"/>
          <w:b w:val="0"/>
          <w:bCs/>
          <w:color w:val="auto"/>
          <w:sz w:val="21"/>
          <w:szCs w:val="21"/>
          <w:highlight w:val="none"/>
          <w:lang w:val="en-US" w:eastAsia="zh-CN"/>
        </w:rPr>
      </w:pPr>
      <w:bookmarkStart w:id="205" w:name="_Toc26536"/>
      <w:bookmarkStart w:id="206" w:name="_Toc520299348"/>
      <w:bookmarkStart w:id="207" w:name="_Toc457768004"/>
      <w:bookmarkStart w:id="208" w:name="_Hlk11701496"/>
      <w:bookmarkStart w:id="209" w:name="_Toc300210382"/>
      <w:bookmarkStart w:id="210" w:name="_Toc23860"/>
    </w:p>
    <w:p w14:paraId="32348904">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bookmarkEnd w:id="205"/>
      <w:bookmarkEnd w:id="206"/>
      <w:bookmarkEnd w:id="207"/>
      <w:bookmarkEnd w:id="208"/>
      <w:bookmarkEnd w:id="209"/>
      <w:bookmarkEnd w:id="210"/>
    </w:p>
    <w:p w14:paraId="334D67B5">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1" w:name="_Toc31807"/>
      <w:bookmarkStart w:id="212" w:name="_Toc32633"/>
      <w:r>
        <w:rPr>
          <w:rFonts w:hint="eastAsia" w:asciiTheme="minorEastAsia" w:hAnsiTheme="minorEastAsia" w:eastAsiaTheme="minorEastAsia"/>
          <w:b/>
          <w:color w:val="auto"/>
          <w:sz w:val="24"/>
          <w:highlight w:val="none"/>
          <w:lang w:val="en-US" w:eastAsia="zh-CN"/>
        </w:rPr>
        <w:t>（3）其他相关证明材料</w:t>
      </w:r>
      <w:bookmarkEnd w:id="211"/>
      <w:bookmarkEnd w:id="212"/>
    </w:p>
    <w:p w14:paraId="75E787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312B6E77">
      <w:pPr>
        <w:spacing w:line="360" w:lineRule="auto"/>
        <w:ind w:firstLine="480" w:firstLineChars="200"/>
        <w:rPr>
          <w:rFonts w:asciiTheme="minorEastAsia" w:hAnsiTheme="minorEastAsia" w:eastAsiaTheme="minorEastAsia"/>
          <w:color w:val="auto"/>
          <w:sz w:val="24"/>
          <w:highlight w:val="none"/>
        </w:rPr>
      </w:pPr>
    </w:p>
    <w:p w14:paraId="73A1641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B3B7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lang w:val="en-US" w:eastAsia="zh-CN"/>
        </w:rPr>
        <w:t>及评审资料</w:t>
      </w:r>
      <w:r>
        <w:rPr>
          <w:rFonts w:hint="eastAsia" w:asciiTheme="minorEastAsia" w:hAnsiTheme="minorEastAsia" w:eastAsiaTheme="minorEastAsia"/>
          <w:color w:val="auto"/>
          <w:sz w:val="24"/>
          <w:highlight w:val="none"/>
        </w:rPr>
        <w:t>，如营业执照、证书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技术标方案</w:t>
      </w:r>
      <w:r>
        <w:rPr>
          <w:rFonts w:asciiTheme="minorEastAsia" w:hAnsiTheme="minorEastAsia" w:eastAsiaTheme="minorEastAsia"/>
          <w:color w:val="auto"/>
          <w:sz w:val="24"/>
          <w:highlight w:val="none"/>
        </w:rPr>
        <w:t>等，应将上述证明材料制作成扫描件上传。</w:t>
      </w:r>
    </w:p>
    <w:p w14:paraId="33EA22D2">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ECE0704">
      <w:pPr>
        <w:spacing w:line="360" w:lineRule="auto"/>
        <w:jc w:val="center"/>
        <w:outlineLvl w:val="0"/>
        <w:rPr>
          <w:rFonts w:ascii="宋体" w:hAnsi="宋体" w:eastAsia="宋体"/>
          <w:b/>
          <w:bCs/>
          <w:color w:val="auto"/>
          <w:sz w:val="28"/>
          <w:highlight w:val="none"/>
        </w:rPr>
      </w:pPr>
      <w:bookmarkStart w:id="213" w:name="_Toc20819"/>
      <w:bookmarkStart w:id="214"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3"/>
      <w:bookmarkEnd w:id="214"/>
    </w:p>
    <w:p w14:paraId="4BB4923E">
      <w:pPr>
        <w:spacing w:line="360" w:lineRule="auto"/>
        <w:jc w:val="center"/>
        <w:outlineLvl w:val="1"/>
        <w:rPr>
          <w:rFonts w:ascii="仿宋" w:hAnsi="仿宋" w:eastAsia="仿宋" w:cs="仿宋"/>
          <w:b/>
          <w:bCs/>
          <w:color w:val="auto"/>
          <w:sz w:val="32"/>
          <w:szCs w:val="44"/>
          <w:highlight w:val="none"/>
        </w:rPr>
      </w:pPr>
      <w:bookmarkStart w:id="215" w:name="_Toc6955"/>
      <w:bookmarkStart w:id="216" w:name="_Toc27159"/>
      <w:r>
        <w:rPr>
          <w:rFonts w:hint="eastAsia" w:ascii="仿宋" w:hAnsi="仿宋" w:eastAsia="仿宋" w:cs="仿宋"/>
          <w:b/>
          <w:bCs/>
          <w:color w:val="auto"/>
          <w:sz w:val="32"/>
          <w:szCs w:val="44"/>
          <w:highlight w:val="none"/>
        </w:rPr>
        <w:t>询问函范本</w:t>
      </w:r>
      <w:bookmarkEnd w:id="215"/>
      <w:bookmarkEnd w:id="216"/>
    </w:p>
    <w:p w14:paraId="197448B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601B27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29A40B9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9D696A8">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7" w:name="_Toc13899"/>
      <w:r>
        <w:rPr>
          <w:rFonts w:hint="eastAsia" w:cs="仿宋" w:asciiTheme="minorEastAsia" w:hAnsiTheme="minorEastAsia" w:eastAsiaTheme="minorEastAsia"/>
          <w:color w:val="auto"/>
          <w:sz w:val="24"/>
          <w:szCs w:val="24"/>
          <w:highlight w:val="none"/>
        </w:rPr>
        <w:t>一、(事项一)</w:t>
      </w:r>
      <w:bookmarkEnd w:id="217"/>
    </w:p>
    <w:p w14:paraId="1945FA6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6D296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CAF1F6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44D5F0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8" w:name="_Toc3352"/>
      <w:r>
        <w:rPr>
          <w:rFonts w:hint="eastAsia" w:cs="仿宋" w:asciiTheme="minorEastAsia" w:hAnsiTheme="minorEastAsia" w:eastAsiaTheme="minorEastAsia"/>
          <w:color w:val="auto"/>
          <w:sz w:val="24"/>
          <w:szCs w:val="24"/>
          <w:highlight w:val="none"/>
        </w:rPr>
        <w:t>二、(事项二)</w:t>
      </w:r>
      <w:bookmarkEnd w:id="218"/>
    </w:p>
    <w:p w14:paraId="3E53EC4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6AE03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4B357E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DFD8A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561879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23E1D8A">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20604CF">
      <w:pPr>
        <w:jc w:val="center"/>
        <w:outlineLvl w:val="1"/>
        <w:rPr>
          <w:rFonts w:ascii="仿宋" w:hAnsi="仿宋" w:eastAsia="仿宋" w:cs="仿宋"/>
          <w:b/>
          <w:bCs/>
          <w:color w:val="auto"/>
          <w:sz w:val="32"/>
          <w:szCs w:val="44"/>
          <w:highlight w:val="none"/>
        </w:rPr>
      </w:pPr>
      <w:bookmarkStart w:id="219" w:name="_Toc1575"/>
      <w:bookmarkStart w:id="220" w:name="_Toc857"/>
      <w:r>
        <w:rPr>
          <w:rFonts w:hint="eastAsia" w:ascii="仿宋" w:hAnsi="仿宋" w:eastAsia="仿宋" w:cs="仿宋"/>
          <w:b/>
          <w:bCs/>
          <w:color w:val="auto"/>
          <w:sz w:val="32"/>
          <w:szCs w:val="44"/>
          <w:highlight w:val="none"/>
        </w:rPr>
        <w:t>质疑函范本</w:t>
      </w:r>
      <w:bookmarkEnd w:id="219"/>
      <w:bookmarkEnd w:id="220"/>
    </w:p>
    <w:p w14:paraId="00E84F7F">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21" w:name="_Toc21381"/>
      <w:r>
        <w:rPr>
          <w:rFonts w:hint="eastAsia" w:cs="仿宋" w:asciiTheme="minorEastAsia" w:hAnsiTheme="minorEastAsia" w:eastAsiaTheme="minorEastAsia"/>
          <w:b/>
          <w:bCs/>
          <w:color w:val="auto"/>
          <w:sz w:val="24"/>
          <w:szCs w:val="24"/>
          <w:highlight w:val="none"/>
        </w:rPr>
        <w:t>一、质疑供应商基本信息</w:t>
      </w:r>
      <w:bookmarkEnd w:id="221"/>
    </w:p>
    <w:p w14:paraId="2496B9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5EDDBE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E0AF6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7F70D4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7507B8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7831E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1138E7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2" w:name="_Toc28415"/>
      <w:r>
        <w:rPr>
          <w:rFonts w:hint="eastAsia" w:cs="仿宋" w:asciiTheme="minorEastAsia" w:hAnsiTheme="minorEastAsia" w:eastAsiaTheme="minorEastAsia"/>
          <w:b/>
          <w:bCs/>
          <w:color w:val="auto"/>
          <w:sz w:val="24"/>
          <w:szCs w:val="24"/>
          <w:highlight w:val="none"/>
        </w:rPr>
        <w:t>二、质疑项目基本情况</w:t>
      </w:r>
      <w:bookmarkEnd w:id="222"/>
    </w:p>
    <w:p w14:paraId="0EFFFD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39B9C5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F901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FC7688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5DD48F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3" w:name="_Toc19014"/>
      <w:r>
        <w:rPr>
          <w:rFonts w:hint="eastAsia" w:cs="仿宋" w:asciiTheme="minorEastAsia" w:hAnsiTheme="minorEastAsia" w:eastAsiaTheme="minorEastAsia"/>
          <w:b/>
          <w:bCs/>
          <w:color w:val="auto"/>
          <w:sz w:val="24"/>
          <w:szCs w:val="24"/>
          <w:highlight w:val="none"/>
        </w:rPr>
        <w:t>三、质疑事项具体内容</w:t>
      </w:r>
      <w:bookmarkEnd w:id="223"/>
    </w:p>
    <w:p w14:paraId="4CF50E8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894FB2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E23A1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9A76C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6FFA3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DEF22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434BE1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A2C094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4" w:name="_Toc17919"/>
      <w:r>
        <w:rPr>
          <w:rFonts w:hint="eastAsia" w:cs="仿宋" w:asciiTheme="minorEastAsia" w:hAnsiTheme="minorEastAsia" w:eastAsiaTheme="minorEastAsia"/>
          <w:b/>
          <w:bCs/>
          <w:color w:val="auto"/>
          <w:sz w:val="24"/>
          <w:szCs w:val="24"/>
          <w:highlight w:val="none"/>
        </w:rPr>
        <w:t>四、与质疑事项相关的质疑请求</w:t>
      </w:r>
      <w:bookmarkEnd w:id="224"/>
    </w:p>
    <w:p w14:paraId="66DF83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7E628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37F1CA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1E1C5C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F95784D">
      <w:pPr>
        <w:outlineLvl w:val="0"/>
        <w:rPr>
          <w:rFonts w:asciiTheme="minorEastAsia" w:hAnsiTheme="minorEastAsia" w:eastAsiaTheme="minorEastAsia"/>
          <w:b/>
          <w:color w:val="auto"/>
          <w:sz w:val="28"/>
          <w:szCs w:val="32"/>
          <w:highlight w:val="none"/>
        </w:rPr>
      </w:pPr>
      <w:bookmarkStart w:id="225" w:name="_Toc9754"/>
      <w:bookmarkStart w:id="226" w:name="_Toc22239"/>
      <w:r>
        <w:rPr>
          <w:rFonts w:hint="eastAsia" w:asciiTheme="minorEastAsia" w:hAnsiTheme="minorEastAsia" w:eastAsiaTheme="minorEastAsia"/>
          <w:b/>
          <w:color w:val="auto"/>
          <w:sz w:val="28"/>
          <w:szCs w:val="32"/>
          <w:highlight w:val="none"/>
        </w:rPr>
        <w:t>质疑函制作说明：</w:t>
      </w:r>
      <w:bookmarkEnd w:id="225"/>
      <w:bookmarkEnd w:id="226"/>
    </w:p>
    <w:p w14:paraId="6B58D4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FBCCE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FA19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60CA2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1F340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332990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B90EE69">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11028815">
      <w:pPr>
        <w:keepNext/>
        <w:keepLines/>
        <w:spacing w:before="200" w:after="200" w:line="600" w:lineRule="exact"/>
        <w:outlineLvl w:val="0"/>
        <w:rPr>
          <w:rFonts w:hint="eastAsia" w:ascii="宋体" w:hAnsi="宋体" w:eastAsia="宋体" w:cs="宋体"/>
          <w:b/>
          <w:bCs/>
          <w:color w:val="auto"/>
          <w:kern w:val="44"/>
          <w:sz w:val="28"/>
          <w:szCs w:val="28"/>
          <w:highlight w:val="none"/>
        </w:rPr>
      </w:pPr>
      <w:bookmarkStart w:id="227" w:name="OLE_LINK7"/>
      <w:bookmarkStart w:id="228" w:name="OLE_LINK24"/>
      <w:bookmarkStart w:id="229" w:name="OLE_LINK25"/>
      <w:r>
        <w:rPr>
          <w:rFonts w:hint="eastAsia" w:ascii="宋体" w:hAnsi="宋体" w:eastAsia="宋体" w:cs="宋体"/>
          <w:b/>
          <w:bCs/>
          <w:color w:val="auto"/>
          <w:kern w:val="44"/>
          <w:sz w:val="36"/>
          <w:szCs w:val="28"/>
          <w:highlight w:val="none"/>
        </w:rPr>
        <w:t>附件1关于联合惩戒失信行为加强信用查询管理的通知</w:t>
      </w:r>
    </w:p>
    <w:bookmarkEnd w:id="227"/>
    <w:p w14:paraId="6D048F04">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一、失信行为联合惩戒的范围和查询渠道</w:t>
      </w:r>
    </w:p>
    <w:p w14:paraId="36666706">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在我市公共资源交易活动中对存在下列失信行为的投标人、法定代表人及其项目经理（建造师）实施联合惩戒，禁止参与我市公共资源交易活动。</w:t>
      </w:r>
    </w:p>
    <w:p w14:paraId="385F8CE2">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（一）工程建设项目</w:t>
      </w:r>
    </w:p>
    <w:bookmarkEnd w:id="228"/>
    <w:bookmarkEnd w:id="229"/>
    <w:p w14:paraId="4BA62960">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1、“信用中国”网站（www.creditchina.gov.cn）查询</w:t>
      </w:r>
      <w:bookmarkStart w:id="230" w:name="OLE_LINK92"/>
      <w:bookmarkStart w:id="231" w:name="OLE_LINK91"/>
      <w:bookmarkStart w:id="232" w:name="OLE_LINK103"/>
      <w:bookmarkStart w:id="233" w:name="OLE_LINK93"/>
      <w:r>
        <w:rPr>
          <w:rFonts w:hint="eastAsia" w:ascii="宋体" w:hAnsi="宋体" w:eastAsia="宋体" w:cs="宋体"/>
          <w:color w:val="auto"/>
          <w:sz w:val="28"/>
          <w:szCs w:val="28"/>
          <w:highlight w:val="none"/>
        </w:rPr>
        <w:t>投标人、法定代表人及其项目经理(建造师)</w:t>
      </w:r>
      <w:bookmarkEnd w:id="230"/>
      <w:bookmarkEnd w:id="231"/>
      <w:bookmarkEnd w:id="232"/>
      <w:bookmarkEnd w:id="233"/>
      <w:r>
        <w:rPr>
          <w:rFonts w:hint="eastAsia" w:ascii="宋体" w:hAnsi="宋体" w:eastAsia="宋体" w:cs="宋体"/>
          <w:color w:val="auto"/>
          <w:sz w:val="28"/>
          <w:szCs w:val="28"/>
          <w:highlight w:val="none"/>
        </w:rPr>
        <w:t>以下失信行为：</w:t>
      </w:r>
    </w:p>
    <w:p w14:paraId="799C81AE">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34" w:name="OLE_LINK119"/>
      <w:bookmarkStart w:id="235" w:name="OLE_LINK86"/>
      <w:bookmarkStart w:id="236" w:name="OLE_LINK3"/>
      <w:bookmarkStart w:id="237" w:name="OLE_LINK87"/>
      <w:bookmarkStart w:id="238" w:name="OLE_LINK94"/>
      <w:r>
        <w:rPr>
          <w:rFonts w:hint="eastAsia" w:ascii="宋体" w:hAnsi="宋体" w:eastAsia="宋体" w:cs="宋体"/>
          <w:color w:val="auto"/>
          <w:sz w:val="28"/>
          <w:szCs w:val="28"/>
          <w:highlight w:val="none"/>
        </w:rPr>
        <w:t>①被列入“失信被执行人”的;</w:t>
      </w:r>
    </w:p>
    <w:p w14:paraId="2C608B78">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②被列入</w:t>
      </w:r>
      <w:bookmarkStart w:id="239" w:name="OLE_LINK117"/>
      <w:bookmarkStart w:id="240" w:name="OLE_LINK115"/>
      <w:bookmarkStart w:id="241" w:name="OLE_LINK118"/>
      <w:bookmarkStart w:id="242" w:name="OLE_LINK116"/>
      <w:r>
        <w:rPr>
          <w:rFonts w:hint="eastAsia" w:ascii="宋体" w:hAnsi="宋体" w:eastAsia="宋体" w:cs="宋体"/>
          <w:color w:val="auto"/>
          <w:sz w:val="28"/>
          <w:szCs w:val="28"/>
          <w:highlight w:val="none"/>
        </w:rPr>
        <w:t>“重大税收违法失信主体”</w:t>
      </w:r>
      <w:bookmarkEnd w:id="239"/>
      <w:bookmarkEnd w:id="240"/>
      <w:bookmarkEnd w:id="241"/>
      <w:bookmarkEnd w:id="242"/>
      <w:r>
        <w:rPr>
          <w:rFonts w:hint="eastAsia" w:ascii="宋体" w:hAnsi="宋体" w:eastAsia="宋体" w:cs="宋体"/>
          <w:color w:val="auto"/>
          <w:sz w:val="28"/>
          <w:szCs w:val="28"/>
          <w:highlight w:val="none"/>
        </w:rPr>
        <w:t>的；</w:t>
      </w:r>
    </w:p>
    <w:p w14:paraId="5DC2D582">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43" w:name="OLE_LINK2"/>
      <w:bookmarkStart w:id="244" w:name="OLE_LINK1"/>
      <w:r>
        <w:rPr>
          <w:rFonts w:hint="eastAsia" w:ascii="宋体" w:hAnsi="宋体" w:eastAsia="宋体" w:cs="宋体"/>
          <w:color w:val="auto"/>
          <w:sz w:val="28"/>
          <w:szCs w:val="28"/>
          <w:highlight w:val="none"/>
        </w:rPr>
        <w:t>③被列入“拖欠</w:t>
      </w:r>
      <w:bookmarkStart w:id="245" w:name="OLE_LINK84"/>
      <w:bookmarkStart w:id="246" w:name="OLE_LINK85"/>
      <w:r>
        <w:rPr>
          <w:rFonts w:hint="eastAsia" w:ascii="宋体" w:hAnsi="宋体" w:eastAsia="宋体" w:cs="宋体"/>
          <w:color w:val="auto"/>
          <w:sz w:val="28"/>
          <w:szCs w:val="28"/>
          <w:highlight w:val="none"/>
        </w:rPr>
        <w:t>农民工工资失信联合惩戒对象</w:t>
      </w:r>
      <w:bookmarkEnd w:id="245"/>
      <w:bookmarkEnd w:id="246"/>
      <w:r>
        <w:rPr>
          <w:rFonts w:hint="eastAsia" w:ascii="宋体" w:hAnsi="宋体" w:eastAsia="宋体" w:cs="宋体"/>
          <w:color w:val="auto"/>
          <w:sz w:val="28"/>
          <w:szCs w:val="28"/>
          <w:highlight w:val="none"/>
        </w:rPr>
        <w:t>名单”的；</w:t>
      </w:r>
      <w:bookmarkEnd w:id="243"/>
      <w:bookmarkEnd w:id="244"/>
    </w:p>
    <w:p w14:paraId="22FB3D89">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④被列入“严重失信主体名单”的；</w:t>
      </w:r>
    </w:p>
    <w:p w14:paraId="51AD3D93">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⑤在“信用中国”网站上披露的仍在公示期的严重失信行为(具体行为类别及判定依据见附件2)的。</w:t>
      </w:r>
    </w:p>
    <w:bookmarkEnd w:id="234"/>
    <w:bookmarkEnd w:id="235"/>
    <w:bookmarkEnd w:id="236"/>
    <w:bookmarkEnd w:id="237"/>
    <w:bookmarkEnd w:id="238"/>
    <w:p w14:paraId="7E589AD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bookmarkStart w:id="247" w:name="OLE_LINK130"/>
      <w:r>
        <w:rPr>
          <w:rFonts w:hint="eastAsia" w:ascii="宋体" w:hAnsi="宋体" w:eastAsia="宋体" w:cs="宋体"/>
          <w:color w:val="auto"/>
          <w:sz w:val="28"/>
          <w:szCs w:val="28"/>
          <w:highlight w:val="none"/>
        </w:rPr>
        <w:t>国家企业信用信息公示系统网站</w:t>
      </w:r>
      <w:bookmarkEnd w:id="247"/>
      <w:r>
        <w:rPr>
          <w:rFonts w:hint="eastAsia" w:ascii="宋体" w:hAnsi="宋体" w:eastAsia="宋体" w:cs="宋体"/>
          <w:color w:val="auto"/>
          <w:sz w:val="28"/>
          <w:szCs w:val="28"/>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"http://www.gsxt.gov.cn）查询" </w:instrText>
      </w:r>
      <w:r>
        <w:rPr>
          <w:rFonts w:hint="eastAsia" w:ascii="宋体" w:hAnsi="宋体" w:eastAsia="宋体" w:cs="宋体"/>
          <w:color w:val="auto"/>
          <w:highlight w:val="none"/>
        </w:rPr>
        <w:fldChar w:fldCharType="separate"/>
      </w:r>
      <w:bookmarkStart w:id="248" w:name="OLE_LINK90"/>
      <w:bookmarkStart w:id="249" w:name="OLE_LINK89"/>
      <w:r>
        <w:rPr>
          <w:rStyle w:val="37"/>
          <w:rFonts w:hint="eastAsia" w:ascii="宋体" w:hAnsi="宋体" w:eastAsia="宋体" w:cs="宋体"/>
          <w:color w:val="auto"/>
          <w:sz w:val="28"/>
          <w:szCs w:val="28"/>
          <w:highlight w:val="none"/>
        </w:rPr>
        <w:t>www.gsxt.gov.cn</w:t>
      </w:r>
      <w:bookmarkEnd w:id="248"/>
      <w:bookmarkEnd w:id="249"/>
      <w:r>
        <w:rPr>
          <w:rStyle w:val="37"/>
          <w:rFonts w:hint="eastAsia" w:ascii="宋体" w:hAnsi="宋体" w:eastAsia="宋体" w:cs="宋体"/>
          <w:color w:val="auto"/>
          <w:sz w:val="28"/>
          <w:szCs w:val="28"/>
          <w:highlight w:val="none"/>
        </w:rPr>
        <w:t>）</w:t>
      </w:r>
      <w:r>
        <w:rPr>
          <w:rStyle w:val="37"/>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查询投标人以下失信行为：</w:t>
      </w:r>
    </w:p>
    <w:p w14:paraId="05D63414">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50" w:name="OLE_LINK120"/>
      <w:bookmarkStart w:id="251" w:name="OLE_LINK121"/>
      <w:bookmarkStart w:id="252" w:name="OLE_LINK122"/>
      <w:r>
        <w:rPr>
          <w:rFonts w:hint="eastAsia" w:ascii="宋体" w:hAnsi="宋体" w:eastAsia="宋体" w:cs="宋体"/>
          <w:color w:val="auto"/>
          <w:sz w:val="28"/>
          <w:szCs w:val="28"/>
          <w:highlight w:val="none"/>
        </w:rPr>
        <w:t>①被列入“经营异常名录”或者“严重违法失信名单”的。</w:t>
      </w:r>
      <w:bookmarkEnd w:id="250"/>
      <w:bookmarkEnd w:id="251"/>
      <w:bookmarkEnd w:id="252"/>
    </w:p>
    <w:p w14:paraId="7CBEC081">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3、由</w:t>
      </w:r>
      <w:r>
        <w:rPr>
          <w:rFonts w:hint="eastAsia" w:ascii="宋体" w:hAnsi="宋体" w:eastAsia="宋体" w:cs="宋体"/>
          <w:color w:val="auto"/>
          <w:kern w:val="0"/>
          <w:sz w:val="28"/>
          <w:szCs w:val="28"/>
          <w:highlight w:val="none"/>
        </w:rPr>
        <w:t>投标人、法定代表人及其项目经理(建造师)</w:t>
      </w:r>
      <w:r>
        <w:rPr>
          <w:rFonts w:hint="eastAsia" w:ascii="宋体" w:hAnsi="宋体" w:eastAsia="宋体" w:cs="宋体"/>
          <w:color w:val="auto"/>
          <w:sz w:val="28"/>
          <w:szCs w:val="28"/>
          <w:highlight w:val="none"/>
        </w:rPr>
        <w:t>进行承诺，不进行现场网上信用查询的失信行为：</w:t>
      </w:r>
    </w:p>
    <w:p w14:paraId="06B904FA">
      <w:pPr>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53" w:name="OLE_LINK124"/>
      <w:bookmarkStart w:id="254" w:name="OLE_LINK123"/>
      <w:r>
        <w:rPr>
          <w:rFonts w:hint="eastAsia" w:ascii="宋体" w:hAnsi="宋体" w:eastAsia="宋体" w:cs="宋体"/>
          <w:color w:val="auto"/>
          <w:sz w:val="28"/>
          <w:szCs w:val="28"/>
          <w:highlight w:val="none"/>
        </w:rPr>
        <w:t>①前三年有行贿犯罪行为的单位和个人；</w:t>
      </w:r>
    </w:p>
    <w:p w14:paraId="6260DCB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②被滁州市县两级公管部门取消在一定期限内的投标资格且在取消期限内的；</w:t>
      </w:r>
    </w:p>
    <w:p w14:paraId="102AB017">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③被滁州市县两级各行业主管部门取消在一定期限内的投标资格且在取消期限内的；</w:t>
      </w:r>
    </w:p>
    <w:p w14:paraId="3B11132A">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④因拖欠农民工工资被</w:t>
      </w:r>
      <w:bookmarkStart w:id="255" w:name="OLE_LINK107"/>
      <w:bookmarkStart w:id="256" w:name="OLE_LINK108"/>
      <w:r>
        <w:rPr>
          <w:rFonts w:hint="eastAsia" w:ascii="宋体" w:hAnsi="宋体" w:eastAsia="宋体" w:cs="宋体"/>
          <w:color w:val="auto"/>
          <w:sz w:val="28"/>
          <w:szCs w:val="28"/>
          <w:highlight w:val="none"/>
        </w:rPr>
        <w:t>县级及以上有关行政主管部门限制投标资格且在限制期限内的</w:t>
      </w:r>
      <w:bookmarkEnd w:id="255"/>
      <w:bookmarkEnd w:id="256"/>
      <w:r>
        <w:rPr>
          <w:rFonts w:hint="eastAsia" w:ascii="宋体" w:hAnsi="宋体" w:eastAsia="宋体" w:cs="宋体"/>
          <w:color w:val="auto"/>
          <w:sz w:val="28"/>
          <w:szCs w:val="28"/>
          <w:highlight w:val="none"/>
        </w:rPr>
        <w:t>；</w:t>
      </w:r>
    </w:p>
    <w:p w14:paraId="357C496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53"/>
    <w:bookmarkEnd w:id="254"/>
    <w:p w14:paraId="7C7C2CBA">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（二）政府采购项目</w:t>
      </w:r>
    </w:p>
    <w:p w14:paraId="43FA9B7A">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1、“信用中国”网站（</w:t>
      </w:r>
      <w:r>
        <w:rPr>
          <w:rStyle w:val="37"/>
          <w:rFonts w:hint="eastAsia" w:ascii="宋体" w:hAnsi="宋体" w:eastAsia="宋体" w:cs="宋体"/>
          <w:color w:val="auto"/>
          <w:sz w:val="28"/>
          <w:szCs w:val="28"/>
          <w:highlight w:val="none"/>
        </w:rPr>
        <w:t>www.creditchina.gov.cn</w:t>
      </w:r>
      <w:r>
        <w:rPr>
          <w:rFonts w:hint="eastAsia" w:ascii="宋体" w:hAnsi="宋体" w:eastAsia="宋体" w:cs="宋体"/>
          <w:color w:val="auto"/>
          <w:sz w:val="28"/>
          <w:szCs w:val="28"/>
          <w:highlight w:val="none"/>
        </w:rPr>
        <w:t>）查询供应商、法定代表人及其项目负责人以下失信行为：</w:t>
      </w:r>
    </w:p>
    <w:p w14:paraId="4A1173D9">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①被列入“失信被执行人”的;</w:t>
      </w:r>
    </w:p>
    <w:p w14:paraId="5E4FEABB">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②被列入“重大税收违法失信主体”的；</w:t>
      </w:r>
    </w:p>
    <w:p w14:paraId="09C9790E">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③被列入“严重失信主体名单”的；</w:t>
      </w:r>
    </w:p>
    <w:p w14:paraId="2CD7A653">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④在“信用中国”网站上披露的仍在公示期的严重失信行为(具体行为类别及判定依据见附件2)的；</w:t>
      </w:r>
    </w:p>
    <w:p w14:paraId="1EE2A20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2、国家企业信用信息公示系统网站（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"http://www.gsxt.gov.cn）查询"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www.gsxt.gov.cn）</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查询供应商以下失信行为：</w:t>
      </w:r>
    </w:p>
    <w:p w14:paraId="4C305ED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w:t>
      </w:r>
      <w:bookmarkStart w:id="257" w:name="OLE_LINK100"/>
      <w:bookmarkStart w:id="258" w:name="OLE_LINK102"/>
      <w:bookmarkStart w:id="259" w:name="OLE_LINK101"/>
      <w:r>
        <w:rPr>
          <w:rFonts w:hint="eastAsia" w:ascii="宋体" w:hAnsi="宋体" w:eastAsia="宋体" w:cs="宋体"/>
          <w:color w:val="auto"/>
          <w:sz w:val="28"/>
          <w:szCs w:val="28"/>
          <w:highlight w:val="none"/>
        </w:rPr>
        <w:t>被列入“经营异常名录”或者“严重违法失信名单”的</w:t>
      </w:r>
      <w:bookmarkEnd w:id="257"/>
      <w:bookmarkEnd w:id="258"/>
      <w:bookmarkEnd w:id="259"/>
      <w:r>
        <w:rPr>
          <w:rFonts w:hint="eastAsia" w:ascii="宋体" w:hAnsi="宋体" w:eastAsia="宋体" w:cs="宋体"/>
          <w:color w:val="auto"/>
          <w:sz w:val="28"/>
          <w:szCs w:val="28"/>
          <w:highlight w:val="none"/>
        </w:rPr>
        <w:t>。</w:t>
      </w:r>
    </w:p>
    <w:p w14:paraId="6A23E4BF">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3、中国政府采购网站（</w:t>
      </w:r>
      <w:bookmarkStart w:id="260" w:name="OLE_LINK96"/>
      <w:bookmarkStart w:id="261" w:name="OLE_LINK95"/>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"http://www.ccgp.gov.cn"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www.ccgp.gov.cn</w:t>
      </w:r>
      <w:r>
        <w:rPr>
          <w:rFonts w:hint="eastAsia" w:ascii="宋体" w:hAnsi="宋体" w:eastAsia="宋体" w:cs="宋体"/>
          <w:color w:val="auto"/>
          <w:sz w:val="28"/>
          <w:szCs w:val="28"/>
          <w:highlight w:val="none"/>
        </w:rPr>
        <w:fldChar w:fldCharType="end"/>
      </w:r>
      <w:bookmarkEnd w:id="260"/>
      <w:bookmarkEnd w:id="261"/>
      <w:r>
        <w:rPr>
          <w:rFonts w:hint="eastAsia" w:ascii="宋体" w:hAnsi="宋体" w:eastAsia="宋体" w:cs="宋体"/>
          <w:color w:val="auto"/>
          <w:sz w:val="28"/>
          <w:szCs w:val="28"/>
          <w:highlight w:val="none"/>
        </w:rPr>
        <w:t>）查询以下失信行为：</w:t>
      </w:r>
    </w:p>
    <w:p w14:paraId="795516ED">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w:t>
      </w:r>
      <w:bookmarkStart w:id="262" w:name="OLE_LINK104"/>
      <w:bookmarkStart w:id="263" w:name="OLE_LINK105"/>
      <w:bookmarkStart w:id="264" w:name="OLE_LINK106"/>
      <w:r>
        <w:rPr>
          <w:rFonts w:hint="eastAsia" w:ascii="宋体" w:hAnsi="宋体" w:eastAsia="宋体" w:cs="宋体"/>
          <w:color w:val="auto"/>
          <w:sz w:val="28"/>
          <w:szCs w:val="28"/>
          <w:highlight w:val="none"/>
        </w:rPr>
        <w:t>被列入“政府采购严重违法失信行为信息记录”的</w:t>
      </w:r>
      <w:bookmarkEnd w:id="262"/>
      <w:bookmarkEnd w:id="263"/>
      <w:bookmarkEnd w:id="264"/>
      <w:r>
        <w:rPr>
          <w:rFonts w:hint="eastAsia" w:ascii="宋体" w:hAnsi="宋体" w:eastAsia="宋体" w:cs="宋体"/>
          <w:color w:val="auto"/>
          <w:sz w:val="28"/>
          <w:szCs w:val="28"/>
          <w:highlight w:val="none"/>
        </w:rPr>
        <w:t>。</w:t>
      </w:r>
    </w:p>
    <w:p w14:paraId="5B85E768">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4、由竞争主体进行承诺，不进行现场网上信用查询的失信行为：</w:t>
      </w:r>
    </w:p>
    <w:p w14:paraId="73E7B85E">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①前三年有行贿犯罪行为的单位和个人。</w:t>
      </w:r>
    </w:p>
    <w:p w14:paraId="4501C237">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二、在开评标活动中的查询程序</w:t>
      </w:r>
    </w:p>
    <w:p w14:paraId="48DD2777">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9C062E2">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59C71FE">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3、项目单位及其委托的代理机构应当做好信用查询结果截图和记录留存。</w:t>
      </w:r>
    </w:p>
    <w:p w14:paraId="54452CF6">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三、相关要求</w:t>
      </w:r>
    </w:p>
    <w:p w14:paraId="05D3845D">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B0CECA9">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BF19179">
      <w:pPr>
        <w:wordWrap w:val="0"/>
        <w:adjustRightInd w:val="0"/>
        <w:snapToGrid w:val="0"/>
        <w:spacing w:line="56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信用中国(安徽)”网站信用报告核验系统(</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"https://credit.ah.gov.cn/xinyong-fuwu/xvbahv/index.html"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https://credit.ah.gov.cn/xinyong-fuwu/xvbahv/index.html</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61502CC">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2、“信用中国”查询的严重失信行为判定依据为各行业主管部门下发的联合惩戒文件中规定的行为（按附件2执行）。</w:t>
      </w:r>
    </w:p>
    <w:p w14:paraId="0E47ED3C">
      <w:pPr>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3、资格预审的项目以递交资格预审申请文件截止时间查询为准；资格后审的项目以递交投标文件截止时间查询为准。</w:t>
      </w:r>
    </w:p>
    <w:p w14:paraId="6167A46A">
      <w:pPr>
        <w:ind w:right="960"/>
        <w:rPr>
          <w:rFonts w:hint="eastAsia" w:ascii="宋体" w:hAnsi="宋体" w:eastAsia="宋体" w:cs="宋体"/>
          <w:color w:val="auto"/>
          <w:sz w:val="32"/>
          <w:szCs w:val="32"/>
          <w:highlight w:val="none"/>
        </w:rPr>
      </w:pPr>
    </w:p>
    <w:p w14:paraId="6E76944A">
      <w:pPr>
        <w:ind w:right="960"/>
        <w:rPr>
          <w:rFonts w:hint="eastAsia" w:ascii="宋体" w:hAnsi="宋体" w:eastAsia="宋体" w:cs="宋体"/>
          <w:color w:val="auto"/>
          <w:sz w:val="32"/>
          <w:szCs w:val="32"/>
          <w:highlight w:val="none"/>
        </w:rPr>
      </w:pPr>
    </w:p>
    <w:p w14:paraId="428EBDBB">
      <w:pPr>
        <w:ind w:right="960"/>
        <w:rPr>
          <w:rFonts w:hint="eastAsia" w:ascii="宋体" w:hAnsi="宋体" w:eastAsia="宋体" w:cs="宋体"/>
          <w:color w:val="auto"/>
          <w:sz w:val="32"/>
          <w:szCs w:val="32"/>
          <w:highlight w:val="none"/>
        </w:rPr>
      </w:pPr>
    </w:p>
    <w:p w14:paraId="6C5858DE">
      <w:pPr>
        <w:ind w:right="960"/>
        <w:rPr>
          <w:rFonts w:hint="eastAsia" w:ascii="宋体" w:hAnsi="宋体" w:eastAsia="宋体" w:cs="宋体"/>
          <w:color w:val="auto"/>
          <w:sz w:val="32"/>
          <w:szCs w:val="32"/>
          <w:highlight w:val="none"/>
        </w:rPr>
      </w:pPr>
    </w:p>
    <w:p w14:paraId="290EF0EE">
      <w:pPr>
        <w:ind w:right="960"/>
        <w:rPr>
          <w:rFonts w:hint="eastAsia" w:ascii="宋体" w:hAnsi="宋体" w:eastAsia="宋体" w:cs="宋体"/>
          <w:color w:val="auto"/>
          <w:sz w:val="32"/>
          <w:szCs w:val="32"/>
          <w:highlight w:val="none"/>
        </w:rPr>
      </w:pPr>
    </w:p>
    <w:p w14:paraId="4A7A2FF5">
      <w:pPr>
        <w:ind w:right="960"/>
        <w:rPr>
          <w:rFonts w:hint="eastAsia" w:ascii="宋体" w:hAnsi="宋体" w:eastAsia="宋体" w:cs="宋体"/>
          <w:color w:val="auto"/>
          <w:sz w:val="32"/>
          <w:szCs w:val="32"/>
          <w:highlight w:val="none"/>
        </w:rPr>
      </w:pPr>
    </w:p>
    <w:p w14:paraId="024EF44B">
      <w:pPr>
        <w:ind w:right="960"/>
        <w:rPr>
          <w:rFonts w:hint="eastAsia" w:ascii="宋体" w:hAnsi="宋体" w:eastAsia="宋体" w:cs="宋体"/>
          <w:color w:val="auto"/>
          <w:sz w:val="32"/>
          <w:szCs w:val="32"/>
          <w:highlight w:val="none"/>
        </w:rPr>
      </w:pPr>
    </w:p>
    <w:p w14:paraId="2F4D632B">
      <w:pPr>
        <w:ind w:right="960"/>
        <w:rPr>
          <w:rFonts w:hint="eastAsia" w:ascii="宋体" w:hAnsi="宋体" w:eastAsia="宋体" w:cs="宋体"/>
          <w:color w:val="auto"/>
          <w:sz w:val="32"/>
          <w:szCs w:val="32"/>
          <w:highlight w:val="none"/>
        </w:rPr>
      </w:pPr>
    </w:p>
    <w:p w14:paraId="0368E7C3">
      <w:pPr>
        <w:ind w:right="960"/>
        <w:rPr>
          <w:rFonts w:hint="eastAsia" w:ascii="宋体" w:hAnsi="宋体" w:eastAsia="宋体" w:cs="宋体"/>
          <w:color w:val="auto"/>
          <w:sz w:val="32"/>
          <w:szCs w:val="32"/>
          <w:highlight w:val="none"/>
        </w:rPr>
      </w:pPr>
    </w:p>
    <w:p w14:paraId="5748BF89">
      <w:pPr>
        <w:keepNext/>
        <w:keepLines/>
        <w:spacing w:before="200" w:after="200" w:line="600" w:lineRule="exact"/>
        <w:outlineLvl w:val="0"/>
        <w:rPr>
          <w:rFonts w:hint="eastAsia" w:ascii="宋体" w:hAnsi="宋体" w:eastAsia="宋体" w:cs="宋体"/>
          <w:b/>
          <w:bCs/>
          <w:color w:val="auto"/>
          <w:kern w:val="44"/>
          <w:sz w:val="36"/>
          <w:szCs w:val="28"/>
          <w:highlight w:val="none"/>
        </w:rPr>
      </w:pPr>
      <w:bookmarkStart w:id="265" w:name="_Toc95223549"/>
      <w:bookmarkStart w:id="266" w:name="OLE_LINK31"/>
      <w:bookmarkStart w:id="267" w:name="OLE_LINK32"/>
      <w:bookmarkStart w:id="268" w:name="OLE_LINK41"/>
      <w:r>
        <w:rPr>
          <w:rFonts w:hint="eastAsia" w:ascii="宋体" w:hAnsi="宋体" w:eastAsia="宋体" w:cs="宋体"/>
          <w:b/>
          <w:bCs/>
          <w:color w:val="auto"/>
          <w:kern w:val="44"/>
          <w:sz w:val="36"/>
          <w:szCs w:val="28"/>
          <w:highlight w:val="none"/>
        </w:rPr>
        <w:br w:type="page"/>
      </w:r>
      <w:r>
        <w:rPr>
          <w:rFonts w:hint="eastAsia" w:ascii="宋体" w:hAnsi="宋体" w:eastAsia="宋体" w:cs="宋体"/>
          <w:b/>
          <w:bCs/>
          <w:color w:val="auto"/>
          <w:kern w:val="44"/>
          <w:sz w:val="36"/>
          <w:szCs w:val="28"/>
          <w:highlight w:val="none"/>
        </w:rPr>
        <w:t>附件2</w:t>
      </w:r>
      <w:bookmarkStart w:id="269" w:name="OLE_LINK75"/>
      <w:bookmarkStart w:id="270" w:name="OLE_LINK74"/>
      <w:r>
        <w:rPr>
          <w:rFonts w:hint="eastAsia" w:ascii="宋体" w:hAnsi="宋体" w:eastAsia="宋体" w:cs="宋体"/>
          <w:b/>
          <w:bCs/>
          <w:color w:val="auto"/>
          <w:kern w:val="44"/>
          <w:sz w:val="36"/>
          <w:szCs w:val="28"/>
          <w:highlight w:val="none"/>
        </w:rPr>
        <w:t>“信用中国”查询的严重失信行为</w:t>
      </w:r>
      <w:bookmarkStart w:id="271" w:name="OLE_LINK40"/>
      <w:bookmarkStart w:id="272" w:name="OLE_LINK39"/>
      <w:bookmarkStart w:id="273" w:name="OLE_LINK76"/>
      <w:bookmarkStart w:id="274" w:name="OLE_LINK38"/>
      <w:r>
        <w:rPr>
          <w:rFonts w:hint="eastAsia" w:ascii="宋体" w:hAnsi="宋体" w:eastAsia="宋体" w:cs="宋体"/>
          <w:b/>
          <w:bCs/>
          <w:color w:val="auto"/>
          <w:kern w:val="44"/>
          <w:sz w:val="36"/>
          <w:szCs w:val="28"/>
          <w:highlight w:val="none"/>
        </w:rPr>
        <w:t>类别及判定依据</w:t>
      </w:r>
      <w:bookmarkEnd w:id="265"/>
      <w:bookmarkEnd w:id="269"/>
      <w:bookmarkEnd w:id="270"/>
      <w:bookmarkEnd w:id="271"/>
      <w:bookmarkEnd w:id="272"/>
      <w:bookmarkEnd w:id="273"/>
      <w:bookmarkEnd w:id="274"/>
    </w:p>
    <w:bookmarkEnd w:id="266"/>
    <w:bookmarkEnd w:id="267"/>
    <w:bookmarkEnd w:id="268"/>
    <w:p w14:paraId="42C22A21">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28"/>
          <w:szCs w:val="28"/>
          <w:highlight w:val="none"/>
        </w:rPr>
        <w:t>信用中国”查询的严重失信行为判定依据为各行业主管部门下发的联合惩戒文件中规定的行为。下面将部分类别的严重失信行为列举如下：</w:t>
      </w:r>
    </w:p>
    <w:p w14:paraId="09FB9746">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一、安全生产领域严重失信行为：</w:t>
      </w:r>
    </w:p>
    <w:p w14:paraId="1DACEBCA">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（一）下列发生生产安全事故的生产经营单位及其有关人员应当列入严重失信主体名单：</w:t>
      </w:r>
    </w:p>
    <w:p w14:paraId="0AA124D3">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1、发生特别重大、重大生产安全事故的生产经营单位及其主要负责人，以及经调查认定对该事故发生负有责任，应当列入名单的其他单位和人员；</w:t>
      </w:r>
    </w:p>
    <w:p w14:paraId="0388D6FD">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2、12个月内累计发生2起以上较大生产安全事故的生产经营单位及其主要负责人；</w:t>
      </w:r>
    </w:p>
    <w:p w14:paraId="5866054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9DC6D6D">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4、瞒报、谎报生产安全事故的生产经营单位及其有关责任人员；</w:t>
      </w:r>
    </w:p>
    <w:p w14:paraId="511AA377">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5、发生生产安全事故后，不立即组织抢救或者在事故调查处理期间擅离职守或者逃匿的生产经营单位主要负责人。</w:t>
      </w:r>
    </w:p>
    <w:p w14:paraId="06178771">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（二）下列未发生生产安全事故，但因安全生产违法行为，受到行政处罚的生产经营单位或者机构及其有关人员，应当列入严重失信主体名单：</w:t>
      </w:r>
    </w:p>
    <w:p w14:paraId="44708E87">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1、未依法取得安全生产相关许可或者许可被暂扣、吊销期间从事相关生产经营活动的生产经营单位及其主要负责人；</w:t>
      </w:r>
    </w:p>
    <w:p w14:paraId="5818180E">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2、承担安全评价、认证、检测、检验职责的机构及其直接责任人员租借资质、挂靠、出具虚假报告或者证书的；</w:t>
      </w:r>
    </w:p>
    <w:p w14:paraId="769BB79F">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3、在应急管理部门作出行政处罚后，有执行能力拒不执行或者逃避执行的生产经营单位及其主要负责人；</w:t>
      </w:r>
    </w:p>
    <w:p w14:paraId="7D23D6B7">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4、其他违反安全生产法律法规受到行政处罚，且性质恶劣、情节严重的。</w:t>
      </w:r>
    </w:p>
    <w:p w14:paraId="606BD56D">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依据：《安全生产严重失信主体名单管理办法》（2023年8月8日应急管理部令第11号）</w:t>
      </w:r>
    </w:p>
    <w:p w14:paraId="2CB2EDEC">
      <w:pPr>
        <w:adjustRightInd w:val="0"/>
        <w:snapToGrid w:val="0"/>
        <w:spacing w:line="560" w:lineRule="exact"/>
        <w:ind w:firstLine="645"/>
        <w:jc w:val="left"/>
        <w:rPr>
          <w:rFonts w:hint="eastAsia" w:ascii="宋体" w:hAnsi="宋体" w:eastAsia="宋体" w:cs="宋体"/>
          <w:b/>
          <w:color w:val="auto"/>
          <w:sz w:val="28"/>
          <w:szCs w:val="28"/>
          <w:highlight w:val="none"/>
        </w:rPr>
      </w:pPr>
    </w:p>
    <w:p w14:paraId="2E095670">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二、环境保护领域严重失信行为：</w:t>
      </w:r>
    </w:p>
    <w:p w14:paraId="71468EBE">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（一）因为环境违法构成</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"https://baike.sogou.com/m/fullLemma?lid=10403954&amp;g_ut=3"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环境犯罪</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w:t>
      </w:r>
    </w:p>
    <w:p w14:paraId="671E6A2A">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"https://baike.sogou.com/m/fullLemma?lid=76033123&amp;g_ut=3"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建设项目环境影响评价</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文件未按规定通过审批，擅自开工建设的；</w:t>
      </w:r>
    </w:p>
    <w:p w14:paraId="55EA240D">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（三）建设项目环保设施未建成、环保措施未落实、未通过</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"https://baike.sogou.com/m/fullLemma?lid=6470550&amp;g_ut=3"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竣工环保验收</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或者验收不合格，主体工程正式投入生产或者使用的；</w:t>
      </w:r>
    </w:p>
    <w:p w14:paraId="3FF3EA7A">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（四）建设项目性质、规模、地点、采用的生产工艺或者防治污染、防止生态破坏的措施发生重大变动，未重新报批环境影响评价文件，擅自投入生产或者使用的；</w:t>
      </w:r>
    </w:p>
    <w:p w14:paraId="51ED0D58">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（五）主要污染物排放总量超过控制指标的；</w:t>
      </w:r>
    </w:p>
    <w:p w14:paraId="08FEE8EF">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（六）私设暗管或者利用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"https://baike.sogou.com/m/fullLemma?lid=41657319&amp;g_ut=3"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渗井</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、渗坑、裂隙、溶洞等排放、倾倒、处置水污染物，或者通过私设旁路排放</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"https://baike.sogou.com/m/fullLemma?lid=7758328&amp;g_ut=3"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大气污染物</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w:t>
      </w:r>
    </w:p>
    <w:p w14:paraId="6520EE61">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（七）非法排放、倾倒、处置危险废物，或者向无</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"https://baike.sogou.com/m/fullLemma?lid=5923292&amp;g_ut=3"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经营许可证</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或者超出经营许可范围的单位或个人提供或者委托其收集、贮存、利用、处置危险废物的；</w:t>
      </w:r>
    </w:p>
    <w:p w14:paraId="4AE1F41D">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"https://baike.sogou.com/m/fullLemma?lid=167759803&amp;g_ut=3"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环境违法行为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造成集中式生活饮用水水源取水中断的；</w:t>
      </w:r>
    </w:p>
    <w:p w14:paraId="6D3245AA">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（九）环境违法行为对生活饮用水水源保护区、自然保护区、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"https://baike.sogou.com/m/fullLemma?lid=155199213&amp;g_ut=3"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国家重点生态功能区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、风景名胜区、居住功能区、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"https://baike.sogou.com/m/fullLemma?lid=7757164&amp;g_ut=3"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基本农田保护区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等环境敏感区造成重大不利影响的；</w:t>
      </w:r>
    </w:p>
    <w:p w14:paraId="32D0A8D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（十）违法从事自然资源开发、交通基础设施建设，以及其他开发建设活动，造成严重生态破坏的；</w:t>
      </w:r>
    </w:p>
    <w:p w14:paraId="08B616E5">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（十一）发生较大及以上突发环境事件的；</w:t>
      </w:r>
    </w:p>
    <w:p w14:paraId="330A0B9C">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（十二）被环保部门挂牌督办，整改逾期未完成的；</w:t>
      </w:r>
    </w:p>
    <w:p w14:paraId="12578B58">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（十三）以暴力、威胁等方式拒绝、阻挠环保部门工作人员现场检查的；</w:t>
      </w:r>
    </w:p>
    <w:p w14:paraId="46D960D9">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（十四）违反重污染天气应急预案有关规定，对重污染天气响应不力的。</w:t>
      </w:r>
    </w:p>
    <w:p w14:paraId="76E058FF">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w:t>
      </w:r>
      <w:bookmarkStart w:id="275" w:name="OLE_LINK9"/>
      <w:bookmarkStart w:id="276" w:name="OLE_LINK8"/>
      <w:bookmarkStart w:id="277" w:name="OLE_LINK10"/>
      <w:r>
        <w:rPr>
          <w:rFonts w:hint="eastAsia" w:ascii="宋体" w:hAnsi="宋体" w:eastAsia="宋体" w:cs="宋体"/>
          <w:b/>
          <w:color w:val="auto"/>
          <w:sz w:val="28"/>
          <w:szCs w:val="28"/>
          <w:highlight w:val="none"/>
        </w:rPr>
        <w:t>关于对环境保护领域失信生产经营单位及其有关人员开展联合惩戒的合作备忘录</w:t>
      </w:r>
      <w:bookmarkEnd w:id="275"/>
      <w:bookmarkEnd w:id="276"/>
      <w:bookmarkEnd w:id="277"/>
      <w:r>
        <w:rPr>
          <w:rFonts w:hint="eastAsia" w:ascii="宋体" w:hAnsi="宋体" w:eastAsia="宋体" w:cs="宋体"/>
          <w:b/>
          <w:color w:val="auto"/>
          <w:sz w:val="28"/>
          <w:szCs w:val="28"/>
          <w:highlight w:val="none"/>
        </w:rPr>
        <w:t>》、《</w:t>
      </w:r>
      <w:bookmarkStart w:id="278" w:name="OLE_LINK12"/>
      <w:bookmarkStart w:id="279" w:name="OLE_LINK11"/>
      <w:r>
        <w:rPr>
          <w:rFonts w:hint="eastAsia" w:ascii="宋体" w:hAnsi="宋体" w:eastAsia="宋体" w:cs="宋体"/>
          <w:b/>
          <w:color w:val="auto"/>
          <w:sz w:val="28"/>
          <w:szCs w:val="28"/>
          <w:highlight w:val="none"/>
        </w:rPr>
        <w:t>企业环境信用评价办法（试行）</w:t>
      </w:r>
      <w:bookmarkEnd w:id="278"/>
      <w:bookmarkEnd w:id="279"/>
      <w:r>
        <w:rPr>
          <w:rFonts w:hint="eastAsia" w:ascii="宋体" w:hAnsi="宋体" w:eastAsia="宋体" w:cs="宋体"/>
          <w:b/>
          <w:color w:val="auto"/>
          <w:sz w:val="28"/>
          <w:szCs w:val="28"/>
          <w:highlight w:val="none"/>
        </w:rPr>
        <w:t>》（环发〔2013〕150号）</w:t>
      </w:r>
    </w:p>
    <w:p w14:paraId="5EAB5F2A">
      <w:pPr>
        <w:adjustRightInd w:val="0"/>
        <w:snapToGrid w:val="0"/>
        <w:spacing w:line="560" w:lineRule="exact"/>
        <w:ind w:firstLine="645"/>
        <w:jc w:val="left"/>
        <w:rPr>
          <w:rFonts w:hint="eastAsia" w:ascii="宋体" w:hAnsi="宋体" w:eastAsia="宋体" w:cs="宋体"/>
          <w:b/>
          <w:color w:val="auto"/>
          <w:sz w:val="28"/>
          <w:szCs w:val="28"/>
          <w:highlight w:val="none"/>
        </w:rPr>
      </w:pPr>
    </w:p>
    <w:p w14:paraId="4A79DDC5">
      <w:pPr>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bCs/>
          <w:color w:val="auto"/>
          <w:sz w:val="28"/>
          <w:szCs w:val="28"/>
          <w:highlight w:val="none"/>
        </w:rPr>
        <w:t>公共资源交易领域严重失信行为</w:t>
      </w:r>
    </w:p>
    <w:p w14:paraId="02079305">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（一）违反法律规定，必须进行招标的项目而不招标的，将必须进行招标的项目化整为零或者以其他任何方式规避招标的；</w:t>
      </w:r>
    </w:p>
    <w:p w14:paraId="30FA983E">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（二）招标代理机构违反法律规定，泄露应当保密的与招标投标活动有关的情况和资料的，或者与招标人、投标人串通损害国家利益、社会公共利益或者他人合法权益的；</w:t>
      </w:r>
    </w:p>
    <w:p w14:paraId="4C5E374F">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（三）招标人以不合理的条件限制或者排斥潜在投标人的，对潜在投标人实行歧视待遇的，强制要求投标人组成联合体共同投标的，或者限制投标人之间竞争的；</w:t>
      </w:r>
    </w:p>
    <w:p w14:paraId="3BB73B59">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（四）依法必须进行招标的项目的招标人向他人透露已获取招标文件的潜在投标人的名称、数量或者可能影响公平竞争的有关招标投标的其他情况的，或者泄露标底的；</w:t>
      </w:r>
    </w:p>
    <w:p w14:paraId="5358AE25">
      <w:pPr>
        <w:adjustRightInd w:val="0"/>
        <w:snapToGrid w:val="0"/>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（五）投标人相互串通投标或者与招标人串通投标的，投标人以向招标人或者评标委员会成员行贿的手段谋取中标的；</w:t>
      </w:r>
    </w:p>
    <w:p w14:paraId="23D4234C">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（六）投标人以他人名义投标或者以其他方式弄虚作假，骗取中标的；</w:t>
      </w:r>
    </w:p>
    <w:p w14:paraId="6A6057EE">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（七）依法必须进行招标的项目，招标人违反法律规定，与投标人就投标价格、投标方案等实质性内容进行谈判的；</w:t>
      </w:r>
    </w:p>
    <w:p w14:paraId="09D2A673">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（八）评标委员会成员收受投标人的财物或者其他好处的，评标委员会成员或者参加评标的有关工作人员向他人透露对投标文件的评审和比较、中标候选人的推荐以及与评标有关的其他情况的；</w:t>
      </w:r>
    </w:p>
    <w:p w14:paraId="05C3344E">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（九）招标人在评标委员会依法推荐的中标候选人以外确定中标人的，依法必须进行招标的项目在所有投标被评标委员会否决后自行确定中标人的；</w:t>
      </w:r>
    </w:p>
    <w:p w14:paraId="6FCB902C">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（十）中标人将中标项目转让给他人的，将中标项目肢解后分别转让给他人的，违反法律规定将中标项目的部分主体、关键性工作分包给他人的，或者分包人再次分包的；</w:t>
      </w:r>
    </w:p>
    <w:p w14:paraId="25CAD814">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（十一）招标人与中标人不按照招标文件和中标人的投标文件订立合同的，或者招标人、中标人订立背离合同实质性内容的协议的；</w:t>
      </w:r>
    </w:p>
    <w:p w14:paraId="1FC19CDF">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（十二）中标人不按照与招标人订立的合同履行义务，情节严重的；</w:t>
      </w:r>
    </w:p>
    <w:p w14:paraId="09827C14">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033CAF0E">
      <w:pPr>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EC4AE48">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（十五）采购人对应当实行集中采购的政府采购项目，不委托集中采购机构实行集中采购的；</w:t>
      </w:r>
    </w:p>
    <w:p w14:paraId="6D6CD527">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（十六）采购人、采购代理机构违反法律规定隐匿、销毁应当保存的采购文件或者伪造、变造采购文件的；</w:t>
      </w:r>
    </w:p>
    <w:p w14:paraId="054CFF69">
      <w:pPr>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4A12B467">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（十八）疫苗生产企业向县级疾病预防控制机构以外的单位或者个人销售第二类疫苗的；</w:t>
      </w:r>
    </w:p>
    <w:p w14:paraId="0ABC42C3">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（十九）存在其他违反公共资源交易法律法规行为的。</w:t>
      </w:r>
    </w:p>
    <w:p w14:paraId="343074CE">
      <w:pPr>
        <w:adjustRightInd w:val="0"/>
        <w:snapToGrid w:val="0"/>
        <w:spacing w:line="560" w:lineRule="exact"/>
        <w:ind w:firstLine="894" w:firstLineChars="318"/>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w:t>
      </w:r>
      <w:bookmarkStart w:id="280" w:name="OLE_LINK14"/>
      <w:bookmarkStart w:id="281" w:name="OLE_LINK13"/>
      <w:r>
        <w:rPr>
          <w:rFonts w:hint="eastAsia" w:ascii="宋体" w:hAnsi="宋体" w:eastAsia="宋体" w:cs="宋体"/>
          <w:b/>
          <w:color w:val="auto"/>
          <w:sz w:val="28"/>
          <w:szCs w:val="28"/>
          <w:highlight w:val="none"/>
        </w:rPr>
        <w:t>关于对公共资源交易领域严重失信主体开展联合惩戒的备忘录</w:t>
      </w:r>
      <w:bookmarkEnd w:id="280"/>
      <w:bookmarkEnd w:id="281"/>
      <w:r>
        <w:rPr>
          <w:rFonts w:hint="eastAsia" w:ascii="宋体" w:hAnsi="宋体" w:eastAsia="宋体" w:cs="宋体"/>
          <w:b/>
          <w:color w:val="auto"/>
          <w:sz w:val="28"/>
          <w:szCs w:val="28"/>
          <w:highlight w:val="none"/>
        </w:rPr>
        <w:t>》（发改法规〔2018〕457号）</w:t>
      </w:r>
    </w:p>
    <w:p w14:paraId="3FA9E16C">
      <w:pPr>
        <w:adjustRightInd w:val="0"/>
        <w:snapToGrid w:val="0"/>
        <w:spacing w:line="560" w:lineRule="exact"/>
        <w:ind w:firstLine="645"/>
        <w:jc w:val="left"/>
        <w:rPr>
          <w:rFonts w:hint="eastAsia" w:ascii="宋体" w:hAnsi="宋体" w:eastAsia="宋体" w:cs="宋体"/>
          <w:color w:val="auto"/>
          <w:sz w:val="28"/>
          <w:szCs w:val="28"/>
          <w:highlight w:val="none"/>
        </w:rPr>
      </w:pPr>
    </w:p>
    <w:p w14:paraId="6DEBCF6C">
      <w:pPr>
        <w:adjustRightInd w:val="0"/>
        <w:snapToGrid w:val="0"/>
        <w:spacing w:line="560" w:lineRule="exact"/>
        <w:ind w:firstLine="645"/>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四、</w:t>
      </w:r>
      <w:r>
        <w:rPr>
          <w:rFonts w:hint="eastAsia" w:ascii="宋体" w:hAnsi="宋体" w:eastAsia="宋体" w:cs="宋体"/>
          <w:b/>
          <w:bCs/>
          <w:color w:val="auto"/>
          <w:sz w:val="28"/>
          <w:szCs w:val="28"/>
          <w:highlight w:val="none"/>
        </w:rPr>
        <w:t>社会保险领域严重失信行为</w:t>
      </w:r>
    </w:p>
    <w:p w14:paraId="7E47BCC0">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（一）用人单位未按相关规定参加社会保险且拒不整改的；</w:t>
      </w:r>
    </w:p>
    <w:p w14:paraId="5E877E68">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（二）用人单位未如实申报社会保险缴费基数且拒不整改的；</w:t>
      </w:r>
    </w:p>
    <w:p w14:paraId="2897CD29">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（三）应缴纳社会保险费却拒不缴纳的；</w:t>
      </w:r>
    </w:p>
    <w:p w14:paraId="6C376C64">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（四）隐匿、转移、侵占、挪用社会保险费款、基金或者违规投资运营的；</w:t>
      </w:r>
    </w:p>
    <w:p w14:paraId="0E8C740C">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（五）以欺诈、伪造证明材料或者其他手段参加、申报社会保险和骗取社会保险基金支出或社会保险待遇的；</w:t>
      </w:r>
    </w:p>
    <w:p w14:paraId="630BBA9D">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（六）非法获取、出售或变相交易社会保险个人权益数据的；</w:t>
      </w:r>
    </w:p>
    <w:p w14:paraId="5458C2FE">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（七）社会保险服务机构违反服务协议或相关规定的；</w:t>
      </w:r>
    </w:p>
    <w:p w14:paraId="60CD7358">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（八）拒绝协助社会保险行政部门、经办机构对事故和问题进行调查核实的；拒绝接受或协助税务部门对社会保险实施监督检查，不如实提供与社会保险相关各项资料的；</w:t>
      </w:r>
    </w:p>
    <w:p w14:paraId="0B6544FA">
      <w:pPr>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（九）其他违反法律法规规定的。</w:t>
      </w:r>
    </w:p>
    <w:p w14:paraId="18AEDA13">
      <w:pPr>
        <w:adjustRightInd w:val="0"/>
        <w:snapToGrid w:val="0"/>
        <w:spacing w:line="560" w:lineRule="exact"/>
        <w:ind w:firstLine="551" w:firstLineChars="196"/>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依据：《</w:t>
      </w:r>
      <w:bookmarkStart w:id="282" w:name="OLE_LINK15"/>
      <w:bookmarkStart w:id="283" w:name="OLE_LINK16"/>
      <w:r>
        <w:rPr>
          <w:rFonts w:hint="eastAsia" w:ascii="宋体" w:hAnsi="宋体" w:eastAsia="宋体" w:cs="宋体"/>
          <w:b/>
          <w:color w:val="auto"/>
          <w:sz w:val="28"/>
          <w:szCs w:val="28"/>
          <w:highlight w:val="none"/>
        </w:rPr>
        <w:t>关于对社会保险领域严重失信企业及其有关人员实施联合惩戒的合作备忘录</w:t>
      </w:r>
      <w:bookmarkEnd w:id="282"/>
      <w:bookmarkEnd w:id="283"/>
      <w:r>
        <w:rPr>
          <w:rFonts w:hint="eastAsia" w:ascii="宋体" w:hAnsi="宋体" w:eastAsia="宋体" w:cs="宋体"/>
          <w:b/>
          <w:color w:val="auto"/>
          <w:sz w:val="28"/>
          <w:szCs w:val="28"/>
          <w:highlight w:val="none"/>
        </w:rPr>
        <w:t>》（发改财金〔2018〕1704号）</w:t>
      </w:r>
    </w:p>
    <w:p w14:paraId="0ED8DC55">
      <w:pPr>
        <w:adjustRightInd w:val="0"/>
        <w:snapToGrid w:val="0"/>
        <w:spacing w:line="560" w:lineRule="exact"/>
        <w:jc w:val="left"/>
        <w:rPr>
          <w:rFonts w:hint="eastAsia" w:ascii="宋体" w:hAnsi="宋体" w:eastAsia="宋体" w:cs="宋体"/>
          <w:color w:val="auto"/>
          <w:sz w:val="28"/>
          <w:szCs w:val="28"/>
          <w:highlight w:val="none"/>
          <w:lang w:eastAsia="zh-CN"/>
        </w:rPr>
      </w:pPr>
    </w:p>
    <w:p w14:paraId="1C2630A0">
      <w:pPr>
        <w:adjustRightInd w:val="0"/>
        <w:snapToGrid w:val="0"/>
        <w:spacing w:line="560" w:lineRule="exact"/>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五、建筑市场领域</w:t>
      </w:r>
      <w:r>
        <w:rPr>
          <w:rFonts w:hint="eastAsia" w:ascii="宋体" w:hAnsi="宋体" w:eastAsia="宋体" w:cs="宋体"/>
          <w:b/>
          <w:bCs/>
          <w:color w:val="auto"/>
          <w:sz w:val="28"/>
          <w:szCs w:val="28"/>
          <w:highlight w:val="none"/>
        </w:rPr>
        <w:t>严重失信行为</w:t>
      </w:r>
    </w:p>
    <w:p w14:paraId="68B10761">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（一）利用虚假材料、以欺骗手段取得企业资质的；</w:t>
      </w:r>
    </w:p>
    <w:p w14:paraId="29F62343">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（二）发生转包、出借资质，受到行政处罚的；</w:t>
      </w:r>
    </w:p>
    <w:p w14:paraId="51EBC0A4">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00593A5B">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（四）经法院判决或仲裁机构裁决，认定为拖欠工程款,且拒不履行生效法律文书确定的义务的。</w:t>
      </w:r>
    </w:p>
    <w:p w14:paraId="6112CDBD">
      <w:pPr>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CAF14CC">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依据：《</w:t>
      </w:r>
      <w:bookmarkStart w:id="284" w:name="OLE_LINK18"/>
      <w:bookmarkStart w:id="285" w:name="OLE_LINK17"/>
      <w:r>
        <w:rPr>
          <w:rFonts w:hint="eastAsia" w:ascii="宋体" w:hAnsi="宋体" w:eastAsia="宋体" w:cs="宋体"/>
          <w:b/>
          <w:color w:val="auto"/>
          <w:sz w:val="28"/>
          <w:szCs w:val="28"/>
          <w:highlight w:val="none"/>
        </w:rPr>
        <w:t>建筑市场信用管理暂行办法</w:t>
      </w:r>
      <w:bookmarkEnd w:id="284"/>
      <w:bookmarkEnd w:id="285"/>
      <w:r>
        <w:rPr>
          <w:rFonts w:hint="eastAsia" w:ascii="宋体" w:hAnsi="宋体" w:eastAsia="宋体" w:cs="宋体"/>
          <w:b/>
          <w:color w:val="auto"/>
          <w:sz w:val="28"/>
          <w:szCs w:val="28"/>
          <w:highlight w:val="none"/>
        </w:rPr>
        <w:t>》（建市〔2017〕241号）</w:t>
      </w:r>
    </w:p>
    <w:p w14:paraId="00048EAD">
      <w:pPr>
        <w:adjustRightInd w:val="0"/>
        <w:snapToGrid w:val="0"/>
        <w:spacing w:line="560" w:lineRule="exact"/>
        <w:rPr>
          <w:rFonts w:hint="eastAsia" w:ascii="宋体" w:hAnsi="宋体" w:eastAsia="宋体" w:cs="宋体"/>
          <w:b/>
          <w:color w:val="auto"/>
          <w:sz w:val="28"/>
          <w:szCs w:val="28"/>
          <w:highlight w:val="none"/>
        </w:rPr>
      </w:pPr>
    </w:p>
    <w:p w14:paraId="6F44AA24">
      <w:pPr>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bookmarkStart w:id="286" w:name="OLE_LINK20"/>
      <w:bookmarkStart w:id="287" w:name="OLE_LINK19"/>
      <w:r>
        <w:rPr>
          <w:rFonts w:hint="eastAsia" w:ascii="宋体" w:hAnsi="宋体" w:eastAsia="宋体" w:cs="宋体"/>
          <w:b/>
          <w:color w:val="auto"/>
          <w:sz w:val="28"/>
          <w:szCs w:val="28"/>
          <w:highlight w:val="none"/>
        </w:rPr>
        <w:t>政府采购严重失信行为</w:t>
      </w:r>
      <w:bookmarkEnd w:id="286"/>
      <w:bookmarkEnd w:id="287"/>
    </w:p>
    <w:p w14:paraId="19978A1F">
      <w:pPr>
        <w:adjustRightInd w:val="0"/>
        <w:snapToGrid w:val="0"/>
        <w:spacing w:line="560" w:lineRule="exact"/>
        <w:ind w:firstLine="61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（一）三万元以上罚款；</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（二）在一至三年内禁止参加政府采购活动（处罚期限届满的除外）；</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（三）在一至三年内禁止代理政府采购业务（处罚期限届满的除外）；</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（四）撤销政府采购代理机构资格（仅针对《政府采购法》第78条修改前作出的处罚决定）。</w:t>
      </w:r>
    </w:p>
    <w:p w14:paraId="568AA61C">
      <w:pPr>
        <w:adjustRightInd w:val="0"/>
        <w:snapToGrid w:val="0"/>
        <w:spacing w:line="560" w:lineRule="exact"/>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依据：《关于报送政府采购严重违法失信行为信息记录的通知》（财办库〔2014〕526号）</w:t>
      </w:r>
    </w:p>
    <w:p w14:paraId="6E6942ED">
      <w:pPr>
        <w:adjustRightInd w:val="0"/>
        <w:snapToGrid w:val="0"/>
        <w:spacing w:line="560" w:lineRule="exact"/>
        <w:rPr>
          <w:rFonts w:hint="eastAsia" w:ascii="宋体" w:hAnsi="宋体" w:eastAsia="宋体" w:cs="宋体"/>
          <w:b/>
          <w:color w:val="auto"/>
          <w:sz w:val="28"/>
          <w:szCs w:val="28"/>
          <w:highlight w:val="none"/>
        </w:rPr>
      </w:pPr>
    </w:p>
    <w:p w14:paraId="48942231">
      <w:pPr>
        <w:spacing w:line="360" w:lineRule="auto"/>
        <w:ind w:firstLine="435"/>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未列出的其他类别严重失信行为，由招标人（代理机构）根据各类别行业主管部门下发的联合惩戒文件进行判</w:t>
      </w:r>
      <w:r>
        <w:rPr>
          <w:rFonts w:hint="eastAsia" w:ascii="宋体" w:hAnsi="宋体" w:eastAsia="宋体" w:cs="宋体"/>
          <w:b/>
          <w:color w:val="auto"/>
          <w:sz w:val="32"/>
          <w:szCs w:val="32"/>
          <w:highlight w:val="none"/>
        </w:rPr>
        <w:t>断。</w:t>
      </w:r>
    </w:p>
    <w:p w14:paraId="6EEC4BDF">
      <w:pPr>
        <w:pStyle w:val="6"/>
        <w:rPr>
          <w:color w:val="auto"/>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C5C1">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C22C">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8A602">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85</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E8A602">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85</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2B67">
    <w:pPr>
      <w:pStyle w:val="19"/>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1A97">
    <w:pPr>
      <w:pStyle w:val="19"/>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B4DD8"/>
    <w:multiLevelType w:val="singleLevel"/>
    <w:tmpl w:val="97BB4DD8"/>
    <w:lvl w:ilvl="0" w:tentative="0">
      <w:start w:val="7"/>
      <w:numFmt w:val="decimal"/>
      <w:lvlText w:val="%1."/>
      <w:lvlJc w:val="left"/>
      <w:pPr>
        <w:tabs>
          <w:tab w:val="left" w:pos="312"/>
        </w:tabs>
      </w:pPr>
    </w:lvl>
  </w:abstractNum>
  <w:abstractNum w:abstractNumId="1">
    <w:nsid w:val="ECED43CD"/>
    <w:multiLevelType w:val="singleLevel"/>
    <w:tmpl w:val="ECED43CD"/>
    <w:lvl w:ilvl="0" w:tentative="0">
      <w:start w:val="1"/>
      <w:numFmt w:val="decimal"/>
      <w:suff w:val="nothing"/>
      <w:lvlText w:val="（%1）"/>
      <w:lvlJc w:val="left"/>
    </w:lvl>
  </w:abstractNum>
  <w:abstractNum w:abstractNumId="2">
    <w:nsid w:val="2A064A37"/>
    <w:multiLevelType w:val="singleLevel"/>
    <w:tmpl w:val="2A064A37"/>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109E"/>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486B27"/>
    <w:rsid w:val="040A094E"/>
    <w:rsid w:val="04E36C96"/>
    <w:rsid w:val="056800F4"/>
    <w:rsid w:val="056F201D"/>
    <w:rsid w:val="05B664D4"/>
    <w:rsid w:val="07076C01"/>
    <w:rsid w:val="071C12AC"/>
    <w:rsid w:val="074E231E"/>
    <w:rsid w:val="07A934B3"/>
    <w:rsid w:val="08B15E54"/>
    <w:rsid w:val="092B4590"/>
    <w:rsid w:val="0980799C"/>
    <w:rsid w:val="0A0F6376"/>
    <w:rsid w:val="0A353CEA"/>
    <w:rsid w:val="0A6A18DB"/>
    <w:rsid w:val="0A97700D"/>
    <w:rsid w:val="0AEF3828"/>
    <w:rsid w:val="0BBB665B"/>
    <w:rsid w:val="0CB7664E"/>
    <w:rsid w:val="0E816EC5"/>
    <w:rsid w:val="0EEA6FC1"/>
    <w:rsid w:val="0F4277C2"/>
    <w:rsid w:val="0F954485"/>
    <w:rsid w:val="0FBF344F"/>
    <w:rsid w:val="10505F32"/>
    <w:rsid w:val="105A27E6"/>
    <w:rsid w:val="119B0711"/>
    <w:rsid w:val="12197477"/>
    <w:rsid w:val="12F933E5"/>
    <w:rsid w:val="13587E2C"/>
    <w:rsid w:val="1466407E"/>
    <w:rsid w:val="14810F29"/>
    <w:rsid w:val="14834E28"/>
    <w:rsid w:val="148E7D65"/>
    <w:rsid w:val="151D4243"/>
    <w:rsid w:val="15231BF9"/>
    <w:rsid w:val="179F5278"/>
    <w:rsid w:val="18950222"/>
    <w:rsid w:val="1A3B68AA"/>
    <w:rsid w:val="1A3E1C1E"/>
    <w:rsid w:val="1C141836"/>
    <w:rsid w:val="1E6B6A14"/>
    <w:rsid w:val="1FC234F7"/>
    <w:rsid w:val="20550D9A"/>
    <w:rsid w:val="21714B53"/>
    <w:rsid w:val="218E2416"/>
    <w:rsid w:val="226915FE"/>
    <w:rsid w:val="22E14C32"/>
    <w:rsid w:val="24B97929"/>
    <w:rsid w:val="2520252D"/>
    <w:rsid w:val="26163BC1"/>
    <w:rsid w:val="262221C3"/>
    <w:rsid w:val="27173732"/>
    <w:rsid w:val="277E02ED"/>
    <w:rsid w:val="285F40CA"/>
    <w:rsid w:val="28C01ECB"/>
    <w:rsid w:val="28EC3ECC"/>
    <w:rsid w:val="29BF71E3"/>
    <w:rsid w:val="2A127B63"/>
    <w:rsid w:val="2AAA4765"/>
    <w:rsid w:val="2AC21606"/>
    <w:rsid w:val="2AF63C5E"/>
    <w:rsid w:val="2B7E7608"/>
    <w:rsid w:val="2B7F04E9"/>
    <w:rsid w:val="2C305555"/>
    <w:rsid w:val="2C324425"/>
    <w:rsid w:val="2C9A21B9"/>
    <w:rsid w:val="2CE20523"/>
    <w:rsid w:val="2D496D68"/>
    <w:rsid w:val="2E6672CB"/>
    <w:rsid w:val="2E7A48DE"/>
    <w:rsid w:val="2EDC3ED8"/>
    <w:rsid w:val="2F2D046C"/>
    <w:rsid w:val="2F6351B4"/>
    <w:rsid w:val="2FCF199E"/>
    <w:rsid w:val="2FF447DB"/>
    <w:rsid w:val="30114135"/>
    <w:rsid w:val="30483E83"/>
    <w:rsid w:val="30AA0E97"/>
    <w:rsid w:val="334E4CD8"/>
    <w:rsid w:val="343C0775"/>
    <w:rsid w:val="34AA76A9"/>
    <w:rsid w:val="356C50EC"/>
    <w:rsid w:val="361108CD"/>
    <w:rsid w:val="3700166C"/>
    <w:rsid w:val="3727617F"/>
    <w:rsid w:val="375969FE"/>
    <w:rsid w:val="38694EE9"/>
    <w:rsid w:val="393C6E91"/>
    <w:rsid w:val="3AE724D1"/>
    <w:rsid w:val="3B365CC9"/>
    <w:rsid w:val="3B9A7B88"/>
    <w:rsid w:val="3BC114FF"/>
    <w:rsid w:val="3C2660C6"/>
    <w:rsid w:val="3D2C7AC8"/>
    <w:rsid w:val="3D855D12"/>
    <w:rsid w:val="3D8B42FF"/>
    <w:rsid w:val="3D8C02DD"/>
    <w:rsid w:val="3DC20089"/>
    <w:rsid w:val="3DF36A6E"/>
    <w:rsid w:val="3F1138E1"/>
    <w:rsid w:val="3F792F1E"/>
    <w:rsid w:val="40824826"/>
    <w:rsid w:val="40E63923"/>
    <w:rsid w:val="4140333C"/>
    <w:rsid w:val="41700A39"/>
    <w:rsid w:val="42545C34"/>
    <w:rsid w:val="42B443F4"/>
    <w:rsid w:val="42F43FD4"/>
    <w:rsid w:val="435E3D33"/>
    <w:rsid w:val="43A91E5B"/>
    <w:rsid w:val="44330E67"/>
    <w:rsid w:val="44BC3308"/>
    <w:rsid w:val="45BA48DB"/>
    <w:rsid w:val="45BE11FB"/>
    <w:rsid w:val="463A3650"/>
    <w:rsid w:val="46906751"/>
    <w:rsid w:val="469F0116"/>
    <w:rsid w:val="475259B7"/>
    <w:rsid w:val="48831CF9"/>
    <w:rsid w:val="49A165B8"/>
    <w:rsid w:val="49B1408D"/>
    <w:rsid w:val="4A7D4FD2"/>
    <w:rsid w:val="4A913C9A"/>
    <w:rsid w:val="4AE22D2F"/>
    <w:rsid w:val="4B1F70AC"/>
    <w:rsid w:val="4B240F94"/>
    <w:rsid w:val="4B386AE5"/>
    <w:rsid w:val="4BA75287"/>
    <w:rsid w:val="4BED70D6"/>
    <w:rsid w:val="4C3C565C"/>
    <w:rsid w:val="4C936C5D"/>
    <w:rsid w:val="4CCC79C7"/>
    <w:rsid w:val="4D7555C7"/>
    <w:rsid w:val="4DC27518"/>
    <w:rsid w:val="4EAE6DA0"/>
    <w:rsid w:val="4FD037EF"/>
    <w:rsid w:val="5016514B"/>
    <w:rsid w:val="502857C7"/>
    <w:rsid w:val="50476D3D"/>
    <w:rsid w:val="50F72CFD"/>
    <w:rsid w:val="51CB1C78"/>
    <w:rsid w:val="51FD6A51"/>
    <w:rsid w:val="526B680A"/>
    <w:rsid w:val="52C90BE7"/>
    <w:rsid w:val="53150D15"/>
    <w:rsid w:val="5352083E"/>
    <w:rsid w:val="541A5D30"/>
    <w:rsid w:val="54F24195"/>
    <w:rsid w:val="553E632F"/>
    <w:rsid w:val="55F068CD"/>
    <w:rsid w:val="566C3136"/>
    <w:rsid w:val="568D04F2"/>
    <w:rsid w:val="57244AC3"/>
    <w:rsid w:val="588D6DD7"/>
    <w:rsid w:val="58943156"/>
    <w:rsid w:val="58B535BE"/>
    <w:rsid w:val="5A526582"/>
    <w:rsid w:val="5A5F5C77"/>
    <w:rsid w:val="5A933291"/>
    <w:rsid w:val="5BBE39CD"/>
    <w:rsid w:val="5BC11A60"/>
    <w:rsid w:val="5C7A4D54"/>
    <w:rsid w:val="5CD23B73"/>
    <w:rsid w:val="5EE538EF"/>
    <w:rsid w:val="5F127819"/>
    <w:rsid w:val="5F63752A"/>
    <w:rsid w:val="60F1503F"/>
    <w:rsid w:val="61025188"/>
    <w:rsid w:val="61057D5F"/>
    <w:rsid w:val="614D4977"/>
    <w:rsid w:val="63C60FC0"/>
    <w:rsid w:val="64BA3D7A"/>
    <w:rsid w:val="64F179BC"/>
    <w:rsid w:val="65C94C55"/>
    <w:rsid w:val="665704D3"/>
    <w:rsid w:val="673148E2"/>
    <w:rsid w:val="675445CD"/>
    <w:rsid w:val="67C065A4"/>
    <w:rsid w:val="67D359C9"/>
    <w:rsid w:val="68FE36DD"/>
    <w:rsid w:val="694E60FC"/>
    <w:rsid w:val="69EF4042"/>
    <w:rsid w:val="6C410A63"/>
    <w:rsid w:val="6C675CE6"/>
    <w:rsid w:val="6CEF35AF"/>
    <w:rsid w:val="6D4F4321"/>
    <w:rsid w:val="6DCE74FE"/>
    <w:rsid w:val="6DFF7360"/>
    <w:rsid w:val="6E7A5F73"/>
    <w:rsid w:val="6F2B0C76"/>
    <w:rsid w:val="6F2E3798"/>
    <w:rsid w:val="6F76754E"/>
    <w:rsid w:val="6FD74228"/>
    <w:rsid w:val="70B33744"/>
    <w:rsid w:val="70FE5EDF"/>
    <w:rsid w:val="71633091"/>
    <w:rsid w:val="73081CA5"/>
    <w:rsid w:val="73483525"/>
    <w:rsid w:val="74545B7C"/>
    <w:rsid w:val="7487762D"/>
    <w:rsid w:val="75385498"/>
    <w:rsid w:val="768218AF"/>
    <w:rsid w:val="769962BD"/>
    <w:rsid w:val="76BC207F"/>
    <w:rsid w:val="76EB4904"/>
    <w:rsid w:val="777378F5"/>
    <w:rsid w:val="777A2D3C"/>
    <w:rsid w:val="78537BEA"/>
    <w:rsid w:val="79054C84"/>
    <w:rsid w:val="79074B81"/>
    <w:rsid w:val="794F0939"/>
    <w:rsid w:val="79AF0FCA"/>
    <w:rsid w:val="79EF2560"/>
    <w:rsid w:val="7A435907"/>
    <w:rsid w:val="7AF9279C"/>
    <w:rsid w:val="7BA7602B"/>
    <w:rsid w:val="7CC51958"/>
    <w:rsid w:val="7CE00C89"/>
    <w:rsid w:val="7CEC40B6"/>
    <w:rsid w:val="7E2936C3"/>
    <w:rsid w:val="7E2E365C"/>
    <w:rsid w:val="7E6411B9"/>
    <w:rsid w:val="7E85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0"/>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62"/>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7"/>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pPr>
  </w:style>
  <w:style w:type="paragraph" w:styleId="3">
    <w:name w:val="Body Text Indent"/>
    <w:basedOn w:val="1"/>
    <w:unhideWhenUsed/>
    <w:qFormat/>
    <w:uiPriority w:val="0"/>
    <w:pPr>
      <w:spacing w:after="120"/>
      <w:ind w:left="420" w:leftChars="200"/>
    </w:pPr>
    <w:rPr>
      <w:rFonts w:asciiTheme="minorHAnsi" w:hAnsiTheme="minorHAnsi"/>
      <w:szCs w:val="22"/>
    </w:r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9"/>
    <w:qFormat/>
    <w:uiPriority w:val="0"/>
    <w:pPr>
      <w:jc w:val="left"/>
    </w:pPr>
    <w:rPr>
      <w:rFonts w:ascii="Arial" w:hAnsi="Arial" w:eastAsia="黑体" w:cs="Arial"/>
    </w:rPr>
  </w:style>
  <w:style w:type="paragraph" w:styleId="11">
    <w:name w:val="Body Text"/>
    <w:basedOn w:val="1"/>
    <w:next w:val="12"/>
    <w:qFormat/>
    <w:uiPriority w:val="0"/>
    <w:pPr>
      <w:spacing w:after="120"/>
    </w:pPr>
    <w:rPr>
      <w:rFonts w:ascii="@微软简标宋" w:hAnsi="@微软简标宋" w:eastAsia="@微软简标宋" w:cs="@微软简标宋"/>
      <w:szCs w:val="24"/>
      <w:lang w:val="zh-CN"/>
    </w:r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qFormat/>
    <w:uiPriority w:val="99"/>
    <w:rPr>
      <w:rFonts w:ascii="宋体" w:hAnsi="Courier New" w:eastAsiaTheme="minorEastAsia" w:cstheme="minorBidi"/>
      <w:szCs w:val="22"/>
    </w:rPr>
  </w:style>
  <w:style w:type="paragraph" w:styleId="15">
    <w:name w:val="Date"/>
    <w:basedOn w:val="1"/>
    <w:next w:val="1"/>
    <w:link w:val="56"/>
    <w:qFormat/>
    <w:uiPriority w:val="0"/>
    <w:rPr>
      <w:rFonts w:ascii="Arial" w:hAnsi="Arial" w:eastAsia="宋体" w:cs="Arial"/>
      <w:b/>
      <w:sz w:val="28"/>
    </w:rPr>
  </w:style>
  <w:style w:type="paragraph" w:styleId="16">
    <w:name w:val="Balloon Text"/>
    <w:basedOn w:val="1"/>
    <w:link w:val="43"/>
    <w:semiHidden/>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sz w:val="18"/>
      <w:szCs w:val="18"/>
    </w:rPr>
  </w:style>
  <w:style w:type="paragraph" w:styleId="18">
    <w:name w:val="envelope return"/>
    <w:basedOn w:val="1"/>
    <w:next w:val="8"/>
    <w:qFormat/>
    <w:uiPriority w:val="0"/>
    <w:pPr>
      <w:snapToGrid w:val="0"/>
    </w:pPr>
    <w:rPr>
      <w:rFonts w:ascii="Arial" w:hAnsi="Arial"/>
    </w:rPr>
  </w:style>
  <w:style w:type="paragraph" w:styleId="19">
    <w:name w:val="header"/>
    <w:basedOn w:val="1"/>
    <w:next w:val="1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0"/>
    <w:next w:val="10"/>
    <w:link w:val="70"/>
    <w:semiHidden/>
    <w:unhideWhenUsed/>
    <w:qFormat/>
    <w:uiPriority w:val="99"/>
    <w:rPr>
      <w:rFonts w:ascii="@仿宋_GB2312" w:hAnsi="@仿宋_GB2312" w:eastAsia="@仿宋_GB2312" w:cs="@仿宋_GB2312"/>
      <w:b/>
      <w:bCs/>
    </w:rPr>
  </w:style>
  <w:style w:type="paragraph" w:styleId="25">
    <w:name w:val="Body Text First Indent"/>
    <w:basedOn w:val="11"/>
    <w:unhideWhenUsed/>
    <w:qFormat/>
    <w:uiPriority w:val="99"/>
    <w:pPr>
      <w:ind w:firstLine="420" w:firstLineChars="100"/>
    </w:p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basedOn w:val="28"/>
    <w:semiHidden/>
    <w:unhideWhenUsed/>
    <w:qFormat/>
    <w:uiPriority w:val="99"/>
    <w:rPr>
      <w:color w:val="5C5C5C"/>
      <w:u w:val="none"/>
    </w:rPr>
  </w:style>
  <w:style w:type="character" w:styleId="32">
    <w:name w:val="Emphasis"/>
    <w:basedOn w:val="28"/>
    <w:qFormat/>
    <w:uiPriority w:val="0"/>
    <w:rPr>
      <w:b/>
      <w:bCs/>
    </w:rPr>
  </w:style>
  <w:style w:type="character" w:styleId="33">
    <w:name w:val="HTML Definition"/>
    <w:basedOn w:val="28"/>
    <w:semiHidden/>
    <w:unhideWhenUsed/>
    <w:qFormat/>
    <w:uiPriority w:val="99"/>
  </w:style>
  <w:style w:type="character" w:styleId="34">
    <w:name w:val="HTML Typewriter"/>
    <w:basedOn w:val="28"/>
    <w:semiHidden/>
    <w:unhideWhenUsed/>
    <w:qFormat/>
    <w:uiPriority w:val="99"/>
    <w:rPr>
      <w:rFonts w:hint="default" w:ascii="monospace" w:hAnsi="monospace" w:eastAsia="monospace" w:cs="monospace"/>
      <w:sz w:val="20"/>
    </w:rPr>
  </w:style>
  <w:style w:type="character" w:styleId="35">
    <w:name w:val="HTML Acronym"/>
    <w:basedOn w:val="28"/>
    <w:semiHidden/>
    <w:unhideWhenUsed/>
    <w:qFormat/>
    <w:uiPriority w:val="99"/>
  </w:style>
  <w:style w:type="character" w:styleId="36">
    <w:name w:val="HTML Variable"/>
    <w:basedOn w:val="28"/>
    <w:semiHidden/>
    <w:unhideWhenUsed/>
    <w:qFormat/>
    <w:uiPriority w:val="99"/>
  </w:style>
  <w:style w:type="character" w:styleId="37">
    <w:name w:val="Hyperlink"/>
    <w:basedOn w:val="28"/>
    <w:unhideWhenUsed/>
    <w:qFormat/>
    <w:uiPriority w:val="99"/>
    <w:rPr>
      <w:color w:val="0000FF" w:themeColor="hyperlink"/>
      <w:u w:val="single"/>
      <w14:textFill>
        <w14:solidFill>
          <w14:schemeClr w14:val="hlink"/>
        </w14:solidFill>
      </w14:textFill>
    </w:rPr>
  </w:style>
  <w:style w:type="character" w:styleId="38">
    <w:name w:val="HTML Code"/>
    <w:basedOn w:val="28"/>
    <w:semiHidden/>
    <w:unhideWhenUsed/>
    <w:qFormat/>
    <w:uiPriority w:val="99"/>
    <w:rPr>
      <w:rFonts w:ascii="monospace" w:hAnsi="monospace" w:eastAsia="monospace" w:cs="monospace"/>
      <w:sz w:val="20"/>
    </w:rPr>
  </w:style>
  <w:style w:type="character" w:styleId="39">
    <w:name w:val="annotation reference"/>
    <w:basedOn w:val="28"/>
    <w:semiHidden/>
    <w:unhideWhenUsed/>
    <w:qFormat/>
    <w:uiPriority w:val="99"/>
    <w:rPr>
      <w:sz w:val="21"/>
      <w:szCs w:val="21"/>
    </w:rPr>
  </w:style>
  <w:style w:type="character" w:styleId="40">
    <w:name w:val="HTML Cite"/>
    <w:basedOn w:val="28"/>
    <w:semiHidden/>
    <w:unhideWhenUsed/>
    <w:qFormat/>
    <w:uiPriority w:val="99"/>
  </w:style>
  <w:style w:type="character" w:styleId="41">
    <w:name w:val="HTML Keyboard"/>
    <w:basedOn w:val="28"/>
    <w:semiHidden/>
    <w:unhideWhenUsed/>
    <w:qFormat/>
    <w:uiPriority w:val="99"/>
    <w:rPr>
      <w:rFonts w:hint="default" w:ascii="monospace" w:hAnsi="monospace" w:eastAsia="monospace" w:cs="monospace"/>
      <w:sz w:val="20"/>
      <w:bdr w:val="single" w:color="D6D6D6" w:sz="6" w:space="0"/>
      <w:shd w:val="clear" w:fill="FFFFFF"/>
    </w:rPr>
  </w:style>
  <w:style w:type="character" w:styleId="42">
    <w:name w:val="HTML Sample"/>
    <w:basedOn w:val="28"/>
    <w:semiHidden/>
    <w:unhideWhenUsed/>
    <w:qFormat/>
    <w:uiPriority w:val="99"/>
    <w:rPr>
      <w:rFonts w:hint="default" w:ascii="monospace" w:hAnsi="monospace" w:eastAsia="monospace" w:cs="monospace"/>
    </w:rPr>
  </w:style>
  <w:style w:type="character" w:customStyle="1" w:styleId="43">
    <w:name w:val="批注框文本 Char"/>
    <w:basedOn w:val="28"/>
    <w:link w:val="16"/>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9"/>
    <w:qFormat/>
    <w:uiPriority w:val="99"/>
    <w:rPr>
      <w:rFonts w:ascii="@仿宋_GB2312" w:hAnsi="@仿宋_GB2312" w:eastAsia="@仿宋_GB2312" w:cs="@仿宋_GB2312"/>
      <w:sz w:val="18"/>
      <w:szCs w:val="18"/>
    </w:rPr>
  </w:style>
  <w:style w:type="character" w:customStyle="1" w:styleId="48">
    <w:name w:val="页脚 Char"/>
    <w:basedOn w:val="28"/>
    <w:link w:val="17"/>
    <w:qFormat/>
    <w:uiPriority w:val="99"/>
    <w:rPr>
      <w:rFonts w:ascii="@仿宋_GB2312" w:hAnsi="@仿宋_GB2312" w:eastAsia="@仿宋_GB2312" w:cs="@仿宋_GB2312"/>
      <w:sz w:val="18"/>
      <w:szCs w:val="18"/>
    </w:rPr>
  </w:style>
  <w:style w:type="character" w:customStyle="1" w:styleId="49">
    <w:name w:val="纯文本 Char"/>
    <w:link w:val="14"/>
    <w:qFormat/>
    <w:uiPriority w:val="0"/>
    <w:rPr>
      <w:rFonts w:ascii="宋体" w:hAnsi="Courier New"/>
    </w:rPr>
  </w:style>
  <w:style w:type="character" w:customStyle="1" w:styleId="50">
    <w:name w:val="纯文本 字符1"/>
    <w:basedOn w:val="28"/>
    <w:semiHidden/>
    <w:qFormat/>
    <w:uiPriority w:val="99"/>
    <w:rPr>
      <w:rFonts w:hAnsi="Courier New" w:cs="Courier New" w:asciiTheme="minorEastAsia"/>
      <w:szCs w:val="20"/>
    </w:rPr>
  </w:style>
  <w:style w:type="character" w:customStyle="1" w:styleId="51">
    <w:name w:val="未处理的提及1"/>
    <w:basedOn w:val="28"/>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8"/>
    <w:semiHidden/>
    <w:qFormat/>
    <w:uiPriority w:val="99"/>
    <w:rPr>
      <w:rFonts w:ascii="@仿宋_GB2312" w:hAnsi="@仿宋_GB2312" w:eastAsia="@仿宋_GB2312" w:cs="@仿宋_GB2312"/>
      <w:szCs w:val="20"/>
    </w:rPr>
  </w:style>
  <w:style w:type="character" w:customStyle="1" w:styleId="56">
    <w:name w:val="日期 Char"/>
    <w:link w:val="15"/>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8"/>
    <w:semiHidden/>
    <w:qFormat/>
    <w:uiPriority w:val="99"/>
    <w:rPr>
      <w:rFonts w:ascii="@仿宋_GB2312" w:hAnsi="@仿宋_GB2312" w:eastAsia="@仿宋_GB2312" w:cs="@仿宋_GB2312"/>
      <w:szCs w:val="20"/>
    </w:rPr>
  </w:style>
  <w:style w:type="character" w:customStyle="1" w:styleId="59">
    <w:name w:val="批注文字 Char1"/>
    <w:link w:val="10"/>
    <w:qFormat/>
    <w:uiPriority w:val="0"/>
    <w:rPr>
      <w:rFonts w:ascii="Arial" w:hAnsi="Arial" w:eastAsia="黑体" w:cs="Arial"/>
      <w:szCs w:val="20"/>
    </w:rPr>
  </w:style>
  <w:style w:type="character" w:customStyle="1" w:styleId="60">
    <w:name w:val="标题 1 Char"/>
    <w:basedOn w:val="28"/>
    <w:link w:val="4"/>
    <w:qFormat/>
    <w:uiPriority w:val="9"/>
    <w:rPr>
      <w:rFonts w:ascii="@仿宋_GB2312" w:hAnsi="@仿宋_GB2312" w:eastAsia="@仿宋_GB2312" w:cs="@仿宋_GB2312"/>
      <w:b/>
      <w:bCs/>
      <w:kern w:val="44"/>
      <w:sz w:val="44"/>
      <w:szCs w:val="44"/>
    </w:rPr>
  </w:style>
  <w:style w:type="paragraph" w:customStyle="1" w:styleId="61">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Char"/>
    <w:basedOn w:val="28"/>
    <w:link w:val="6"/>
    <w:semiHidden/>
    <w:qFormat/>
    <w:uiPriority w:val="9"/>
    <w:rPr>
      <w:rFonts w:ascii="@仿宋_GB2312" w:hAnsi="@仿宋_GB2312" w:eastAsia="@仿宋_GB2312" w:cs="@仿宋_GB2312"/>
      <w:b/>
      <w:bCs/>
      <w:sz w:val="32"/>
      <w:szCs w:val="32"/>
    </w:rPr>
  </w:style>
  <w:style w:type="character" w:customStyle="1" w:styleId="63">
    <w:name w:val="fontstyle01"/>
    <w:basedOn w:val="28"/>
    <w:qFormat/>
    <w:uiPriority w:val="0"/>
    <w:rPr>
      <w:rFonts w:hint="eastAsia" w:ascii="宋体" w:hAnsi="宋体" w:eastAsia="宋体"/>
      <w:color w:val="000000"/>
      <w:sz w:val="22"/>
      <w:szCs w:val="22"/>
    </w:rPr>
  </w:style>
  <w:style w:type="character" w:customStyle="1" w:styleId="64">
    <w:name w:val="fontstyle21"/>
    <w:basedOn w:val="28"/>
    <w:qFormat/>
    <w:uiPriority w:val="0"/>
    <w:rPr>
      <w:rFonts w:hint="default" w:ascii="TimesNewRomanPSMT" w:hAnsi="TimesNewRomanPSMT"/>
      <w:color w:val="000000"/>
      <w:sz w:val="22"/>
      <w:szCs w:val="22"/>
    </w:rPr>
  </w:style>
  <w:style w:type="character" w:customStyle="1" w:styleId="6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8"/>
    <w:semiHidden/>
    <w:qFormat/>
    <w:uiPriority w:val="9"/>
    <w:rPr>
      <w:rFonts w:asciiTheme="majorHAnsi" w:hAnsiTheme="majorHAnsi" w:eastAsiaTheme="majorEastAsia" w:cstheme="majorBidi"/>
      <w:b/>
      <w:bCs/>
      <w:sz w:val="28"/>
      <w:szCs w:val="28"/>
    </w:rPr>
  </w:style>
  <w:style w:type="character" w:customStyle="1" w:styleId="67">
    <w:name w:val="标题 4 Char1"/>
    <w:link w:val="7"/>
    <w:qFormat/>
    <w:uiPriority w:val="0"/>
    <w:rPr>
      <w:rFonts w:ascii="@仿宋_GB2312" w:hAnsi="@仿宋_GB2312" w:eastAsia="@仿宋_GB2312" w:cs="@仿宋_GB2312"/>
      <w:b/>
      <w:bCs/>
      <w:sz w:val="28"/>
      <w:szCs w:val="28"/>
    </w:rPr>
  </w:style>
  <w:style w:type="character" w:customStyle="1" w:styleId="68">
    <w:name w:val="标题 4 Char"/>
    <w:qFormat/>
    <w:uiPriority w:val="0"/>
    <w:rPr>
      <w:rFonts w:ascii="Arial" w:hAnsi="Arial" w:eastAsia="Arial"/>
      <w:b/>
      <w:bCs/>
      <w:kern w:val="2"/>
      <w:sz w:val="28"/>
      <w:szCs w:val="28"/>
      <w:lang w:val="en-US" w:eastAsia="zh-CN" w:bidi="ar-SA"/>
    </w:rPr>
  </w:style>
  <w:style w:type="table" w:customStyle="1" w:styleId="6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批注主题 Char"/>
    <w:basedOn w:val="59"/>
    <w:link w:val="24"/>
    <w:semiHidden/>
    <w:qFormat/>
    <w:uiPriority w:val="99"/>
    <w:rPr>
      <w:rFonts w:ascii="@仿宋_GB2312" w:hAnsi="@仿宋_GB2312" w:eastAsia="@仿宋_GB2312" w:cs="@仿宋_GB2312"/>
      <w:b/>
      <w:bCs/>
      <w:szCs w:val="20"/>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rPr>
      <w:rFonts w:ascii="Arial" w:hAnsi="Arial" w:eastAsia="Arial" w:cs="Arial"/>
      <w:sz w:val="21"/>
      <w:szCs w:val="21"/>
      <w:lang w:val="en-US" w:eastAsia="en-US" w:bidi="ar-SA"/>
    </w:rPr>
  </w:style>
  <w:style w:type="paragraph" w:customStyle="1" w:styleId="7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74">
    <w:name w:val="hover"/>
    <w:basedOn w:val="28"/>
    <w:qFormat/>
    <w:uiPriority w:val="0"/>
    <w:rPr>
      <w:color w:val="2590EB"/>
    </w:rPr>
  </w:style>
  <w:style w:type="character" w:customStyle="1" w:styleId="75">
    <w:name w:val="hover1"/>
    <w:basedOn w:val="28"/>
    <w:qFormat/>
    <w:uiPriority w:val="0"/>
    <w:rPr>
      <w:color w:val="2590EB"/>
    </w:rPr>
  </w:style>
  <w:style w:type="character" w:customStyle="1" w:styleId="76">
    <w:name w:val="hover2"/>
    <w:basedOn w:val="28"/>
    <w:qFormat/>
    <w:uiPriority w:val="0"/>
  </w:style>
  <w:style w:type="character" w:customStyle="1" w:styleId="77">
    <w:name w:val="hover3"/>
    <w:basedOn w:val="28"/>
    <w:qFormat/>
    <w:uiPriority w:val="0"/>
    <w:rPr>
      <w:color w:val="2590EB"/>
      <w:shd w:val="clear" w:fill="E9F4FD"/>
    </w:rPr>
  </w:style>
  <w:style w:type="character" w:customStyle="1" w:styleId="78">
    <w:name w:val="hover4"/>
    <w:basedOn w:val="28"/>
    <w:qFormat/>
    <w:uiPriority w:val="0"/>
    <w:rPr>
      <w:color w:val="2590EB"/>
      <w:shd w:val="clear" w:fill="E9F4FD"/>
    </w:rPr>
  </w:style>
  <w:style w:type="character" w:customStyle="1" w:styleId="79">
    <w:name w:val="room"/>
    <w:basedOn w:val="28"/>
    <w:qFormat/>
    <w:uiPriority w:val="0"/>
  </w:style>
  <w:style w:type="character" w:customStyle="1" w:styleId="80">
    <w:name w:val="layui-layer-tabnow"/>
    <w:basedOn w:val="28"/>
    <w:qFormat/>
    <w:uiPriority w:val="0"/>
    <w:rPr>
      <w:bdr w:val="single" w:color="CCCCCC" w:sz="6" w:space="0"/>
      <w:shd w:val="clear" w:fill="FFFFFF"/>
    </w:rPr>
  </w:style>
  <w:style w:type="character" w:customStyle="1" w:styleId="81">
    <w:name w:val="timeaxis"/>
    <w:basedOn w:val="28"/>
    <w:qFormat/>
    <w:uiPriority w:val="0"/>
  </w:style>
  <w:style w:type="character" w:customStyle="1" w:styleId="82">
    <w:name w:val="first-child"/>
    <w:basedOn w:val="28"/>
    <w:qFormat/>
    <w:uiPriority w:val="0"/>
  </w:style>
  <w:style w:type="paragraph" w:customStyle="1" w:styleId="83">
    <w:name w:val="card-title"/>
    <w:basedOn w:val="1"/>
    <w:qFormat/>
    <w:uiPriority w:val="0"/>
    <w:pPr>
      <w:spacing w:line="600" w:lineRule="atLeast"/>
      <w:ind w:right="750"/>
      <w:jc w:val="left"/>
    </w:pPr>
    <w:rPr>
      <w:color w:val="666666"/>
      <w:kern w:val="0"/>
      <w:lang w:val="en-US" w:eastAsia="zh-CN" w:bidi="ar"/>
    </w:rPr>
  </w:style>
  <w:style w:type="character" w:customStyle="1" w:styleId="84">
    <w:name w:val="hover5"/>
    <w:basedOn w:val="28"/>
    <w:qFormat/>
    <w:uiPriority w:val="0"/>
    <w:rPr>
      <w:color w:val="2590EB"/>
    </w:rPr>
  </w:style>
  <w:style w:type="character" w:customStyle="1" w:styleId="85">
    <w:name w:val="hover6"/>
    <w:basedOn w:val="28"/>
    <w:qFormat/>
    <w:uiPriority w:val="0"/>
    <w:rPr>
      <w:color w:val="2590EB"/>
    </w:rPr>
  </w:style>
  <w:style w:type="paragraph" w:customStyle="1" w:styleId="8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87</Pages>
  <Words>195</Words>
  <Characters>221</Characters>
  <Lines>244</Lines>
  <Paragraphs>68</Paragraphs>
  <TotalTime>69</TotalTime>
  <ScaleCrop>false</ScaleCrop>
  <LinksUpToDate>false</LinksUpToDate>
  <CharactersWithSpaces>256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朱启</cp:lastModifiedBy>
  <cp:lastPrinted>2019-12-07T15:18:00Z</cp:lastPrinted>
  <dcterms:modified xsi:type="dcterms:W3CDTF">2026-05-29T07:53:26Z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A35E03ED0EA84A99B1A9A945A367F4B2_13</vt:lpwstr>
  </property>
  <property fmtid="{D5CDD505-2E9C-101B-9397-08002B2CF9AE}" pid="4" name="KSOTemplateDocerSaveRecord">
    <vt:lpwstr>eyJoZGlkIjoiNDhkODI4MDdhODZlNjViYWI4NjA5NTY5MmU3MzQzNDgiLCJ1c2VySWQiOiI3MDAwNjg2OTUifQ==</vt:lpwstr>
  </property>
</Properties>
</file>