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376FF">
      <w:pPr>
        <w:pStyle w:val="36"/>
        <w:shd w:val="clear"/>
        <w:kinsoku/>
        <w:overflowPunct/>
        <w:bidi w:val="0"/>
        <w:ind w:left="0" w:leftChars="0" w:right="0" w:rightChars="0" w:firstLineChars="0"/>
        <w:jc w:val="center"/>
        <w:rPr>
          <w:rFonts w:ascii="新宋体" w:hAnsi="新宋体" w:eastAsia="新宋体"/>
          <w:b/>
          <w:color w:val="auto"/>
          <w:sz w:val="44"/>
          <w:szCs w:val="44"/>
          <w:highlight w:val="none"/>
        </w:rPr>
      </w:pPr>
      <w:bookmarkStart w:id="0" w:name="OLE_LINK1"/>
    </w:p>
    <w:p w14:paraId="4D8F0599">
      <w:pPr>
        <w:keepNext w:val="0"/>
        <w:keepLines w:val="0"/>
        <w:pageBreakBefore w:val="0"/>
        <w:widowControl w:val="0"/>
        <w:shd w:val="clear"/>
        <w:kinsoku/>
        <w:wordWrap/>
        <w:overflowPunct/>
        <w:topLinePunct w:val="0"/>
        <w:autoSpaceDE/>
        <w:autoSpaceDN/>
        <w:bidi w:val="0"/>
        <w:adjustRightInd/>
        <w:snapToGrid/>
        <w:spacing w:beforeLines="50" w:afterLines="50"/>
        <w:ind w:left="0" w:leftChars="0" w:right="0" w:rightChars="0"/>
        <w:jc w:val="center"/>
        <w:textAlignment w:val="auto"/>
        <w:rPr>
          <w:rFonts w:hint="eastAsia" w:ascii="Times New Roman" w:hAnsi="Times New Roman" w:eastAsia="宋体" w:cs="宋体"/>
          <w:b/>
          <w:bCs w:val="0"/>
          <w:color w:val="auto"/>
          <w:kern w:val="0"/>
          <w:sz w:val="52"/>
          <w:szCs w:val="32"/>
          <w:highlight w:val="none"/>
          <w:u w:color="000000"/>
          <w:lang w:val="en-US" w:eastAsia="zh-CN" w:bidi="ar"/>
        </w:rPr>
      </w:pPr>
      <w:r>
        <w:rPr>
          <w:rFonts w:hint="eastAsia" w:cs="宋体"/>
          <w:b/>
          <w:bCs w:val="0"/>
          <w:color w:val="auto"/>
          <w:kern w:val="0"/>
          <w:sz w:val="52"/>
          <w:szCs w:val="32"/>
          <w:highlight w:val="none"/>
          <w:u w:color="000000"/>
          <w:lang w:val="en-US" w:eastAsia="zh-CN" w:bidi="ar"/>
        </w:rPr>
        <w:t>滁州市评标准备AI智能体建设项目</w:t>
      </w:r>
    </w:p>
    <w:p w14:paraId="6DC6117C">
      <w:pPr>
        <w:shd w:val="clear"/>
        <w:kinsoku/>
        <w:overflowPunct/>
        <w:bidi w:val="0"/>
        <w:spacing w:beforeLines="50" w:afterLines="50"/>
        <w:ind w:left="0" w:leftChars="0" w:right="0" w:rightChars="0"/>
        <w:jc w:val="center"/>
        <w:rPr>
          <w:rFonts w:hint="eastAsia" w:ascii="Times New Roman" w:hAnsi="Times New Roman" w:eastAsia="宋体" w:cs="宋体"/>
          <w:b/>
          <w:bCs w:val="0"/>
          <w:color w:val="auto"/>
          <w:kern w:val="0"/>
          <w:sz w:val="52"/>
          <w:szCs w:val="32"/>
          <w:highlight w:val="none"/>
          <w:u w:color="000000"/>
          <w:lang w:val="en-US" w:eastAsia="zh-CN" w:bidi="ar"/>
        </w:rPr>
      </w:pPr>
    </w:p>
    <w:p w14:paraId="315F6B84">
      <w:pPr>
        <w:shd w:val="clear"/>
        <w:kinsoku/>
        <w:overflowPunct/>
        <w:bidi w:val="0"/>
        <w:spacing w:beforeLines="50" w:afterLines="50"/>
        <w:ind w:left="0" w:leftChars="0" w:right="0" w:rightChars="0"/>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33DA7D52">
      <w:pPr>
        <w:pStyle w:val="36"/>
        <w:shd w:val="clear"/>
        <w:kinsoku/>
        <w:overflowPunct/>
        <w:bidi w:val="0"/>
        <w:ind w:left="0" w:leftChars="0" w:right="0" w:rightChars="0" w:firstLine="2880" w:firstLineChars="1200"/>
        <w:rPr>
          <w:rFonts w:hint="eastAsia"/>
          <w:color w:val="auto"/>
          <w:sz w:val="24"/>
          <w:highlight w:val="none"/>
        </w:rPr>
      </w:pPr>
    </w:p>
    <w:p w14:paraId="75890613">
      <w:pPr>
        <w:keepNext w:val="0"/>
        <w:keepLines w:val="0"/>
        <w:widowControl/>
        <w:suppressLineNumbers w:val="0"/>
        <w:kinsoku/>
        <w:overflowPunct/>
        <w:bidi w:val="0"/>
        <w:ind w:left="0" w:leftChars="0" w:right="0" w:rightChars="0"/>
        <w:jc w:val="center"/>
        <w:rPr>
          <w:color w:val="auto"/>
          <w:sz w:val="19"/>
          <w:szCs w:val="19"/>
          <w:highlight w:val="none"/>
        </w:rPr>
      </w:pPr>
      <w:r>
        <w:rPr>
          <w:rFonts w:hint="eastAsia"/>
          <w:color w:val="auto"/>
          <w:sz w:val="24"/>
          <w:highlight w:val="none"/>
        </w:rPr>
        <w:t>项目编号：czsjqt202606-005</w:t>
      </w:r>
    </w:p>
    <w:p w14:paraId="3C55DCDA">
      <w:pPr>
        <w:pStyle w:val="36"/>
        <w:shd w:val="clear"/>
        <w:kinsoku/>
        <w:overflowPunct/>
        <w:bidi w:val="0"/>
        <w:ind w:left="0" w:leftChars="0" w:right="0" w:rightChars="0" w:firstLine="2880" w:firstLineChars="1200"/>
        <w:rPr>
          <w:rFonts w:hint="eastAsia" w:eastAsia="宋体"/>
          <w:color w:val="auto"/>
          <w:sz w:val="24"/>
          <w:highlight w:val="none"/>
          <w:lang w:val="en-US" w:eastAsia="zh-CN"/>
        </w:rPr>
      </w:pPr>
    </w:p>
    <w:p w14:paraId="372577E1">
      <w:pPr>
        <w:pStyle w:val="55"/>
        <w:shd w:val="clear"/>
        <w:kinsoku/>
        <w:overflowPunct/>
        <w:bidi w:val="0"/>
        <w:ind w:left="0" w:leftChars="0" w:right="0" w:rightChars="0" w:firstLine="0" w:firstLineChars="0"/>
        <w:rPr>
          <w:color w:val="auto"/>
          <w:highlight w:val="none"/>
        </w:rPr>
      </w:pPr>
    </w:p>
    <w:p w14:paraId="2B5CF53C">
      <w:pPr>
        <w:pStyle w:val="55"/>
        <w:shd w:val="clear"/>
        <w:kinsoku/>
        <w:overflowPunct/>
        <w:bidi w:val="0"/>
        <w:ind w:left="0" w:leftChars="0" w:right="0" w:rightChars="0" w:firstLine="480"/>
        <w:rPr>
          <w:color w:val="auto"/>
          <w:highlight w:val="none"/>
        </w:rPr>
      </w:pPr>
    </w:p>
    <w:p w14:paraId="6D05D7C0">
      <w:pPr>
        <w:shd w:val="clear"/>
        <w:kinsoku/>
        <w:overflowPunct/>
        <w:bidi w:val="0"/>
        <w:ind w:left="0" w:leftChars="0" w:right="0" w:rightChars="0"/>
        <w:rPr>
          <w:rFonts w:ascii="宋体"/>
          <w:bCs/>
          <w:color w:val="auto"/>
          <w:szCs w:val="21"/>
          <w:highlight w:val="none"/>
        </w:rPr>
      </w:pPr>
    </w:p>
    <w:p w14:paraId="1FD4C39A">
      <w:pPr>
        <w:shd w:val="clear"/>
        <w:kinsoku/>
        <w:overflowPunct/>
        <w:bidi w:val="0"/>
        <w:spacing w:line="312" w:lineRule="auto"/>
        <w:ind w:left="0" w:leftChars="0" w:right="0" w:rightChars="0"/>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4E48725F">
      <w:pPr>
        <w:shd w:val="clear"/>
        <w:kinsoku/>
        <w:overflowPunct/>
        <w:bidi w:val="0"/>
        <w:ind w:left="0" w:leftChars="0" w:right="0" w:rightChars="0"/>
        <w:rPr>
          <w:rFonts w:ascii="宋体"/>
          <w:bCs/>
          <w:color w:val="auto"/>
          <w:szCs w:val="21"/>
          <w:highlight w:val="none"/>
        </w:rPr>
      </w:pPr>
    </w:p>
    <w:p w14:paraId="07ED4BD4">
      <w:pPr>
        <w:shd w:val="clear"/>
        <w:kinsoku/>
        <w:overflowPunct/>
        <w:bidi w:val="0"/>
        <w:spacing w:beforeLines="100" w:afterLines="100" w:line="360" w:lineRule="auto"/>
        <w:ind w:left="0" w:leftChars="0" w:right="0" w:rightChars="0"/>
        <w:jc w:val="left"/>
        <w:rPr>
          <w:rFonts w:ascii="宋体"/>
          <w:b/>
          <w:color w:val="auto"/>
          <w:sz w:val="32"/>
          <w:szCs w:val="32"/>
          <w:highlight w:val="none"/>
        </w:rPr>
      </w:pPr>
    </w:p>
    <w:p w14:paraId="108093F6">
      <w:pPr>
        <w:pStyle w:val="36"/>
        <w:shd w:val="clear"/>
        <w:kinsoku/>
        <w:overflowPunct/>
        <w:bidi w:val="0"/>
        <w:ind w:left="0" w:leftChars="0" w:right="0" w:rightChars="0" w:firstLine="400"/>
        <w:rPr>
          <w:color w:val="auto"/>
          <w:highlight w:val="none"/>
        </w:rPr>
      </w:pPr>
    </w:p>
    <w:p w14:paraId="1FA060BB">
      <w:pPr>
        <w:shd w:val="clear"/>
        <w:kinsoku/>
        <w:overflowPunct/>
        <w:bidi w:val="0"/>
        <w:spacing w:beforeLines="100" w:afterLines="100" w:line="480" w:lineRule="auto"/>
        <w:ind w:left="0" w:leftChars="0" w:right="0" w:rightChars="0" w:firstLine="964" w:firstLineChars="300"/>
        <w:jc w:val="left"/>
        <w:rPr>
          <w:rFonts w:ascii="宋体"/>
          <w:b/>
          <w:color w:val="auto"/>
          <w:sz w:val="32"/>
          <w:szCs w:val="32"/>
          <w:highlight w:val="none"/>
        </w:rPr>
      </w:pPr>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 xml:space="preserve">   滁州市兴融控股有限公司  </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6294276F">
      <w:pPr>
        <w:shd w:val="clear"/>
        <w:kinsoku/>
        <w:overflowPunct/>
        <w:bidi w:val="0"/>
        <w:spacing w:beforeLines="100" w:afterLines="100" w:line="480" w:lineRule="auto"/>
        <w:ind w:left="0" w:leftChars="0" w:right="0" w:rightChars="0"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12CA1085">
      <w:pPr>
        <w:shd w:val="clear"/>
        <w:kinsoku/>
        <w:overflowPunct/>
        <w:bidi w:val="0"/>
        <w:spacing w:beforeLines="100" w:afterLines="100" w:line="480" w:lineRule="auto"/>
        <w:ind w:left="0" w:leftChars="0" w:right="0" w:rightChars="0"/>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月</w:t>
      </w:r>
    </w:p>
    <w:p w14:paraId="2A2EED38">
      <w:pPr>
        <w:shd w:val="clear"/>
        <w:kinsoku/>
        <w:overflowPunct/>
        <w:bidi w:val="0"/>
        <w:spacing w:line="360" w:lineRule="exact"/>
        <w:ind w:left="0" w:leftChars="0" w:right="0" w:rightChars="0"/>
        <w:rPr>
          <w:b/>
          <w:color w:val="auto"/>
          <w:sz w:val="36"/>
          <w:highlight w:val="none"/>
        </w:rPr>
      </w:pPr>
    </w:p>
    <w:p w14:paraId="30C28314">
      <w:pPr>
        <w:shd w:val="clear"/>
        <w:kinsoku/>
        <w:overflowPunct/>
        <w:bidi w:val="0"/>
        <w:spacing w:line="360" w:lineRule="exact"/>
        <w:ind w:left="0" w:leftChars="0" w:right="0" w:rightChars="0"/>
        <w:rPr>
          <w:b/>
          <w:color w:val="auto"/>
          <w:sz w:val="36"/>
          <w:highlight w:val="none"/>
        </w:rPr>
      </w:pPr>
    </w:p>
    <w:p w14:paraId="77CA18D1">
      <w:pPr>
        <w:pStyle w:val="17"/>
        <w:shd w:val="clear"/>
        <w:kinsoku/>
        <w:overflowPunct/>
        <w:bidi w:val="0"/>
        <w:ind w:left="0" w:leftChars="0" w:right="0" w:rightChars="0"/>
        <w:rPr>
          <w:color w:val="auto"/>
          <w:highlight w:val="none"/>
        </w:rPr>
      </w:pPr>
    </w:p>
    <w:p w14:paraId="655B4BBA">
      <w:pPr>
        <w:pStyle w:val="18"/>
        <w:shd w:val="clear"/>
        <w:kinsoku/>
        <w:overflowPunct/>
        <w:bidi w:val="0"/>
        <w:ind w:left="0" w:leftChars="0" w:right="0" w:rightChars="0"/>
        <w:rPr>
          <w:color w:val="auto"/>
          <w:highlight w:val="none"/>
        </w:rPr>
      </w:pPr>
    </w:p>
    <w:p w14:paraId="2DF295C6">
      <w:pPr>
        <w:shd w:val="clear"/>
        <w:kinsoku/>
        <w:overflowPunct/>
        <w:bidi w:val="0"/>
        <w:spacing w:line="360" w:lineRule="exact"/>
        <w:ind w:left="0" w:leftChars="0" w:right="0" w:rightChars="0"/>
        <w:jc w:val="center"/>
        <w:rPr>
          <w:b/>
          <w:color w:val="auto"/>
          <w:sz w:val="36"/>
          <w:highlight w:val="none"/>
        </w:rPr>
      </w:pPr>
    </w:p>
    <w:p w14:paraId="229C7F9D">
      <w:pPr>
        <w:shd w:val="clear"/>
        <w:kinsoku/>
        <w:overflowPunct/>
        <w:bidi w:val="0"/>
        <w:spacing w:line="360" w:lineRule="auto"/>
        <w:ind w:left="0" w:leftChars="0" w:right="0" w:rightChars="0"/>
        <w:jc w:val="center"/>
        <w:rPr>
          <w:b/>
          <w:color w:val="auto"/>
          <w:sz w:val="44"/>
          <w:szCs w:val="32"/>
          <w:highlight w:val="none"/>
        </w:rPr>
      </w:pPr>
      <w:r>
        <w:rPr>
          <w:rFonts w:hint="eastAsia"/>
          <w:b/>
          <w:color w:val="auto"/>
          <w:sz w:val="44"/>
          <w:szCs w:val="32"/>
          <w:highlight w:val="none"/>
        </w:rPr>
        <w:t>目  录</w:t>
      </w:r>
    </w:p>
    <w:p w14:paraId="5C3DB808">
      <w:pPr>
        <w:shd w:val="clear"/>
        <w:kinsoku/>
        <w:overflowPunct/>
        <w:bidi w:val="0"/>
        <w:spacing w:line="720" w:lineRule="auto"/>
        <w:ind w:left="0" w:leftChars="0" w:right="0" w:rightChars="0"/>
        <w:jc w:val="center"/>
        <w:rPr>
          <w:b/>
          <w:color w:val="auto"/>
          <w:sz w:val="36"/>
          <w:highlight w:val="none"/>
        </w:rPr>
      </w:pPr>
    </w:p>
    <w:p w14:paraId="33C19873">
      <w:pPr>
        <w:pStyle w:val="26"/>
        <w:shd w:val="clear"/>
        <w:tabs>
          <w:tab w:val="right" w:leader="dot" w:pos="9072"/>
        </w:tabs>
        <w:kinsoku/>
        <w:overflowPunct/>
        <w:bidi w:val="0"/>
        <w:spacing w:line="700" w:lineRule="exact"/>
        <w:ind w:left="0" w:leftChars="0" w:right="0" w:rightChars="0"/>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p>
    <w:p w14:paraId="1B01F8D3">
      <w:pPr>
        <w:pStyle w:val="26"/>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9</w:t>
      </w:r>
      <w:r>
        <w:rPr>
          <w:rFonts w:hint="eastAsia" w:ascii="宋体" w:hAnsi="宋体" w:cs="宋体"/>
          <w:color w:val="auto"/>
          <w:sz w:val="30"/>
          <w:szCs w:val="30"/>
          <w:highlight w:val="none"/>
        </w:rPr>
        <w:fldChar w:fldCharType="end"/>
      </w:r>
    </w:p>
    <w:p w14:paraId="4DC99D53">
      <w:pPr>
        <w:pStyle w:val="26"/>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5D608B0B">
      <w:pPr>
        <w:pStyle w:val="26"/>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 xml:space="preserve">第四章 </w:t>
      </w:r>
      <w:r>
        <w:rPr>
          <w:rFonts w:hint="eastAsia" w:ascii="宋体" w:hAnsi="宋体" w:cs="宋体"/>
          <w:color w:val="auto"/>
          <w:sz w:val="30"/>
          <w:szCs w:val="30"/>
          <w:highlight w:val="none"/>
          <w:lang w:val="en-US" w:eastAsia="zh-CN"/>
        </w:rPr>
        <w:t>服务</w:t>
      </w:r>
      <w:r>
        <w:rPr>
          <w:rFonts w:hint="eastAsia" w:ascii="宋体" w:hAnsi="宋体" w:cs="宋体"/>
          <w:color w:val="auto"/>
          <w:sz w:val="30"/>
          <w:szCs w:val="30"/>
          <w:highlight w:val="none"/>
        </w:rPr>
        <w:t>内容及</w:t>
      </w:r>
      <w:r>
        <w:rPr>
          <w:rFonts w:hint="eastAsia" w:ascii="宋体" w:hAnsi="宋体" w:cs="宋体"/>
          <w:color w:val="auto"/>
          <w:sz w:val="30"/>
          <w:szCs w:val="30"/>
          <w:highlight w:val="none"/>
          <w:lang w:val="en-US" w:eastAsia="zh-CN"/>
        </w:rPr>
        <w:t>技术</w:t>
      </w:r>
      <w:r>
        <w:rPr>
          <w:rFonts w:hint="eastAsia" w:ascii="宋体" w:hAnsi="宋体" w:cs="宋体"/>
          <w:color w:val="auto"/>
          <w:sz w:val="30"/>
          <w:szCs w:val="30"/>
          <w:highlight w:val="none"/>
        </w:rPr>
        <w:t>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42</w:t>
      </w:r>
    </w:p>
    <w:p w14:paraId="15427706">
      <w:pPr>
        <w:pStyle w:val="26"/>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2</w:t>
      </w:r>
    </w:p>
    <w:p w14:paraId="56B14298">
      <w:pPr>
        <w:pStyle w:val="26"/>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63</w:t>
      </w:r>
    </w:p>
    <w:p w14:paraId="275C0797">
      <w:pPr>
        <w:pStyle w:val="26"/>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84</w:t>
      </w:r>
    </w:p>
    <w:p w14:paraId="6A4E628F">
      <w:pPr>
        <w:pStyle w:val="26"/>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fldChar w:fldCharType="end"/>
      </w:r>
    </w:p>
    <w:p w14:paraId="6129C931">
      <w:pPr>
        <w:pStyle w:val="26"/>
        <w:shd w:val="clear"/>
        <w:tabs>
          <w:tab w:val="right" w:leader="dot" w:pos="8296"/>
        </w:tabs>
        <w:kinsoku/>
        <w:overflowPunct/>
        <w:bidi w:val="0"/>
        <w:adjustRightInd w:val="0"/>
        <w:snapToGrid w:val="0"/>
        <w:spacing w:line="700" w:lineRule="exact"/>
        <w:ind w:left="150" w:leftChars="0" w:right="0" w:rightChars="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247" w:bottom="1417" w:left="1247" w:header="851" w:footer="992" w:gutter="0"/>
          <w:pgNumType w:start="1"/>
          <w:cols w:space="0" w:num="1"/>
          <w:rtlGutter w:val="0"/>
          <w:docGrid w:type="lines" w:linePitch="312" w:charSpace="0"/>
        </w:sectPr>
      </w:pPr>
      <w:r>
        <w:rPr>
          <w:rFonts w:hint="eastAsia" w:ascii="宋体" w:hAnsi="宋体" w:cs="宋体"/>
          <w:color w:val="auto"/>
          <w:sz w:val="30"/>
          <w:szCs w:val="30"/>
          <w:highlight w:val="none"/>
        </w:rPr>
        <w:fldChar w:fldCharType="end"/>
      </w:r>
    </w:p>
    <w:p w14:paraId="5876E520">
      <w:pPr>
        <w:pStyle w:val="2"/>
        <w:shd w:val="clear"/>
        <w:tabs>
          <w:tab w:val="left" w:pos="0"/>
          <w:tab w:val="left" w:pos="3165"/>
          <w:tab w:val="center" w:pos="4153"/>
        </w:tabs>
        <w:kinsoku/>
        <w:overflowPunct/>
        <w:autoSpaceDE w:val="0"/>
        <w:autoSpaceDN w:val="0"/>
        <w:bidi w:val="0"/>
        <w:adjustRightInd w:val="0"/>
        <w:spacing w:before="0" w:after="0" w:line="240" w:lineRule="auto"/>
        <w:ind w:left="0" w:leftChars="0" w:right="0" w:rightChars="0"/>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02"/>
      <w:bookmarkStart w:id="3" w:name="_Toc35393621"/>
      <w:bookmarkStart w:id="4" w:name="_Toc35393790"/>
      <w:bookmarkStart w:id="5" w:name="_Toc28359079"/>
      <w:bookmarkStart w:id="6" w:name="_Hlk24379207"/>
    </w:p>
    <w:p w14:paraId="2332E797">
      <w:pPr>
        <w:keepNext/>
        <w:keepLines/>
        <w:shd w:val="clear"/>
        <w:kinsoku/>
        <w:overflowPunct/>
        <w:bidi w:val="0"/>
        <w:ind w:left="0" w:leftChars="0" w:right="0" w:righ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CC76B">
      <w:pPr>
        <w:keepNext/>
        <w:keepLines/>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val="en-US" w:eastAsia="zh-CN"/>
        </w:rPr>
        <w:t>滁州市评标准备AI智能体建设项目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29</w:t>
      </w:r>
      <w:r>
        <w:rPr>
          <w:rFonts w:hint="eastAsia" w:ascii="仿宋" w:hAnsi="仿宋" w:eastAsia="仿宋" w:cs="仿宋"/>
          <w:color w:val="auto"/>
          <w:sz w:val="28"/>
          <w:szCs w:val="28"/>
          <w:highlight w:val="none"/>
          <w:u w:val="single"/>
        </w:rPr>
        <w:t>日08点</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53AE222F">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3BE5EB0F">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项目编号：czsjqt202606-005</w:t>
      </w:r>
      <w:r>
        <w:rPr>
          <w:rFonts w:hint="eastAsia" w:ascii="仿宋" w:hAnsi="仿宋" w:eastAsia="仿宋"/>
          <w:color w:val="auto"/>
          <w:sz w:val="28"/>
          <w:szCs w:val="28"/>
          <w:highlight w:val="none"/>
          <w:lang w:val="en-US" w:eastAsia="zh-CN"/>
        </w:rPr>
        <w:t xml:space="preserve"> </w:t>
      </w:r>
    </w:p>
    <w:p w14:paraId="6371C7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val="en-US" w:eastAsia="zh-CN"/>
        </w:rPr>
        <w:t>滁州市评标准备AI智能体建设项目</w:t>
      </w:r>
    </w:p>
    <w:p w14:paraId="2953D38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696600</w:t>
      </w:r>
      <w:r>
        <w:rPr>
          <w:rFonts w:hint="eastAsia" w:ascii="仿宋" w:hAnsi="仿宋" w:eastAsia="仿宋"/>
          <w:color w:val="auto"/>
          <w:sz w:val="28"/>
          <w:szCs w:val="28"/>
          <w:highlight w:val="none"/>
        </w:rPr>
        <w:t>元</w:t>
      </w:r>
    </w:p>
    <w:p w14:paraId="33E9E683">
      <w:pPr>
        <w:keepNext w:val="0"/>
        <w:keepLines w:val="0"/>
        <w:pageBreakBefore w:val="0"/>
        <w:widowControl/>
        <w:shd w:val="clear"/>
        <w:kinsoku/>
        <w:wordWrap/>
        <w:overflowPunct/>
        <w:topLinePunct w:val="0"/>
        <w:autoSpaceDE w:val="0"/>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本项目最高限价696600元。投标人报价高于最高限价的，其投标文件按无效标处理</w:t>
      </w:r>
      <w:r>
        <w:rPr>
          <w:rFonts w:hint="eastAsia" w:ascii="仿宋" w:hAnsi="仿宋" w:eastAsia="仿宋" w:cs="Times New Roman"/>
          <w:color w:val="auto"/>
          <w:sz w:val="28"/>
          <w:szCs w:val="28"/>
          <w:highlight w:val="none"/>
          <w:lang w:val="en-US" w:eastAsia="zh-CN"/>
        </w:rPr>
        <w:t>。</w:t>
      </w:r>
    </w:p>
    <w:p w14:paraId="76EA635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详见《服务内容及技术要求》和合同条款内容。</w:t>
      </w:r>
    </w:p>
    <w:p w14:paraId="7F98AD9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合同签订之日起4个月内完成建设开发、试运行，通过验收上线</w:t>
      </w:r>
      <w:r>
        <w:rPr>
          <w:rFonts w:hint="eastAsia" w:ascii="仿宋" w:hAnsi="仿宋" w:eastAsia="仿宋"/>
          <w:color w:val="auto"/>
          <w:sz w:val="28"/>
          <w:szCs w:val="28"/>
          <w:highlight w:val="none"/>
        </w:rPr>
        <w:t>。</w:t>
      </w:r>
    </w:p>
    <w:p w14:paraId="02544AE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61DF603">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7" w:name="_Toc28359003"/>
      <w:bookmarkStart w:id="8" w:name="_Toc35393622"/>
      <w:bookmarkStart w:id="9" w:name="_Toc28359080"/>
      <w:bookmarkStart w:id="10" w:name="_Toc35393791"/>
      <w:r>
        <w:rPr>
          <w:rFonts w:hint="eastAsia" w:ascii="黑体" w:hAnsi="黑体" w:eastAsia="黑体" w:cs="黑体"/>
          <w:color w:val="auto"/>
          <w:sz w:val="28"/>
          <w:szCs w:val="28"/>
          <w:highlight w:val="none"/>
        </w:rPr>
        <w:t>二、申请人的资格要求</w:t>
      </w:r>
      <w:bookmarkEnd w:id="7"/>
      <w:bookmarkEnd w:id="8"/>
      <w:bookmarkEnd w:id="9"/>
      <w:bookmarkEnd w:id="10"/>
    </w:p>
    <w:p w14:paraId="0D6BCEC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bookmarkStart w:id="11" w:name="_Toc28359081"/>
      <w:bookmarkStart w:id="12" w:name="_Toc28359004"/>
      <w:bookmarkStart w:id="13" w:name="_Toc35393792"/>
      <w:bookmarkStart w:id="14" w:name="_Toc35393623"/>
      <w:r>
        <w:rPr>
          <w:rFonts w:hint="eastAsia" w:ascii="仿宋" w:hAnsi="仿宋" w:eastAsia="仿宋" w:cs="Times New Roman"/>
          <w:color w:val="auto"/>
          <w:sz w:val="28"/>
          <w:szCs w:val="28"/>
          <w:highlight w:val="none"/>
        </w:rPr>
        <w:t>1.企业资格要求：</w:t>
      </w:r>
      <w:r>
        <w:rPr>
          <w:rFonts w:hint="eastAsia" w:ascii="仿宋" w:hAnsi="仿宋" w:eastAsia="仿宋" w:cs="Times New Roman"/>
          <w:color w:val="auto"/>
          <w:sz w:val="28"/>
          <w:szCs w:val="28"/>
          <w:highlight w:val="none"/>
          <w:lang w:val="en-US" w:eastAsia="zh-CN"/>
        </w:rPr>
        <w:t>具备独立承担民事责任能力，且具有相应的服务能力。</w:t>
      </w:r>
    </w:p>
    <w:p w14:paraId="605E090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信誉要求：投标人不得存在以下情形：</w:t>
      </w:r>
    </w:p>
    <w:p w14:paraId="00BE49A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①被列入“信用中国”网站“失信被执行人”的;</w:t>
      </w:r>
    </w:p>
    <w:p w14:paraId="2EB255E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6889939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③被列入“信用中国”网站“严重失信主体名单”的；</w:t>
      </w:r>
    </w:p>
    <w:p w14:paraId="523217A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④在“信用中国”网站上披露的仍在公示期的严重失信行为(具体行为类别及判定依据见附件2)的；</w:t>
      </w:r>
    </w:p>
    <w:p w14:paraId="3934B16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⑤被列入</w:t>
      </w:r>
      <w:bookmarkStart w:id="15" w:name="OLE_LINK4"/>
      <w:r>
        <w:rPr>
          <w:rFonts w:hint="eastAsia" w:ascii="仿宋" w:hAnsi="仿宋" w:eastAsia="仿宋" w:cs="Times New Roman"/>
          <w:color w:val="auto"/>
          <w:sz w:val="28"/>
          <w:szCs w:val="28"/>
          <w:highlight w:val="none"/>
        </w:rPr>
        <w:t>国家企业信用信息公示系统网站</w:t>
      </w:r>
      <w:bookmarkEnd w:id="15"/>
      <w:r>
        <w:rPr>
          <w:rFonts w:hint="eastAsia" w:ascii="仿宋" w:hAnsi="仿宋" w:eastAsia="仿宋" w:cs="Times New Roman"/>
          <w:color w:val="auto"/>
          <w:sz w:val="28"/>
          <w:szCs w:val="28"/>
          <w:highlight w:val="none"/>
        </w:rPr>
        <w:t>“经营异常名录”或者“严重违法失信名单”的</w:t>
      </w:r>
      <w:r>
        <w:rPr>
          <w:rFonts w:hint="eastAsia" w:ascii="仿宋" w:hAnsi="仿宋" w:eastAsia="仿宋" w:cs="Times New Roman"/>
          <w:color w:val="auto"/>
          <w:sz w:val="28"/>
          <w:szCs w:val="28"/>
          <w:highlight w:val="none"/>
          <w:lang w:eastAsia="zh-CN"/>
        </w:rPr>
        <w:t>；</w:t>
      </w:r>
    </w:p>
    <w:p w14:paraId="0AA59C0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⑥前三年有行贿犯罪行为的单位和个人</w:t>
      </w:r>
      <w:r>
        <w:rPr>
          <w:rFonts w:hint="eastAsia" w:ascii="仿宋" w:hAnsi="仿宋" w:eastAsia="仿宋" w:cs="Times New Roman"/>
          <w:color w:val="auto"/>
          <w:sz w:val="28"/>
          <w:szCs w:val="28"/>
          <w:highlight w:val="none"/>
          <w:lang w:eastAsia="zh-CN"/>
        </w:rPr>
        <w:t>；</w:t>
      </w:r>
    </w:p>
    <w:p w14:paraId="1CA513B4">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⑦被滁州市县两级公管部门及各行业主管部门取消在一定期限内的投标资格且在取消期限内的；</w:t>
      </w:r>
    </w:p>
    <w:p w14:paraId="409A020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款信誉要求①-⑦项情形之一的，接受投标人参加本项目。</w:t>
      </w:r>
    </w:p>
    <w:p w14:paraId="23F22C7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2、3</w:t>
      </w:r>
      <w:r>
        <w:rPr>
          <w:rFonts w:hint="eastAsia" w:ascii="仿宋" w:hAnsi="仿宋" w:eastAsia="仿宋" w:cs="Times New Roman"/>
          <w:color w:val="auto"/>
          <w:sz w:val="28"/>
          <w:szCs w:val="28"/>
          <w:highlight w:val="none"/>
        </w:rPr>
        <w:t>条按照“关于联合惩戒失信行为加强信用查询管理的通知”查询或承诺。</w:t>
      </w:r>
    </w:p>
    <w:p w14:paraId="4422279A">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C8E9D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6A79304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04C6EDF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2B4DF744">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F25F740">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16" w:name="_Toc28359005"/>
      <w:bookmarkStart w:id="17" w:name="_Toc28359082"/>
      <w:bookmarkStart w:id="18" w:name="_Toc35393624"/>
      <w:bookmarkStart w:id="19" w:name="_Toc35393793"/>
      <w:r>
        <w:rPr>
          <w:rFonts w:hint="eastAsia" w:ascii="黑体" w:hAnsi="黑体" w:eastAsia="黑体" w:cs="黑体"/>
          <w:color w:val="auto"/>
          <w:sz w:val="28"/>
          <w:szCs w:val="28"/>
          <w:highlight w:val="none"/>
        </w:rPr>
        <w:t>四、提交投标文件</w:t>
      </w:r>
      <w:bookmarkEnd w:id="16"/>
      <w:bookmarkEnd w:id="17"/>
      <w:r>
        <w:rPr>
          <w:rFonts w:hint="eastAsia" w:ascii="黑体" w:hAnsi="黑体" w:eastAsia="黑体" w:cs="黑体"/>
          <w:color w:val="auto"/>
          <w:sz w:val="28"/>
          <w:szCs w:val="28"/>
          <w:highlight w:val="none"/>
        </w:rPr>
        <w:t>截止时间、开标时间和地点</w:t>
      </w:r>
      <w:bookmarkEnd w:id="18"/>
      <w:bookmarkEnd w:id="19"/>
    </w:p>
    <w:p w14:paraId="5784BE8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29</w:t>
      </w:r>
      <w:r>
        <w:rPr>
          <w:rFonts w:hint="eastAsia" w:ascii="仿宋" w:hAnsi="仿宋" w:eastAsia="仿宋"/>
          <w:bCs/>
          <w:color w:val="auto"/>
          <w:sz w:val="28"/>
          <w:szCs w:val="28"/>
          <w:highlight w:val="none"/>
          <w:u w:val="single"/>
        </w:rPr>
        <w:t>日8点</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0分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632AFC75">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地点：网上开标（滁州市公共资源交易中心网）</w:t>
      </w:r>
    </w:p>
    <w:p w14:paraId="4DD9741C">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20" w:name="_Toc28359084"/>
      <w:bookmarkStart w:id="21" w:name="_Toc35393625"/>
      <w:bookmarkStart w:id="22" w:name="_Toc28359007"/>
      <w:bookmarkStart w:id="23" w:name="_Toc35393794"/>
      <w:r>
        <w:rPr>
          <w:rFonts w:hint="eastAsia" w:ascii="黑体" w:hAnsi="黑体" w:eastAsia="黑体" w:cs="黑体"/>
          <w:color w:val="auto"/>
          <w:sz w:val="28"/>
          <w:szCs w:val="28"/>
          <w:highlight w:val="none"/>
        </w:rPr>
        <w:t>五、公告期限</w:t>
      </w:r>
      <w:bookmarkEnd w:id="20"/>
      <w:bookmarkEnd w:id="21"/>
      <w:bookmarkEnd w:id="22"/>
      <w:bookmarkEnd w:id="23"/>
    </w:p>
    <w:p w14:paraId="6BA8851E">
      <w:pPr>
        <w:shd w:val="clear"/>
        <w:kinsoku/>
        <w:overflowPunct/>
        <w:bidi w:val="0"/>
        <w:ind w:left="0" w:leftChars="0" w:right="0" w:rightChars="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6FB82246">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4B8B7A2">
      <w:pPr>
        <w:pStyle w:val="122"/>
        <w:shd w:val="clear"/>
        <w:kinsoku/>
        <w:overflowPunct/>
        <w:bidi w:val="0"/>
        <w:ind w:left="0" w:leftChars="0" w:right="0" w:rightChars="0"/>
        <w:rPr>
          <w:color w:val="auto"/>
          <w:highlight w:val="none"/>
        </w:rPr>
      </w:pPr>
      <w:bookmarkStart w:id="24" w:name="_Toc35393626"/>
      <w:bookmarkStart w:id="25" w:name="_Toc35393795"/>
      <w:r>
        <w:rPr>
          <w:color w:val="auto"/>
          <w:highlight w:val="none"/>
        </w:rPr>
        <w:t>窗体顶端</w:t>
      </w:r>
    </w:p>
    <w:p w14:paraId="7DF5F79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rPr>
        <w:t>投标保证金收取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投标保证金的金额</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1.2</w:t>
      </w:r>
      <w:r>
        <w:rPr>
          <w:rFonts w:hint="eastAsia" w:ascii="仿宋" w:hAnsi="仿宋" w:eastAsia="仿宋" w:cs="Times New Roman"/>
          <w:color w:val="auto"/>
          <w:sz w:val="28"/>
          <w:szCs w:val="28"/>
          <w:highlight w:val="none"/>
        </w:rPr>
        <w:t>万元，</w:t>
      </w:r>
      <w:r>
        <w:rPr>
          <w:rFonts w:hint="eastAsia" w:ascii="仿宋" w:hAnsi="仿宋" w:eastAsia="仿宋" w:cs="Times New Roman"/>
          <w:color w:val="auto"/>
          <w:sz w:val="28"/>
          <w:szCs w:val="28"/>
          <w:highlight w:val="none"/>
          <w:lang w:val="en-US" w:eastAsia="zh-CN"/>
        </w:rPr>
        <w:t>要求</w:t>
      </w:r>
      <w:r>
        <w:rPr>
          <w:rFonts w:hint="eastAsia" w:ascii="仿宋" w:hAnsi="仿宋" w:eastAsia="仿宋" w:cs="Times New Roman"/>
          <w:color w:val="auto"/>
          <w:sz w:val="28"/>
          <w:szCs w:val="28"/>
          <w:highlight w:val="none"/>
        </w:rPr>
        <w:t>投标人提交投标保证金。</w:t>
      </w:r>
    </w:p>
    <w:p w14:paraId="463C3B4C">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投标保证金形式：</w:t>
      </w:r>
      <w:bookmarkStart w:id="26" w:name="OLE_LINK69"/>
      <w:bookmarkStart w:id="27" w:name="OLE_LINK62"/>
      <w:bookmarkStart w:id="28" w:name="OLE_LINK61"/>
      <w:bookmarkStart w:id="29" w:name="OLE_LINK66"/>
      <w:bookmarkStart w:id="30" w:name="OLE_LINK71"/>
      <w:r>
        <w:rPr>
          <w:rFonts w:hint="eastAsia" w:ascii="仿宋" w:hAnsi="仿宋" w:eastAsia="仿宋" w:cs="Times New Roman"/>
          <w:color w:val="auto"/>
          <w:sz w:val="28"/>
          <w:szCs w:val="28"/>
          <w:highlight w:val="none"/>
        </w:rPr>
        <w:t>支持现金（银行转账、银行电汇等）、非现金形式（支票、银行汇票、本票等）、电子保函、纸质银行保函。</w:t>
      </w:r>
      <w:bookmarkEnd w:id="26"/>
      <w:bookmarkEnd w:id="27"/>
      <w:bookmarkEnd w:id="28"/>
      <w:bookmarkEnd w:id="29"/>
      <w:bookmarkEnd w:id="30"/>
    </w:p>
    <w:p w14:paraId="3ED200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接收投标保证金的账户信息：</w:t>
      </w:r>
    </w:p>
    <w:p w14:paraId="36D5B42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3D7BE35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①户名：滁州市公共资源交易中心</w:t>
      </w:r>
    </w:p>
    <w:p w14:paraId="77009F8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开户行：中国银行滁州分行</w:t>
      </w:r>
    </w:p>
    <w:p w14:paraId="1F2E96E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 xml:space="preserve">188745190670 </w:t>
      </w:r>
    </w:p>
    <w:p w14:paraId="78897DB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②户名：滁州市公共资源交易中心</w:t>
      </w:r>
    </w:p>
    <w:p w14:paraId="4828D4A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开户行：中国建设银行股份有限公司滁州南谯支行</w:t>
      </w:r>
    </w:p>
    <w:p w14:paraId="6699292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6232811720000039003</w:t>
      </w:r>
    </w:p>
    <w:p w14:paraId="49C434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③户名：滁州市公共资源交易中心</w:t>
      </w:r>
    </w:p>
    <w:p w14:paraId="25407DD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开户行：中国农业银行滁州中都支行</w:t>
      </w:r>
    </w:p>
    <w:p w14:paraId="58405A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 xml:space="preserve">123340010400044210000000016 </w:t>
      </w:r>
    </w:p>
    <w:p w14:paraId="4BF5737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采用现金形式缴纳保证金时须在交易附言中注明</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“czsjqt202606-005项目投标保证金”。</w:t>
      </w:r>
    </w:p>
    <w:p w14:paraId="05CB566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用支票、银行汇票、本票等非现金形式提交投标保证金时，投标人应在付款人开户行申请书附言处注明“czsjqt202606-005项目投标保证金”字样，应确保收款人开户行进账单完整反映交易附言内容，由此导致无法识别投标保证金对应的投标项目，其后果由投标人负责。</w:t>
      </w:r>
    </w:p>
    <w:p w14:paraId="6491D71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3)采用电子保函形式具体要求如下：</w:t>
      </w:r>
    </w:p>
    <w:p w14:paraId="6442C2B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①电子保函提交要求：</w:t>
      </w:r>
    </w:p>
    <w:p w14:paraId="0282A81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a.投标人须在投标文件提交截止时间前提供与滁州市公共资源交易中心金融服务平台对接的电子保函，否则视为投标保证金未按规定要求缴纳。</w:t>
      </w:r>
    </w:p>
    <w:p w14:paraId="63CCF18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711FC0B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c.投标有效期内未能确定中标结果，需要延长投标有效期，投标人同意延长投标有效期的，须相应延长电子保函的有效期。</w:t>
      </w:r>
    </w:p>
    <w:p w14:paraId="0DF1D6F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d.</w:t>
      </w:r>
      <w:bookmarkStart w:id="31" w:name="OLE_LINK52"/>
      <w:bookmarkStart w:id="32" w:name="OLE_LINK53"/>
      <w:r>
        <w:rPr>
          <w:rFonts w:hint="eastAsia" w:ascii="仿宋" w:hAnsi="仿宋" w:eastAsia="仿宋" w:cs="Times New Roman"/>
          <w:color w:val="auto"/>
          <w:sz w:val="28"/>
          <w:szCs w:val="28"/>
          <w:highlight w:val="none"/>
        </w:rPr>
        <w:t>投标人存在投标保证金不予退还的情形，采用电子保函形式的将予以追缴。</w:t>
      </w:r>
    </w:p>
    <w:bookmarkEnd w:id="31"/>
    <w:bookmarkEnd w:id="32"/>
    <w:p w14:paraId="55F54B1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4)采用纸质</w:t>
      </w:r>
      <w:r>
        <w:rPr>
          <w:rFonts w:hint="eastAsia" w:ascii="仿宋" w:hAnsi="仿宋" w:eastAsia="仿宋" w:cs="Times New Roman"/>
          <w:color w:val="auto"/>
          <w:sz w:val="28"/>
          <w:szCs w:val="28"/>
          <w:highlight w:val="none"/>
          <w:lang w:eastAsia="zh-CN"/>
        </w:rPr>
        <w:t>银行</w:t>
      </w:r>
      <w:r>
        <w:rPr>
          <w:rFonts w:hint="eastAsia" w:ascii="仿宋" w:hAnsi="仿宋" w:eastAsia="仿宋" w:cs="Times New Roman"/>
          <w:color w:val="auto"/>
          <w:sz w:val="28"/>
          <w:szCs w:val="28"/>
          <w:highlight w:val="none"/>
        </w:rPr>
        <w:t>保函形式具体要求如下：</w:t>
      </w:r>
    </w:p>
    <w:p w14:paraId="1E98296B">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①应为投标人基本账户开户银行出具的不可撤销、不可转让的见索即付独立保函,所需费用由投标人承担。</w:t>
      </w:r>
    </w:p>
    <w:p w14:paraId="11EE012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②投标人在投标文件中必须提供基本存款账户证明（如基本存款账户开户许可证或基本存款账户信息），同时将纸质保函扫描件提供在投标文件中</w:t>
      </w:r>
      <w:r>
        <w:rPr>
          <w:rFonts w:hint="eastAsia" w:ascii="仿宋" w:hAnsi="仿宋" w:eastAsia="仿宋" w:cs="Times New Roman"/>
          <w:color w:val="auto"/>
          <w:sz w:val="28"/>
          <w:szCs w:val="28"/>
          <w:highlight w:val="none"/>
          <w:lang w:eastAsia="zh-CN"/>
        </w:rPr>
        <w:t>。</w:t>
      </w:r>
    </w:p>
    <w:p w14:paraId="46B109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③投标人在投标文件中必须提供明确有效的查询途径（ 网址链接及查询方式），否则该纸质银行保函无效。</w:t>
      </w:r>
    </w:p>
    <w:p w14:paraId="1ADBE5C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5B75C94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保证金电子保函业务应急处置措施。由于自然灾害、事故灾难、突发公共网络安全事件或者系统原因，以及保证金电子保函系统使用过程中出现的以下情况：</w:t>
      </w:r>
    </w:p>
    <w:p w14:paraId="57EFFD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（1）开标时，系统获取明文保函文件异常，无法正常获取保函文件；</w:t>
      </w:r>
    </w:p>
    <w:p w14:paraId="182690F4">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（2）保证金电子保函系统的软件或数据库出现错误，不能进行正常操作；</w:t>
      </w:r>
    </w:p>
    <w:p w14:paraId="41ABEB11">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（3）保证金电子保函系统服务器发生故障等情况，无法访问或无法使用电子保函；</w:t>
      </w:r>
    </w:p>
    <w:p w14:paraId="4AEC572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（4）保证金电子保函系统服务器受到病毒或其他外来的攻击；</w:t>
      </w:r>
    </w:p>
    <w:p w14:paraId="39CF6035">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（5）其他影响电子保函出具的异常情形。</w:t>
      </w:r>
    </w:p>
    <w:p w14:paraId="48795F2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4FCB0DC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本次招标失败，再次进行招标的，投标人须按照新的账户重新缴纳投标保证金。</w:t>
      </w:r>
    </w:p>
    <w:p w14:paraId="7EB7293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投标人为联合体投标的，由牵头人基本账户转出投标保证金或由牵头人办理保函。</w:t>
      </w:r>
    </w:p>
    <w:p w14:paraId="531CD57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7</w:t>
      </w:r>
      <w:r>
        <w:rPr>
          <w:rFonts w:hint="eastAsia" w:ascii="仿宋" w:hAnsi="仿宋" w:eastAsia="仿宋" w:cs="Times New Roman"/>
          <w:color w:val="auto"/>
          <w:sz w:val="28"/>
          <w:szCs w:val="28"/>
          <w:highlight w:val="none"/>
        </w:rPr>
        <w:t>.是否适用免缴投标保证金政策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不适用</w:t>
      </w:r>
      <w:r>
        <w:rPr>
          <w:rFonts w:hint="eastAsia" w:ascii="仿宋" w:hAnsi="仿宋" w:eastAsia="仿宋" w:cs="Times New Roman"/>
          <w:color w:val="auto"/>
          <w:sz w:val="28"/>
          <w:szCs w:val="28"/>
          <w:highlight w:val="none"/>
        </w:rPr>
        <w:t>。</w:t>
      </w:r>
    </w:p>
    <w:p w14:paraId="15400DFF">
      <w:pPr>
        <w:pStyle w:val="123"/>
        <w:shd w:val="clear"/>
        <w:kinsoku/>
        <w:overflowPunct/>
        <w:bidi w:val="0"/>
        <w:ind w:left="0" w:leftChars="0" w:right="0" w:rightChars="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68C7881">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2B32E867">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安徽省公共资源交易市场主体库使用相关问题（系统登录、信息登记、录入及提交、数字证书关联等）：010-86483801转5-2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2）CA数字证书有关问题：安徽CA客服400-615-8899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704196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FEC89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02E06D1">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4FFA0A9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19</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08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w:t>
      </w:r>
      <w:r>
        <w:rPr>
          <w:rFonts w:hint="eastAsia" w:ascii="仿宋" w:hAnsi="仿宋" w:eastAsia="仿宋" w:cs="Times New Roman"/>
          <w:color w:val="auto"/>
          <w:sz w:val="28"/>
          <w:szCs w:val="28"/>
          <w:highlight w:val="none"/>
        </w:rPr>
        <w:t>在线异议、质疑和投诉操作手册。</w:t>
      </w:r>
    </w:p>
    <w:p w14:paraId="73CC5F4B">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6.受理异议的联系人及联系方式：</w:t>
      </w:r>
      <w:r>
        <w:rPr>
          <w:rFonts w:hint="eastAsia" w:ascii="仿宋" w:hAnsi="仿宋" w:eastAsia="仿宋" w:cs="Times New Roman"/>
          <w:color w:val="auto"/>
          <w:sz w:val="28"/>
          <w:szCs w:val="28"/>
          <w:highlight w:val="none"/>
          <w:lang w:val="en-US" w:eastAsia="zh-CN"/>
        </w:rPr>
        <w:t>彭经理0550-3018637</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关勤勤</w:t>
      </w:r>
      <w:r>
        <w:rPr>
          <w:rFonts w:hint="eastAsia" w:ascii="仿宋" w:hAnsi="仿宋" w:eastAsia="仿宋" w:cs="Times New Roman"/>
          <w:color w:val="auto"/>
          <w:sz w:val="28"/>
          <w:szCs w:val="28"/>
          <w:highlight w:val="none"/>
        </w:rPr>
        <w:t>0550-3519590。</w:t>
      </w:r>
    </w:p>
    <w:p w14:paraId="0A4F5657">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7.投标人提出投诉的方式：投标人或者其他利害关系人认为招标投标活动违反法律、法规和规章规定的，有权向相关行政监督部门投诉。在线投诉具体步骤和程序请参照服务指南&gt;投诉渠道 </w:t>
      </w:r>
      <w:r>
        <w:rPr>
          <w:rFonts w:hint="eastAsia" w:ascii="仿宋" w:hAnsi="仿宋" w:eastAsia="仿宋" w:cs="Times New Roman"/>
          <w:color w:val="auto"/>
          <w:sz w:val="28"/>
          <w:szCs w:val="28"/>
          <w:highlight w:val="none"/>
          <w:lang w:val="en-US" w:eastAsia="zh-CN"/>
        </w:rPr>
        <w:fldChar w:fldCharType="begin"/>
      </w:r>
      <w:r>
        <w:rPr>
          <w:rFonts w:hint="eastAsia" w:ascii="仿宋" w:hAnsi="仿宋" w:eastAsia="仿宋" w:cs="Times New Roman"/>
          <w:color w:val="auto"/>
          <w:sz w:val="28"/>
          <w:szCs w:val="28"/>
          <w:highlight w:val="none"/>
          <w:lang w:val="en-US" w:eastAsia="zh-CN"/>
        </w:rPr>
        <w:instrText xml:space="preserve"> HYPERLINK "https://ggzy.chuzhou.gov.cn/fwzn/011001/serviceGuide.html" </w:instrText>
      </w:r>
      <w:r>
        <w:rPr>
          <w:rFonts w:hint="eastAsia" w:ascii="仿宋" w:hAnsi="仿宋" w:eastAsia="仿宋" w:cs="Times New Roman"/>
          <w:color w:val="auto"/>
          <w:sz w:val="28"/>
          <w:szCs w:val="28"/>
          <w:highlight w:val="none"/>
          <w:lang w:val="en-US" w:eastAsia="zh-CN"/>
        </w:rPr>
        <w:fldChar w:fldCharType="separate"/>
      </w:r>
      <w:r>
        <w:rPr>
          <w:rFonts w:hint="eastAsia" w:ascii="仿宋" w:hAnsi="仿宋" w:eastAsia="仿宋" w:cs="Times New Roman"/>
          <w:color w:val="auto"/>
          <w:sz w:val="28"/>
          <w:szCs w:val="28"/>
          <w:highlight w:val="none"/>
          <w:lang w:val="en-US" w:eastAsia="zh-CN"/>
        </w:rPr>
        <w:t>https://ggzy.chuzhou.gov.cn/fwzn/011001/serviceGuide.html</w:t>
      </w:r>
      <w:r>
        <w:rPr>
          <w:rFonts w:hint="eastAsia" w:ascii="仿宋" w:hAnsi="仿宋" w:eastAsia="仿宋" w:cs="Times New Roman"/>
          <w:color w:val="auto"/>
          <w:sz w:val="28"/>
          <w:szCs w:val="28"/>
          <w:highlight w:val="none"/>
          <w:lang w:val="en-US" w:eastAsia="zh-CN"/>
        </w:rPr>
        <w:fldChar w:fldCharType="end"/>
      </w:r>
      <w:r>
        <w:rPr>
          <w:rFonts w:hint="eastAsia" w:ascii="仿宋" w:hAnsi="仿宋" w:eastAsia="仿宋" w:cs="Times New Roman"/>
          <w:color w:val="auto"/>
          <w:sz w:val="28"/>
          <w:szCs w:val="28"/>
          <w:highlight w:val="none"/>
          <w:lang w:val="en-US" w:eastAsia="zh-CN"/>
        </w:rPr>
        <w:t>；投诉书格式等内容参见服务指南&gt;办事指南&gt;投标人服务&gt;投诉受理一次告知书https://ggzy.chuzhou.gov.cn/fwzn/011001/011001001/011001001003/20211022/4b7d87ec-2c58-49b0-b76c-3a6277377930.html。</w:t>
      </w:r>
    </w:p>
    <w:p w14:paraId="61216A24">
      <w:pPr>
        <w:shd w:val="clear"/>
        <w:kinsoku/>
        <w:overflowPunct/>
        <w:bidi w:val="0"/>
        <w:ind w:left="0" w:leftChars="0" w:right="0" w:rightChars="0"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ABDBC49">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5FF870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滁州市兴融控股有限公司       </w:t>
      </w:r>
      <w:r>
        <w:rPr>
          <w:rFonts w:hint="eastAsia" w:ascii="仿宋" w:hAnsi="仿宋" w:eastAsia="仿宋" w:cs="仿宋"/>
          <w:color w:val="auto"/>
          <w:sz w:val="28"/>
          <w:szCs w:val="28"/>
          <w:highlight w:val="none"/>
          <w:u w:val="single"/>
        </w:rPr>
        <w:t xml:space="preserve">  </w:t>
      </w:r>
    </w:p>
    <w:p w14:paraId="2A35486E">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滁州市南谯区中都大道1598号滁州市城投大厦</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lang w:eastAsia="zh-CN"/>
        </w:rPr>
        <w:t>楼</w:t>
      </w:r>
    </w:p>
    <w:p w14:paraId="2DADD9C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彭经理 0550-3018637</w:t>
      </w:r>
    </w:p>
    <w:p w14:paraId="330698DA">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5DE00EEF">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滁州市城投工程咨询管理有限公司</w:t>
      </w:r>
    </w:p>
    <w:p w14:paraId="6396F04C">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滁州市龙蟠大道109号房产大厦6楼</w:t>
      </w:r>
    </w:p>
    <w:p w14:paraId="12792B7B">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w:t>
      </w:r>
    </w:p>
    <w:p w14:paraId="21B965C2">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3B1A18C6">
      <w:pPr>
        <w:pStyle w:val="20"/>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彭经理</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关勤勤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64E69768">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0550-3018637</w:t>
      </w:r>
      <w:r>
        <w:rPr>
          <w:rFonts w:hint="eastAsia" w:ascii="仿宋" w:hAnsi="仿宋" w:eastAsia="仿宋" w:cs="仿宋"/>
          <w:color w:val="auto"/>
          <w:sz w:val="28"/>
          <w:szCs w:val="28"/>
          <w:highlight w:val="none"/>
          <w:u w:val="single"/>
        </w:rPr>
        <w:t xml:space="preserve">、0550-3519590 </w:t>
      </w:r>
    </w:p>
    <w:p w14:paraId="76C20566">
      <w:pPr>
        <w:kinsoku/>
        <w:overflowPunct/>
        <w:bidi w:val="0"/>
        <w:ind w:left="0" w:leftChars="0" w:right="0" w:rightChars="0"/>
        <w:rPr>
          <w:rFonts w:hint="eastAsia"/>
          <w:color w:val="auto"/>
          <w:highlight w:val="none"/>
        </w:rPr>
      </w:pPr>
      <w:bookmarkStart w:id="33" w:name="_Toc20364"/>
      <w:r>
        <w:rPr>
          <w:rFonts w:hint="eastAsia"/>
          <w:color w:val="auto"/>
          <w:highlight w:val="none"/>
        </w:rPr>
        <w:br w:type="page"/>
      </w:r>
    </w:p>
    <w:p w14:paraId="4D20B7D4">
      <w:pPr>
        <w:pStyle w:val="2"/>
        <w:keepNext/>
        <w:keepLines/>
        <w:pageBreakBefore w:val="0"/>
        <w:widowControl w:val="0"/>
        <w:shd w:val="clear"/>
        <w:kinsoku/>
        <w:wordWrap/>
        <w:overflowPunct/>
        <w:topLinePunct w:val="0"/>
        <w:autoSpaceDE/>
        <w:autoSpaceDN/>
        <w:bidi w:val="0"/>
        <w:adjustRightInd/>
        <w:snapToGrid/>
        <w:spacing w:beforeLines="50" w:afterLines="50" w:line="520" w:lineRule="exact"/>
        <w:ind w:left="0" w:leftChars="0" w:right="0" w:rightChars="0"/>
        <w:textAlignment w:val="auto"/>
        <w:rPr>
          <w:rFonts w:ascii="宋体"/>
          <w:b w:val="0"/>
          <w:color w:val="auto"/>
          <w:szCs w:val="32"/>
          <w:highlight w:val="none"/>
        </w:rPr>
      </w:pPr>
      <w:r>
        <w:rPr>
          <w:rFonts w:hint="eastAsia"/>
          <w:color w:val="auto"/>
          <w:highlight w:val="none"/>
        </w:rPr>
        <w:t>第二章 投标人须知</w:t>
      </w:r>
      <w:bookmarkEnd w:id="33"/>
    </w:p>
    <w:p w14:paraId="7C11B346">
      <w:pPr>
        <w:shd w:val="clear"/>
        <w:kinsoku/>
        <w:overflowPunct/>
        <w:bidi w:val="0"/>
        <w:snapToGrid w:val="0"/>
        <w:spacing w:line="440" w:lineRule="exact"/>
        <w:ind w:left="0" w:leftChars="0" w:right="0" w:rightChars="0"/>
        <w:jc w:val="center"/>
        <w:outlineLvl w:val="1"/>
        <w:rPr>
          <w:rFonts w:ascii="宋体"/>
          <w:b/>
          <w:color w:val="auto"/>
          <w:sz w:val="28"/>
          <w:szCs w:val="28"/>
          <w:highlight w:val="none"/>
        </w:rPr>
      </w:pPr>
      <w:bookmarkStart w:id="34" w:name="_Toc58430314"/>
      <w:bookmarkStart w:id="35" w:name="_Toc449028865"/>
      <w:bookmarkStart w:id="36" w:name="_Toc1019"/>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34"/>
      <w:bookmarkEnd w:id="35"/>
      <w:bookmarkEnd w:id="36"/>
    </w:p>
    <w:tbl>
      <w:tblPr>
        <w:tblStyle w:val="37"/>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44928C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05430436">
            <w:pPr>
              <w:pStyle w:val="20"/>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2B6A8514">
            <w:pPr>
              <w:pStyle w:val="20"/>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75E6B005">
            <w:pPr>
              <w:pStyle w:val="20"/>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说明与要求</w:t>
            </w:r>
          </w:p>
        </w:tc>
      </w:tr>
      <w:tr w14:paraId="416EDC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51356A46">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80E2FDE">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772E70CC">
            <w:pPr>
              <w:pStyle w:val="20"/>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滁州市评标准备AI智能体建设项目</w:t>
            </w:r>
          </w:p>
        </w:tc>
      </w:tr>
      <w:tr w14:paraId="686934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797B84F2">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58550E38">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65993D45">
            <w:pPr>
              <w:pStyle w:val="20"/>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czsjqt202606-005</w:t>
            </w:r>
          </w:p>
        </w:tc>
      </w:tr>
      <w:tr w14:paraId="13A51B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B170EE4">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45BBF6B">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5DB7D864">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合同签订之日起4个月内完成建设开发、试运行，通过验收上线</w:t>
            </w:r>
            <w:r>
              <w:rPr>
                <w:rFonts w:hint="eastAsia" w:ascii="宋体" w:hAnsi="宋体" w:cs="宋体"/>
                <w:color w:val="auto"/>
                <w:szCs w:val="21"/>
                <w:highlight w:val="none"/>
              </w:rPr>
              <w:t>。</w:t>
            </w:r>
          </w:p>
        </w:tc>
      </w:tr>
      <w:tr w14:paraId="10F4C7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7FA708E3">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2A12BEE">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B2107D7">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滁州市内</w:t>
            </w:r>
          </w:p>
        </w:tc>
      </w:tr>
      <w:tr w14:paraId="2A2C0D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18ADC013">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5BA08E5D">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67E2ADC4">
            <w:pPr>
              <w:pStyle w:val="20"/>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彭经理</w:t>
            </w:r>
            <w:r>
              <w:rPr>
                <w:rFonts w:hint="eastAsia" w:hAnsi="宋体" w:cs="宋体"/>
                <w:color w:val="auto"/>
                <w:szCs w:val="21"/>
                <w:highlight w:val="none"/>
              </w:rPr>
              <w:t xml:space="preserve">        </w:t>
            </w:r>
            <w:r>
              <w:rPr>
                <w:rFonts w:hint="eastAsia" w:hAnsi="宋体" w:cs="宋体"/>
                <w:color w:val="auto"/>
                <w:szCs w:val="21"/>
                <w:highlight w:val="none"/>
                <w:lang w:val="en-US" w:eastAsia="zh-CN"/>
              </w:rPr>
              <w:t xml:space="preserve">   </w:t>
            </w:r>
            <w:r>
              <w:rPr>
                <w:rFonts w:hint="eastAsia" w:hAnsi="宋体" w:cs="宋体"/>
                <w:color w:val="auto"/>
                <w:szCs w:val="21"/>
                <w:highlight w:val="none"/>
              </w:rPr>
              <w:t xml:space="preserve"> </w:t>
            </w:r>
            <w:r>
              <w:rPr>
                <w:rFonts w:hint="eastAsia" w:hAnsi="宋体" w:cs="宋体"/>
                <w:color w:val="auto"/>
                <w:szCs w:val="21"/>
                <w:highlight w:val="none"/>
                <w:lang w:val="en-US" w:eastAsia="zh-CN"/>
              </w:rPr>
              <w:t xml:space="preserve">  </w:t>
            </w:r>
            <w:r>
              <w:rPr>
                <w:rFonts w:hint="eastAsia" w:hAnsi="宋体" w:cs="宋体"/>
                <w:color w:val="auto"/>
                <w:szCs w:val="21"/>
                <w:highlight w:val="none"/>
              </w:rPr>
              <w:t>电话：</w:t>
            </w:r>
            <w:r>
              <w:rPr>
                <w:rFonts w:hint="eastAsia" w:hAnsi="宋体" w:cs="宋体"/>
                <w:color w:val="auto"/>
                <w:szCs w:val="21"/>
                <w:highlight w:val="none"/>
                <w:lang w:val="en-US" w:eastAsia="zh-CN"/>
              </w:rPr>
              <w:t>0550-3018637</w:t>
            </w:r>
          </w:p>
        </w:tc>
      </w:tr>
      <w:tr w14:paraId="27F64B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66C52805">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F13C873">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D59BAE3">
            <w:pPr>
              <w:pStyle w:val="20"/>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关勤勤</w:t>
            </w:r>
            <w:r>
              <w:rPr>
                <w:rFonts w:hint="eastAsia" w:hAnsi="宋体" w:cs="宋体"/>
                <w:color w:val="auto"/>
                <w:szCs w:val="21"/>
                <w:highlight w:val="none"/>
              </w:rPr>
              <w:t xml:space="preserve">              电话0550-3519590   </w:t>
            </w:r>
            <w:r>
              <w:rPr>
                <w:rFonts w:hint="eastAsia" w:hAnsi="宋体" w:cs="宋体"/>
                <w:color w:val="auto"/>
                <w:szCs w:val="21"/>
                <w:highlight w:val="none"/>
                <w:lang w:val="en-US" w:eastAsia="zh-CN"/>
              </w:rPr>
              <w:t>18909605753</w:t>
            </w:r>
          </w:p>
        </w:tc>
      </w:tr>
      <w:tr w14:paraId="64AD8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7D178EA7">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3CD1F781">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14BC05B7">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自筹资金</w:t>
            </w:r>
          </w:p>
        </w:tc>
      </w:tr>
      <w:tr w14:paraId="2F626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28A747A2">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57FCDD9E">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lang w:val="en-US" w:eastAsia="zh-CN"/>
              </w:rPr>
              <w:t>采购</w:t>
            </w:r>
            <w:r>
              <w:rPr>
                <w:rFonts w:hint="eastAsia" w:hAnsi="宋体" w:cs="宋体"/>
                <w:color w:val="auto"/>
                <w:szCs w:val="21"/>
                <w:highlight w:val="none"/>
              </w:rPr>
              <w:t>预算</w:t>
            </w:r>
          </w:p>
        </w:tc>
        <w:tc>
          <w:tcPr>
            <w:tcW w:w="6610" w:type="dxa"/>
            <w:vAlign w:val="center"/>
          </w:tcPr>
          <w:p w14:paraId="4CCD50B9">
            <w:pPr>
              <w:pStyle w:val="20"/>
              <w:shd w:val="clear"/>
              <w:kinsoku/>
              <w:overflowPunct/>
              <w:bidi w:val="0"/>
              <w:spacing w:line="500" w:lineRule="exact"/>
              <w:ind w:left="0" w:leftChars="0" w:right="0" w:rightChars="0"/>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696600元</w:t>
            </w:r>
          </w:p>
        </w:tc>
      </w:tr>
      <w:tr w14:paraId="613F38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025833DF">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1C7510AE">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2C858082">
            <w:pPr>
              <w:keepNext w:val="0"/>
              <w:keepLines w:val="0"/>
              <w:pageBreakBefore w:val="0"/>
              <w:shd w:val="clear"/>
              <w:kinsoku/>
              <w:wordWrap/>
              <w:overflowPunct/>
              <w:autoSpaceDE/>
              <w:autoSpaceDN/>
              <w:bidi w:val="0"/>
              <w:adjustRightInd w:val="0"/>
              <w:snapToGrid w:val="0"/>
              <w:spacing w:line="440" w:lineRule="exact"/>
              <w:ind w:left="0" w:leftChars="0" w:right="0" w:rightChars="0"/>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本项目最高限价</w:t>
            </w:r>
            <w:r>
              <w:rPr>
                <w:rFonts w:hint="eastAsia" w:ascii="宋体" w:hAnsi="宋体" w:cs="宋体"/>
                <w:b/>
                <w:bCs/>
                <w:color w:val="auto"/>
                <w:sz w:val="21"/>
                <w:szCs w:val="21"/>
                <w:highlight w:val="none"/>
                <w:lang w:val="en-US" w:eastAsia="zh-CN"/>
              </w:rPr>
              <w:t>696600元，</w:t>
            </w:r>
            <w:r>
              <w:rPr>
                <w:rFonts w:hint="eastAsia" w:ascii="宋体" w:hAnsi="宋体" w:eastAsia="宋体" w:cs="宋体"/>
                <w:b/>
                <w:bCs/>
                <w:color w:val="auto"/>
                <w:sz w:val="21"/>
                <w:szCs w:val="21"/>
                <w:highlight w:val="none"/>
                <w:lang w:val="en-US" w:eastAsia="zh-CN"/>
              </w:rPr>
              <w:t>投标人报价高于最高限价的，其投标文件按无效标处理。</w:t>
            </w:r>
          </w:p>
          <w:p w14:paraId="405ACFF7">
            <w:pPr>
              <w:shd w:val="clear"/>
              <w:kinsoku/>
              <w:overflowPunct/>
              <w:bidi w:val="0"/>
              <w:spacing w:line="500" w:lineRule="exact"/>
              <w:ind w:left="0" w:leftChars="0" w:right="0" w:rightChars="0"/>
              <w:rPr>
                <w:rFonts w:ascii="宋体" w:hAnsi="宋体" w:cs="宋体"/>
                <w:color w:val="auto"/>
                <w:szCs w:val="21"/>
                <w:highlight w:val="none"/>
                <w:u w:color="000000"/>
              </w:rPr>
            </w:pPr>
            <w:r>
              <w:rPr>
                <w:rFonts w:hint="eastAsia" w:ascii="Times New Roman" w:eastAsia="宋体"/>
                <w:b/>
                <w:bCs/>
                <w:color w:val="auto"/>
                <w:highlight w:val="none"/>
                <w:lang w:val="en-US" w:eastAsia="zh-CN"/>
              </w:rPr>
              <w:t>注：投标报价小数点后最多保留两位小数，如填报多位小数的，按小数点后第3位四舍五入修正投标报价</w:t>
            </w:r>
            <w:r>
              <w:rPr>
                <w:rFonts w:hint="eastAsia"/>
                <w:b/>
                <w:bCs/>
                <w:color w:val="auto"/>
                <w:highlight w:val="none"/>
                <w:lang w:val="en-US" w:eastAsia="zh-CN"/>
              </w:rPr>
              <w:t>。</w:t>
            </w:r>
          </w:p>
        </w:tc>
      </w:tr>
      <w:tr w14:paraId="79E4D8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4000F029">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0472B07">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3DA4F68B">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b/>
                <w:color w:val="auto"/>
                <w:kern w:val="0"/>
                <w:szCs w:val="21"/>
                <w:highlight w:val="none"/>
              </w:rPr>
              <w:t>具体</w:t>
            </w:r>
            <w:r>
              <w:rPr>
                <w:rFonts w:hint="eastAsia" w:hAnsi="宋体" w:cs="宋体"/>
                <w:b/>
                <w:color w:val="auto"/>
                <w:kern w:val="0"/>
                <w:szCs w:val="21"/>
                <w:highlight w:val="none"/>
                <w:lang w:val="en-US" w:eastAsia="zh-CN"/>
              </w:rPr>
              <w:t>详见《服务内容及技术要求》和合同条款内容</w:t>
            </w:r>
          </w:p>
        </w:tc>
      </w:tr>
      <w:tr w14:paraId="255A26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E4CAA6A">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20CEC5A0">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59D77CBE">
            <w:pPr>
              <w:pStyle w:val="20"/>
              <w:shd w:val="clear"/>
              <w:kinsoku/>
              <w:overflowPunct/>
              <w:bidi w:val="0"/>
              <w:spacing w:line="500" w:lineRule="exact"/>
              <w:ind w:left="0" w:leftChars="0" w:right="0" w:rightChars="0"/>
              <w:rPr>
                <w:rFonts w:hint="eastAsia" w:hAnsi="宋体" w:eastAsia="宋体" w:cs="宋体"/>
                <w:color w:val="auto"/>
                <w:szCs w:val="21"/>
                <w:highlight w:val="none"/>
                <w:lang w:val="en-US" w:eastAsia="zh-CN"/>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w:t>
            </w:r>
            <w:r>
              <w:rPr>
                <w:rFonts w:hint="eastAsia" w:hAnsi="宋体" w:cs="宋体"/>
                <w:color w:val="auto"/>
                <w:szCs w:val="21"/>
                <w:highlight w:val="none"/>
                <w:lang w:val="en-US" w:eastAsia="zh-CN"/>
              </w:rPr>
              <w:t>段</w:t>
            </w:r>
          </w:p>
        </w:tc>
      </w:tr>
      <w:tr w14:paraId="778AF4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26F20593">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7AA231BE">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63C8AB2F">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公开招标</w:t>
            </w:r>
          </w:p>
        </w:tc>
      </w:tr>
      <w:tr w14:paraId="0A883E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153A72A4">
            <w:pPr>
              <w:pStyle w:val="20"/>
              <w:shd w:val="clear"/>
              <w:kinsoku/>
              <w:overflowPunct/>
              <w:bidi w:val="0"/>
              <w:spacing w:line="500" w:lineRule="exact"/>
              <w:ind w:left="0" w:leftChars="0" w:right="0" w:rightChars="0"/>
              <w:jc w:val="center"/>
              <w:rPr>
                <w:rFonts w:hint="eastAsia" w:hAnsi="宋体" w:eastAsia="宋体" w:cs="宋体"/>
                <w:color w:val="auto"/>
                <w:szCs w:val="21"/>
                <w:highlight w:val="none"/>
                <w:lang w:eastAsia="zh-CN"/>
              </w:rPr>
            </w:pPr>
            <w:r>
              <w:rPr>
                <w:rFonts w:hint="eastAsia" w:hAnsi="宋体" w:cs="宋体"/>
                <w:color w:val="auto"/>
                <w:szCs w:val="21"/>
                <w:highlight w:val="none"/>
              </w:rPr>
              <w:t>7.</w:t>
            </w:r>
            <w:r>
              <w:rPr>
                <w:rFonts w:hint="eastAsia" w:hAnsi="宋体" w:cs="宋体"/>
                <w:color w:val="auto"/>
                <w:szCs w:val="21"/>
                <w:highlight w:val="none"/>
                <w:lang w:val="en-US" w:eastAsia="zh-CN"/>
              </w:rPr>
              <w:t>1</w:t>
            </w:r>
          </w:p>
        </w:tc>
        <w:tc>
          <w:tcPr>
            <w:tcW w:w="2140" w:type="dxa"/>
            <w:gridSpan w:val="2"/>
            <w:vAlign w:val="center"/>
          </w:tcPr>
          <w:p w14:paraId="66EE2C5F">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07776A06">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147C5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B10D33D">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33E8BB06">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653D44E">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不组织,投标人自行踏勘。</w:t>
            </w:r>
          </w:p>
        </w:tc>
      </w:tr>
      <w:tr w14:paraId="670F22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9E0D99B">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67BA3DE7">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7382D9D4">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不召开</w:t>
            </w:r>
          </w:p>
        </w:tc>
      </w:tr>
      <w:tr w14:paraId="769076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1CCBD4A">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1C70DD3A">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546EDCB9">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u w:val="single"/>
                <w:lang w:val="en-US" w:eastAsia="zh-CN"/>
              </w:rPr>
              <w:t>5220</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(参考计价格[2002]1980号文件</w:t>
            </w:r>
            <w:r>
              <w:rPr>
                <w:rFonts w:hint="eastAsia" w:ascii="宋体" w:hAnsi="宋体" w:cs="宋体"/>
                <w:color w:val="auto"/>
                <w:szCs w:val="21"/>
                <w:highlight w:val="none"/>
                <w:u w:val="single"/>
                <w:lang w:val="en-US" w:eastAsia="zh-CN"/>
              </w:rPr>
              <w:t xml:space="preserve"> 50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06CF02C2">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代理服务费支付主体：中标单位。</w:t>
            </w:r>
          </w:p>
          <w:p w14:paraId="3CF3A0B8">
            <w:pPr>
              <w:shd w:val="clear"/>
              <w:kinsoku/>
              <w:overflowPunct/>
              <w:bidi w:val="0"/>
              <w:spacing w:line="500" w:lineRule="exact"/>
              <w:ind w:left="0" w:leftChars="0" w:right="0" w:rightChars="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招标单位</w:t>
            </w:r>
            <w:r>
              <w:rPr>
                <w:rFonts w:hint="eastAsia" w:ascii="宋体" w:hAnsi="宋体" w:cs="宋体"/>
                <w:color w:val="auto"/>
                <w:szCs w:val="21"/>
                <w:highlight w:val="none"/>
              </w:rPr>
              <w:t>。</w:t>
            </w:r>
          </w:p>
        </w:tc>
      </w:tr>
      <w:tr w14:paraId="5E7AE2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5E3BF31">
            <w:pPr>
              <w:shd w:val="clear"/>
              <w:kinsoku/>
              <w:overflowPunct/>
              <w:bidi w:val="0"/>
              <w:spacing w:line="500" w:lineRule="exact"/>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12.2</w:t>
            </w:r>
            <w:bookmarkStart w:id="249" w:name="_GoBack"/>
            <w:bookmarkEnd w:id="249"/>
          </w:p>
        </w:tc>
        <w:tc>
          <w:tcPr>
            <w:tcW w:w="2140" w:type="dxa"/>
            <w:gridSpan w:val="2"/>
            <w:vAlign w:val="center"/>
          </w:tcPr>
          <w:p w14:paraId="3AF2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color w:val="auto"/>
                <w:highlight w:val="none"/>
              </w:rPr>
              <w:t>专家评审劳务费</w:t>
            </w:r>
          </w:p>
        </w:tc>
        <w:tc>
          <w:tcPr>
            <w:tcW w:w="6610" w:type="dxa"/>
            <w:vAlign w:val="center"/>
          </w:tcPr>
          <w:p w14:paraId="0B95ED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费用或支付标准：按实结算；</w:t>
            </w:r>
          </w:p>
          <w:p w14:paraId="50174D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b w:val="0"/>
                <w:bCs w:val="0"/>
                <w:color w:val="auto"/>
                <w:highlight w:val="none"/>
              </w:rPr>
              <w:t>支付主体：招标</w:t>
            </w:r>
            <w:r>
              <w:rPr>
                <w:rFonts w:hint="eastAsia" w:ascii="宋体" w:hAnsi="宋体" w:eastAsia="宋体" w:cs="宋体"/>
                <w:b w:val="0"/>
                <w:bCs w:val="0"/>
                <w:color w:val="auto"/>
                <w:highlight w:val="none"/>
                <w:lang w:val="en-US" w:eastAsia="zh-CN"/>
              </w:rPr>
              <w:t>人</w:t>
            </w:r>
            <w:r>
              <w:rPr>
                <w:rFonts w:hint="eastAsia" w:ascii="宋体" w:hAnsi="宋体" w:eastAsia="宋体" w:cs="宋体"/>
                <w:b w:val="0"/>
                <w:bCs w:val="0"/>
                <w:color w:val="auto"/>
                <w:highlight w:val="none"/>
              </w:rPr>
              <w:t>。</w:t>
            </w:r>
          </w:p>
        </w:tc>
      </w:tr>
      <w:tr w14:paraId="32188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32E98C5">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428A243C">
            <w:pPr>
              <w:pStyle w:val="20"/>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FBFE0E">
            <w:pPr>
              <w:pStyle w:val="20"/>
              <w:keepNext w:val="0"/>
              <w:keepLines w:val="0"/>
              <w:pageBreakBefore w:val="0"/>
              <w:widowControl w:val="0"/>
              <w:shd w:val="clear"/>
              <w:kinsoku/>
              <w:wordWrap w:val="0"/>
              <w:overflowPunct/>
              <w:topLinePunct w:val="0"/>
              <w:autoSpaceDE/>
              <w:autoSpaceDN/>
              <w:bidi w:val="0"/>
              <w:adjustRightInd/>
              <w:snapToGrid/>
              <w:spacing w:line="500" w:lineRule="exact"/>
              <w:ind w:left="0" w:leftChars="0" w:right="0" w:rightChars="0"/>
              <w:textAlignment w:val="auto"/>
              <w:rPr>
                <w:rFonts w:ascii="宋体"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6</w:t>
            </w:r>
            <w:r>
              <w:rPr>
                <w:rFonts w:hint="eastAsia" w:hAnsi="宋体" w:cs="宋体"/>
                <w:b/>
                <w:bCs/>
                <w:color w:val="auto"/>
                <w:szCs w:val="21"/>
                <w:highlight w:val="none"/>
              </w:rPr>
              <w:t>月</w:t>
            </w:r>
            <w:r>
              <w:rPr>
                <w:rFonts w:hint="eastAsia" w:hAnsi="宋体" w:cs="宋体"/>
                <w:b/>
                <w:bCs/>
                <w:color w:val="auto"/>
                <w:szCs w:val="21"/>
                <w:highlight w:val="none"/>
                <w:lang w:val="en-US" w:eastAsia="zh-CN"/>
              </w:rPr>
              <w:t>19</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 xml:space="preserve">（投标截止10日）前在滁州市公共资源交易中心网电子交易系统中进行异议（质疑），具体操作步骤和程序请参见服务指南&gt;交易须知&gt;在线异议、质疑和投诉操作手册。 </w:t>
            </w:r>
          </w:p>
        </w:tc>
      </w:tr>
      <w:tr w14:paraId="326B4C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5F190A6D">
            <w:pPr>
              <w:shd w:val="clear"/>
              <w:kinsoku/>
              <w:overflowPunct/>
              <w:bidi w:val="0"/>
              <w:spacing w:line="500" w:lineRule="exact"/>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16.4</w:t>
            </w:r>
          </w:p>
        </w:tc>
        <w:tc>
          <w:tcPr>
            <w:tcW w:w="2140" w:type="dxa"/>
            <w:gridSpan w:val="2"/>
            <w:vAlign w:val="center"/>
          </w:tcPr>
          <w:p w14:paraId="162B7019">
            <w:pPr>
              <w:pStyle w:val="20"/>
              <w:shd w:val="clear"/>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33517326">
            <w:pPr>
              <w:keepNext w:val="0"/>
              <w:keepLines w:val="0"/>
              <w:pageBreakBefore w:val="0"/>
              <w:widowControl w:val="0"/>
              <w:shd w:val="clear"/>
              <w:kinsoku/>
              <w:wordWrap w:val="0"/>
              <w:overflowPunct/>
              <w:topLinePunct w:val="0"/>
              <w:autoSpaceDE/>
              <w:autoSpaceDN/>
              <w:bidi w:val="0"/>
              <w:adjustRightInd/>
              <w:snapToGrid/>
              <w:spacing w:line="500" w:lineRule="exact"/>
              <w:ind w:left="0" w:leftChars="0" w:right="0" w:rightChars="0"/>
              <w:textAlignment w:val="auto"/>
              <w:rPr>
                <w:rFonts w:hint="eastAsia"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22</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A820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49BC2CA">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17EC8ECE">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124E20A9">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DD26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1F260142">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54EC087B">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009CA245">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投标保证金收取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投标保证金的金额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投标人提交投标保证金。</w:t>
            </w:r>
          </w:p>
          <w:p w14:paraId="4CB92988">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投标保证金形式：支持现金（银行转账、银行电汇等）、非现金形式（支票、银行汇票、本票等）、电子保函、纸质银行保函。</w:t>
            </w:r>
          </w:p>
          <w:p w14:paraId="047A4E27">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接收投标保证金的账户信息：</w:t>
            </w:r>
          </w:p>
          <w:p w14:paraId="5ABECBA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52A8A374">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①户名：滁州市公共资源交易中心</w:t>
            </w:r>
          </w:p>
          <w:p w14:paraId="1F326B4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开户行：中国银行滁州分行</w:t>
            </w:r>
          </w:p>
          <w:p w14:paraId="40B57022">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188745190670</w:t>
            </w:r>
          </w:p>
          <w:p w14:paraId="1B5BF99D">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②户名：滁州市公共资源交易中心</w:t>
            </w:r>
          </w:p>
          <w:p w14:paraId="6BE86162">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开户行：中国建设银行股份有限公司滁州南谯支行</w:t>
            </w:r>
          </w:p>
          <w:p w14:paraId="4C7E1292">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6232811720000039003</w:t>
            </w:r>
          </w:p>
          <w:p w14:paraId="77788A3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③户名：滁州市公共资源交易中心</w:t>
            </w:r>
          </w:p>
          <w:p w14:paraId="432A5774">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开户行：中国农业银行滁州中都支行</w:t>
            </w:r>
          </w:p>
          <w:p w14:paraId="29994220">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123340010400044210000000016</w:t>
            </w:r>
          </w:p>
          <w:p w14:paraId="0AB5BA76">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采用现金形式缴纳保证金时须在交易附言中注明：“czsjqt202606-00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项目投标保证金”。</w:t>
            </w:r>
          </w:p>
          <w:p w14:paraId="28E5C6E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2）采用支票、银行汇票、本票等非现金形式提交投标保证金时，投标人应在付款人开户行申请书附言处注明“czsjqt202606-005项目投标保证金”字样，应确保收款人开户行进账单完整反映交易附言内容，由此导致无法识别投标保证金对应的投标项目，其后果由投标人负责。</w:t>
            </w:r>
          </w:p>
          <w:p w14:paraId="356E0EA7">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3)采用电子保函形式具体要求如下：</w:t>
            </w:r>
          </w:p>
          <w:p w14:paraId="03B71CE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①电子保函提交要求：</w:t>
            </w:r>
          </w:p>
          <w:p w14:paraId="313C0335">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a.投标人须在投标文件提交截止时间前提供与滁州市公共资源交易中心金融服务平台对接的电子保函，否则视为投标保证金未按规定要求缴纳。</w:t>
            </w:r>
          </w:p>
          <w:p w14:paraId="01AB7D1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41191294">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c.投标有效期内未能确定中标结果，需要延长投标有效期，投标人同意延长投标有效期的，须相应延长电子保函的有效期。</w:t>
            </w:r>
          </w:p>
          <w:p w14:paraId="5227F53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d.投标人存在投标保证金不予退还的情形，采用电子保函形式的将予以追缴。</w:t>
            </w:r>
          </w:p>
          <w:p w14:paraId="51DEEC7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4)采用纸质</w:t>
            </w:r>
            <w:r>
              <w:rPr>
                <w:rFonts w:hint="eastAsia" w:ascii="宋体" w:hAnsi="宋体" w:cs="宋体"/>
                <w:color w:val="auto"/>
                <w:szCs w:val="21"/>
                <w:highlight w:val="none"/>
                <w:lang w:eastAsia="zh-CN"/>
              </w:rPr>
              <w:t>银行</w:t>
            </w:r>
            <w:r>
              <w:rPr>
                <w:rFonts w:hint="eastAsia" w:ascii="宋体" w:hAnsi="宋体" w:cs="宋体"/>
                <w:color w:val="auto"/>
                <w:szCs w:val="21"/>
                <w:highlight w:val="none"/>
              </w:rPr>
              <w:t>保函形式具体要求如下：</w:t>
            </w:r>
          </w:p>
          <w:p w14:paraId="67841902">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①应为投标人基本账户开户银行出具的不可撤销、不可转让的见索即付独立保函,所需费用由投标人承担。</w:t>
            </w:r>
          </w:p>
          <w:p w14:paraId="0CAF17BA">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eastAsia="zh-CN"/>
              </w:rPr>
            </w:pPr>
            <w:r>
              <w:rPr>
                <w:rFonts w:hint="eastAsia" w:ascii="宋体" w:hAnsi="宋体" w:cs="宋体"/>
                <w:color w:val="auto"/>
                <w:szCs w:val="21"/>
                <w:highlight w:val="none"/>
              </w:rPr>
              <w:t>②投标人在投标文件中必须提供基本存款账户证明（如基本存款账户开户许可证或基本存款账户信息），同时将纸质保函扫描件提供在投标文件中</w:t>
            </w:r>
            <w:r>
              <w:rPr>
                <w:rFonts w:hint="eastAsia" w:ascii="宋体" w:hAnsi="宋体" w:cs="宋体"/>
                <w:color w:val="auto"/>
                <w:szCs w:val="21"/>
                <w:highlight w:val="none"/>
                <w:lang w:eastAsia="zh-CN"/>
              </w:rPr>
              <w:t>。</w:t>
            </w:r>
          </w:p>
          <w:p w14:paraId="6B89A80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③投标人在投标文件中必须提供明确有效的查询途径（ 网址链接及查询方式），否则该纸质银行保函无效。</w:t>
            </w:r>
          </w:p>
          <w:p w14:paraId="22C4574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0B2C1DF8">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保证金电子保函业务应急处置措施。由于自然灾害、事故灾难、突发公共网络安全事件或者系统原因，以及保证金电子保函系统使用过程中出现的以下情况：</w:t>
            </w:r>
          </w:p>
          <w:p w14:paraId="7667549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（1）开标时，系统获取明文保函文件异常，无法正常获取保函文件；</w:t>
            </w:r>
          </w:p>
          <w:p w14:paraId="690F8ED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（2）保证金电子保函系统的软件或数据库出现错误，不能进行正常操作；</w:t>
            </w:r>
          </w:p>
          <w:p w14:paraId="4B76131E">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（3）保证金电子保函系统服务器发生故障等情况，无法访问或无法使用电子保函；</w:t>
            </w:r>
          </w:p>
          <w:p w14:paraId="350CCB7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（4）保证金电子保函系统服务器受到病毒或其他外来的攻击；</w:t>
            </w:r>
          </w:p>
          <w:p w14:paraId="6FBF608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（5）其他影响电子保函出具的异常情形。</w:t>
            </w:r>
          </w:p>
          <w:p w14:paraId="5B7957C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668829E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本次招标失败，再次进行招标的，投标人须按照新的账户重新缴纳投标保证金。</w:t>
            </w:r>
          </w:p>
          <w:p w14:paraId="73FBC8C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投标人为联合体投标的，由牵头人基本账户转出投标保证金或由牵头人办理保函。</w:t>
            </w:r>
          </w:p>
          <w:p w14:paraId="3A32A4FE">
            <w:pPr>
              <w:widowControl/>
              <w:shd w:val="clear" w:color="auto"/>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.是否适用免缴投标保证金政策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不适用</w:t>
            </w:r>
            <w:r>
              <w:rPr>
                <w:rFonts w:hint="eastAsia" w:ascii="宋体" w:hAnsi="宋体" w:cs="宋体"/>
                <w:color w:val="auto"/>
                <w:szCs w:val="21"/>
                <w:highlight w:val="none"/>
              </w:rPr>
              <w:t>。</w:t>
            </w:r>
          </w:p>
        </w:tc>
      </w:tr>
      <w:tr w14:paraId="2CF29D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B4EF961">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2D0ED125">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0B0B69B8">
            <w:pPr>
              <w:widowControl/>
              <w:shd w:val="clear"/>
              <w:kinsoku/>
              <w:overflowPunct/>
              <w:bidi w:val="0"/>
              <w:spacing w:line="500" w:lineRule="exact"/>
              <w:ind w:left="0" w:leftChars="0" w:right="0" w:rightChars="0"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3FBE7964">
            <w:pPr>
              <w:widowControl/>
              <w:shd w:val="clear"/>
              <w:kinsoku/>
              <w:overflowPunct/>
              <w:bidi w:val="0"/>
              <w:spacing w:line="500" w:lineRule="exact"/>
              <w:ind w:left="0" w:leftChars="0" w:right="0" w:rightChars="0"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（投标单位中标后须递交与网上电子投标文件完全一致的纸质版投标文件，并按要求加盖公章；份数：正本1份，副本2份；中标单位领取中标通知书时，一并递交给代理机构）</w:t>
            </w:r>
          </w:p>
        </w:tc>
      </w:tr>
      <w:tr w14:paraId="17D754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ACA9DC6">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0BC1F218">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A411634">
            <w:pPr>
              <w:widowControl/>
              <w:shd w:val="clear"/>
              <w:kinsoku/>
              <w:overflowPunct/>
              <w:bidi w:val="0"/>
              <w:spacing w:line="500" w:lineRule="exact"/>
              <w:ind w:left="0" w:leftChars="0" w:right="0" w:rightChars="0"/>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7393EAE">
            <w:pPr>
              <w:widowControl/>
              <w:shd w:val="clear"/>
              <w:kinsoku/>
              <w:overflowPunct/>
              <w:bidi w:val="0"/>
              <w:spacing w:line="500" w:lineRule="exact"/>
              <w:ind w:left="0" w:leftChars="0" w:right="0" w:rightChars="0"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599EC6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44AD16E6">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1B802058">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5C780016">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29</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5EE566BB">
            <w:pPr>
              <w:shd w:val="clear"/>
              <w:kinsoku/>
              <w:overflowPunct/>
              <w:bidi w:val="0"/>
              <w:spacing w:line="500" w:lineRule="exact"/>
              <w:ind w:left="0" w:leftChars="0" w:right="0" w:rightChars="0"/>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1F419A8E">
            <w:pPr>
              <w:shd w:val="clear"/>
              <w:kinsoku/>
              <w:wordWrap w:val="0"/>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13C3425B">
            <w:pPr>
              <w:shd w:val="clear"/>
              <w:kinsoku/>
              <w:wordWrap w:val="0"/>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6月29</w:t>
            </w:r>
            <w:r>
              <w:rPr>
                <w:rFonts w:hint="eastAsia" w:ascii="宋体" w:hAnsi="宋体" w:cs="宋体"/>
                <w:b/>
                <w:bCs/>
                <w:color w:val="auto"/>
                <w:szCs w:val="21"/>
                <w:highlight w:val="none"/>
              </w:rPr>
              <w:t>日08点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29</w:t>
            </w:r>
            <w:r>
              <w:rPr>
                <w:rFonts w:hint="eastAsia" w:ascii="宋体" w:hAnsi="宋体" w:cs="宋体"/>
                <w:b/>
                <w:bCs/>
                <w:color w:val="auto"/>
                <w:szCs w:val="21"/>
                <w:highlight w:val="none"/>
              </w:rPr>
              <w:t>日09点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w:t>
            </w:r>
          </w:p>
        </w:tc>
      </w:tr>
      <w:tr w14:paraId="6457DA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3300F3E">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w:t>
            </w:r>
          </w:p>
        </w:tc>
        <w:tc>
          <w:tcPr>
            <w:tcW w:w="2140" w:type="dxa"/>
            <w:gridSpan w:val="2"/>
            <w:vAlign w:val="center"/>
          </w:tcPr>
          <w:p w14:paraId="709C07EE">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3B4243C9">
            <w:pPr>
              <w:shd w:val="clear"/>
              <w:kinsoku/>
              <w:overflowPunct/>
              <w:bidi w:val="0"/>
              <w:spacing w:line="500" w:lineRule="exact"/>
              <w:ind w:left="0" w:leftChars="0" w:right="0" w:rightChars="0"/>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29</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26DEB139">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229BAE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23D477BC">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w:t>
            </w:r>
          </w:p>
        </w:tc>
        <w:tc>
          <w:tcPr>
            <w:tcW w:w="2140" w:type="dxa"/>
            <w:gridSpan w:val="2"/>
            <w:vAlign w:val="center"/>
          </w:tcPr>
          <w:p w14:paraId="635C9873">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22E9F8E3">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3FE1A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D3D8EB3">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lang w:val="en-US" w:eastAsia="zh-CN"/>
              </w:rPr>
              <w:t>30</w:t>
            </w:r>
            <w:r>
              <w:rPr>
                <w:rFonts w:hint="eastAsia" w:hAnsi="宋体" w:cs="宋体"/>
                <w:color w:val="auto"/>
                <w:szCs w:val="21"/>
                <w:highlight w:val="none"/>
              </w:rPr>
              <w:t>.1</w:t>
            </w:r>
          </w:p>
        </w:tc>
        <w:tc>
          <w:tcPr>
            <w:tcW w:w="2140" w:type="dxa"/>
            <w:gridSpan w:val="2"/>
            <w:vAlign w:val="center"/>
          </w:tcPr>
          <w:p w14:paraId="16288688">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68E2F1B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人，专家评委</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4F16C6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lang w:eastAsia="zh-CN"/>
              </w:rPr>
              <w:t>评标专家由招标人在评标活动开始前</w:t>
            </w:r>
            <w:r>
              <w:rPr>
                <w:rFonts w:hint="eastAsia" w:ascii="宋体" w:hAnsi="宋体" w:cs="宋体"/>
                <w:color w:val="auto"/>
                <w:szCs w:val="21"/>
                <w:highlight w:val="none"/>
                <w:lang w:val="en-US" w:eastAsia="zh-CN"/>
              </w:rPr>
              <w:t>24小时内，通过抽取终端从专家库中随机抽取</w:t>
            </w:r>
            <w:r>
              <w:rPr>
                <w:rFonts w:hint="eastAsia" w:ascii="宋体" w:hAnsi="宋体" w:cs="宋体"/>
                <w:color w:val="auto"/>
                <w:szCs w:val="21"/>
                <w:highlight w:val="none"/>
              </w:rPr>
              <w:t>。</w:t>
            </w:r>
          </w:p>
        </w:tc>
      </w:tr>
      <w:tr w14:paraId="3270FA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7FD839C2">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3611B35F">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18B6EFAB">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是，评标委员会推荐3名中标候选人。</w:t>
            </w:r>
          </w:p>
        </w:tc>
      </w:tr>
      <w:tr w14:paraId="087BE1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FAB7660">
            <w:pPr>
              <w:pStyle w:val="20"/>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3DADEB85">
            <w:pPr>
              <w:pStyle w:val="20"/>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1613262A">
            <w:pPr>
              <w:pStyle w:val="20"/>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公示媒介：同招标公告发布媒介</w:t>
            </w:r>
          </w:p>
          <w:p w14:paraId="68C4AE0F">
            <w:pPr>
              <w:pStyle w:val="20"/>
              <w:shd w:val="clear"/>
              <w:kinsoku/>
              <w:overflowPunct/>
              <w:bidi w:val="0"/>
              <w:spacing w:line="500" w:lineRule="exact"/>
              <w:ind w:left="0" w:leftChars="0" w:right="0" w:rightChars="0"/>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04BA0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535896C1">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06AD6C76">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4C74179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212F3A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03EF91E2">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140" w:type="dxa"/>
            <w:gridSpan w:val="2"/>
            <w:vAlign w:val="center"/>
          </w:tcPr>
          <w:p w14:paraId="7F6EACAA">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D5A5D59">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数据电文</w:t>
            </w:r>
          </w:p>
        </w:tc>
      </w:tr>
      <w:tr w14:paraId="1103FD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28EC94C4">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657A689">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77A32535">
            <w:pPr>
              <w:shd w:val="clear"/>
              <w:tabs>
                <w:tab w:val="left" w:pos="5034"/>
              </w:tabs>
              <w:kinsoku/>
              <w:overflowPunct/>
              <w:bidi w:val="0"/>
              <w:spacing w:line="500" w:lineRule="exact"/>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是否收取履约担保：收取</w:t>
            </w:r>
          </w:p>
          <w:p w14:paraId="54722B3D">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619AA7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Times New Roman" w:hAnsi="Times New Roman" w:eastAsia="宋体" w:cs="Times New Roman"/>
                <w:color w:val="auto"/>
                <w:highlight w:val="none"/>
              </w:rPr>
              <w:t>中标</w:t>
            </w:r>
            <w:r>
              <w:rPr>
                <w:rFonts w:hint="eastAsia" w:cs="Times New Roman"/>
                <w:color w:val="auto"/>
                <w:highlight w:val="none"/>
                <w:lang w:val="en-US" w:eastAsia="zh-CN"/>
              </w:rPr>
              <w:t>金额*2%</w:t>
            </w:r>
            <w:r>
              <w:rPr>
                <w:rFonts w:hint="eastAsia" w:ascii="Times New Roman" w:hAnsi="Times New Roman" w:eastAsia="宋体" w:cs="Times New Roman"/>
                <w:color w:val="auto"/>
                <w:highlight w:val="none"/>
              </w:rPr>
              <w:t>，取整到千位</w:t>
            </w:r>
          </w:p>
          <w:p w14:paraId="69A64EDF">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收款单位：另行通知</w:t>
            </w:r>
          </w:p>
          <w:p w14:paraId="0D4B14F3">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开户行、账号：另行通知</w:t>
            </w:r>
          </w:p>
          <w:p w14:paraId="05F997DC">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00C3B141">
            <w:pPr>
              <w:shd w:val="clear"/>
              <w:kinsoku/>
              <w:overflowPunct/>
              <w:bidi w:val="0"/>
              <w:spacing w:line="500" w:lineRule="exact"/>
              <w:ind w:left="0" w:leftChars="0" w:right="0" w:rightChars="0" w:firstLine="0"/>
              <w:rPr>
                <w:rFonts w:hint="eastAsia"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eastAsia="宋体" w:cs="宋体"/>
                <w:color w:val="auto"/>
                <w:sz w:val="21"/>
                <w:szCs w:val="21"/>
                <w:highlight w:val="none"/>
              </w:rPr>
              <w:t>履约保证金在</w:t>
            </w:r>
            <w:r>
              <w:rPr>
                <w:rFonts w:hint="eastAsia" w:ascii="宋体" w:hAnsi="宋体" w:eastAsia="宋体" w:cs="宋体"/>
                <w:b w:val="0"/>
                <w:i w:val="0"/>
                <w:color w:val="auto"/>
                <w:sz w:val="21"/>
                <w:szCs w:val="21"/>
                <w:highlight w:val="none"/>
                <w:u w:val="none"/>
              </w:rPr>
              <w:t>合同</w:t>
            </w:r>
            <w:r>
              <w:rPr>
                <w:rFonts w:hint="eastAsia" w:ascii="宋体" w:hAnsi="宋体" w:eastAsia="宋体" w:cs="宋体"/>
                <w:color w:val="auto"/>
                <w:sz w:val="21"/>
                <w:szCs w:val="21"/>
                <w:highlight w:val="none"/>
              </w:rPr>
              <w:t>约定期间内不予退还或者应完全有效，</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约定期间届满之日起</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rPr>
              <w:t>个工作日内，甲方应将履约保证金退还乙方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逾期退还履约保证金</w:t>
            </w:r>
            <w:r>
              <w:rPr>
                <w:rFonts w:hint="eastAsia" w:ascii="宋体" w:hAnsi="宋体" w:eastAsia="宋体" w:cs="宋体"/>
                <w:color w:val="auto"/>
                <w:sz w:val="21"/>
                <w:szCs w:val="21"/>
                <w:highlight w:val="none"/>
                <w:lang w:val="en-US" w:eastAsia="zh-CN"/>
              </w:rPr>
              <w:t>应承担违约责任。</w:t>
            </w:r>
          </w:p>
          <w:p w14:paraId="31985C20">
            <w:pPr>
              <w:shd w:val="clear"/>
              <w:kinsoku/>
              <w:overflowPunct/>
              <w:bidi w:val="0"/>
              <w:spacing w:line="500" w:lineRule="exact"/>
              <w:ind w:left="0" w:leftChars="0" w:right="0" w:rightChars="0"/>
              <w:rPr>
                <w:color w:val="auto"/>
                <w:highlight w:val="none"/>
              </w:rPr>
            </w:pPr>
            <w:r>
              <w:rPr>
                <w:rFonts w:hint="eastAsia" w:ascii="宋体" w:hAnsi="宋体" w:cs="宋体"/>
                <w:color w:val="auto"/>
                <w:szCs w:val="21"/>
                <w:highlight w:val="none"/>
              </w:rPr>
              <w:t>其他相关要求：保函内容及格式等均须经招标人认可。</w:t>
            </w:r>
          </w:p>
        </w:tc>
      </w:tr>
      <w:tr w14:paraId="350F8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69F3AB5C">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52337F9C">
            <w:pPr>
              <w:kinsoku/>
              <w:overflowPunct/>
              <w:topLinePunct/>
              <w:bidi w:val="0"/>
              <w:spacing w:line="500" w:lineRule="exact"/>
              <w:ind w:left="0" w:leftChars="0" w:right="0" w:rightChars="0" w:firstLine="0"/>
              <w:rPr>
                <w:rFonts w:hint="eastAsia" w:eastAsia="宋体"/>
                <w:color w:val="auto"/>
                <w:highlight w:val="none"/>
                <w:lang w:eastAsia="zh-CN"/>
              </w:rPr>
            </w:pPr>
            <w:r>
              <w:rPr>
                <w:rFonts w:hint="eastAsia"/>
                <w:b/>
                <w:bCs/>
                <w:color w:val="auto"/>
                <w:highlight w:val="none"/>
                <w:lang w:val="en-US" w:eastAsia="zh-CN"/>
              </w:rPr>
              <w:t>初步验收合格，具备支付条件后，支付合同金额的80%；竣工验收通过，具备支付条件后支付项目余款</w:t>
            </w:r>
            <w:r>
              <w:rPr>
                <w:rFonts w:hint="eastAsia"/>
                <w:b/>
                <w:bCs/>
                <w:color w:val="auto"/>
                <w:highlight w:val="none"/>
                <w:lang w:eastAsia="zh-CN"/>
              </w:rPr>
              <w:t>。</w:t>
            </w:r>
          </w:p>
        </w:tc>
      </w:tr>
      <w:tr w14:paraId="124A7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7F6263E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49B30DF1">
            <w:pPr>
              <w:shd w:val="clear"/>
              <w:kinsoku/>
              <w:overflowPunct/>
              <w:topLine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1CA73C8">
            <w:pPr>
              <w:shd w:val="clear"/>
              <w:kinsoku/>
              <w:overflowPunct/>
              <w:topLine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2F484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3D6F160">
            <w:pPr>
              <w:shd w:val="clear"/>
              <w:kinsoku/>
              <w:overflowPunct/>
              <w:bidi w:val="0"/>
              <w:adjustRightInd w:val="0"/>
              <w:snapToGrid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21F93238">
            <w:pPr>
              <w:keepNext w:val="0"/>
              <w:keepLines w:val="0"/>
              <w:pageBreakBefore w:val="0"/>
              <w:widowControl w:val="0"/>
              <w:shd w:val="clear"/>
              <w:kinsoku/>
              <w:wordWrap w:val="0"/>
              <w:overflowPunct/>
              <w:topLinePunct w:val="0"/>
              <w:autoSpaceDE/>
              <w:autoSpaceDN/>
              <w:bidi w:val="0"/>
              <w:adjustRightInd w:val="0"/>
              <w:snapToGrid w:val="0"/>
              <w:spacing w:line="5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7C2EC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160489A">
            <w:pPr>
              <w:widowControl/>
              <w:shd w:val="clear"/>
              <w:kinsoku/>
              <w:overflowPunct/>
              <w:bidi w:val="0"/>
              <w:spacing w:line="500" w:lineRule="exact"/>
              <w:ind w:left="0" w:leftChars="0"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0CE7D24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1.本项目投标保证金、履约保证金均支持保函使用。以现金形式提交保证金的，应当同时退还保证金本金和银行同期存款利息。</w:t>
            </w:r>
          </w:p>
          <w:p w14:paraId="7774D593">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54897A0E">
            <w:pPr>
              <w:keepNext w:val="0"/>
              <w:keepLines w:val="0"/>
              <w:pageBreakBefore w:val="0"/>
              <w:widowControl w:val="0"/>
              <w:shd w:val="clear"/>
              <w:kinsoku/>
              <w:wordWrap w:val="0"/>
              <w:overflowPunct/>
              <w:topLinePunct w:val="0"/>
              <w:autoSpaceDE/>
              <w:autoSpaceDN/>
              <w:bidi w:val="0"/>
              <w:adjustRightInd/>
              <w:snapToGrid w:val="0"/>
              <w:spacing w:line="5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94FC6E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2ED41B45">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41C0FD31">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90A664F">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52A6893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3CDE060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1462DA16">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91B1DAA">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030B7C35">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55611B3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10C6A74B">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715297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16E5AAD">
            <w:pPr>
              <w:shd w:val="clear"/>
              <w:kinsoku/>
              <w:overflowPunct/>
              <w:bidi w:val="0"/>
              <w:spacing w:line="500" w:lineRule="exact"/>
              <w:ind w:left="0" w:leftChars="0" w:right="0" w:rightChars="0"/>
              <w:jc w:val="center"/>
              <w:rPr>
                <w:rFonts w:ascii="宋体" w:hAnsi="宋体" w:cs="宋体"/>
                <w:bCs/>
                <w:color w:val="auto"/>
                <w:szCs w:val="21"/>
                <w:highlight w:val="none"/>
              </w:rPr>
            </w:pPr>
            <w:r>
              <w:rPr>
                <w:rFonts w:hint="eastAsia" w:ascii="宋体" w:hAnsi="宋体" w:cs="宋体"/>
                <w:bCs/>
                <w:color w:val="auto"/>
                <w:szCs w:val="21"/>
                <w:highlight w:val="none"/>
              </w:rPr>
              <w:t>其他</w:t>
            </w:r>
          </w:p>
        </w:tc>
        <w:tc>
          <w:tcPr>
            <w:tcW w:w="7872" w:type="dxa"/>
            <w:gridSpan w:val="2"/>
            <w:shd w:val="clear" w:color="auto" w:fill="auto"/>
          </w:tcPr>
          <w:p w14:paraId="0A3AAE5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28B1FC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D76461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19ECAE9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0411FC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786672D">
            <w:pPr>
              <w:shd w:val="clear"/>
              <w:kinsoku/>
              <w:overflowPunct/>
              <w:bidi w:val="0"/>
              <w:adjustRightInd w:val="0"/>
              <w:snapToGrid w:val="0"/>
              <w:spacing w:line="500" w:lineRule="exact"/>
              <w:ind w:left="0" w:leftChars="0" w:right="0" w:rightChars="0"/>
              <w:jc w:val="center"/>
              <w:rPr>
                <w:rFonts w:ascii="宋体" w:hAnsi="宋体" w:cs="宋体"/>
                <w:bCs/>
                <w:color w:val="auto"/>
                <w:szCs w:val="21"/>
                <w:highlight w:val="none"/>
              </w:rPr>
            </w:pPr>
            <w:r>
              <w:rPr>
                <w:rFonts w:hint="eastAsia" w:ascii="宋体" w:hAnsi="宋体" w:cs="宋体"/>
                <w:bCs/>
                <w:color w:val="auto"/>
                <w:szCs w:val="21"/>
                <w:highlight w:val="none"/>
              </w:rPr>
              <w:t>变更招标方式</w:t>
            </w:r>
          </w:p>
        </w:tc>
        <w:tc>
          <w:tcPr>
            <w:tcW w:w="7872" w:type="dxa"/>
            <w:gridSpan w:val="2"/>
            <w:shd w:val="clear" w:color="auto" w:fill="auto"/>
            <w:vAlign w:val="center"/>
          </w:tcPr>
          <w:p w14:paraId="5D94AA03">
            <w:pPr>
              <w:pStyle w:val="16"/>
              <w:shd w:val="clear"/>
              <w:kinsoku/>
              <w:overflowPunct/>
              <w:bidi w:val="0"/>
              <w:adjustRightInd w:val="0"/>
              <w:snapToGrid w:val="0"/>
              <w:spacing w:after="0"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64ED11E8">
      <w:pPr>
        <w:pageBreakBefore/>
        <w:shd w:val="clear"/>
        <w:kinsoku/>
        <w:overflowPunct/>
        <w:bidi w:val="0"/>
        <w:spacing w:beforeLines="100" w:afterLines="100" w:line="500" w:lineRule="exact"/>
        <w:ind w:left="0" w:leftChars="0" w:right="0" w:rightChars="0"/>
        <w:jc w:val="center"/>
        <w:outlineLvl w:val="1"/>
        <w:rPr>
          <w:rFonts w:ascii="宋体"/>
          <w:b/>
          <w:color w:val="auto"/>
          <w:sz w:val="28"/>
          <w:szCs w:val="32"/>
          <w:highlight w:val="none"/>
        </w:rPr>
      </w:pPr>
      <w:bookmarkStart w:id="37" w:name="_Toc58430315"/>
      <w:bookmarkStart w:id="38" w:name="_Toc449028866"/>
      <w:bookmarkStart w:id="39" w:name="_Toc28397"/>
      <w:r>
        <w:rPr>
          <w:rFonts w:hint="eastAsia" w:ascii="宋体"/>
          <w:b/>
          <w:color w:val="auto"/>
          <w:sz w:val="28"/>
          <w:szCs w:val="28"/>
          <w:highlight w:val="none"/>
        </w:rPr>
        <w:t>二、投标人须知</w:t>
      </w:r>
      <w:bookmarkEnd w:id="37"/>
      <w:bookmarkEnd w:id="38"/>
      <w:bookmarkEnd w:id="39"/>
    </w:p>
    <w:p w14:paraId="78589D02">
      <w:pPr>
        <w:shd w:val="clear"/>
        <w:kinsoku/>
        <w:overflowPunct/>
        <w:bidi w:val="0"/>
        <w:spacing w:beforeLines="50" w:afterLines="50" w:line="500" w:lineRule="exact"/>
        <w:ind w:left="0" w:leftChars="0" w:right="0" w:rightChars="0"/>
        <w:jc w:val="center"/>
        <w:rPr>
          <w:rFonts w:ascii="宋体" w:hAnsi="宋体" w:cs="宋体"/>
          <w:color w:val="auto"/>
          <w:sz w:val="28"/>
          <w:szCs w:val="28"/>
          <w:highlight w:val="none"/>
        </w:rPr>
      </w:pPr>
      <w:bookmarkStart w:id="40" w:name="_Toc449028867"/>
      <w:r>
        <w:rPr>
          <w:rFonts w:hint="eastAsia" w:ascii="宋体" w:hAnsi="宋体" w:cs="宋体"/>
          <w:b/>
          <w:color w:val="auto"/>
          <w:sz w:val="28"/>
          <w:szCs w:val="28"/>
          <w:highlight w:val="none"/>
        </w:rPr>
        <w:t>（一）总  则</w:t>
      </w:r>
      <w:bookmarkEnd w:id="40"/>
    </w:p>
    <w:p w14:paraId="30726BC0">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760956E3">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4EF6DD90">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2B1CCE2A">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招标人：见投标人须知前附表。</w:t>
      </w:r>
    </w:p>
    <w:p w14:paraId="4294B51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合同履行期限</w:t>
      </w:r>
      <w:r>
        <w:rPr>
          <w:rFonts w:hint="eastAsia" w:ascii="宋体" w:hAnsi="宋体" w:cs="宋体"/>
          <w:color w:val="auto"/>
          <w:szCs w:val="21"/>
          <w:highlight w:val="none"/>
        </w:rPr>
        <w:t>：见投标人须知前附表。</w:t>
      </w:r>
    </w:p>
    <w:p w14:paraId="3050AB8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0B9877F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w:t>
      </w:r>
      <w:r>
        <w:rPr>
          <w:rFonts w:hint="eastAsia" w:hAnsi="宋体" w:cs="宋体"/>
          <w:color w:val="auto"/>
          <w:szCs w:val="21"/>
          <w:highlight w:val="none"/>
        </w:rPr>
        <w:t>招标人联系人及电话</w:t>
      </w:r>
      <w:r>
        <w:rPr>
          <w:rFonts w:hint="eastAsia" w:ascii="宋体" w:hAnsi="宋体" w:cs="宋体"/>
          <w:color w:val="auto"/>
          <w:szCs w:val="21"/>
          <w:highlight w:val="none"/>
        </w:rPr>
        <w:t>: 见投标人须知前附表。</w:t>
      </w:r>
    </w:p>
    <w:p w14:paraId="60BBBF47">
      <w:pPr>
        <w:shd w:val="clear"/>
        <w:kinsoku/>
        <w:overflowPunct/>
        <w:bidi w:val="0"/>
        <w:snapToGrid w:val="0"/>
        <w:spacing w:line="500" w:lineRule="exact"/>
        <w:ind w:left="0" w:leftChars="0" w:right="0" w:rightChars="0"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采购代理机构联系人及电话</w:t>
      </w:r>
      <w:r>
        <w:rPr>
          <w:rFonts w:hint="eastAsia" w:ascii="宋体" w:hAnsi="宋体" w:cs="宋体"/>
          <w:color w:val="auto"/>
          <w:szCs w:val="21"/>
          <w:highlight w:val="none"/>
        </w:rPr>
        <w:t>: 见投标人须知前附表。</w:t>
      </w:r>
    </w:p>
    <w:p w14:paraId="0D581A4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D6F51F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预算：见投标人须知前附表。</w:t>
      </w:r>
    </w:p>
    <w:p w14:paraId="79190B6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28724D44">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4F5F574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1199B0BE">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460355C9">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标段</w:t>
      </w:r>
      <w:r>
        <w:rPr>
          <w:rFonts w:hint="eastAsia" w:ascii="宋体" w:hAnsi="宋体" w:cs="宋体"/>
          <w:b/>
          <w:color w:val="auto"/>
          <w:szCs w:val="21"/>
          <w:highlight w:val="none"/>
        </w:rPr>
        <w:t>划分：</w:t>
      </w:r>
    </w:p>
    <w:p w14:paraId="39DD7C5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C3DC5E4">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0E09166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196FC61">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63F0FD0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u w:val="single"/>
        </w:rPr>
        <w:t xml:space="preserve"> 。</w:t>
      </w:r>
    </w:p>
    <w:p w14:paraId="2A3E2FE3">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2E1A42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11FAB86A">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531E374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748FF56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6645938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2DEAAA01">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61F2133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479C37A">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41" w:name="_Toc152042315"/>
      <w:bookmarkStart w:id="42" w:name="_Toc144974507"/>
      <w:bookmarkStart w:id="43" w:name="_Toc247527563"/>
      <w:bookmarkStart w:id="44" w:name="_Toc296602429"/>
      <w:bookmarkStart w:id="45" w:name="_Toc152045539"/>
      <w:bookmarkStart w:id="46" w:name="_Toc247513962"/>
      <w:bookmarkStart w:id="47" w:name="_Toc247592876"/>
      <w:r>
        <w:rPr>
          <w:rFonts w:hint="eastAsia" w:ascii="宋体" w:hAnsi="宋体" w:cs="宋体"/>
          <w:b/>
          <w:color w:val="auto"/>
          <w:szCs w:val="21"/>
          <w:highlight w:val="none"/>
        </w:rPr>
        <w:t xml:space="preserve"> 踏勘现场</w:t>
      </w:r>
      <w:bookmarkEnd w:id="41"/>
      <w:bookmarkEnd w:id="42"/>
      <w:bookmarkEnd w:id="43"/>
      <w:bookmarkEnd w:id="44"/>
      <w:bookmarkEnd w:id="45"/>
      <w:bookmarkEnd w:id="46"/>
      <w:bookmarkEnd w:id="47"/>
    </w:p>
    <w:p w14:paraId="1857BE84">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2960625B">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12290A4">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CCB0AFA">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8" w:name="_Toc296602430"/>
      <w:bookmarkStart w:id="49" w:name="_Toc152045540"/>
      <w:bookmarkStart w:id="50" w:name="_Toc152042316"/>
      <w:bookmarkStart w:id="51" w:name="_Toc247513963"/>
      <w:bookmarkStart w:id="52" w:name="_Toc247527564"/>
      <w:bookmarkStart w:id="53" w:name="_Toc144974508"/>
      <w:bookmarkStart w:id="54" w:name="_Toc247592877"/>
    </w:p>
    <w:p w14:paraId="280F2B9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8"/>
      <w:bookmarkEnd w:id="49"/>
      <w:bookmarkEnd w:id="50"/>
      <w:bookmarkEnd w:id="51"/>
      <w:bookmarkEnd w:id="52"/>
      <w:bookmarkEnd w:id="53"/>
      <w:bookmarkEnd w:id="54"/>
      <w:r>
        <w:rPr>
          <w:rFonts w:hint="eastAsia" w:ascii="宋体" w:hAnsi="宋体" w:cs="宋体"/>
          <w:b/>
          <w:color w:val="auto"/>
          <w:szCs w:val="21"/>
          <w:highlight w:val="none"/>
        </w:rPr>
        <w:t>（本项目不采用）</w:t>
      </w:r>
    </w:p>
    <w:p w14:paraId="472BA454">
      <w:pPr>
        <w:shd w:val="clear"/>
        <w:kinsoku/>
        <w:overflowPunct/>
        <w:bidi w:val="0"/>
        <w:spacing w:line="500" w:lineRule="exact"/>
        <w:ind w:left="0" w:leftChars="0" w:right="0" w:rightChars="0"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0CF6B5C4">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3E7E0A6">
      <w:pPr>
        <w:shd w:val="clear"/>
        <w:kinsoku/>
        <w:overflowPunct/>
        <w:bidi w:val="0"/>
        <w:spacing w:line="500" w:lineRule="exact"/>
        <w:ind w:left="0" w:leftChars="0" w:right="0" w:rightChars="0"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5F90C632">
      <w:pPr>
        <w:shd w:val="clear"/>
        <w:kinsoku/>
        <w:overflowPunct/>
        <w:bidi w:val="0"/>
        <w:spacing w:line="500" w:lineRule="exact"/>
        <w:ind w:left="0" w:leftChars="0" w:right="0" w:rightChars="0"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2B95C44E">
      <w:pPr>
        <w:shd w:val="clear"/>
        <w:kinsoku/>
        <w:overflowPunct/>
        <w:bidi w:val="0"/>
        <w:spacing w:line="500" w:lineRule="exact"/>
        <w:ind w:left="0" w:leftChars="0" w:right="0" w:rightChars="0"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CD70949">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0E167ABA">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7E12A2A6">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F0C6E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749D7B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49F19FF7">
      <w:pPr>
        <w:shd w:val="clear"/>
        <w:kinsoku/>
        <w:overflowPunct/>
        <w:bidi w:val="0"/>
        <w:spacing w:line="500" w:lineRule="exact"/>
        <w:ind w:left="0" w:leftChars="0" w:right="0" w:rightChars="0"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5FCBF3D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094179AC">
      <w:pPr>
        <w:shd w:val="clear"/>
        <w:kinsoku/>
        <w:overflowPunct/>
        <w:bidi w:val="0"/>
        <w:spacing w:line="500" w:lineRule="exact"/>
        <w:ind w:left="0" w:leftChars="0" w:right="0" w:rightChars="0"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0123C59E">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7FCC5E1D">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0E2F0A5">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72C7FA7">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53F61FB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166407E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0A287E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3744E75A">
      <w:pPr>
        <w:pStyle w:val="36"/>
        <w:shd w:val="clear"/>
        <w:kinsoku/>
        <w:overflowPunct/>
        <w:bidi w:val="0"/>
        <w:spacing w:after="0" w:line="500" w:lineRule="exact"/>
        <w:ind w:left="0" w:leftChars="0" w:right="0" w:righ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5527353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19FCAEDA">
      <w:pPr>
        <w:pStyle w:val="36"/>
        <w:shd w:val="clear"/>
        <w:kinsoku/>
        <w:overflowPunct/>
        <w:bidi w:val="0"/>
        <w:spacing w:after="0" w:line="500" w:lineRule="exact"/>
        <w:ind w:left="0" w:leftChars="0" w:right="0" w:righ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048752E9">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bookmarkStart w:id="55" w:name="_Toc449028868"/>
      <w:r>
        <w:rPr>
          <w:rFonts w:hint="eastAsia" w:ascii="宋体" w:hAnsi="宋体" w:cs="宋体"/>
          <w:b/>
          <w:color w:val="auto"/>
          <w:sz w:val="28"/>
          <w:szCs w:val="28"/>
          <w:highlight w:val="none"/>
        </w:rPr>
        <w:t>（二）</w:t>
      </w:r>
      <w:bookmarkEnd w:id="55"/>
      <w:r>
        <w:rPr>
          <w:rFonts w:hint="eastAsia" w:ascii="宋体" w:hAnsi="宋体" w:cs="宋体"/>
          <w:b/>
          <w:color w:val="auto"/>
          <w:sz w:val="28"/>
          <w:szCs w:val="28"/>
          <w:highlight w:val="none"/>
        </w:rPr>
        <w:t>招标文件</w:t>
      </w:r>
    </w:p>
    <w:p w14:paraId="2EF7945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6EC22390">
      <w:pPr>
        <w:shd w:val="clear"/>
        <w:kinsoku/>
        <w:overflowPunct/>
        <w:bidi w:val="0"/>
        <w:spacing w:line="500" w:lineRule="exact"/>
        <w:ind w:left="0" w:leftChars="0" w:right="0" w:rightChars="0"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42F83599">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660F1FF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15E26A59">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74F74786">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65FDBC85">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6B5A6240">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val="en-US" w:eastAsia="zh-CN"/>
        </w:rPr>
        <w:t>服务内容及技术要求</w:t>
      </w:r>
    </w:p>
    <w:p w14:paraId="709543BC">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30CBB51A">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58023F4">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6968ACA5">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4A482FD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339E678">
      <w:pPr>
        <w:shd w:val="clear"/>
        <w:kinsoku/>
        <w:overflowPunct/>
        <w:bidi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313D15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0BEA4CED">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466DF9F6">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招标文件的解释</w:t>
      </w:r>
    </w:p>
    <w:p w14:paraId="0528AAD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70CE3A2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4EE5311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566985E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3B3ED6B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1A945515">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C0F50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336497D">
      <w:pPr>
        <w:shd w:val="clear"/>
        <w:kinsoku/>
        <w:overflowPunct/>
        <w:bidi w:val="0"/>
        <w:spacing w:line="500" w:lineRule="exact"/>
        <w:ind w:right="0" w:rightChars="0" w:firstLine="422" w:firstLineChars="200"/>
        <w:rPr>
          <w:rFonts w:ascii="宋体" w:hAnsi="宋体" w:cs="宋体"/>
          <w:b/>
          <w:bCs/>
          <w:color w:val="auto"/>
          <w:szCs w:val="21"/>
          <w:highlight w:val="none"/>
        </w:rPr>
      </w:pPr>
      <w:bookmarkStart w:id="56" w:name="_Toc449028869"/>
      <w:r>
        <w:rPr>
          <w:rFonts w:hint="eastAsia" w:ascii="宋体" w:hAnsi="宋体" w:cs="宋体"/>
          <w:b/>
          <w:bCs/>
          <w:color w:val="auto"/>
          <w:szCs w:val="21"/>
          <w:highlight w:val="none"/>
        </w:rPr>
        <w:t>19. 样品（本项目不采用）</w:t>
      </w:r>
    </w:p>
    <w:p w14:paraId="291F469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3887C88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55F45A05">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6"/>
    </w:p>
    <w:p w14:paraId="16FEB4AE">
      <w:pPr>
        <w:shd w:val="clear"/>
        <w:kinsoku/>
        <w:overflowPunct/>
        <w:bidi w:val="0"/>
        <w:spacing w:line="500" w:lineRule="exact"/>
        <w:ind w:left="0" w:leftChars="0" w:right="0" w:rightChars="0" w:firstLine="306" w:firstLineChars="145"/>
        <w:jc w:val="left"/>
        <w:rPr>
          <w:rFonts w:hint="eastAsia"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1BA887A5">
      <w:pPr>
        <w:shd w:val="clear"/>
        <w:kinsoku/>
        <w:overflowPunct/>
        <w:bidi w:val="0"/>
        <w:spacing w:line="500" w:lineRule="exact"/>
        <w:ind w:left="0" w:leftChars="0" w:right="0" w:rightChars="0" w:firstLine="304" w:firstLineChars="145"/>
        <w:jc w:val="left"/>
        <w:rPr>
          <w:rFonts w:hint="eastAsia"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1418F498">
      <w:pPr>
        <w:shd w:val="clear"/>
        <w:kinsoku/>
        <w:overflowPunct/>
        <w:bidi w:val="0"/>
        <w:spacing w:line="500" w:lineRule="exact"/>
        <w:ind w:left="0" w:leftChars="0" w:right="0" w:rightChars="0" w:firstLine="304" w:firstLineChars="145"/>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A7ED319">
      <w:pPr>
        <w:shd w:val="clear"/>
        <w:kinsoku/>
        <w:overflowPunct/>
        <w:bidi w:val="0"/>
        <w:spacing w:line="500" w:lineRule="exact"/>
        <w:ind w:left="0" w:leftChars="0" w:right="0" w:rightChars="0"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48D7E0EC">
      <w:pPr>
        <w:shd w:val="clear"/>
        <w:kinsoku/>
        <w:overflowPunct/>
        <w:bidi w:val="0"/>
        <w:spacing w:line="500" w:lineRule="exact"/>
        <w:ind w:left="0" w:leftChars="0" w:right="0" w:rightChars="0"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05FA7B0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78E9AD65">
      <w:pPr>
        <w:shd w:val="clear"/>
        <w:kinsoku/>
        <w:overflowPunct/>
        <w:bidi w:val="0"/>
        <w:spacing w:line="500" w:lineRule="exact"/>
        <w:ind w:left="0" w:leftChars="0" w:right="0" w:rightChars="0"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4D7A91D0">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427D0C5B">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4C01174C">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21EC93EC">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6BC0856B">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6C4539EE">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4F436476">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5D08BBC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D30201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121541CC">
      <w:pPr>
        <w:shd w:val="clear"/>
        <w:kinsoku/>
        <w:overflowPunct/>
        <w:bidi w:val="0"/>
        <w:spacing w:line="500" w:lineRule="exact"/>
        <w:ind w:left="0" w:leftChars="0" w:right="0" w:rightChars="0"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6FD22C09">
      <w:pPr>
        <w:shd w:val="clear"/>
        <w:kinsoku/>
        <w:overflowPunct/>
        <w:bidi w:val="0"/>
        <w:spacing w:line="500" w:lineRule="exact"/>
        <w:ind w:left="0" w:leftChars="0" w:right="0" w:rightChars="0"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44DB0DC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本项目投标报价采用单价报价</w:t>
      </w:r>
      <w:r>
        <w:rPr>
          <w:rFonts w:hint="eastAsia" w:ascii="宋体" w:hAnsi="宋体" w:cs="宋体"/>
          <w:color w:val="auto"/>
          <w:szCs w:val="21"/>
          <w:highlight w:val="none"/>
        </w:rPr>
        <w:t>。</w:t>
      </w:r>
    </w:p>
    <w:p w14:paraId="60232EB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22.2投标人只允许有一个方案、一个报价。</w:t>
      </w:r>
    </w:p>
    <w:p w14:paraId="1DDE53FF">
      <w:pPr>
        <w:shd w:val="clear"/>
        <w:kinsoku/>
        <w:overflowPunct/>
        <w:bidi w:val="0"/>
        <w:spacing w:line="500" w:lineRule="exact"/>
        <w:ind w:left="0" w:leftChars="0" w:right="0" w:rightChars="0" w:firstLine="420" w:firstLineChars="200"/>
        <w:rPr>
          <w:rFonts w:hint="default" w:ascii="宋体"/>
          <w:b/>
          <w:bCs/>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投标报价为完成本招标文件提出的服务等全部相关工作所有发生的的一切费用，包括但不限于：软件开发与建设费用、系统对接与集成费用、部署与环境费用、驻场开发与现场服务费用、培训与交付费用、运维与售后费用、招标代理费、企业利润、税费等所有费用</w:t>
      </w:r>
      <w:r>
        <w:rPr>
          <w:rFonts w:hint="eastAsia" w:ascii="宋体"/>
          <w:b/>
          <w:bCs/>
          <w:color w:val="auto"/>
          <w:szCs w:val="21"/>
          <w:highlight w:val="none"/>
          <w:lang w:val="en-US" w:eastAsia="zh-CN"/>
        </w:rPr>
        <w:t>。招标单位不再另行增加任何费用。</w:t>
      </w:r>
    </w:p>
    <w:p w14:paraId="11D78643">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投标报价的价格是完成项目全部内容（包括后期的相关服务）交付验收的价格，其价格即为履行合同的固定价格。</w:t>
      </w:r>
    </w:p>
    <w:p w14:paraId="63DFE50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技术要求中规定的安装、调试和培训费用应包括在投标价格中。投标文件报价为含税价，采购人不再为此次招标支付任何费用。</w:t>
      </w:r>
    </w:p>
    <w:p w14:paraId="5307074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投标报价应由法定代表人或被授权人签署。</w:t>
      </w:r>
    </w:p>
    <w:p w14:paraId="7B57D6C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14226DA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总投标价中不得包含招标文件要求以外的内容，否则，在评标时不予核减，但在授予合同时，采购人有权将这部分价格从其中标价格中扣除。</w:t>
      </w:r>
    </w:p>
    <w:p w14:paraId="719337AD">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47F8C12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24CC2EF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425E8B6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8845CCB">
      <w:pPr>
        <w:shd w:val="clear"/>
        <w:kinsoku/>
        <w:overflowPunct/>
        <w:bidi w:val="0"/>
        <w:spacing w:line="500" w:lineRule="exact"/>
        <w:ind w:left="0" w:leftChars="0" w:right="0" w:rightChars="0"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584C764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7"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13A61C9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4B78231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195C416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7CF182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576728C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8B76C6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F68069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76B095FF">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7"/>
    </w:p>
    <w:p w14:paraId="52520111">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7B349BA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8"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1599A50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3BDA1920">
      <w:pPr>
        <w:shd w:val="clear"/>
        <w:kinsoku/>
        <w:overflowPunct/>
        <w:bidi w:val="0"/>
        <w:spacing w:line="500" w:lineRule="exact"/>
        <w:ind w:left="0" w:leftChars="0" w:right="0" w:rightChars="0"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C55B5B8">
      <w:pPr>
        <w:shd w:val="clear"/>
        <w:kinsoku/>
        <w:overflowPunct/>
        <w:bidi w:val="0"/>
        <w:spacing w:line="500" w:lineRule="exact"/>
        <w:ind w:left="0" w:leftChars="0" w:right="0" w:rightChars="0"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35144DED">
      <w:pPr>
        <w:shd w:val="clear"/>
        <w:kinsoku/>
        <w:overflowPunct/>
        <w:bidi w:val="0"/>
        <w:spacing w:line="500" w:lineRule="exact"/>
        <w:ind w:left="0" w:leftChars="0" w:right="0" w:rightChars="0"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11AD6D0D">
      <w:pPr>
        <w:shd w:val="clear"/>
        <w:kinsoku/>
        <w:overflowPunct/>
        <w:bidi w:val="0"/>
        <w:spacing w:line="500" w:lineRule="exact"/>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27.1采用网上招投标的，在规定的投标截止时间前，投标人可以自行从网上招投标系统撤回已递交的投标文件，并可修改后重新上传，开标时以投标截止时间前投标人最终上传的投标文件为准。</w:t>
      </w:r>
    </w:p>
    <w:p w14:paraId="5D176F45">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28.偏离</w:t>
      </w:r>
    </w:p>
    <w:p w14:paraId="7E9E90F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2D50265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3EC06F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2594AA4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493491B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0262AA9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68A06F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24A3DD9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55A9543D">
      <w:pPr>
        <w:shd w:val="clear"/>
        <w:kinsoku/>
        <w:overflowPunct/>
        <w:bidi w:val="0"/>
        <w:spacing w:beforeLines="50" w:afterLines="50" w:line="500" w:lineRule="exact"/>
        <w:ind w:left="0" w:leftChars="0" w:right="0" w:rightChars="0"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46E38F9A">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8"/>
    </w:p>
    <w:p w14:paraId="784449EA">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29. 开标</w:t>
      </w:r>
    </w:p>
    <w:p w14:paraId="7B73E93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31D221B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A1E1E6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B1CB01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5E4D061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4FECAF3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65F0565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68B6982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03EE827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07C1320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1116FC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38259B1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3CAC50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7C545B9">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29.4开标异议</w:t>
      </w:r>
    </w:p>
    <w:p w14:paraId="2C5A51A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55EA9E4E">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30.评标委员会</w:t>
      </w:r>
    </w:p>
    <w:p w14:paraId="43EEF86B">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160A4B2">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5521B937">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598D11A6">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431638D8">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591AC20A">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B8333A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763F19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59D38C4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2D9D457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BEE0B0B">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31.评标</w:t>
      </w:r>
    </w:p>
    <w:p w14:paraId="4437E5E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78E40DA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9"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3C3E2D84">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3263F8B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31.4投标文件的澄清</w:t>
      </w:r>
    </w:p>
    <w:p w14:paraId="25A5B2B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46336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18FA7B1C">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31.5报价合理性的判断</w:t>
      </w:r>
    </w:p>
    <w:p w14:paraId="398AC98A">
      <w:pPr>
        <w:shd w:val="clear"/>
        <w:kinsoku/>
        <w:overflowPunct/>
        <w:bidi w:val="0"/>
        <w:spacing w:line="500" w:lineRule="exact"/>
        <w:ind w:left="0" w:leftChars="0" w:right="0" w:rightChars="0"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31.5.1 </w:t>
      </w:r>
      <w:r>
        <w:rPr>
          <w:rFonts w:hint="eastAsia" w:ascii="宋体" w:hAnsi="宋体"/>
          <w:b/>
          <w:bCs/>
          <w:color w:val="auto"/>
          <w:szCs w:val="21"/>
          <w:highlight w:val="none"/>
        </w:rPr>
        <w:t>评标委员会认为投标人的报价明显低于其他通过符合性审查投标人的报价，有可能影响产品质量或者不能诚信履约的，</w:t>
      </w:r>
      <w:r>
        <w:rPr>
          <w:rFonts w:hint="eastAsia" w:ascii="宋体" w:hAnsi="宋体"/>
          <w:b/>
          <w:bCs/>
          <w:color w:val="auto"/>
          <w:szCs w:val="21"/>
          <w:highlight w:val="none"/>
          <w:lang w:val="en-US" w:eastAsia="zh-CN"/>
        </w:rPr>
        <w:t>进行异常低价投标审查，</w:t>
      </w:r>
      <w:r>
        <w:rPr>
          <w:rFonts w:hint="eastAsia" w:ascii="宋体" w:hAnsi="宋体"/>
          <w:b/>
          <w:bCs/>
          <w:color w:val="auto"/>
          <w:szCs w:val="21"/>
          <w:highlight w:val="none"/>
        </w:rPr>
        <w:t>应当要求其在评标现场合理的时间内提供书面说明，必要时提交相关证明材料；投标人不能证明其报价合理性的，评标委员会应当将其作为无效投标处理。</w:t>
      </w:r>
    </w:p>
    <w:p w14:paraId="37A2601D">
      <w:pPr>
        <w:shd w:val="clear"/>
        <w:kinsoku/>
        <w:overflowPunct/>
        <w:bidi w:val="0"/>
        <w:spacing w:line="500" w:lineRule="exact"/>
        <w:ind w:left="0" w:leftChars="0" w:right="0" w:rightChars="0" w:firstLine="422"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 xml:space="preserve">31.5.2 </w:t>
      </w:r>
      <w:r>
        <w:rPr>
          <w:rFonts w:hint="eastAsia" w:ascii="宋体" w:hAnsi="宋体" w:eastAsia="宋体" w:cs="Times New Roman"/>
          <w:b/>
          <w:bCs/>
          <w:color w:val="auto"/>
          <w:szCs w:val="21"/>
          <w:highlight w:val="none"/>
        </w:rPr>
        <w:t>异常低价</w:t>
      </w:r>
      <w:r>
        <w:rPr>
          <w:rFonts w:hint="eastAsia" w:ascii="宋体" w:hAnsi="宋体" w:eastAsia="宋体" w:cs="Times New Roman"/>
          <w:b/>
          <w:bCs/>
          <w:color w:val="auto"/>
          <w:szCs w:val="21"/>
          <w:highlight w:val="none"/>
          <w:lang w:val="en-US" w:eastAsia="zh-CN"/>
        </w:rPr>
        <w:t>投标</w:t>
      </w:r>
      <w:r>
        <w:rPr>
          <w:rFonts w:hint="eastAsia" w:ascii="宋体" w:hAnsi="宋体" w:eastAsia="宋体" w:cs="Times New Roman"/>
          <w:b/>
          <w:bCs/>
          <w:color w:val="auto"/>
          <w:szCs w:val="21"/>
          <w:highlight w:val="none"/>
        </w:rPr>
        <w:t>审查</w:t>
      </w:r>
    </w:p>
    <w:tbl>
      <w:tblPr>
        <w:tblStyle w:val="37"/>
        <w:tblW w:w="52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099"/>
        <w:gridCol w:w="5444"/>
        <w:gridCol w:w="2901"/>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106" w:type="dxa"/>
            <w:gridSpan w:val="4"/>
            <w:tcBorders>
              <w:bottom w:val="single" w:color="auto" w:sz="4" w:space="0"/>
            </w:tcBorders>
            <w:vAlign w:val="center"/>
          </w:tcPr>
          <w:p w14:paraId="0490FDDC">
            <w:pPr>
              <w:shd w:val="clear"/>
              <w:tabs>
                <w:tab w:val="left" w:pos="720"/>
              </w:tabs>
              <w:kinsoku/>
              <w:overflowPunct/>
              <w:bidi w:val="0"/>
              <w:spacing w:line="500" w:lineRule="exact"/>
              <w:ind w:right="0" w:rightChars="0"/>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bottom w:val="single" w:color="auto" w:sz="4" w:space="0"/>
            </w:tcBorders>
            <w:vAlign w:val="center"/>
          </w:tcPr>
          <w:p w14:paraId="3D11B06C">
            <w:pPr>
              <w:shd w:val="clear"/>
              <w:tabs>
                <w:tab w:val="left" w:pos="720"/>
              </w:tabs>
              <w:kinsoku/>
              <w:overflowPunct/>
              <w:bidi w:val="0"/>
              <w:spacing w:line="500" w:lineRule="exact"/>
              <w:ind w:right="0" w:rightChars="0"/>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序号</w:t>
            </w:r>
          </w:p>
        </w:tc>
        <w:tc>
          <w:tcPr>
            <w:tcW w:w="1099" w:type="dxa"/>
            <w:tcBorders>
              <w:bottom w:val="single" w:color="auto" w:sz="4" w:space="0"/>
            </w:tcBorders>
            <w:vAlign w:val="center"/>
          </w:tcPr>
          <w:p w14:paraId="1685EC71">
            <w:pPr>
              <w:shd w:val="clear"/>
              <w:tabs>
                <w:tab w:val="left" w:pos="720"/>
              </w:tabs>
              <w:kinsoku/>
              <w:overflowPunct/>
              <w:bidi w:val="0"/>
              <w:spacing w:line="500" w:lineRule="exact"/>
              <w:ind w:right="0" w:rightChars="0"/>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评审指标</w:t>
            </w:r>
          </w:p>
        </w:tc>
        <w:tc>
          <w:tcPr>
            <w:tcW w:w="5444" w:type="dxa"/>
            <w:tcBorders>
              <w:bottom w:val="single" w:color="auto" w:sz="4" w:space="0"/>
            </w:tcBorders>
            <w:vAlign w:val="center"/>
          </w:tcPr>
          <w:p w14:paraId="48227F1E">
            <w:pPr>
              <w:shd w:val="clear"/>
              <w:tabs>
                <w:tab w:val="left" w:pos="720"/>
              </w:tabs>
              <w:kinsoku/>
              <w:overflowPunct/>
              <w:bidi w:val="0"/>
              <w:spacing w:line="500" w:lineRule="exact"/>
              <w:ind w:right="0" w:rightChars="0"/>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评审标准</w:t>
            </w:r>
          </w:p>
        </w:tc>
        <w:tc>
          <w:tcPr>
            <w:tcW w:w="2901" w:type="dxa"/>
            <w:tcBorders>
              <w:bottom w:val="single" w:color="auto" w:sz="4" w:space="0"/>
            </w:tcBorders>
            <w:vAlign w:val="center"/>
          </w:tcPr>
          <w:p w14:paraId="75A52B50">
            <w:pPr>
              <w:shd w:val="clear"/>
              <w:tabs>
                <w:tab w:val="left" w:pos="720"/>
              </w:tabs>
              <w:kinsoku/>
              <w:overflowPunct/>
              <w:bidi w:val="0"/>
              <w:spacing w:line="500" w:lineRule="exact"/>
              <w:ind w:right="0" w:rightChars="0"/>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2" w:type="dxa"/>
            <w:tcBorders>
              <w:bottom w:val="single" w:color="auto" w:sz="4" w:space="0"/>
            </w:tcBorders>
            <w:vAlign w:val="center"/>
          </w:tcPr>
          <w:p w14:paraId="03712B20">
            <w:pPr>
              <w:shd w:val="clear"/>
              <w:tabs>
                <w:tab w:val="left" w:pos="720"/>
              </w:tabs>
              <w:kinsoku/>
              <w:overflowPunct/>
              <w:bidi w:val="0"/>
              <w:spacing w:line="500" w:lineRule="exact"/>
              <w:ind w:right="0" w:rightChars="0"/>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w:t>
            </w:r>
          </w:p>
        </w:tc>
        <w:tc>
          <w:tcPr>
            <w:tcW w:w="1099" w:type="dxa"/>
            <w:tcBorders>
              <w:bottom w:val="single" w:color="auto" w:sz="4" w:space="0"/>
            </w:tcBorders>
            <w:vAlign w:val="center"/>
          </w:tcPr>
          <w:p w14:paraId="6544B483">
            <w:pPr>
              <w:shd w:val="clear"/>
              <w:tabs>
                <w:tab w:val="left" w:pos="720"/>
              </w:tabs>
              <w:kinsoku/>
              <w:overflowPunct/>
              <w:bidi w:val="0"/>
              <w:spacing w:line="500" w:lineRule="exact"/>
              <w:ind w:right="0" w:rightChars="0"/>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异常低价投标审查</w:t>
            </w:r>
          </w:p>
        </w:tc>
        <w:tc>
          <w:tcPr>
            <w:tcW w:w="5444" w:type="dxa"/>
            <w:tcBorders>
              <w:bottom w:val="single" w:color="auto" w:sz="4" w:space="0"/>
            </w:tcBorders>
            <w:vAlign w:val="center"/>
          </w:tcPr>
          <w:p w14:paraId="2B9A75F6">
            <w:pPr>
              <w:keepNext w:val="0"/>
              <w:keepLines w:val="0"/>
              <w:pageBreakBefore w:val="0"/>
              <w:widowControl w:val="0"/>
              <w:shd w:val="clear"/>
              <w:tabs>
                <w:tab w:val="left" w:pos="720"/>
              </w:tabs>
              <w:kinsoku/>
              <w:wordWrap/>
              <w:overflowPunct/>
              <w:topLinePunct w:val="0"/>
              <w:autoSpaceDE/>
              <w:autoSpaceDN/>
              <w:bidi w:val="0"/>
              <w:adjustRightInd/>
              <w:snapToGrid/>
              <w:spacing w:line="360" w:lineRule="exact"/>
              <w:ind w:right="0" w:rightChars="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（1）投标报价＜全部通过符合性审查投标人投标报价平均值×50%；</w:t>
            </w:r>
          </w:p>
          <w:p w14:paraId="388BFE38">
            <w:pPr>
              <w:keepNext w:val="0"/>
              <w:keepLines w:val="0"/>
              <w:pageBreakBefore w:val="0"/>
              <w:widowControl w:val="0"/>
              <w:shd w:val="clear"/>
              <w:tabs>
                <w:tab w:val="left" w:pos="720"/>
              </w:tabs>
              <w:kinsoku/>
              <w:wordWrap/>
              <w:overflowPunct/>
              <w:topLinePunct w:val="0"/>
              <w:autoSpaceDE/>
              <w:autoSpaceDN/>
              <w:bidi w:val="0"/>
              <w:adjustRightInd/>
              <w:snapToGrid/>
              <w:spacing w:line="360" w:lineRule="exact"/>
              <w:ind w:right="0" w:rightChars="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（2）投标报价＜通过符合性审查</w:t>
            </w:r>
            <w:r>
              <w:rPr>
                <w:rFonts w:hint="eastAsia" w:ascii="宋体" w:cs="Times New Roman"/>
                <w:color w:val="auto"/>
                <w:szCs w:val="21"/>
                <w:highlight w:val="none"/>
                <w:lang w:val="en-US" w:eastAsia="zh-CN"/>
              </w:rPr>
              <w:t>且</w:t>
            </w:r>
            <w:r>
              <w:rPr>
                <w:rFonts w:hint="eastAsia" w:ascii="宋体" w:hAnsi="Times New Roman" w:eastAsia="宋体" w:cs="Times New Roman"/>
                <w:color w:val="auto"/>
                <w:szCs w:val="21"/>
                <w:highlight w:val="none"/>
                <w:lang w:val="en-US" w:eastAsia="zh-CN"/>
              </w:rPr>
              <w:t>报价次低</w:t>
            </w:r>
            <w:r>
              <w:rPr>
                <w:rFonts w:hint="eastAsia" w:ascii="宋体" w:cs="Times New Roman"/>
                <w:color w:val="auto"/>
                <w:szCs w:val="21"/>
                <w:highlight w:val="none"/>
                <w:lang w:val="en-US" w:eastAsia="zh-CN"/>
              </w:rPr>
              <w:t>的</w:t>
            </w:r>
            <w:r>
              <w:rPr>
                <w:rFonts w:hint="eastAsia" w:ascii="宋体" w:hAnsi="Times New Roman" w:eastAsia="宋体" w:cs="Times New Roman"/>
                <w:color w:val="auto"/>
                <w:szCs w:val="21"/>
                <w:highlight w:val="none"/>
                <w:lang w:val="en-US" w:eastAsia="zh-CN"/>
              </w:rPr>
              <w:t>投标人投标报价×50%；</w:t>
            </w:r>
          </w:p>
          <w:p w14:paraId="6A29628A">
            <w:pPr>
              <w:keepNext w:val="0"/>
              <w:keepLines w:val="0"/>
              <w:pageBreakBefore w:val="0"/>
              <w:widowControl w:val="0"/>
              <w:shd w:val="clear"/>
              <w:tabs>
                <w:tab w:val="left" w:pos="720"/>
              </w:tabs>
              <w:kinsoku/>
              <w:wordWrap/>
              <w:overflowPunct/>
              <w:topLinePunct w:val="0"/>
              <w:autoSpaceDE/>
              <w:autoSpaceDN/>
              <w:bidi w:val="0"/>
              <w:adjustRightInd/>
              <w:snapToGrid/>
              <w:spacing w:line="360" w:lineRule="exact"/>
              <w:ind w:right="0" w:rightChars="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（3）投标报价＜采购项目最高限价（如采购项目未设定最高限价的，以采购项目预算金额作为最高限价）×45%；</w:t>
            </w:r>
          </w:p>
          <w:p w14:paraId="2AF026C8">
            <w:pPr>
              <w:keepNext w:val="0"/>
              <w:keepLines w:val="0"/>
              <w:pageBreakBefore w:val="0"/>
              <w:widowControl w:val="0"/>
              <w:shd w:val="clear"/>
              <w:tabs>
                <w:tab w:val="left" w:pos="720"/>
              </w:tabs>
              <w:kinsoku/>
              <w:wordWrap/>
              <w:overflowPunct/>
              <w:topLinePunct w:val="0"/>
              <w:autoSpaceDE/>
              <w:autoSpaceDN/>
              <w:bidi w:val="0"/>
              <w:adjustRightInd/>
              <w:snapToGrid/>
              <w:spacing w:line="360" w:lineRule="exact"/>
              <w:ind w:right="0" w:rightChars="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（4）评标委员会基于专业判断，认为投标人报价过低，有可能影响产品质量或者不能诚信履约的其他情形。</w:t>
            </w:r>
          </w:p>
          <w:p w14:paraId="23C179B8">
            <w:pPr>
              <w:keepNext w:val="0"/>
              <w:keepLines w:val="0"/>
              <w:pageBreakBefore w:val="0"/>
              <w:widowControl w:val="0"/>
              <w:shd w:val="clear"/>
              <w:tabs>
                <w:tab w:val="left" w:pos="720"/>
              </w:tabs>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提醒：</w:t>
            </w:r>
          </w:p>
          <w:p w14:paraId="0B014BAB">
            <w:pPr>
              <w:keepNext w:val="0"/>
              <w:keepLines w:val="0"/>
              <w:pageBreakBefore w:val="0"/>
              <w:widowControl w:val="0"/>
              <w:shd w:val="clear"/>
              <w:tabs>
                <w:tab w:val="left" w:pos="720"/>
              </w:tabs>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上述第（1）项数值计算：涉及总价、单价的精确到“分”并四舍五入，涉及费率的精确到小数点后两位，第三位四舍五入（例：如平均值为123.456元，即为123.46元；如平均值为80.126%，即为80.13%）。</w:t>
            </w:r>
          </w:p>
        </w:tc>
        <w:tc>
          <w:tcPr>
            <w:tcW w:w="2901" w:type="dxa"/>
            <w:vAlign w:val="center"/>
          </w:tcPr>
          <w:p w14:paraId="426F0486">
            <w:pPr>
              <w:keepNext w:val="0"/>
              <w:keepLines w:val="0"/>
              <w:pageBreakBefore w:val="0"/>
              <w:widowControl w:val="0"/>
              <w:shd w:val="clear"/>
              <w:tabs>
                <w:tab w:val="left" w:pos="720"/>
              </w:tabs>
              <w:kinsoku/>
              <w:wordWrap/>
              <w:overflowPunct/>
              <w:topLinePunct w:val="0"/>
              <w:autoSpaceDE/>
              <w:autoSpaceDN/>
              <w:bidi w:val="0"/>
              <w:adjustRightInd/>
              <w:snapToGrid/>
              <w:spacing w:line="400" w:lineRule="exact"/>
              <w:ind w:right="0" w:rightChars="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tc>
      </w:tr>
    </w:tbl>
    <w:p w14:paraId="4F028160">
      <w:pPr>
        <w:shd w:val="clear"/>
        <w:tabs>
          <w:tab w:val="left" w:pos="720"/>
        </w:tabs>
        <w:kinsoku/>
        <w:overflowPunct/>
        <w:bidi w:val="0"/>
        <w:spacing w:line="500" w:lineRule="exact"/>
        <w:ind w:left="0" w:leftChars="0" w:right="0" w:rightChars="0" w:firstLine="420" w:firstLineChars="200"/>
        <w:jc w:val="left"/>
        <w:rPr>
          <w:rFonts w:hint="eastAsia" w:ascii="宋体" w:hAnsi="宋体" w:eastAsia="宋体" w:cs="Arial"/>
          <w:color w:val="auto"/>
          <w:sz w:val="24"/>
          <w:highlight w:val="none"/>
          <w:lang w:val="en-US" w:eastAsia="zh-CN"/>
        </w:rPr>
      </w:pPr>
      <w:r>
        <w:rPr>
          <w:rFonts w:hint="eastAsia" w:ascii="宋体" w:hAnsi="Times New Roman" w:eastAsia="宋体" w:cs="Times New Roman"/>
          <w:color w:val="auto"/>
          <w:szCs w:val="21"/>
          <w:highlight w:val="none"/>
          <w:lang w:val="en-US" w:eastAsia="zh-CN"/>
        </w:rPr>
        <w:t>注：</w:t>
      </w:r>
    </w:p>
    <w:p w14:paraId="1CABF238">
      <w:pPr>
        <w:shd w:val="clear"/>
        <w:tabs>
          <w:tab w:val="left" w:pos="720"/>
        </w:tabs>
        <w:kinsoku/>
        <w:overflowPunct/>
        <w:bidi w:val="0"/>
        <w:spacing w:line="500" w:lineRule="exact"/>
        <w:ind w:right="0" w:rightChars="0"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262C0784">
      <w:pPr>
        <w:shd w:val="clear"/>
        <w:tabs>
          <w:tab w:val="left" w:pos="720"/>
        </w:tabs>
        <w:kinsoku/>
        <w:overflowPunct/>
        <w:bidi w:val="0"/>
        <w:spacing w:line="500" w:lineRule="exact"/>
        <w:ind w:right="0" w:rightChars="0" w:firstLine="420" w:firstLineChars="2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42527BF1">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10724830">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BEB654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8208D3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31.7评标报告的签署</w:t>
      </w:r>
    </w:p>
    <w:p w14:paraId="01FCC5A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E20B64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31.8评标过程的保密</w:t>
      </w:r>
    </w:p>
    <w:p w14:paraId="1FB3FE13">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D5401E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31.9评标结果公告</w:t>
      </w:r>
    </w:p>
    <w:p w14:paraId="20BFEBDE">
      <w:pPr>
        <w:shd w:val="clear"/>
        <w:tabs>
          <w:tab w:val="left" w:pos="720"/>
        </w:tabs>
        <w:kinsoku/>
        <w:overflowPunct/>
        <w:bidi w:val="0"/>
        <w:spacing w:line="500" w:lineRule="exact"/>
        <w:ind w:left="0" w:leftChars="0" w:right="0" w:rightChars="0"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2C4A9C4C">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32.定标</w:t>
      </w:r>
    </w:p>
    <w:p w14:paraId="30701F8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 中标人的确定</w:t>
      </w:r>
    </w:p>
    <w:p w14:paraId="7BB50456">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32.1.1</w:t>
      </w: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color w:val="auto"/>
          <w:szCs w:val="21"/>
          <w:highlight w:val="none"/>
        </w:rPr>
        <w:t>。</w:t>
      </w:r>
    </w:p>
    <w:p w14:paraId="27A6ADE0">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0B417F5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 中标通知书</w:t>
      </w:r>
    </w:p>
    <w:p w14:paraId="2E2F210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11198131">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7F9D0F4E">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35B601A4">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33.开评标异常情况处理</w:t>
      </w:r>
    </w:p>
    <w:p w14:paraId="00D88424">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561DD6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158D6CFC">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7B352E94">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06AA1BCE">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6C9D646">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39BE9FB2">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087F6302">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45E1FF4E">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65D5EED">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bookmarkStart w:id="60" w:name="_Toc449028872"/>
      <w:r>
        <w:rPr>
          <w:rFonts w:hint="eastAsia" w:ascii="宋体"/>
          <w:color w:val="auto"/>
          <w:szCs w:val="21"/>
          <w:highlight w:val="none"/>
        </w:rPr>
        <w:t>按照滁州市公管局相关规定执行。</w:t>
      </w:r>
      <w:bookmarkEnd w:id="60"/>
    </w:p>
    <w:p w14:paraId="0D8196D5">
      <w:pPr>
        <w:shd w:val="clear"/>
        <w:kinsoku/>
        <w:overflowPunct/>
        <w:bidi w:val="0"/>
        <w:spacing w:line="500" w:lineRule="exact"/>
        <w:ind w:left="0" w:leftChars="0" w:right="0" w:rightChars="0"/>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9"/>
    </w:p>
    <w:p w14:paraId="01794EB0">
      <w:pPr>
        <w:shd w:val="clear"/>
        <w:kinsoku/>
        <w:overflowPunct/>
        <w:bidi w:val="0"/>
        <w:spacing w:line="500" w:lineRule="exact"/>
        <w:ind w:left="0" w:leftChars="0" w:right="0" w:rightChars="0"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5B3D88">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22C0F99C">
      <w:pPr>
        <w:shd w:val="clear"/>
        <w:kinsoku/>
        <w:overflowPunct/>
        <w:bidi w:val="0"/>
        <w:spacing w:line="500" w:lineRule="exact"/>
        <w:ind w:left="0" w:leftChars="0" w:right="0" w:rightChars="0"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47A9FC8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10216F64">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233975C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352072A3">
      <w:pPr>
        <w:shd w:val="clear"/>
        <w:kinsoku/>
        <w:overflowPunct/>
        <w:bidi w:val="0"/>
        <w:spacing w:line="500" w:lineRule="exact"/>
        <w:ind w:left="0" w:leftChars="0" w:right="0" w:rightChars="0"/>
        <w:rPr>
          <w:rFonts w:ascii="宋体" w:hAnsi="宋体" w:cs="宋体"/>
          <w:b/>
          <w:color w:val="auto"/>
          <w:szCs w:val="21"/>
          <w:highlight w:val="none"/>
        </w:rPr>
      </w:pPr>
      <w:r>
        <w:rPr>
          <w:rFonts w:hint="eastAsia" w:ascii="宋体" w:hAnsi="宋体" w:cs="宋体"/>
          <w:color w:val="auto"/>
          <w:szCs w:val="21"/>
          <w:highlight w:val="none"/>
        </w:rPr>
        <w:t xml:space="preserve">    36.</w:t>
      </w:r>
      <w:bookmarkStart w:id="6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61"/>
      <w:r>
        <w:rPr>
          <w:rFonts w:hint="eastAsia" w:ascii="宋体" w:hAnsi="宋体" w:cs="宋体"/>
          <w:b/>
          <w:color w:val="auto"/>
          <w:szCs w:val="21"/>
          <w:highlight w:val="none"/>
        </w:rPr>
        <w:t>担保</w:t>
      </w:r>
    </w:p>
    <w:p w14:paraId="69E89A71">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34A18645">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776E2A9E">
      <w:pPr>
        <w:shd w:val="clear"/>
        <w:kinsoku/>
        <w:overflowPunct/>
        <w:bidi w:val="0"/>
        <w:spacing w:beforeLines="100" w:afterLines="100" w:line="500" w:lineRule="exact"/>
        <w:ind w:left="0" w:leftChars="0" w:right="0" w:rightChars="0"/>
        <w:jc w:val="center"/>
        <w:rPr>
          <w:rFonts w:ascii="宋体"/>
          <w:b/>
          <w:color w:val="auto"/>
          <w:sz w:val="28"/>
          <w:szCs w:val="28"/>
          <w:highlight w:val="none"/>
        </w:rPr>
      </w:pPr>
      <w:bookmarkStart w:id="62" w:name="_Toc449028874"/>
      <w:r>
        <w:rPr>
          <w:rFonts w:hint="eastAsia" w:ascii="宋体"/>
          <w:b/>
          <w:color w:val="auto"/>
          <w:sz w:val="28"/>
          <w:szCs w:val="28"/>
          <w:highlight w:val="none"/>
        </w:rPr>
        <w:t>（七）纪律和监督</w:t>
      </w:r>
      <w:bookmarkEnd w:id="62"/>
    </w:p>
    <w:p w14:paraId="1E905502">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76DF673A">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79C1574D">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36BAA937">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6F76A73C">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3B52DAC7">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20E21CA">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B52D9D5">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4F26E987">
      <w:pPr>
        <w:shd w:val="clear"/>
        <w:kinsoku/>
        <w:overflowPunct/>
        <w:bidi w:val="0"/>
        <w:spacing w:beforeLines="100" w:afterLines="100" w:line="500" w:lineRule="exact"/>
        <w:ind w:left="0" w:leftChars="0" w:right="0" w:rightChars="0"/>
        <w:jc w:val="center"/>
        <w:rPr>
          <w:rFonts w:ascii="宋体"/>
          <w:b/>
          <w:color w:val="auto"/>
          <w:sz w:val="28"/>
          <w:szCs w:val="28"/>
          <w:highlight w:val="none"/>
        </w:rPr>
      </w:pPr>
      <w:r>
        <w:rPr>
          <w:rFonts w:hint="eastAsia" w:ascii="宋体"/>
          <w:b/>
          <w:color w:val="auto"/>
          <w:sz w:val="28"/>
          <w:szCs w:val="28"/>
          <w:highlight w:val="none"/>
        </w:rPr>
        <w:t>（八）投诉</w:t>
      </w:r>
    </w:p>
    <w:p w14:paraId="52463948">
      <w:pPr>
        <w:shd w:val="clear"/>
        <w:kinsoku/>
        <w:overflowPunct/>
        <w:bidi w:val="0"/>
        <w:spacing w:line="500" w:lineRule="exact"/>
        <w:ind w:left="0" w:leftChars="0" w:right="0" w:rightChars="0"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2A112188">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6E386C47">
      <w:pPr>
        <w:shd w:val="clear"/>
        <w:kinsoku/>
        <w:overflowPunct/>
        <w:bidi w:val="0"/>
        <w:adjustRightInd w:val="0"/>
        <w:snapToGrid w:val="0"/>
        <w:spacing w:line="500" w:lineRule="exact"/>
        <w:ind w:left="0" w:leftChars="0" w:right="0" w:rightChars="0" w:firstLine="315" w:firstLineChars="150"/>
        <w:rPr>
          <w:rFonts w:hint="eastAsia"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6F2407F">
      <w:pPr>
        <w:kinsoku/>
        <w:overflowPunct/>
        <w:bidi w:val="0"/>
        <w:ind w:left="0" w:leftChars="0" w:right="0" w:rightChars="0"/>
        <w:rPr>
          <w:color w:val="auto"/>
          <w:highlight w:val="none"/>
        </w:rPr>
      </w:pPr>
      <w:r>
        <w:rPr>
          <w:color w:val="auto"/>
          <w:highlight w:val="none"/>
        </w:rPr>
        <w:br w:type="page"/>
      </w:r>
    </w:p>
    <w:p w14:paraId="555AC392">
      <w:pPr>
        <w:pStyle w:val="2"/>
        <w:keepNext/>
        <w:keepLines/>
        <w:pageBreakBefore w:val="0"/>
        <w:widowControl w:val="0"/>
        <w:shd w:val="clear"/>
        <w:kinsoku/>
        <w:wordWrap/>
        <w:overflowPunct/>
        <w:topLinePunct w:val="0"/>
        <w:autoSpaceDE/>
        <w:autoSpaceDN/>
        <w:bidi w:val="0"/>
        <w:adjustRightInd/>
        <w:snapToGrid/>
        <w:spacing w:before="0" w:beforeLines="100" w:after="0" w:afterLines="100" w:line="440" w:lineRule="exact"/>
        <w:ind w:left="0" w:leftChars="0" w:right="0" w:rightChars="0"/>
        <w:textAlignment w:val="auto"/>
        <w:rPr>
          <w:rFonts w:ascii="宋体"/>
          <w:b w:val="0"/>
          <w:color w:val="auto"/>
          <w:szCs w:val="32"/>
          <w:highlight w:val="none"/>
        </w:rPr>
      </w:pPr>
      <w:bookmarkStart w:id="63" w:name="_Toc28871"/>
      <w:r>
        <w:rPr>
          <w:rFonts w:hint="eastAsia" w:ascii="宋体"/>
          <w:bCs w:val="0"/>
          <w:color w:val="auto"/>
          <w:szCs w:val="32"/>
          <w:highlight w:val="none"/>
        </w:rPr>
        <w:t>第三章 评标办法（综合评分法）</w:t>
      </w:r>
      <w:bookmarkEnd w:id="63"/>
    </w:p>
    <w:p w14:paraId="7C5C9944">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bookmarkStart w:id="64" w:name="_Toc362983801"/>
      <w:bookmarkStart w:id="65" w:name="_Toc20697"/>
      <w:bookmarkStart w:id="66" w:name="_Toc58430317"/>
      <w:bookmarkStart w:id="67" w:name="_Toc449028877"/>
      <w:bookmarkStart w:id="68" w:name="_Toc267320058"/>
      <w:bookmarkStart w:id="69" w:name="_Toc363135205"/>
      <w:r>
        <w:rPr>
          <w:rFonts w:hint="eastAsia" w:ascii="宋体" w:hAnsi="宋体" w:cs="宋体"/>
          <w:b/>
          <w:color w:val="auto"/>
          <w:sz w:val="28"/>
          <w:szCs w:val="28"/>
          <w:highlight w:val="none"/>
        </w:rPr>
        <w:t>一、总则</w:t>
      </w:r>
      <w:bookmarkEnd w:id="64"/>
      <w:bookmarkEnd w:id="65"/>
      <w:bookmarkEnd w:id="66"/>
      <w:bookmarkEnd w:id="67"/>
    </w:p>
    <w:p w14:paraId="19FAE32C">
      <w:pPr>
        <w:shd w:val="clear"/>
        <w:kinsoku/>
        <w:overflowPunct/>
        <w:bidi w:val="0"/>
        <w:spacing w:line="500" w:lineRule="exact"/>
        <w:ind w:left="0" w:leftChars="0" w:right="0" w:rightChars="0"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95779B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1EA690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2287E9A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4CB8B4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AC6F99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0ABA578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43876D0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56A452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A2788BA">
      <w:pPr>
        <w:shd w:val="clear"/>
        <w:kinsoku/>
        <w:wordWrap w:val="0"/>
        <w:overflowPunct/>
        <w:bidi w:val="0"/>
        <w:spacing w:line="500" w:lineRule="exact"/>
        <w:ind w:left="0" w:leftChars="0" w:right="0" w:rightChars="0"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0DD936F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3AFB1DD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674B1D2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43D6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2FFED97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65D33EF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31FD5F34">
      <w:pPr>
        <w:shd w:val="clear"/>
        <w:kinsoku/>
        <w:overflowPunct/>
        <w:bidi w:val="0"/>
        <w:spacing w:line="500" w:lineRule="exact"/>
        <w:ind w:left="0" w:leftChars="0" w:right="0" w:rightChars="0"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70" w:name="_Toc449028878"/>
      <w:bookmarkStart w:id="71" w:name="_Toc362983802"/>
      <w:bookmarkStart w:id="72" w:name="_Toc58430318"/>
    </w:p>
    <w:p w14:paraId="4D7C3DE3">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70"/>
      <w:bookmarkEnd w:id="71"/>
      <w:bookmarkEnd w:id="72"/>
    </w:p>
    <w:p w14:paraId="2B9AD607">
      <w:pPr>
        <w:shd w:val="clear"/>
        <w:kinsoku/>
        <w:overflowPunct/>
        <w:bidi w:val="0"/>
        <w:spacing w:line="500" w:lineRule="exact"/>
        <w:ind w:left="0" w:leftChars="0" w:right="0" w:rightChars="0"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3DBD03C5">
      <w:pPr>
        <w:shd w:val="clear"/>
        <w:kinsoku/>
        <w:overflowPunct/>
        <w:bidi w:val="0"/>
        <w:spacing w:line="500" w:lineRule="exact"/>
        <w:ind w:left="0" w:leftChars="0" w:right="0" w:rightChars="0"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7"/>
        <w:tblW w:w="935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090"/>
        <w:gridCol w:w="4859"/>
        <w:gridCol w:w="2644"/>
      </w:tblGrid>
      <w:tr w14:paraId="405D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6" w:type="dxa"/>
            <w:vAlign w:val="center"/>
          </w:tcPr>
          <w:p w14:paraId="5654966B">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949" w:type="dxa"/>
            <w:gridSpan w:val="2"/>
            <w:vAlign w:val="center"/>
          </w:tcPr>
          <w:p w14:paraId="16E09C7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2644" w:type="dxa"/>
            <w:vAlign w:val="center"/>
          </w:tcPr>
          <w:p w14:paraId="23D247B8">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C22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6" w:type="dxa"/>
            <w:vAlign w:val="center"/>
          </w:tcPr>
          <w:p w14:paraId="5B91F973">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090" w:type="dxa"/>
            <w:vAlign w:val="center"/>
          </w:tcPr>
          <w:p w14:paraId="3108D6E0">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重要要求</w:t>
            </w:r>
          </w:p>
        </w:tc>
        <w:tc>
          <w:tcPr>
            <w:tcW w:w="4859" w:type="dxa"/>
            <w:vAlign w:val="center"/>
          </w:tcPr>
          <w:p w14:paraId="3EF6E62D">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2644" w:type="dxa"/>
            <w:vAlign w:val="center"/>
          </w:tcPr>
          <w:p w14:paraId="243926E5">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685F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66" w:type="dxa"/>
            <w:vMerge w:val="restart"/>
            <w:vAlign w:val="center"/>
          </w:tcPr>
          <w:p w14:paraId="7C7410B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1090" w:type="dxa"/>
            <w:vMerge w:val="restart"/>
            <w:vAlign w:val="center"/>
          </w:tcPr>
          <w:p w14:paraId="614A2110">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859" w:type="dxa"/>
            <w:vAlign w:val="center"/>
          </w:tcPr>
          <w:p w14:paraId="4A59AB34">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2644" w:type="dxa"/>
            <w:vAlign w:val="center"/>
          </w:tcPr>
          <w:p w14:paraId="7E3E3D18">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38B64C41">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投标人有效的营业执照、税务登记证、组织机构码证（或“三证合一证书”）</w:t>
            </w:r>
          </w:p>
        </w:tc>
      </w:tr>
      <w:tr w14:paraId="6F8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66" w:type="dxa"/>
            <w:vMerge w:val="continue"/>
            <w:vAlign w:val="center"/>
          </w:tcPr>
          <w:p w14:paraId="1FAB16BC">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p>
        </w:tc>
        <w:tc>
          <w:tcPr>
            <w:tcW w:w="1090" w:type="dxa"/>
            <w:vMerge w:val="continue"/>
            <w:vAlign w:val="center"/>
          </w:tcPr>
          <w:p w14:paraId="7A69D7F7">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p>
        </w:tc>
        <w:tc>
          <w:tcPr>
            <w:tcW w:w="4859" w:type="dxa"/>
            <w:vAlign w:val="center"/>
          </w:tcPr>
          <w:p w14:paraId="46CC8FF9">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2644" w:type="dxa"/>
            <w:vAlign w:val="center"/>
          </w:tcPr>
          <w:p w14:paraId="1F434F61">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0232E946">
      <w:pPr>
        <w:shd w:val="clear"/>
        <w:kinsoku/>
        <w:overflowPunct/>
        <w:bidi w:val="0"/>
        <w:spacing w:line="500" w:lineRule="exact"/>
        <w:ind w:left="0" w:leftChars="0" w:right="0" w:rightChars="0" w:firstLine="508" w:firstLineChars="241"/>
        <w:jc w:val="left"/>
        <w:rPr>
          <w:rFonts w:hint="eastAsia"/>
          <w:color w:val="auto"/>
          <w:highlight w:val="none"/>
        </w:rPr>
      </w:pPr>
      <w:bookmarkStart w:id="73" w:name="_Toc324404866"/>
      <w:bookmarkStart w:id="74" w:name="_Toc60061491"/>
      <w:bookmarkStart w:id="75" w:name="_Toc506107319"/>
      <w:bookmarkStart w:id="76" w:name="_Toc15058904"/>
      <w:bookmarkStart w:id="77" w:name="_Toc95223394"/>
      <w:r>
        <w:rPr>
          <w:rFonts w:hint="eastAsia" w:ascii="宋体" w:hAnsi="宋体" w:eastAsia="宋体" w:cs="宋体"/>
          <w:b/>
          <w:color w:val="auto"/>
          <w:szCs w:val="21"/>
          <w:highlight w:val="none"/>
        </w:rPr>
        <w:t>重要提示：</w:t>
      </w:r>
    </w:p>
    <w:p w14:paraId="37C2517A">
      <w:pPr>
        <w:shd w:val="clear"/>
        <w:kinsoku/>
        <w:overflowPunct/>
        <w:bidi w:val="0"/>
        <w:spacing w:line="500" w:lineRule="exact"/>
        <w:ind w:left="0" w:leftChars="0" w:right="0" w:rightChars="0"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EF88594">
      <w:pPr>
        <w:shd w:val="clear"/>
        <w:kinsoku/>
        <w:overflowPunct/>
        <w:bidi w:val="0"/>
        <w:spacing w:line="500" w:lineRule="exact"/>
        <w:ind w:left="0" w:leftChars="0" w:right="0" w:rightChars="0"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73"/>
    <w:bookmarkEnd w:id="74"/>
    <w:bookmarkEnd w:id="75"/>
    <w:bookmarkEnd w:id="76"/>
    <w:bookmarkEnd w:id="77"/>
    <w:p w14:paraId="2CF8A050">
      <w:pPr>
        <w:shd w:val="clear"/>
        <w:kinsoku/>
        <w:overflowPunct/>
        <w:bidi w:val="0"/>
        <w:spacing w:line="500" w:lineRule="exact"/>
        <w:ind w:left="0" w:leftChars="0" w:right="0" w:rightChars="0"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5920EC3">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7"/>
        <w:tblW w:w="96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31"/>
      </w:tblGrid>
      <w:tr w14:paraId="5EE8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12392893">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545ED4CE">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31" w:type="dxa"/>
            <w:vAlign w:val="center"/>
          </w:tcPr>
          <w:p w14:paraId="60659967">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6AE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794F2509">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691BD08C">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1A5751B3">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31" w:type="dxa"/>
            <w:vAlign w:val="center"/>
          </w:tcPr>
          <w:p w14:paraId="57119486">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53A0F930">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711F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1DB1A02B">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17B080FC">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04521C6E">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31" w:type="dxa"/>
            <w:vAlign w:val="center"/>
          </w:tcPr>
          <w:p w14:paraId="729096D2">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C6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75C98FD5">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3645310E">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48E0D8DC">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31" w:type="dxa"/>
            <w:vAlign w:val="center"/>
          </w:tcPr>
          <w:p w14:paraId="041E4137">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4F0E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4872439D">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7A374555">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70545AA5">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31" w:type="dxa"/>
            <w:vAlign w:val="center"/>
          </w:tcPr>
          <w:p w14:paraId="505AF0D1">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4C9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7670B8F9">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08B28408">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343096">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31" w:type="dxa"/>
            <w:vAlign w:val="center"/>
          </w:tcPr>
          <w:p w14:paraId="0282894D">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3B61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3FCB2636">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0D4078BB">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02876D74">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31" w:type="dxa"/>
            <w:vAlign w:val="center"/>
          </w:tcPr>
          <w:p w14:paraId="0AE77BD2">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113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3440CC5F">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3F6940A1">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15CB7F31">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31" w:type="dxa"/>
            <w:vAlign w:val="center"/>
          </w:tcPr>
          <w:p w14:paraId="32CAD7CB">
            <w:pPr>
              <w:shd w:val="clear"/>
              <w:kinsoku/>
              <w:overflowPunct/>
              <w:bidi w:val="0"/>
              <w:spacing w:line="500" w:lineRule="exact"/>
              <w:ind w:left="0" w:leftChars="0" w:right="0" w:rightChars="0"/>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33B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0AAC77C5">
            <w:pPr>
              <w:shd w:val="clear"/>
              <w:kinsoku/>
              <w:overflowPunct/>
              <w:bidi w:val="0"/>
              <w:spacing w:line="500" w:lineRule="exact"/>
              <w:ind w:left="0" w:leftChars="0" w:right="0" w:rightChars="0"/>
              <w:jc w:val="left"/>
              <w:rPr>
                <w:rFonts w:ascii="宋体" w:hAnsi="宋体" w:cs="宋体"/>
                <w:color w:val="auto"/>
                <w:szCs w:val="21"/>
                <w:highlight w:val="none"/>
              </w:rPr>
            </w:pPr>
          </w:p>
        </w:tc>
        <w:tc>
          <w:tcPr>
            <w:tcW w:w="1318" w:type="dxa"/>
            <w:vMerge w:val="continue"/>
            <w:vAlign w:val="center"/>
          </w:tcPr>
          <w:p w14:paraId="34282EFB">
            <w:pPr>
              <w:shd w:val="clear"/>
              <w:kinsoku/>
              <w:overflowPunct/>
              <w:bidi w:val="0"/>
              <w:spacing w:line="500" w:lineRule="exact"/>
              <w:ind w:left="0" w:leftChars="0" w:right="0" w:rightChars="0"/>
              <w:jc w:val="left"/>
              <w:rPr>
                <w:rFonts w:ascii="宋体" w:hAnsi="宋体" w:cs="宋体"/>
                <w:color w:val="auto"/>
                <w:szCs w:val="21"/>
                <w:highlight w:val="none"/>
              </w:rPr>
            </w:pPr>
          </w:p>
        </w:tc>
        <w:tc>
          <w:tcPr>
            <w:tcW w:w="2931" w:type="dxa"/>
            <w:vAlign w:val="center"/>
          </w:tcPr>
          <w:p w14:paraId="2310ED35">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31" w:type="dxa"/>
            <w:vAlign w:val="center"/>
          </w:tcPr>
          <w:p w14:paraId="7214EB52">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284B09E8">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36F29DD">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36C59C6">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3D87CFA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7C189174">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628441A4">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5444A671">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3259ED9E">
      <w:pPr>
        <w:shd w:val="clear"/>
        <w:kinsoku/>
        <w:overflowPunct/>
        <w:bidi w:val="0"/>
        <w:spacing w:beforeLines="50" w:afterLines="50"/>
        <w:ind w:left="0" w:leftChars="0" w:right="0" w:rightChars="0"/>
        <w:jc w:val="center"/>
        <w:outlineLvl w:val="1"/>
        <w:rPr>
          <w:rFonts w:ascii="宋体"/>
          <w:b/>
          <w:color w:val="auto"/>
          <w:sz w:val="28"/>
          <w:szCs w:val="28"/>
          <w:highlight w:val="none"/>
        </w:rPr>
      </w:pPr>
      <w:bookmarkStart w:id="78" w:name="_Toc449028879"/>
      <w:bookmarkStart w:id="79" w:name="_Toc14002"/>
      <w:bookmarkStart w:id="80" w:name="_Toc58430319"/>
      <w:bookmarkStart w:id="81" w:name="_Toc362983803"/>
      <w:r>
        <w:rPr>
          <w:rFonts w:hint="eastAsia" w:ascii="宋体"/>
          <w:b/>
          <w:color w:val="auto"/>
          <w:sz w:val="28"/>
          <w:szCs w:val="28"/>
          <w:highlight w:val="none"/>
        </w:rPr>
        <w:t>三、投标文件的澄清和补正</w:t>
      </w:r>
      <w:bookmarkEnd w:id="78"/>
      <w:bookmarkEnd w:id="79"/>
      <w:bookmarkEnd w:id="80"/>
      <w:bookmarkEnd w:id="81"/>
    </w:p>
    <w:p w14:paraId="7EDE184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rPr>
        <w:t>如因投标人未参加开标导致开评标过程中无法澄清、说明或补正的，视同投标人放弃该权利。</w:t>
      </w:r>
    </w:p>
    <w:p w14:paraId="0E8CB8D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18226FA5">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6C0ADB4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CC05701">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51D43F2">
      <w:pPr>
        <w:shd w:val="clear"/>
        <w:kinsoku/>
        <w:overflowPunct/>
        <w:bidi w:val="0"/>
        <w:spacing w:line="500" w:lineRule="exact"/>
        <w:ind w:left="0" w:leftChars="0" w:right="0" w:rightChars="0"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8"/>
    <w:p w14:paraId="2F8BD6B4">
      <w:pPr>
        <w:shd w:val="clear"/>
        <w:kinsoku/>
        <w:overflowPunct/>
        <w:bidi w:val="0"/>
        <w:spacing w:beforeLines="50" w:afterLines="50"/>
        <w:ind w:left="0" w:leftChars="0" w:right="0" w:rightChars="0"/>
        <w:jc w:val="center"/>
        <w:outlineLvl w:val="1"/>
        <w:rPr>
          <w:rFonts w:ascii="宋体"/>
          <w:b/>
          <w:color w:val="auto"/>
          <w:sz w:val="28"/>
          <w:szCs w:val="28"/>
          <w:highlight w:val="none"/>
        </w:rPr>
      </w:pPr>
      <w:bookmarkStart w:id="82" w:name="_Toc449028880"/>
      <w:bookmarkStart w:id="83" w:name="_Toc3630"/>
      <w:bookmarkStart w:id="84" w:name="_Toc58430320"/>
      <w:bookmarkStart w:id="85" w:name="_Hlk101517174"/>
      <w:r>
        <w:rPr>
          <w:rFonts w:hint="eastAsia" w:ascii="宋体"/>
          <w:b/>
          <w:color w:val="auto"/>
          <w:sz w:val="28"/>
          <w:szCs w:val="28"/>
          <w:highlight w:val="none"/>
        </w:rPr>
        <w:t>四、比较与评价</w:t>
      </w:r>
      <w:bookmarkEnd w:id="82"/>
      <w:bookmarkEnd w:id="83"/>
      <w:bookmarkEnd w:id="84"/>
    </w:p>
    <w:p w14:paraId="1DB08AAF">
      <w:pPr>
        <w:shd w:val="clear"/>
        <w:kinsoku/>
        <w:overflowPunct/>
        <w:bidi w:val="0"/>
        <w:spacing w:line="500" w:lineRule="exact"/>
        <w:ind w:left="0" w:leftChars="0" w:right="0" w:rightChars="0"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86"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0BDBA3A7">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tbl>
      <w:tblPr>
        <w:tblStyle w:val="37"/>
        <w:tblW w:w="9813"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060"/>
        <w:gridCol w:w="666"/>
        <w:gridCol w:w="7390"/>
      </w:tblGrid>
      <w:tr w14:paraId="029F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D2C357C">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60" w:type="dxa"/>
            <w:vAlign w:val="center"/>
          </w:tcPr>
          <w:p w14:paraId="659503FA">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66" w:type="dxa"/>
            <w:vAlign w:val="center"/>
          </w:tcPr>
          <w:p w14:paraId="123FACEB">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90" w:type="dxa"/>
            <w:vAlign w:val="center"/>
          </w:tcPr>
          <w:p w14:paraId="40B4FA68">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5080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41ED176">
            <w:pPr>
              <w:pStyle w:val="16"/>
              <w:keepNext w:val="0"/>
              <w:keepLines w:val="0"/>
              <w:pageBreakBefore w:val="0"/>
              <w:shd w:val="clear"/>
              <w:kinsoku/>
              <w:wordWrap/>
              <w:overflowPunct/>
              <w:topLinePunct w:val="0"/>
              <w:autoSpaceDE/>
              <w:autoSpaceDN/>
              <w:bidi w:val="0"/>
              <w:adjustRightInd/>
              <w:snapToGrid/>
              <w:spacing w:after="0" w:line="440" w:lineRule="exact"/>
              <w:ind w:left="0" w:leftChars="0" w:right="0" w:rightChars="0"/>
              <w:jc w:val="center"/>
              <w:textAlignment w:val="auto"/>
              <w:rPr>
                <w:rFonts w:ascii="宋体" w:hAnsi="宋体" w:cs="宋体"/>
                <w:b/>
                <w:bCs/>
                <w:color w:val="auto"/>
                <w:highlight w:val="none"/>
              </w:rPr>
            </w:pPr>
            <w:r>
              <w:rPr>
                <w:rFonts w:hint="eastAsia" w:ascii="宋体" w:hAnsi="宋体" w:cs="宋体"/>
                <w:b/>
                <w:bCs/>
                <w:color w:val="auto"/>
                <w:highlight w:val="none"/>
              </w:rPr>
              <w:t>1</w:t>
            </w:r>
          </w:p>
        </w:tc>
        <w:tc>
          <w:tcPr>
            <w:tcW w:w="1060" w:type="dxa"/>
            <w:vAlign w:val="center"/>
          </w:tcPr>
          <w:p w14:paraId="1FEB370B">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投标人</w:t>
            </w:r>
            <w:r>
              <w:rPr>
                <w:rFonts w:hint="eastAsia" w:ascii="宋体" w:hAnsi="宋体" w:cs="宋体"/>
                <w:b/>
                <w:bCs/>
                <w:color w:val="auto"/>
                <w:szCs w:val="21"/>
                <w:highlight w:val="none"/>
              </w:rPr>
              <w:t>业绩</w:t>
            </w:r>
          </w:p>
        </w:tc>
        <w:tc>
          <w:tcPr>
            <w:tcW w:w="666" w:type="dxa"/>
            <w:vAlign w:val="center"/>
          </w:tcPr>
          <w:p w14:paraId="737449D3">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p>
        </w:tc>
        <w:tc>
          <w:tcPr>
            <w:tcW w:w="7390" w:type="dxa"/>
            <w:vAlign w:val="center"/>
          </w:tcPr>
          <w:p w14:paraId="69183D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自2023年1月1日至投标截止时间（以合同签订时间为准）投标人具有公共资源类系统软件开发或运维</w:t>
            </w:r>
            <w:r>
              <w:rPr>
                <w:rFonts w:hint="eastAsia" w:ascii="宋体" w:hAnsi="宋体" w:eastAsia="宋体" w:cs="宋体"/>
                <w:color w:val="auto"/>
                <w:szCs w:val="21"/>
                <w:highlight w:val="none"/>
                <w:lang w:val="en-US" w:eastAsia="zh-CN"/>
              </w:rPr>
              <w:t>业绩，提供1份业绩合同得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分，本项最高得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 xml:space="preserve">分。 </w:t>
            </w:r>
          </w:p>
          <w:p w14:paraId="0FB721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注：</w:t>
            </w:r>
            <w:r>
              <w:rPr>
                <w:rFonts w:hint="eastAsia" w:ascii="宋体" w:hAnsi="宋体" w:cs="宋体"/>
                <w:b/>
                <w:bCs/>
                <w:color w:val="auto"/>
                <w:szCs w:val="21"/>
                <w:highlight w:val="none"/>
                <w:lang w:val="en-US" w:eastAsia="zh-CN"/>
              </w:rPr>
              <w:t>投标文件中同时提供业绩合同和中标通知书（须加盖招投标管理部门印章或公共资源交易中心见证章，无盖章的须提供公共资源交易平台官网发布的中标公示网页截图及网址链接），若合同反映不出业绩内容的还须另外提供业主（合同甲方）盖章的证明材料</w:t>
            </w:r>
            <w:r>
              <w:rPr>
                <w:rFonts w:hint="eastAsia" w:ascii="宋体" w:hAnsi="宋体" w:eastAsia="宋体" w:cs="宋体"/>
                <w:color w:val="auto"/>
                <w:szCs w:val="21"/>
                <w:highlight w:val="none"/>
                <w:lang w:val="en-US" w:eastAsia="zh-CN"/>
              </w:rPr>
              <w:t>。</w:t>
            </w:r>
          </w:p>
          <w:p w14:paraId="7335D714">
            <w:pPr>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jc w:val="left"/>
              <w:textAlignment w:val="auto"/>
              <w:rPr>
                <w:color w:val="auto"/>
                <w:highlight w:val="none"/>
              </w:rPr>
            </w:pPr>
            <w:r>
              <w:rPr>
                <w:rFonts w:hint="eastAsia" w:ascii="宋体" w:hAnsi="宋体" w:eastAsia="宋体" w:cs="宋体"/>
                <w:b/>
                <w:bCs/>
                <w:color w:val="auto"/>
                <w:highlight w:val="none"/>
                <w:lang w:val="en-US" w:eastAsia="zh-CN"/>
              </w:rPr>
              <w:t>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。同一单位的不同年份的续签合同，仅计取一次。</w:t>
            </w:r>
          </w:p>
        </w:tc>
      </w:tr>
      <w:tr w14:paraId="2755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5DB60B7">
            <w:pPr>
              <w:pStyle w:val="16"/>
              <w:keepNext w:val="0"/>
              <w:keepLines w:val="0"/>
              <w:pageBreakBefore w:val="0"/>
              <w:shd w:val="clear"/>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w:t>
            </w:r>
          </w:p>
        </w:tc>
        <w:tc>
          <w:tcPr>
            <w:tcW w:w="1060" w:type="dxa"/>
            <w:vAlign w:val="center"/>
          </w:tcPr>
          <w:p w14:paraId="087CCA23">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项目负责人业绩</w:t>
            </w:r>
          </w:p>
        </w:tc>
        <w:tc>
          <w:tcPr>
            <w:tcW w:w="666" w:type="dxa"/>
            <w:vAlign w:val="center"/>
          </w:tcPr>
          <w:p w14:paraId="4FEC640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p>
        </w:tc>
        <w:tc>
          <w:tcPr>
            <w:tcW w:w="7390" w:type="dxa"/>
            <w:vAlign w:val="center"/>
          </w:tcPr>
          <w:p w14:paraId="0621F2BF">
            <w:pPr>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bCs/>
                <w:color w:val="auto"/>
                <w:highlight w:val="none"/>
              </w:rPr>
            </w:pPr>
            <w:r>
              <w:rPr>
                <w:rFonts w:hint="eastAsia" w:ascii="宋体" w:hAnsi="宋体" w:cs="宋体"/>
                <w:color w:val="auto"/>
                <w:szCs w:val="21"/>
                <w:highlight w:val="none"/>
                <w:lang w:val="en-US" w:eastAsia="zh-CN"/>
              </w:rPr>
              <w:t>自2023年1月1日至投标截止时间（以合同签订时间为准）拟任项目负责人具有公共资源</w:t>
            </w:r>
            <w:r>
              <w:rPr>
                <w:rFonts w:hint="eastAsia" w:ascii="宋体" w:hAnsi="宋体" w:eastAsia="宋体" w:cs="宋体"/>
                <w:color w:val="auto"/>
                <w:szCs w:val="21"/>
                <w:highlight w:val="none"/>
                <w:lang w:val="en-US" w:eastAsia="zh-CN"/>
              </w:rPr>
              <w:t>类</w:t>
            </w:r>
            <w:r>
              <w:rPr>
                <w:rFonts w:hint="eastAsia" w:ascii="宋体" w:hAnsi="宋体" w:cs="宋体"/>
                <w:color w:val="auto"/>
                <w:szCs w:val="21"/>
                <w:highlight w:val="none"/>
                <w:lang w:val="en-US" w:eastAsia="zh-CN"/>
              </w:rPr>
              <w:t>系统软件</w:t>
            </w:r>
            <w:r>
              <w:rPr>
                <w:rFonts w:hint="eastAsia" w:ascii="宋体" w:hAnsi="宋体" w:eastAsia="宋体" w:cs="宋体"/>
                <w:color w:val="auto"/>
                <w:szCs w:val="21"/>
                <w:highlight w:val="none"/>
                <w:lang w:val="en-US" w:eastAsia="zh-CN"/>
              </w:rPr>
              <w:t>开发</w:t>
            </w:r>
            <w:r>
              <w:rPr>
                <w:rFonts w:hint="eastAsia" w:ascii="宋体" w:hAnsi="宋体" w:cs="宋体"/>
                <w:color w:val="auto"/>
                <w:szCs w:val="21"/>
                <w:highlight w:val="none"/>
                <w:lang w:val="en-US" w:eastAsia="zh-CN"/>
              </w:rPr>
              <w:t>或运维</w:t>
            </w:r>
            <w:r>
              <w:rPr>
                <w:rFonts w:hint="eastAsia" w:ascii="宋体" w:hAnsi="宋体" w:eastAsia="宋体" w:cs="宋体"/>
                <w:color w:val="auto"/>
                <w:szCs w:val="21"/>
                <w:highlight w:val="none"/>
                <w:lang w:val="en-US" w:eastAsia="zh-CN"/>
              </w:rPr>
              <w:t>业绩，提供1份业绩合同得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分，本项最高得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p>
          <w:p w14:paraId="1B610A3F">
            <w:pPr>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jc w:val="lef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注：</w:t>
            </w:r>
            <w:r>
              <w:rPr>
                <w:rFonts w:hint="eastAsia" w:ascii="宋体" w:hAnsi="宋体" w:cs="宋体"/>
                <w:b/>
                <w:bCs/>
                <w:color w:val="auto"/>
                <w:szCs w:val="21"/>
                <w:highlight w:val="none"/>
                <w:lang w:val="en-US" w:eastAsia="zh-CN"/>
              </w:rPr>
              <w:t>投标文件中同时提供业绩合同和中标通知书（须加盖招投标管理部门印章或公共资源交易中心见证章，无盖章的须提供公共资源交易平台官网发布的中标公示网页截图及网址链接），</w:t>
            </w:r>
            <w:r>
              <w:rPr>
                <w:rFonts w:hint="eastAsia" w:ascii="宋体" w:hAnsi="宋体" w:eastAsia="宋体" w:cs="宋体"/>
                <w:b/>
                <w:bCs/>
                <w:color w:val="auto"/>
                <w:highlight w:val="none"/>
                <w:lang w:val="en-US" w:eastAsia="zh-CN"/>
              </w:rPr>
              <w:t>项目负责人以合同中约定姓名为准</w:t>
            </w:r>
            <w:r>
              <w:rPr>
                <w:rFonts w:hint="eastAsia" w:ascii="宋体" w:hAnsi="宋体" w:cs="宋体"/>
                <w:b/>
                <w:bCs/>
                <w:color w:val="auto"/>
                <w:highlight w:val="none"/>
                <w:lang w:val="en-US" w:eastAsia="zh-CN"/>
              </w:rPr>
              <w:t>，</w:t>
            </w:r>
            <w:r>
              <w:rPr>
                <w:rFonts w:hint="eastAsia" w:ascii="宋体" w:hAnsi="宋体" w:cs="宋体"/>
                <w:b/>
                <w:bCs/>
                <w:color w:val="auto"/>
                <w:szCs w:val="21"/>
                <w:highlight w:val="none"/>
                <w:lang w:val="en-US" w:eastAsia="zh-CN"/>
              </w:rPr>
              <w:t>若合同反映不出业绩评审要素的还须另外提供业主（合同甲方）盖章的证明材料</w:t>
            </w:r>
            <w:r>
              <w:rPr>
                <w:rFonts w:hint="eastAsia" w:ascii="宋体" w:hAnsi="宋体" w:cs="宋体"/>
                <w:b/>
                <w:color w:val="auto"/>
                <w:szCs w:val="21"/>
                <w:highlight w:val="none"/>
                <w:lang w:eastAsia="zh-CN"/>
              </w:rPr>
              <w:t>。</w:t>
            </w:r>
          </w:p>
          <w:p w14:paraId="0EC8F517">
            <w:pPr>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jc w:val="left"/>
              <w:textAlignment w:val="auto"/>
              <w:rPr>
                <w:rFonts w:hint="eastAsia" w:ascii="宋体" w:hAnsi="宋体" w:cs="宋体"/>
                <w:b/>
                <w:bCs/>
                <w:color w:val="auto"/>
                <w:highlight w:val="none"/>
                <w:lang w:val="en-US" w:eastAsia="zh-CN"/>
              </w:rPr>
            </w:pPr>
            <w:r>
              <w:rPr>
                <w:rFonts w:hint="eastAsia" w:ascii="宋体" w:hAnsi="宋体" w:eastAsia="宋体" w:cs="宋体"/>
                <w:b/>
                <w:bCs/>
                <w:color w:val="auto"/>
                <w:highlight w:val="none"/>
                <w:lang w:val="en-US" w:eastAsia="zh-CN"/>
              </w:rPr>
              <w:t>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。同一单位的不同年份的续签合同，仅计取一次。</w:t>
            </w:r>
          </w:p>
        </w:tc>
      </w:tr>
      <w:tr w14:paraId="4C23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DBCC8D4">
            <w:pPr>
              <w:pStyle w:val="16"/>
              <w:keepNext w:val="0"/>
              <w:keepLines w:val="0"/>
              <w:pageBreakBefore w:val="0"/>
              <w:shd w:val="clear"/>
              <w:kinsoku/>
              <w:wordWrap/>
              <w:overflowPunct/>
              <w:topLinePunct w:val="0"/>
              <w:autoSpaceDE/>
              <w:autoSpaceDN/>
              <w:bidi w:val="0"/>
              <w:adjustRightInd/>
              <w:snapToGrid/>
              <w:spacing w:after="0" w:line="440" w:lineRule="exact"/>
              <w:ind w:left="0" w:leftChars="0" w:right="0" w:rightChars="0"/>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3</w:t>
            </w:r>
          </w:p>
        </w:tc>
        <w:tc>
          <w:tcPr>
            <w:tcW w:w="1060" w:type="dxa"/>
            <w:vAlign w:val="center"/>
          </w:tcPr>
          <w:p w14:paraId="090D6E73">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拟投入团队人员</w:t>
            </w:r>
          </w:p>
        </w:tc>
        <w:tc>
          <w:tcPr>
            <w:tcW w:w="666" w:type="dxa"/>
            <w:vAlign w:val="center"/>
          </w:tcPr>
          <w:p w14:paraId="23609517">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8分</w:t>
            </w:r>
          </w:p>
        </w:tc>
        <w:tc>
          <w:tcPr>
            <w:tcW w:w="7390" w:type="dxa"/>
            <w:vAlign w:val="center"/>
          </w:tcPr>
          <w:p w14:paraId="6F994A66">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0" w:leftChars="0" w:right="0" w:right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w:t>
            </w:r>
            <w:r>
              <w:rPr>
                <w:rFonts w:hint="eastAsia" w:ascii="宋体" w:hAnsi="宋体" w:cs="宋体"/>
                <w:b w:val="0"/>
                <w:bCs w:val="0"/>
                <w:color w:val="auto"/>
                <w:kern w:val="2"/>
                <w:sz w:val="21"/>
                <w:szCs w:val="24"/>
                <w:highlight w:val="none"/>
                <w:lang w:val="en-US" w:eastAsia="zh-CN" w:bidi="ar-SA"/>
              </w:rPr>
              <w:t>拟派项目负责人（1人）：</w:t>
            </w:r>
            <w:r>
              <w:rPr>
                <w:rFonts w:hint="eastAsia" w:ascii="宋体" w:hAnsi="宋体" w:cs="宋体"/>
                <w:b w:val="0"/>
                <w:bCs w:val="0"/>
                <w:color w:val="auto"/>
                <w:highlight w:val="none"/>
                <w:lang w:val="en-US" w:eastAsia="zh-CN"/>
              </w:rPr>
              <w:t>具有中级（或以上）软考证书的得1.5分，本条最高得1.5分。</w:t>
            </w:r>
          </w:p>
          <w:p w14:paraId="0A5C31E4">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0" w:leftChars="0" w:right="0" w:rightChars="0"/>
              <w:jc w:val="left"/>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kern w:val="2"/>
                <w:sz w:val="21"/>
                <w:szCs w:val="24"/>
                <w:highlight w:val="none"/>
                <w:lang w:val="en-US" w:eastAsia="zh-CN" w:bidi="ar-SA"/>
              </w:rPr>
              <w:t>2、</w:t>
            </w:r>
            <w:r>
              <w:rPr>
                <w:rFonts w:hint="eastAsia" w:ascii="宋体" w:hAnsi="宋体" w:cs="宋体"/>
                <w:b w:val="0"/>
                <w:bCs w:val="0"/>
                <w:color w:val="auto"/>
                <w:highlight w:val="none"/>
                <w:lang w:val="en-US" w:eastAsia="zh-CN"/>
              </w:rPr>
              <w:t>拟派技术负责人（1人）：具有中级（或以上）软考证书的得1.5分，本条最高得1.5分。</w:t>
            </w:r>
          </w:p>
          <w:p w14:paraId="24BCA1AA">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0" w:leftChars="0" w:right="0" w:rightChars="0"/>
              <w:jc w:val="left"/>
              <w:textAlignment w:val="auto"/>
              <w:rPr>
                <w:rFonts w:hint="default" w:ascii="宋体" w:hAnsi="宋体" w:cs="宋体"/>
                <w:b w:val="0"/>
                <w:bCs w:val="0"/>
                <w:color w:val="auto"/>
                <w:highlight w:val="none"/>
                <w:lang w:val="en-US" w:eastAsia="zh-CN"/>
              </w:rPr>
            </w:pPr>
            <w:r>
              <w:rPr>
                <w:rFonts w:hint="eastAsia" w:ascii="宋体" w:hAnsi="宋体" w:cs="宋体"/>
                <w:b w:val="0"/>
                <w:bCs w:val="0"/>
                <w:color w:val="auto"/>
                <w:kern w:val="2"/>
                <w:sz w:val="21"/>
                <w:szCs w:val="24"/>
                <w:highlight w:val="none"/>
                <w:lang w:val="en-US" w:eastAsia="zh-CN" w:bidi="ar-SA"/>
              </w:rPr>
              <w:t>3</w:t>
            </w:r>
            <w:r>
              <w:rPr>
                <w:rFonts w:hint="default" w:ascii="宋体" w:hAnsi="宋体" w:eastAsia="宋体" w:cs="宋体"/>
                <w:b w:val="0"/>
                <w:bCs w:val="0"/>
                <w:color w:val="auto"/>
                <w:kern w:val="2"/>
                <w:sz w:val="21"/>
                <w:szCs w:val="24"/>
                <w:highlight w:val="none"/>
                <w:lang w:val="en-US" w:eastAsia="zh-CN" w:bidi="ar-SA"/>
              </w:rPr>
              <w:t>、</w:t>
            </w:r>
            <w:r>
              <w:rPr>
                <w:rFonts w:hint="default" w:ascii="宋体" w:hAnsi="宋体" w:cs="宋体"/>
                <w:b w:val="0"/>
                <w:bCs w:val="0"/>
                <w:color w:val="auto"/>
                <w:highlight w:val="none"/>
                <w:lang w:val="en-US" w:eastAsia="zh-CN"/>
              </w:rPr>
              <w:t>拟派项目团队成员（除项目负责人</w:t>
            </w:r>
            <w:r>
              <w:rPr>
                <w:rFonts w:hint="eastAsia" w:ascii="宋体" w:hAnsi="宋体" w:cs="宋体"/>
                <w:b w:val="0"/>
                <w:bCs w:val="0"/>
                <w:color w:val="auto"/>
                <w:highlight w:val="none"/>
                <w:lang w:val="en-US" w:eastAsia="zh-CN"/>
              </w:rPr>
              <w:t>、技术负责人</w:t>
            </w:r>
            <w:r>
              <w:rPr>
                <w:rFonts w:hint="default" w:ascii="宋体" w:hAnsi="宋体" w:cs="宋体"/>
                <w:b w:val="0"/>
                <w:bCs w:val="0"/>
                <w:color w:val="auto"/>
                <w:highlight w:val="none"/>
                <w:lang w:val="en-US" w:eastAsia="zh-CN"/>
              </w:rPr>
              <w:t>以外）</w:t>
            </w:r>
            <w:r>
              <w:rPr>
                <w:rFonts w:hint="eastAsia" w:ascii="宋体" w:hAnsi="宋体" w:cs="宋体"/>
                <w:b w:val="0"/>
                <w:bCs w:val="0"/>
                <w:color w:val="auto"/>
                <w:highlight w:val="none"/>
                <w:lang w:val="en-US" w:eastAsia="zh-CN"/>
              </w:rPr>
              <w:t>：</w:t>
            </w:r>
            <w:r>
              <w:rPr>
                <w:rFonts w:hint="default" w:ascii="宋体" w:hAnsi="宋体" w:cs="宋体"/>
                <w:b w:val="0"/>
                <w:bCs w:val="0"/>
                <w:color w:val="auto"/>
                <w:highlight w:val="none"/>
                <w:lang w:val="en-US" w:eastAsia="zh-CN"/>
              </w:rPr>
              <w:t>具有</w:t>
            </w:r>
            <w:r>
              <w:rPr>
                <w:rFonts w:hint="eastAsia" w:ascii="宋体" w:hAnsi="宋体" w:cs="宋体"/>
                <w:b w:val="0"/>
                <w:bCs w:val="0"/>
                <w:color w:val="auto"/>
                <w:highlight w:val="none"/>
                <w:lang w:val="en-US" w:eastAsia="zh-CN"/>
              </w:rPr>
              <w:t>中级（或以上）软考证书</w:t>
            </w:r>
            <w:r>
              <w:rPr>
                <w:rFonts w:hint="default" w:ascii="宋体" w:hAnsi="宋体" w:cs="宋体"/>
                <w:b w:val="0"/>
                <w:bCs w:val="0"/>
                <w:color w:val="auto"/>
                <w:highlight w:val="none"/>
                <w:lang w:val="en-US" w:eastAsia="zh-CN"/>
              </w:rPr>
              <w:t>的，</w:t>
            </w:r>
            <w:r>
              <w:rPr>
                <w:rFonts w:hint="eastAsia" w:ascii="宋体" w:hAnsi="宋体" w:cs="宋体"/>
                <w:b w:val="0"/>
                <w:bCs w:val="0"/>
                <w:color w:val="auto"/>
                <w:highlight w:val="none"/>
                <w:lang w:val="en-US" w:eastAsia="zh-CN"/>
              </w:rPr>
              <w:t>每提供1个得1分</w:t>
            </w:r>
            <w:r>
              <w:rPr>
                <w:rFonts w:hint="default" w:ascii="宋体" w:hAnsi="宋体" w:cs="宋体"/>
                <w:b w:val="0"/>
                <w:bCs w:val="0"/>
                <w:color w:val="auto"/>
                <w:highlight w:val="none"/>
                <w:lang w:val="en-US" w:eastAsia="zh-CN"/>
              </w:rPr>
              <w:t>，</w:t>
            </w:r>
            <w:r>
              <w:rPr>
                <w:rFonts w:hint="eastAsia" w:ascii="宋体" w:hAnsi="宋体" w:cs="宋体"/>
                <w:b w:val="0"/>
                <w:bCs w:val="0"/>
                <w:color w:val="auto"/>
                <w:highlight w:val="none"/>
                <w:lang w:val="en-US" w:eastAsia="zh-CN"/>
              </w:rPr>
              <w:t>本条最高得5分。（</w:t>
            </w:r>
            <w:r>
              <w:rPr>
                <w:rFonts w:hint="default" w:ascii="宋体" w:hAnsi="宋体" w:cs="宋体"/>
                <w:b w:val="0"/>
                <w:bCs w:val="0"/>
                <w:color w:val="auto"/>
                <w:highlight w:val="none"/>
                <w:lang w:val="en-US" w:eastAsia="zh-CN"/>
              </w:rPr>
              <w:t>同一个证书</w:t>
            </w:r>
            <w:r>
              <w:rPr>
                <w:rFonts w:hint="eastAsia" w:ascii="宋体" w:hAnsi="宋体" w:cs="宋体"/>
                <w:b w:val="0"/>
                <w:bCs w:val="0"/>
                <w:color w:val="auto"/>
                <w:highlight w:val="none"/>
                <w:lang w:val="en-US" w:eastAsia="zh-CN"/>
              </w:rPr>
              <w:t>不重复计分，仅计取1次</w:t>
            </w:r>
            <w:r>
              <w:rPr>
                <w:rFonts w:hint="default" w:ascii="宋体" w:hAnsi="宋体" w:cs="宋体"/>
                <w:b w:val="0"/>
                <w:bCs w:val="0"/>
                <w:color w:val="auto"/>
                <w:highlight w:val="none"/>
                <w:lang w:val="en-US" w:eastAsia="zh-CN"/>
              </w:rPr>
              <w:t>）。</w:t>
            </w:r>
          </w:p>
          <w:p w14:paraId="505AFF2E">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right="0" w:rightChars="0"/>
              <w:jc w:val="left"/>
              <w:textAlignment w:val="auto"/>
              <w:rPr>
                <w:color w:val="auto"/>
                <w:highlight w:val="none"/>
              </w:rPr>
            </w:pPr>
            <w:r>
              <w:rPr>
                <w:rFonts w:hint="eastAsia" w:ascii="宋体" w:hAnsi="宋体" w:cs="宋体"/>
                <w:b/>
                <w:bCs/>
                <w:color w:val="auto"/>
                <w:highlight w:val="none"/>
                <w:lang w:val="en-US" w:eastAsia="zh-CN"/>
              </w:rPr>
              <w:t>注：提供人员名单、证书和社保部门出具的本单位为其缴纳的投标前近三个月连续的养老保险证明（证明文件两个月内有效）。</w:t>
            </w:r>
          </w:p>
          <w:p w14:paraId="76E900F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highlight w:val="none"/>
                <w:lang w:val="en-US" w:eastAsia="zh-CN"/>
              </w:rPr>
            </w:pPr>
            <w:r>
              <w:rPr>
                <w:rFonts w:hint="default"/>
                <w:color w:val="auto"/>
                <w:highlight w:val="none"/>
                <w:lang w:val="en-US" w:eastAsia="zh-CN"/>
              </w:rPr>
              <w:t>中级</w:t>
            </w:r>
            <w:r>
              <w:rPr>
                <w:rFonts w:hint="eastAsia"/>
                <w:color w:val="auto"/>
                <w:highlight w:val="none"/>
                <w:lang w:val="en-US" w:eastAsia="zh-CN"/>
              </w:rPr>
              <w:t>软考证书包括</w:t>
            </w:r>
            <w:r>
              <w:rPr>
                <w:rFonts w:hint="default"/>
                <w:color w:val="auto"/>
                <w:highlight w:val="none"/>
                <w:lang w:val="en-US" w:eastAsia="zh-CN"/>
              </w:rPr>
              <w:t>：软件设计师、网络工程师、软件评测师、信息系统监理师、嵌入式系统设计师、数据库系统工程师、信息系统管理工程师、信息安全工程师、系统集成项目管理工程师。</w:t>
            </w:r>
          </w:p>
          <w:p w14:paraId="0016BDA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highlight w:val="none"/>
                <w:lang w:val="en-US" w:eastAsia="zh-CN"/>
              </w:rPr>
            </w:pPr>
            <w:r>
              <w:rPr>
                <w:rFonts w:hint="default"/>
                <w:color w:val="auto"/>
                <w:highlight w:val="none"/>
                <w:lang w:val="en-US" w:eastAsia="zh-CN"/>
              </w:rPr>
              <w:t>高级</w:t>
            </w:r>
            <w:r>
              <w:rPr>
                <w:rFonts w:hint="eastAsia"/>
                <w:color w:val="auto"/>
                <w:highlight w:val="none"/>
                <w:lang w:val="en-US" w:eastAsia="zh-CN"/>
              </w:rPr>
              <w:t>软考证书包括</w:t>
            </w:r>
            <w:r>
              <w:rPr>
                <w:rFonts w:hint="default"/>
                <w:color w:val="auto"/>
                <w:highlight w:val="none"/>
                <w:lang w:val="en-US" w:eastAsia="zh-CN"/>
              </w:rPr>
              <w:t>：网络规划设计师、系统规划与管理师、系统架构设计师、信息系统项目管理师、系统分析师。</w:t>
            </w:r>
          </w:p>
        </w:tc>
      </w:tr>
      <w:tr w14:paraId="5565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31ADA3">
            <w:pPr>
              <w:pStyle w:val="16"/>
              <w:keepNext w:val="0"/>
              <w:keepLines w:val="0"/>
              <w:pageBreakBefore w:val="0"/>
              <w:shd w:val="clear"/>
              <w:kinsoku/>
              <w:wordWrap/>
              <w:overflowPunct/>
              <w:topLinePunct w:val="0"/>
              <w:autoSpaceDE/>
              <w:autoSpaceDN/>
              <w:bidi w:val="0"/>
              <w:adjustRightInd/>
              <w:snapToGrid/>
              <w:spacing w:after="0" w:line="440" w:lineRule="exact"/>
              <w:ind w:left="0" w:leftChars="0" w:right="0" w:rightChars="0"/>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4</w:t>
            </w:r>
          </w:p>
        </w:tc>
        <w:tc>
          <w:tcPr>
            <w:tcW w:w="1060" w:type="dxa"/>
            <w:vAlign w:val="center"/>
          </w:tcPr>
          <w:p w14:paraId="1185B686">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投标人实力</w:t>
            </w:r>
          </w:p>
        </w:tc>
        <w:tc>
          <w:tcPr>
            <w:tcW w:w="666" w:type="dxa"/>
            <w:vAlign w:val="center"/>
          </w:tcPr>
          <w:p w14:paraId="4990822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4分</w:t>
            </w:r>
          </w:p>
        </w:tc>
        <w:tc>
          <w:tcPr>
            <w:tcW w:w="7390" w:type="dxa"/>
            <w:vAlign w:val="center"/>
          </w:tcPr>
          <w:p w14:paraId="3809651C">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right="0" w:rightChars="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1、投标人</w:t>
            </w:r>
            <w:r>
              <w:rPr>
                <w:rFonts w:hint="eastAsia" w:ascii="宋体" w:hAnsi="宋体" w:eastAsia="宋体" w:cs="宋体"/>
                <w:b w:val="0"/>
                <w:bCs w:val="0"/>
                <w:color w:val="auto"/>
                <w:highlight w:val="none"/>
                <w:lang w:val="en-US" w:eastAsia="zh-CN"/>
              </w:rPr>
              <w:t>具有有效期内的信息安全服务资质认证证书（CCRC），认证范围包括软件安全</w:t>
            </w:r>
            <w:r>
              <w:rPr>
                <w:rFonts w:hint="eastAsia" w:ascii="宋体" w:hAnsi="宋体" w:cs="宋体"/>
                <w:b w:val="0"/>
                <w:bCs w:val="0"/>
                <w:color w:val="auto"/>
                <w:highlight w:val="none"/>
                <w:lang w:val="en-US" w:eastAsia="zh-CN"/>
              </w:rPr>
              <w:t>集成和安全运维的得2分，本条最高得2分</w:t>
            </w:r>
            <w:r>
              <w:rPr>
                <w:rFonts w:hint="eastAsia" w:ascii="宋体" w:hAnsi="宋体" w:eastAsia="宋体" w:cs="宋体"/>
                <w:b w:val="0"/>
                <w:bCs w:val="0"/>
                <w:color w:val="auto"/>
                <w:highlight w:val="none"/>
                <w:lang w:val="en-US" w:eastAsia="zh-CN"/>
              </w:rPr>
              <w:t>。</w:t>
            </w:r>
          </w:p>
          <w:p w14:paraId="30EA6D41">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right="0" w:rightChars="0"/>
              <w:jc w:val="left"/>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2、投标人具有公共资源类的软件著作权证书的得2分，本条最高得2分</w:t>
            </w:r>
            <w:r>
              <w:rPr>
                <w:rFonts w:hint="eastAsia" w:ascii="宋体" w:hAnsi="宋体" w:eastAsia="宋体" w:cs="宋体"/>
                <w:b w:val="0"/>
                <w:bCs w:val="0"/>
                <w:color w:val="auto"/>
                <w:highlight w:val="none"/>
                <w:lang w:val="en-US" w:eastAsia="zh-CN"/>
              </w:rPr>
              <w:t>。</w:t>
            </w:r>
          </w:p>
          <w:p w14:paraId="1F46CCF2">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right="0" w:rightChars="0"/>
              <w:jc w:val="lef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注：提供证书扫描件。</w:t>
            </w:r>
          </w:p>
        </w:tc>
      </w:tr>
      <w:bookmarkEnd w:id="85"/>
    </w:tbl>
    <w:p w14:paraId="432336AC">
      <w:pPr>
        <w:shd w:val="clear"/>
        <w:kinsoku/>
        <w:overflowPunct/>
        <w:bidi w:val="0"/>
        <w:adjustRightInd w:val="0"/>
        <w:snapToGrid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70</w:t>
      </w:r>
      <w:r>
        <w:rPr>
          <w:rFonts w:hint="eastAsia" w:ascii="宋体" w:hAnsi="宋体" w:cs="宋体"/>
          <w:b/>
          <w:bCs/>
          <w:color w:val="auto"/>
          <w:szCs w:val="21"/>
          <w:highlight w:val="none"/>
        </w:rPr>
        <w:t>分）</w:t>
      </w:r>
    </w:p>
    <w:tbl>
      <w:tblPr>
        <w:tblStyle w:val="37"/>
        <w:tblW w:w="957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7"/>
        <w:gridCol w:w="778"/>
        <w:gridCol w:w="6977"/>
      </w:tblGrid>
      <w:tr w14:paraId="1A35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AA9F3FD">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27" w:type="dxa"/>
            <w:vAlign w:val="center"/>
          </w:tcPr>
          <w:p w14:paraId="63091A04">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78" w:type="dxa"/>
            <w:vAlign w:val="center"/>
          </w:tcPr>
          <w:p w14:paraId="507B021E">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6977" w:type="dxa"/>
            <w:vAlign w:val="center"/>
          </w:tcPr>
          <w:p w14:paraId="10BDE574">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6C49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62AFE3">
            <w:pPr>
              <w:pStyle w:val="16"/>
              <w:shd w:val="clear"/>
              <w:kinsoku/>
              <w:overflowPunct/>
              <w:bidi w:val="0"/>
              <w:spacing w:after="0"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1127" w:type="dxa"/>
            <w:vAlign w:val="center"/>
          </w:tcPr>
          <w:p w14:paraId="3C54220C">
            <w:pPr>
              <w:widowControl/>
              <w:shd w:val="clear"/>
              <w:kinsoku/>
              <w:overflowPunct/>
              <w:bidi w:val="0"/>
              <w:spacing w:line="440" w:lineRule="exact"/>
              <w:ind w:left="0" w:leftChars="0" w:right="0" w:rightChars="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总体设计方案</w:t>
            </w:r>
          </w:p>
        </w:tc>
        <w:tc>
          <w:tcPr>
            <w:tcW w:w="778" w:type="dxa"/>
            <w:vAlign w:val="center"/>
          </w:tcPr>
          <w:p w14:paraId="1CB4C3AE">
            <w:pPr>
              <w:shd w:val="clear"/>
              <w:kinsoku/>
              <w:overflowPunct/>
              <w:bidi w:val="0"/>
              <w:spacing w:line="500" w:lineRule="exact"/>
              <w:ind w:left="0" w:leftChars="0" w:right="0" w:rightChars="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8分</w:t>
            </w:r>
          </w:p>
        </w:tc>
        <w:tc>
          <w:tcPr>
            <w:tcW w:w="6977" w:type="dxa"/>
            <w:vAlign w:val="center"/>
          </w:tcPr>
          <w:p w14:paraId="58D609A3">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根据各投标人提供的项目实施方案，结合滁州市招投标项目情况以及现有系统等编制总体设计方案，包括但不限于：对本项目的总体架构设计、详细部署方案设计、运维方案设计等。</w:t>
            </w:r>
          </w:p>
          <w:p w14:paraId="5C450529">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方案完整详细，可操作性、实用性、针对性强，得8分；方案完整，具有可操作性、实用性、针对性，得7分；方案有相应的内容，有待改善，得6分；方案不可行或未提供不得分。</w:t>
            </w:r>
          </w:p>
          <w:p w14:paraId="3E44BE7B">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【技术标中须能充分反映出本评分项内容】</w:t>
            </w:r>
          </w:p>
        </w:tc>
      </w:tr>
      <w:tr w14:paraId="4B18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D8877E3">
            <w:pPr>
              <w:pStyle w:val="16"/>
              <w:shd w:val="clear"/>
              <w:kinsoku/>
              <w:overflowPunct/>
              <w:bidi w:val="0"/>
              <w:spacing w:after="0" w:line="500" w:lineRule="exact"/>
              <w:ind w:left="0" w:leftChars="0" w:right="0" w:right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1127" w:type="dxa"/>
            <w:vAlign w:val="center"/>
          </w:tcPr>
          <w:p w14:paraId="2A20B67B">
            <w:pPr>
              <w:widowControl/>
              <w:shd w:val="clear"/>
              <w:kinsoku/>
              <w:overflowPunct/>
              <w:bidi w:val="0"/>
              <w:spacing w:line="440" w:lineRule="exact"/>
              <w:ind w:left="0" w:leftChars="0" w:right="0" w:rightChars="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功能需求专项设计</w:t>
            </w:r>
            <w:r>
              <w:rPr>
                <w:rFonts w:hint="eastAsia" w:ascii="宋体" w:hAnsi="宋体" w:cs="宋体"/>
                <w:b/>
                <w:bCs/>
                <w:color w:val="auto"/>
                <w:kern w:val="0"/>
                <w:szCs w:val="21"/>
                <w:highlight w:val="none"/>
              </w:rPr>
              <w:t>方案</w:t>
            </w:r>
          </w:p>
        </w:tc>
        <w:tc>
          <w:tcPr>
            <w:tcW w:w="778" w:type="dxa"/>
            <w:vAlign w:val="center"/>
          </w:tcPr>
          <w:p w14:paraId="26A5CA94">
            <w:pPr>
              <w:shd w:val="clear"/>
              <w:kinsoku/>
              <w:overflowPunct/>
              <w:bidi w:val="0"/>
              <w:spacing w:line="50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20</w:t>
            </w:r>
            <w:r>
              <w:rPr>
                <w:rFonts w:hint="eastAsia" w:ascii="宋体" w:hAnsi="宋体" w:eastAsia="宋体" w:cs="宋体"/>
                <w:b/>
                <w:bCs/>
                <w:color w:val="auto"/>
                <w:szCs w:val="21"/>
                <w:highlight w:val="none"/>
                <w:lang w:val="en-US" w:eastAsia="zh-CN"/>
              </w:rPr>
              <w:t>分</w:t>
            </w:r>
          </w:p>
        </w:tc>
        <w:tc>
          <w:tcPr>
            <w:tcW w:w="6977" w:type="dxa"/>
            <w:vAlign w:val="center"/>
          </w:tcPr>
          <w:p w14:paraId="70AC94BC">
            <w:pPr>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（1）评审要点与系统操作辅助（5分）（此评分项上传至技术标“</w:t>
            </w:r>
            <w:r>
              <w:rPr>
                <w:rFonts w:hint="eastAsia" w:ascii="宋体" w:hAnsi="宋体" w:cs="宋体"/>
                <w:b/>
                <w:bCs/>
                <w:color w:val="auto"/>
                <w:kern w:val="0"/>
                <w:szCs w:val="21"/>
                <w:highlight w:val="none"/>
                <w:lang w:val="en-US" w:eastAsia="zh-CN"/>
              </w:rPr>
              <w:t>功能需求专项设计</w:t>
            </w:r>
            <w:r>
              <w:rPr>
                <w:rFonts w:hint="eastAsia" w:ascii="宋体" w:hAnsi="宋体" w:cs="宋体"/>
                <w:b/>
                <w:bCs/>
                <w:color w:val="auto"/>
                <w:kern w:val="0"/>
                <w:szCs w:val="21"/>
                <w:highlight w:val="none"/>
              </w:rPr>
              <w:t>方案</w:t>
            </w:r>
            <w:r>
              <w:rPr>
                <w:rFonts w:hint="eastAsia" w:ascii="宋体" w:hAnsi="宋体" w:cs="宋体"/>
                <w:b/>
                <w:bCs/>
                <w:color w:val="auto"/>
                <w:kern w:val="0"/>
                <w:szCs w:val="21"/>
                <w:highlight w:val="none"/>
                <w:lang w:val="en-US" w:eastAsia="zh-CN"/>
              </w:rPr>
              <w:t>评审要点与系统操作辅助</w:t>
            </w:r>
            <w:r>
              <w:rPr>
                <w:rFonts w:hint="eastAsia" w:ascii="宋体" w:hAnsi="宋体" w:eastAsia="宋体" w:cs="宋体"/>
                <w:b/>
                <w:bCs/>
                <w:color w:val="auto"/>
                <w:kern w:val="0"/>
                <w:sz w:val="21"/>
                <w:szCs w:val="21"/>
                <w:highlight w:val="none"/>
                <w:lang w:val="en-US" w:eastAsia="zh-CN"/>
              </w:rPr>
              <w:t>”，切勿传错，否则自行承担相应后果。）</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包括：对招标文件自动解析，提炼项目建设背景、资质条件、评标办法、评分条件、废标条款等，形成5分钟左右的“项目评审要点”并支持语音播报及快速定位；提供系统操作视频引导，帮助专家快速掌握评标流程。</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方案完整、技术可行、交互友好，得5分；方案基本完整但有少量不足，得4分；方案存在明显缺失有待完善，得3分；方案不可行或未提供不得分。</w:t>
            </w:r>
          </w:p>
          <w:p w14:paraId="56AACFCD">
            <w:pPr>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（2）智能问答及素材库建设（5分）（此评分项上传至技术标“</w:t>
            </w:r>
            <w:r>
              <w:rPr>
                <w:rFonts w:hint="eastAsia" w:ascii="宋体" w:hAnsi="宋体" w:cs="宋体"/>
                <w:b/>
                <w:bCs/>
                <w:color w:val="auto"/>
                <w:kern w:val="0"/>
                <w:szCs w:val="21"/>
                <w:highlight w:val="none"/>
                <w:lang w:val="en-US" w:eastAsia="zh-CN"/>
              </w:rPr>
              <w:t>功能需求专项设计</w:t>
            </w:r>
            <w:r>
              <w:rPr>
                <w:rFonts w:hint="eastAsia" w:ascii="宋体" w:hAnsi="宋体" w:cs="宋体"/>
                <w:b/>
                <w:bCs/>
                <w:color w:val="auto"/>
                <w:kern w:val="0"/>
                <w:szCs w:val="21"/>
                <w:highlight w:val="none"/>
              </w:rPr>
              <w:t>方案</w:t>
            </w:r>
            <w:r>
              <w:rPr>
                <w:rFonts w:hint="eastAsia" w:ascii="宋体" w:hAnsi="宋体" w:eastAsia="宋体" w:cs="宋体"/>
                <w:b/>
                <w:bCs/>
                <w:color w:val="auto"/>
                <w:kern w:val="0"/>
                <w:sz w:val="21"/>
                <w:szCs w:val="21"/>
                <w:highlight w:val="none"/>
                <w:lang w:val="en-US" w:eastAsia="zh-CN"/>
              </w:rPr>
              <w:t>智能问答及素材库建设”，切勿传错，否则自行承担相应后果。）</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包括：搭建评标素材库（法律法规库、示范文本库、异议质疑投诉案例库、评标过程常见问题库），支持专家实时问答，能结合历史提问上下文给出精准匹配。</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若投标人已拥有成熟的现有素材库（需提供截图、内容样例等证明材料），且能快速迁移、适配至本项目，能提供详细的知识库扩充、更新及脱敏方案，得5分；现有部分素材库且提供了完整的新建方案（包括数据采集、清洗、标注、更新机制等）的，得4分；无现有素材库，方案存在明显缺失有待完善，得3分；方案不可行或未提供不得分。</w:t>
            </w:r>
          </w:p>
          <w:p w14:paraId="6BF08FF2">
            <w:pPr>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（3）暗标打分及格式智能校验（5分）（此评分项上传至技术标“</w:t>
            </w:r>
            <w:r>
              <w:rPr>
                <w:rFonts w:hint="eastAsia" w:ascii="宋体" w:hAnsi="宋体" w:cs="宋体"/>
                <w:b/>
                <w:bCs/>
                <w:color w:val="auto"/>
                <w:kern w:val="0"/>
                <w:szCs w:val="21"/>
                <w:highlight w:val="none"/>
                <w:lang w:val="en-US" w:eastAsia="zh-CN"/>
              </w:rPr>
              <w:t>功能需求专项设计</w:t>
            </w:r>
            <w:r>
              <w:rPr>
                <w:rFonts w:hint="eastAsia" w:ascii="宋体" w:hAnsi="宋体" w:cs="宋体"/>
                <w:b/>
                <w:bCs/>
                <w:color w:val="auto"/>
                <w:kern w:val="0"/>
                <w:szCs w:val="21"/>
                <w:highlight w:val="none"/>
              </w:rPr>
              <w:t>方案</w:t>
            </w:r>
            <w:r>
              <w:rPr>
                <w:rFonts w:hint="eastAsia" w:ascii="宋体" w:hAnsi="宋体" w:eastAsia="宋体" w:cs="宋体"/>
                <w:b/>
                <w:bCs/>
                <w:color w:val="auto"/>
                <w:kern w:val="0"/>
                <w:sz w:val="21"/>
                <w:szCs w:val="21"/>
                <w:highlight w:val="none"/>
                <w:lang w:val="en-US" w:eastAsia="zh-CN"/>
              </w:rPr>
              <w:t>暗标打分及格式智能校验”，切勿传错，否则自行承担相应后果。）</w:t>
            </w:r>
            <w:r>
              <w:rPr>
                <w:rFonts w:hint="eastAsia" w:ascii="宋体" w:hAnsi="宋体" w:eastAsia="宋体" w:cs="宋体"/>
                <w:i w:val="0"/>
                <w:iCs w:val="0"/>
                <w:caps w:val="0"/>
                <w:color w:val="auto"/>
                <w:spacing w:val="0"/>
                <w:sz w:val="21"/>
                <w:szCs w:val="21"/>
                <w:highlight w:val="none"/>
                <w:shd w:val="clear" w:fill="FFFFFF"/>
              </w:rPr>
              <w:br w:type="textWrapping"/>
            </w:r>
            <w:r>
              <w:rPr>
                <w:rFonts w:hint="eastAsia" w:ascii="宋体" w:hAnsi="宋体" w:eastAsia="宋体" w:cs="宋体"/>
                <w:color w:val="auto"/>
                <w:kern w:val="0"/>
                <w:sz w:val="21"/>
                <w:szCs w:val="21"/>
                <w:highlight w:val="none"/>
                <w:lang w:val="en-US" w:eastAsia="zh-CN"/>
              </w:rPr>
              <w:t>包括：自动比对专家打分与招标文件设置的分值，检出未按招标文件打分的情况并提示核对；自动检测技术标暗标的字体、格式等是否符合招标文件要求，对不符合项进行提醒。</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方案完整、算法合理、交互清晰，得5分；方案基本完整但有少量不足，得4分；方案存在明显缺失有待完善，得3分，方案不可行或未提供不得分。</w:t>
            </w:r>
          </w:p>
          <w:p w14:paraId="6AB1A3C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（4）流程智能引导（5分）</w:t>
            </w:r>
            <w:r>
              <w:rPr>
                <w:rFonts w:hint="eastAsia" w:ascii="宋体" w:hAnsi="宋体" w:eastAsia="宋体" w:cs="宋体"/>
                <w:b/>
                <w:bCs/>
                <w:color w:val="auto"/>
                <w:kern w:val="0"/>
                <w:sz w:val="21"/>
                <w:szCs w:val="21"/>
                <w:highlight w:val="none"/>
                <w:lang w:val="en-US" w:eastAsia="zh-CN"/>
              </w:rPr>
              <w:t>（此评分项上传至技术标“</w:t>
            </w:r>
            <w:r>
              <w:rPr>
                <w:rFonts w:hint="eastAsia" w:ascii="宋体" w:hAnsi="宋体" w:cs="宋体"/>
                <w:b/>
                <w:bCs/>
                <w:color w:val="auto"/>
                <w:kern w:val="0"/>
                <w:szCs w:val="21"/>
                <w:highlight w:val="none"/>
                <w:lang w:val="en-US" w:eastAsia="zh-CN"/>
              </w:rPr>
              <w:t>功能需求专项设计</w:t>
            </w:r>
            <w:r>
              <w:rPr>
                <w:rFonts w:hint="eastAsia" w:ascii="宋体" w:hAnsi="宋体" w:cs="宋体"/>
                <w:b/>
                <w:bCs/>
                <w:color w:val="auto"/>
                <w:kern w:val="0"/>
                <w:szCs w:val="21"/>
                <w:highlight w:val="none"/>
              </w:rPr>
              <w:t>方案</w:t>
            </w:r>
            <w:r>
              <w:rPr>
                <w:rFonts w:hint="eastAsia" w:ascii="宋体" w:hAnsi="宋体" w:eastAsia="宋体" w:cs="宋体"/>
                <w:b/>
                <w:bCs/>
                <w:color w:val="auto"/>
                <w:kern w:val="0"/>
                <w:sz w:val="21"/>
                <w:szCs w:val="21"/>
                <w:highlight w:val="none"/>
                <w:lang w:val="en-US" w:eastAsia="zh-CN" w:bidi="ar-SA"/>
              </w:rPr>
              <w:t>流程智能引导</w:t>
            </w:r>
            <w:r>
              <w:rPr>
                <w:rFonts w:hint="eastAsia" w:ascii="宋体" w:hAnsi="宋体" w:eastAsia="宋体" w:cs="宋体"/>
                <w:b/>
                <w:bCs/>
                <w:color w:val="auto"/>
                <w:kern w:val="0"/>
                <w:sz w:val="21"/>
                <w:szCs w:val="21"/>
                <w:highlight w:val="none"/>
                <w:lang w:val="en-US" w:eastAsia="zh-CN"/>
              </w:rPr>
              <w:t>”，切勿传错，否则自行承担相应后果。）</w:t>
            </w:r>
            <w:r>
              <w:rPr>
                <w:rFonts w:hint="eastAsia" w:ascii="宋体" w:hAnsi="宋体" w:eastAsia="宋体" w:cs="宋体"/>
                <w:i w:val="0"/>
                <w:iCs w:val="0"/>
                <w:caps w:val="0"/>
                <w:color w:val="auto"/>
                <w:spacing w:val="0"/>
                <w:sz w:val="21"/>
                <w:szCs w:val="21"/>
                <w:highlight w:val="none"/>
                <w:shd w:val="clear" w:fill="FFFFFF"/>
              </w:rPr>
              <w:br w:type="textWrapping"/>
            </w:r>
            <w:r>
              <w:rPr>
                <w:rFonts w:hint="eastAsia" w:ascii="宋体" w:hAnsi="宋体" w:eastAsia="宋体" w:cs="宋体"/>
                <w:color w:val="auto"/>
                <w:kern w:val="0"/>
                <w:sz w:val="21"/>
                <w:szCs w:val="21"/>
                <w:highlight w:val="none"/>
                <w:lang w:val="en-US" w:eastAsia="zh-CN" w:bidi="ar-SA"/>
              </w:rPr>
              <w:t>包括：针对房建市政项目7个评标办法、12套流程，实现各评审步骤的语音提示及标签引导；自动汇总现金保证金、电子保函、纸质保函、减免材料等，智能筛查投标保证金缴纳情况；自动汇集招标人、代理机构、投标人、专家信息，给出初步回避意见；实时展示各专家评审进度，方便组长</w:t>
            </w:r>
            <w:r>
              <w:rPr>
                <w:rFonts w:hint="eastAsia" w:ascii="宋体" w:hAnsi="宋体" w:cs="宋体"/>
                <w:color w:val="auto"/>
                <w:kern w:val="0"/>
                <w:sz w:val="21"/>
                <w:szCs w:val="21"/>
                <w:highlight w:val="none"/>
                <w:lang w:val="en-US" w:eastAsia="zh-CN" w:bidi="ar-SA"/>
              </w:rPr>
              <w:t>、代理</w:t>
            </w:r>
            <w:r>
              <w:rPr>
                <w:rFonts w:hint="eastAsia" w:ascii="宋体" w:hAnsi="宋体" w:eastAsia="宋体" w:cs="宋体"/>
                <w:color w:val="auto"/>
                <w:kern w:val="0"/>
                <w:sz w:val="21"/>
                <w:szCs w:val="21"/>
                <w:highlight w:val="none"/>
                <w:lang w:val="en-US" w:eastAsia="zh-CN" w:bidi="ar-SA"/>
              </w:rPr>
              <w:t>协调。</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方案覆盖全面、自动化程度高、逻辑清晰，得5分；方案基本覆盖主要功能但有少量不足，得4分；</w:t>
            </w:r>
            <w:r>
              <w:rPr>
                <w:rFonts w:hint="eastAsia" w:ascii="宋体" w:hAnsi="宋体" w:eastAsia="宋体" w:cs="宋体"/>
                <w:color w:val="auto"/>
                <w:kern w:val="0"/>
                <w:sz w:val="21"/>
                <w:szCs w:val="21"/>
                <w:highlight w:val="none"/>
                <w:lang w:val="en-US" w:eastAsia="zh-CN"/>
              </w:rPr>
              <w:t>方案存在明显缺失有待完善</w:t>
            </w:r>
            <w:r>
              <w:rPr>
                <w:rFonts w:hint="eastAsia" w:ascii="宋体" w:hAnsi="宋体" w:eastAsia="宋体" w:cs="宋体"/>
                <w:color w:val="auto"/>
                <w:kern w:val="0"/>
                <w:sz w:val="21"/>
                <w:szCs w:val="21"/>
                <w:highlight w:val="none"/>
                <w:lang w:val="en-US" w:eastAsia="zh-CN" w:bidi="ar-SA"/>
              </w:rPr>
              <w:t>，得3分，方案不可行或未提供不得分。</w:t>
            </w:r>
          </w:p>
          <w:p w14:paraId="389216B4">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【技术标中须能充分反映出本评分项内容】</w:t>
            </w:r>
          </w:p>
        </w:tc>
      </w:tr>
      <w:tr w14:paraId="1336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4489E16">
            <w:pPr>
              <w:pStyle w:val="16"/>
              <w:shd w:val="clear"/>
              <w:kinsoku/>
              <w:overflowPunct/>
              <w:bidi w:val="0"/>
              <w:spacing w:after="0" w:line="500" w:lineRule="exact"/>
              <w:ind w:left="0" w:leftChars="0" w:right="0" w:right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127" w:type="dxa"/>
            <w:vAlign w:val="center"/>
          </w:tcPr>
          <w:p w14:paraId="0D3177B4">
            <w:pPr>
              <w:widowControl/>
              <w:shd w:val="clear"/>
              <w:kinsoku/>
              <w:overflowPunct/>
              <w:bidi w:val="0"/>
              <w:spacing w:line="440" w:lineRule="exact"/>
              <w:ind w:left="0" w:leftChars="0" w:right="0" w:rightChars="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系统</w:t>
            </w:r>
            <w:r>
              <w:rPr>
                <w:rFonts w:hint="eastAsia" w:ascii="宋体" w:hAnsi="宋体" w:cs="宋体"/>
                <w:b/>
                <w:bCs/>
                <w:color w:val="auto"/>
                <w:kern w:val="0"/>
                <w:szCs w:val="21"/>
                <w:highlight w:val="none"/>
                <w:lang w:val="en-US" w:eastAsia="zh-CN"/>
              </w:rPr>
              <w:t>衔接</w:t>
            </w:r>
            <w:r>
              <w:rPr>
                <w:rFonts w:hint="eastAsia" w:ascii="宋体" w:hAnsi="宋体" w:cs="宋体"/>
                <w:b/>
                <w:bCs/>
                <w:color w:val="auto"/>
                <w:kern w:val="0"/>
                <w:szCs w:val="21"/>
                <w:highlight w:val="none"/>
              </w:rPr>
              <w:t>方案</w:t>
            </w:r>
          </w:p>
        </w:tc>
        <w:tc>
          <w:tcPr>
            <w:tcW w:w="778" w:type="dxa"/>
            <w:vAlign w:val="center"/>
          </w:tcPr>
          <w:p w14:paraId="7759431D">
            <w:pPr>
              <w:shd w:val="clear"/>
              <w:kinsoku/>
              <w:overflowPunct/>
              <w:bidi w:val="0"/>
              <w:spacing w:line="50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分</w:t>
            </w:r>
          </w:p>
        </w:tc>
        <w:tc>
          <w:tcPr>
            <w:tcW w:w="6977" w:type="dxa"/>
            <w:vAlign w:val="top"/>
          </w:tcPr>
          <w:p w14:paraId="415B32B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投标人</w:t>
            </w:r>
            <w:r>
              <w:rPr>
                <w:rFonts w:hint="eastAsia" w:ascii="宋体" w:hAnsi="宋体" w:eastAsia="宋体" w:cs="宋体"/>
                <w:i w:val="0"/>
                <w:iCs w:val="0"/>
                <w:caps w:val="0"/>
                <w:color w:val="auto"/>
                <w:spacing w:val="0"/>
                <w:sz w:val="21"/>
                <w:szCs w:val="21"/>
                <w:highlight w:val="none"/>
                <w:shd w:val="clear" w:fill="FFFFFF"/>
                <w:lang w:val="en-US" w:eastAsia="zh-CN"/>
              </w:rPr>
              <w:t>应充分考虑新建系统</w:t>
            </w:r>
            <w:r>
              <w:rPr>
                <w:rFonts w:hint="eastAsia" w:ascii="宋体" w:hAnsi="宋体" w:eastAsia="宋体" w:cs="宋体"/>
                <w:i w:val="0"/>
                <w:iCs w:val="0"/>
                <w:caps w:val="0"/>
                <w:color w:val="auto"/>
                <w:spacing w:val="0"/>
                <w:sz w:val="21"/>
                <w:szCs w:val="21"/>
                <w:highlight w:val="none"/>
                <w:shd w:val="clear" w:fill="FFFFFF"/>
              </w:rPr>
              <w:t>与滁州</w:t>
            </w:r>
            <w:r>
              <w:rPr>
                <w:rFonts w:hint="eastAsia" w:ascii="宋体" w:hAnsi="宋体" w:eastAsia="宋体" w:cs="宋体"/>
                <w:i w:val="0"/>
                <w:iCs w:val="0"/>
                <w:caps w:val="0"/>
                <w:color w:val="auto"/>
                <w:spacing w:val="0"/>
                <w:sz w:val="21"/>
                <w:szCs w:val="21"/>
                <w:highlight w:val="none"/>
                <w:shd w:val="clear" w:fill="FFFFFF"/>
                <w:lang w:val="en-US" w:eastAsia="zh-CN"/>
              </w:rPr>
              <w:t>市公共资源</w:t>
            </w:r>
            <w:r>
              <w:rPr>
                <w:rFonts w:hint="eastAsia" w:ascii="宋体" w:hAnsi="宋体" w:eastAsia="宋体" w:cs="宋体"/>
                <w:i w:val="0"/>
                <w:iCs w:val="0"/>
                <w:caps w:val="0"/>
                <w:color w:val="auto"/>
                <w:spacing w:val="0"/>
                <w:sz w:val="21"/>
                <w:szCs w:val="21"/>
                <w:highlight w:val="none"/>
                <w:shd w:val="clear" w:fill="FFFFFF"/>
              </w:rPr>
              <w:t>交易平台</w:t>
            </w:r>
            <w:r>
              <w:rPr>
                <w:rFonts w:hint="eastAsia" w:ascii="宋体" w:hAnsi="宋体" w:eastAsia="宋体" w:cs="宋体"/>
                <w:i w:val="0"/>
                <w:iCs w:val="0"/>
                <w:caps w:val="0"/>
                <w:color w:val="auto"/>
                <w:spacing w:val="0"/>
                <w:sz w:val="21"/>
                <w:szCs w:val="21"/>
                <w:highlight w:val="none"/>
                <w:shd w:val="clear" w:fill="FFFFFF"/>
                <w:lang w:val="en-US" w:eastAsia="zh-CN"/>
              </w:rPr>
              <w:t>系统</w:t>
            </w:r>
            <w:r>
              <w:rPr>
                <w:rFonts w:hint="eastAsia" w:ascii="宋体" w:hAnsi="宋体" w:eastAsia="宋体" w:cs="宋体"/>
                <w:i w:val="0"/>
                <w:iCs w:val="0"/>
                <w:caps w:val="0"/>
                <w:color w:val="auto"/>
                <w:spacing w:val="0"/>
                <w:sz w:val="21"/>
                <w:szCs w:val="21"/>
                <w:highlight w:val="none"/>
                <w:shd w:val="clear" w:fill="FFFFFF"/>
              </w:rPr>
              <w:t>等现有系统</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包括但不限于服务系统、评标系统等</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的</w:t>
            </w:r>
            <w:r>
              <w:rPr>
                <w:rFonts w:hint="eastAsia" w:ascii="宋体" w:hAnsi="宋体" w:eastAsia="宋体" w:cs="宋体"/>
                <w:i w:val="0"/>
                <w:iCs w:val="0"/>
                <w:caps w:val="0"/>
                <w:color w:val="auto"/>
                <w:spacing w:val="0"/>
                <w:sz w:val="21"/>
                <w:szCs w:val="21"/>
                <w:highlight w:val="none"/>
                <w:shd w:val="clear" w:fill="FFFFFF"/>
                <w:lang w:val="en-US" w:eastAsia="zh-CN"/>
              </w:rPr>
              <w:t>衔接、兼容、数据互通，制定具体、可落地的</w:t>
            </w:r>
            <w:r>
              <w:rPr>
                <w:rFonts w:hint="eastAsia" w:ascii="宋体" w:hAnsi="宋体" w:eastAsia="宋体" w:cs="宋体"/>
                <w:i w:val="0"/>
                <w:iCs w:val="0"/>
                <w:caps w:val="0"/>
                <w:color w:val="auto"/>
                <w:spacing w:val="0"/>
                <w:sz w:val="21"/>
                <w:szCs w:val="21"/>
                <w:highlight w:val="none"/>
                <w:shd w:val="clear" w:fill="FFFFFF"/>
              </w:rPr>
              <w:t>方案</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保证新建系统与原有系统兼容顺畅使用</w:t>
            </w:r>
            <w:r>
              <w:rPr>
                <w:rFonts w:hint="eastAsia" w:ascii="宋体" w:hAnsi="宋体" w:eastAsia="宋体" w:cs="宋体"/>
                <w:i w:val="0"/>
                <w:iCs w:val="0"/>
                <w:caps w:val="0"/>
                <w:color w:val="auto"/>
                <w:spacing w:val="0"/>
                <w:sz w:val="21"/>
                <w:szCs w:val="21"/>
                <w:highlight w:val="none"/>
                <w:shd w:val="clear" w:fill="FFFFFF"/>
              </w:rPr>
              <w:t>。</w:t>
            </w:r>
          </w:p>
          <w:p w14:paraId="3F6A8AC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方案清晰阐述对接方式、接口设计、数据流向、安全机制</w:t>
            </w:r>
            <w:r>
              <w:rPr>
                <w:rFonts w:hint="eastAsia" w:ascii="宋体" w:hAnsi="宋体" w:eastAsia="宋体" w:cs="宋体"/>
                <w:i w:val="0"/>
                <w:iCs w:val="0"/>
                <w:caps w:val="0"/>
                <w:color w:val="auto"/>
                <w:spacing w:val="0"/>
                <w:sz w:val="21"/>
                <w:szCs w:val="21"/>
                <w:highlight w:val="none"/>
                <w:shd w:val="clear" w:fill="FFFFFF"/>
                <w:lang w:eastAsia="zh-CN"/>
              </w:rPr>
              <w:t>、容错处理及对现有系统的影响评估</w:t>
            </w:r>
            <w:r>
              <w:rPr>
                <w:rFonts w:hint="eastAsia" w:ascii="宋体" w:hAnsi="宋体" w:eastAsia="宋体" w:cs="宋体"/>
                <w:i w:val="0"/>
                <w:iCs w:val="0"/>
                <w:caps w:val="0"/>
                <w:color w:val="auto"/>
                <w:spacing w:val="0"/>
                <w:sz w:val="21"/>
                <w:szCs w:val="21"/>
                <w:highlight w:val="none"/>
                <w:shd w:val="clear" w:fill="FFFFFF"/>
              </w:rPr>
              <w:t>，并</w:t>
            </w:r>
            <w:r>
              <w:rPr>
                <w:rFonts w:hint="eastAsia" w:ascii="宋体" w:hAnsi="宋体" w:cs="宋体"/>
                <w:i w:val="0"/>
                <w:iCs w:val="0"/>
                <w:caps w:val="0"/>
                <w:color w:val="auto"/>
                <w:spacing w:val="0"/>
                <w:sz w:val="21"/>
                <w:szCs w:val="21"/>
                <w:highlight w:val="none"/>
                <w:shd w:val="clear" w:fill="FFFFFF"/>
                <w:lang w:val="en-US" w:eastAsia="zh-CN"/>
              </w:rPr>
              <w:t>能</w:t>
            </w:r>
            <w:r>
              <w:rPr>
                <w:rFonts w:hint="eastAsia" w:ascii="宋体" w:hAnsi="宋体" w:eastAsia="宋体" w:cs="宋体"/>
                <w:i w:val="0"/>
                <w:iCs w:val="0"/>
                <w:caps w:val="0"/>
                <w:color w:val="auto"/>
                <w:spacing w:val="0"/>
                <w:sz w:val="21"/>
                <w:szCs w:val="21"/>
                <w:highlight w:val="none"/>
                <w:shd w:val="clear" w:fill="FFFFFF"/>
              </w:rPr>
              <w:t>在项目开发阶段</w:t>
            </w:r>
            <w:r>
              <w:rPr>
                <w:rFonts w:hint="eastAsia" w:ascii="宋体" w:hAnsi="宋体" w:cs="宋体"/>
                <w:i w:val="0"/>
                <w:iCs w:val="0"/>
                <w:caps w:val="0"/>
                <w:color w:val="auto"/>
                <w:spacing w:val="0"/>
                <w:sz w:val="21"/>
                <w:szCs w:val="21"/>
                <w:highlight w:val="none"/>
                <w:shd w:val="clear" w:fill="FFFFFF"/>
                <w:lang w:val="en-US" w:eastAsia="zh-CN"/>
              </w:rPr>
              <w:t>与</w:t>
            </w:r>
            <w:r>
              <w:rPr>
                <w:rFonts w:hint="eastAsia" w:ascii="宋体" w:hAnsi="宋体" w:eastAsia="宋体" w:cs="宋体"/>
                <w:i w:val="0"/>
                <w:iCs w:val="0"/>
                <w:caps w:val="0"/>
                <w:color w:val="auto"/>
                <w:spacing w:val="0"/>
                <w:sz w:val="21"/>
                <w:szCs w:val="21"/>
                <w:highlight w:val="none"/>
                <w:shd w:val="clear" w:fill="FFFFFF"/>
              </w:rPr>
              <w:t>现有系统厂商完成联调测试，确保无缝兼容。方案技术可行、安全可靠、对现有系统运行无负面影响，得15分；方案完整，覆盖上述主要方面，但部分细节不够明确，或可行性说明略有不足，得</w:t>
            </w:r>
            <w:r>
              <w:rPr>
                <w:rFonts w:hint="eastAsia" w:ascii="宋体" w:hAnsi="宋体" w:eastAsia="宋体" w:cs="宋体"/>
                <w:i w:val="0"/>
                <w:iCs w:val="0"/>
                <w:caps w:val="0"/>
                <w:color w:val="auto"/>
                <w:spacing w:val="0"/>
                <w:sz w:val="21"/>
                <w:szCs w:val="21"/>
                <w:highlight w:val="none"/>
                <w:shd w:val="clear" w:fill="FFFFFF"/>
                <w:lang w:val="en-US" w:eastAsia="zh-CN"/>
              </w:rPr>
              <w:t>13.5</w:t>
            </w:r>
            <w:r>
              <w:rPr>
                <w:rFonts w:hint="eastAsia" w:ascii="宋体" w:hAnsi="宋体" w:eastAsia="宋体" w:cs="宋体"/>
                <w:i w:val="0"/>
                <w:iCs w:val="0"/>
                <w:caps w:val="0"/>
                <w:color w:val="auto"/>
                <w:spacing w:val="0"/>
                <w:sz w:val="21"/>
                <w:szCs w:val="21"/>
                <w:highlight w:val="none"/>
                <w:shd w:val="clear" w:fill="FFFFFF"/>
              </w:rPr>
              <w:t>分；方案框架基本完整，但缺乏关键细节，或存在明显技术漏洞，得</w:t>
            </w:r>
            <w:r>
              <w:rPr>
                <w:rFonts w:hint="eastAsia" w:ascii="宋体" w:hAnsi="宋体" w:eastAsia="宋体" w:cs="宋体"/>
                <w:i w:val="0"/>
                <w:iCs w:val="0"/>
                <w:caps w:val="0"/>
                <w:color w:val="auto"/>
                <w:spacing w:val="0"/>
                <w:sz w:val="21"/>
                <w:szCs w:val="21"/>
                <w:highlight w:val="none"/>
                <w:shd w:val="clear" w:fill="FFFFFF"/>
                <w:lang w:val="en-US" w:eastAsia="zh-CN"/>
              </w:rPr>
              <w:t>12</w:t>
            </w:r>
            <w:r>
              <w:rPr>
                <w:rFonts w:hint="eastAsia" w:ascii="宋体" w:hAnsi="宋体" w:eastAsia="宋体" w:cs="宋体"/>
                <w:i w:val="0"/>
                <w:iCs w:val="0"/>
                <w:caps w:val="0"/>
                <w:color w:val="auto"/>
                <w:spacing w:val="0"/>
                <w:sz w:val="21"/>
                <w:szCs w:val="21"/>
                <w:highlight w:val="none"/>
                <w:shd w:val="clear" w:fill="FFFFFF"/>
              </w:rPr>
              <w:t>分；方案不可行或未提供</w:t>
            </w:r>
            <w:r>
              <w:rPr>
                <w:rFonts w:hint="eastAsia" w:ascii="宋体" w:hAnsi="宋体" w:eastAsia="宋体" w:cs="宋体"/>
                <w:color w:val="auto"/>
                <w:kern w:val="0"/>
                <w:sz w:val="21"/>
                <w:szCs w:val="21"/>
                <w:highlight w:val="none"/>
                <w:lang w:val="en-US" w:eastAsia="zh-CN"/>
              </w:rPr>
              <w:t>不得分</w:t>
            </w:r>
            <w:r>
              <w:rPr>
                <w:rFonts w:hint="eastAsia" w:ascii="宋体" w:hAnsi="宋体" w:eastAsia="宋体" w:cs="宋体"/>
                <w:i w:val="0"/>
                <w:iCs w:val="0"/>
                <w:caps w:val="0"/>
                <w:color w:val="auto"/>
                <w:spacing w:val="0"/>
                <w:sz w:val="21"/>
                <w:szCs w:val="21"/>
                <w:highlight w:val="none"/>
                <w:shd w:val="clear" w:fill="FFFFFF"/>
              </w:rPr>
              <w:t>。</w:t>
            </w:r>
          </w:p>
          <w:p w14:paraId="4C3C7C35">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【技术标中须能充分反映出本评分项内容】</w:t>
            </w:r>
          </w:p>
        </w:tc>
      </w:tr>
      <w:tr w14:paraId="1448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221F742">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4</w:t>
            </w:r>
          </w:p>
        </w:tc>
        <w:tc>
          <w:tcPr>
            <w:tcW w:w="1127" w:type="dxa"/>
            <w:vAlign w:val="center"/>
          </w:tcPr>
          <w:p w14:paraId="62CC59C0">
            <w:pPr>
              <w:widowControl/>
              <w:shd w:val="clear"/>
              <w:kinsoku/>
              <w:overflowPunct/>
              <w:bidi w:val="0"/>
              <w:spacing w:line="440" w:lineRule="exact"/>
              <w:ind w:left="0" w:leftChars="0" w:right="0" w:rightChars="0"/>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建设安全措施</w:t>
            </w:r>
          </w:p>
        </w:tc>
        <w:tc>
          <w:tcPr>
            <w:tcW w:w="778" w:type="dxa"/>
            <w:vAlign w:val="center"/>
          </w:tcPr>
          <w:p w14:paraId="38C8CCE8">
            <w:pPr>
              <w:widowControl/>
              <w:shd w:val="clear"/>
              <w:kinsoku/>
              <w:overflowPunct/>
              <w:bidi w:val="0"/>
              <w:spacing w:line="44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val="en-US" w:eastAsia="zh-CN"/>
              </w:rPr>
              <w:t>分</w:t>
            </w:r>
          </w:p>
        </w:tc>
        <w:tc>
          <w:tcPr>
            <w:tcW w:w="6977" w:type="dxa"/>
            <w:vAlign w:val="top"/>
          </w:tcPr>
          <w:p w14:paraId="26B4FAE5">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val="0"/>
                <w:bCs w:val="0"/>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根据投标人提供的项目整体安全方案进行综合评价，要求覆</w:t>
            </w:r>
            <w:r>
              <w:rPr>
                <w:rFonts w:hint="eastAsia" w:ascii="宋体" w:hAnsi="宋体" w:eastAsia="宋体" w:cs="宋体"/>
                <w:b w:val="0"/>
                <w:bCs w:val="0"/>
                <w:i w:val="0"/>
                <w:iCs w:val="0"/>
                <w:caps w:val="0"/>
                <w:color w:val="auto"/>
                <w:spacing w:val="0"/>
                <w:sz w:val="21"/>
                <w:szCs w:val="21"/>
                <w:highlight w:val="none"/>
                <w:shd w:val="clear" w:fill="FFFFFF"/>
              </w:rPr>
              <w:t>盖开发过程安全管控（尤其是开发人员保密管理、代码安全、数据防泄露）及系统运行安全防护（网络安全、主机安全、应用安全、数据安全</w:t>
            </w:r>
            <w:r>
              <w:rPr>
                <w:rFonts w:hint="eastAsia" w:ascii="宋体" w:hAnsi="宋体" w:eastAsia="宋体" w:cs="宋体"/>
                <w:b w:val="0"/>
                <w:bCs w:val="0"/>
                <w:i w:val="0"/>
                <w:iCs w:val="0"/>
                <w:caps w:val="0"/>
                <w:color w:val="auto"/>
                <w:spacing w:val="0"/>
                <w:sz w:val="21"/>
                <w:szCs w:val="21"/>
                <w:highlight w:val="none"/>
                <w:shd w:val="clear" w:fill="FFFFFF"/>
                <w:lang w:val="en-US" w:eastAsia="zh-CN"/>
              </w:rPr>
              <w:t>等</w:t>
            </w:r>
            <w:r>
              <w:rPr>
                <w:rFonts w:hint="eastAsia" w:ascii="宋体" w:hAnsi="宋体" w:eastAsia="宋体" w:cs="宋体"/>
                <w:b w:val="0"/>
                <w:bCs w:val="0"/>
                <w:i w:val="0"/>
                <w:iCs w:val="0"/>
                <w:caps w:val="0"/>
                <w:color w:val="auto"/>
                <w:spacing w:val="0"/>
                <w:sz w:val="21"/>
                <w:szCs w:val="21"/>
                <w:highlight w:val="none"/>
                <w:shd w:val="clear" w:fill="FFFFFF"/>
              </w:rPr>
              <w:t>）</w:t>
            </w:r>
          </w:p>
          <w:p w14:paraId="3D85426A">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方案内容全面、具体、可操作，既包括开发人员保密协议签署、上岗前安全培训、开发环境隔离、代码审计、测试数据脱敏、禁止代码外传、离职权限回收等开发安全管理措施，且各项措施具有明确的实施路径和责任机制，得10分；方案较完整，覆盖开发安全和系统安全的主要方面，但部分细节不够明确或措施深度不足，得9分；方案基本覆盖主要安全要求，但存在部分缺失或内容过于笼统，得8分；方案不可行或未提供，不得分。</w:t>
            </w:r>
          </w:p>
          <w:p w14:paraId="0437CABA">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【技术标中须能充分反映出本评分项内容】</w:t>
            </w:r>
          </w:p>
        </w:tc>
      </w:tr>
      <w:tr w14:paraId="5FB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36C6AA">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5</w:t>
            </w:r>
          </w:p>
        </w:tc>
        <w:tc>
          <w:tcPr>
            <w:tcW w:w="1127" w:type="dxa"/>
            <w:vAlign w:val="center"/>
          </w:tcPr>
          <w:p w14:paraId="3EE3C8EE">
            <w:pPr>
              <w:widowControl/>
              <w:shd w:val="clear"/>
              <w:kinsoku/>
              <w:overflowPunct/>
              <w:bidi w:val="0"/>
              <w:spacing w:line="440" w:lineRule="exact"/>
              <w:ind w:left="0" w:leftChars="0" w:right="0" w:rightChars="0"/>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进度保障方案</w:t>
            </w:r>
          </w:p>
        </w:tc>
        <w:tc>
          <w:tcPr>
            <w:tcW w:w="778" w:type="dxa"/>
            <w:vAlign w:val="center"/>
          </w:tcPr>
          <w:p w14:paraId="72DC98F8">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lang w:val="en-US" w:eastAsia="zh-CN"/>
              </w:rPr>
              <w:t>分</w:t>
            </w:r>
          </w:p>
        </w:tc>
        <w:tc>
          <w:tcPr>
            <w:tcW w:w="6977" w:type="dxa"/>
            <w:vAlign w:val="top"/>
          </w:tcPr>
          <w:p w14:paraId="632A812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根据各投标人提供的项目进度保障方案，应包含详细的项目里程碑计划、各阶段任务分解（</w:t>
            </w:r>
            <w:r>
              <w:rPr>
                <w:rFonts w:hint="eastAsia" w:ascii="宋体" w:hAnsi="宋体" w:eastAsia="宋体" w:cs="宋体"/>
                <w:i w:val="0"/>
                <w:iCs w:val="0"/>
                <w:caps w:val="0"/>
                <w:color w:val="auto"/>
                <w:spacing w:val="0"/>
                <w:sz w:val="21"/>
                <w:szCs w:val="21"/>
                <w:highlight w:val="none"/>
                <w:shd w:val="clear" w:fill="FFFFFF"/>
                <w:lang w:val="en-US" w:eastAsia="zh-CN"/>
              </w:rPr>
              <w:t>按月、</w:t>
            </w:r>
            <w:r>
              <w:rPr>
                <w:rFonts w:hint="eastAsia" w:ascii="宋体" w:hAnsi="宋体" w:eastAsia="宋体" w:cs="宋体"/>
                <w:i w:val="0"/>
                <w:iCs w:val="0"/>
                <w:caps w:val="0"/>
                <w:color w:val="auto"/>
                <w:spacing w:val="0"/>
                <w:sz w:val="21"/>
                <w:szCs w:val="21"/>
                <w:highlight w:val="none"/>
                <w:shd w:val="clear" w:fill="FFFFFF"/>
              </w:rPr>
              <w:t>按周</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按日粒度）、资源投入计划（含驻场人员名单及每日投入时长）、风险控制措施及应急处理预案，并建立日报、周报、月报提交机制及流程把控措施</w:t>
            </w:r>
            <w:r>
              <w:rPr>
                <w:rFonts w:hint="eastAsia" w:ascii="宋体" w:hAnsi="宋体" w:eastAsia="宋体" w:cs="宋体"/>
                <w:i w:val="0"/>
                <w:iCs w:val="0"/>
                <w:caps w:val="0"/>
                <w:color w:val="auto"/>
                <w:spacing w:val="0"/>
                <w:sz w:val="21"/>
                <w:szCs w:val="21"/>
                <w:highlight w:val="none"/>
                <w:shd w:val="clear" w:fill="FFFFFF"/>
                <w:lang w:eastAsia="zh-CN"/>
              </w:rPr>
              <w:t>。</w:t>
            </w:r>
          </w:p>
          <w:p w14:paraId="75B6B3E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方案科学合理、保障措施具体有力，任务分解细化到日，报告模板完整（含日报/周报/月报内容格式），流程把控机制明确（会议频率、参与角色、产出物），能确保按期高质量交付，得</w:t>
            </w:r>
            <w:r>
              <w:rPr>
                <w:rFonts w:hint="eastAsia" w:ascii="宋体" w:hAnsi="宋体" w:eastAsia="宋体" w:cs="宋体"/>
                <w:i w:val="0"/>
                <w:iCs w:val="0"/>
                <w:caps w:val="0"/>
                <w:color w:val="auto"/>
                <w:spacing w:val="0"/>
                <w:sz w:val="21"/>
                <w:szCs w:val="21"/>
                <w:highlight w:val="none"/>
                <w:shd w:val="clear" w:fill="FFFFFF"/>
                <w:lang w:val="en-US" w:eastAsia="zh-CN"/>
              </w:rPr>
              <w:t>9</w:t>
            </w:r>
            <w:r>
              <w:rPr>
                <w:rFonts w:hint="eastAsia" w:ascii="宋体" w:hAnsi="宋体" w:eastAsia="宋体" w:cs="宋体"/>
                <w:i w:val="0"/>
                <w:iCs w:val="0"/>
                <w:caps w:val="0"/>
                <w:color w:val="auto"/>
                <w:spacing w:val="0"/>
                <w:sz w:val="21"/>
                <w:szCs w:val="21"/>
                <w:highlight w:val="none"/>
                <w:shd w:val="clear" w:fill="FFFFFF"/>
              </w:rPr>
              <w:t>分；方案完整合理，保障措施基本可行，报告机制较完整（至少包含周报和月报），流程把控有一定体现，得</w:t>
            </w:r>
            <w:r>
              <w:rPr>
                <w:rFonts w:hint="eastAsia" w:ascii="宋体" w:hAnsi="宋体" w:eastAsia="宋体" w:cs="宋体"/>
                <w:i w:val="0"/>
                <w:iCs w:val="0"/>
                <w:caps w:val="0"/>
                <w:color w:val="auto"/>
                <w:spacing w:val="0"/>
                <w:sz w:val="21"/>
                <w:szCs w:val="21"/>
                <w:highlight w:val="none"/>
                <w:shd w:val="clear" w:fill="FFFFFF"/>
                <w:lang w:val="en-US" w:eastAsia="zh-CN"/>
              </w:rPr>
              <w:t>8</w:t>
            </w:r>
            <w:r>
              <w:rPr>
                <w:rFonts w:hint="eastAsia" w:ascii="宋体" w:hAnsi="宋体" w:eastAsia="宋体" w:cs="宋体"/>
                <w:i w:val="0"/>
                <w:iCs w:val="0"/>
                <w:caps w:val="0"/>
                <w:color w:val="auto"/>
                <w:spacing w:val="0"/>
                <w:sz w:val="21"/>
                <w:szCs w:val="21"/>
                <w:highlight w:val="none"/>
                <w:shd w:val="clear" w:fill="FFFFFF"/>
              </w:rPr>
              <w:t>分；方案有相应内容但计划不够细致（如任务分解只到月、未提供日报机制），或保障措施一般</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得7分</w:t>
            </w:r>
            <w:r>
              <w:rPr>
                <w:rFonts w:hint="eastAsia" w:ascii="宋体" w:hAnsi="宋体" w:eastAsia="宋体" w:cs="宋体"/>
                <w:i w:val="0"/>
                <w:iCs w:val="0"/>
                <w:caps w:val="0"/>
                <w:color w:val="auto"/>
                <w:spacing w:val="0"/>
                <w:sz w:val="21"/>
                <w:szCs w:val="21"/>
                <w:highlight w:val="none"/>
                <w:shd w:val="clear" w:fill="FFFFFF"/>
              </w:rPr>
              <w:t>；方案不可行或未提供</w:t>
            </w:r>
            <w:r>
              <w:rPr>
                <w:rFonts w:hint="eastAsia" w:ascii="宋体" w:hAnsi="宋体" w:eastAsia="宋体" w:cs="宋体"/>
                <w:color w:val="auto"/>
                <w:kern w:val="0"/>
                <w:sz w:val="21"/>
                <w:szCs w:val="21"/>
                <w:highlight w:val="none"/>
                <w:lang w:val="en-US" w:eastAsia="zh-CN"/>
              </w:rPr>
              <w:t>不得分</w:t>
            </w:r>
            <w:r>
              <w:rPr>
                <w:rFonts w:hint="eastAsia" w:ascii="宋体" w:hAnsi="宋体" w:eastAsia="宋体" w:cs="宋体"/>
                <w:i w:val="0"/>
                <w:iCs w:val="0"/>
                <w:caps w:val="0"/>
                <w:color w:val="auto"/>
                <w:spacing w:val="0"/>
                <w:sz w:val="21"/>
                <w:szCs w:val="21"/>
                <w:highlight w:val="none"/>
                <w:shd w:val="clear" w:fill="FFFFFF"/>
              </w:rPr>
              <w:t>。</w:t>
            </w:r>
          </w:p>
          <w:p w14:paraId="052D340F">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【技术标中须能充分反映出本评分项内容】</w:t>
            </w:r>
          </w:p>
        </w:tc>
      </w:tr>
      <w:tr w14:paraId="247F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1D0ED59">
            <w:pPr>
              <w:widowControl/>
              <w:shd w:val="clear"/>
              <w:kinsoku/>
              <w:overflowPunct/>
              <w:bidi w:val="0"/>
              <w:spacing w:line="440" w:lineRule="exact"/>
              <w:ind w:left="0" w:leftChars="0" w:right="0" w:rightChars="0"/>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6</w:t>
            </w:r>
          </w:p>
        </w:tc>
        <w:tc>
          <w:tcPr>
            <w:tcW w:w="1127" w:type="dxa"/>
            <w:vAlign w:val="center"/>
          </w:tcPr>
          <w:p w14:paraId="3516B73B">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售后服务保障</w:t>
            </w:r>
          </w:p>
        </w:tc>
        <w:tc>
          <w:tcPr>
            <w:tcW w:w="778" w:type="dxa"/>
            <w:vAlign w:val="center"/>
          </w:tcPr>
          <w:p w14:paraId="20B60F16">
            <w:pPr>
              <w:widowControl/>
              <w:shd w:val="clear"/>
              <w:kinsoku/>
              <w:overflowPunct/>
              <w:bidi w:val="0"/>
              <w:spacing w:line="440" w:lineRule="exact"/>
              <w:ind w:left="0" w:leftChars="0" w:right="0" w:rightChars="0"/>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8分</w:t>
            </w:r>
          </w:p>
        </w:tc>
        <w:tc>
          <w:tcPr>
            <w:tcW w:w="6977" w:type="dxa"/>
            <w:vAlign w:val="top"/>
          </w:tcPr>
          <w:p w14:paraId="5A2AD0C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根据各投标人提供的售后服务保障方案，包括响应时间、技术支持方式、故障处理流程、巡检制度、培训计划（针对不同角色人员）及服务质量保障措施。方案详尽、服务承诺优于招标要求、培训计划针对性强，得</w:t>
            </w:r>
            <w:r>
              <w:rPr>
                <w:rFonts w:hint="eastAsia" w:ascii="宋体" w:hAnsi="宋体" w:eastAsia="宋体" w:cs="宋体"/>
                <w:i w:val="0"/>
                <w:iCs w:val="0"/>
                <w:caps w:val="0"/>
                <w:color w:val="auto"/>
                <w:spacing w:val="0"/>
                <w:sz w:val="21"/>
                <w:szCs w:val="21"/>
                <w:highlight w:val="none"/>
                <w:shd w:val="clear" w:fill="FFFFFF"/>
                <w:lang w:val="en-US" w:eastAsia="zh-CN"/>
              </w:rPr>
              <w:t>8</w:t>
            </w:r>
            <w:r>
              <w:rPr>
                <w:rFonts w:hint="eastAsia" w:ascii="宋体" w:hAnsi="宋体" w:eastAsia="宋体" w:cs="宋体"/>
                <w:i w:val="0"/>
                <w:iCs w:val="0"/>
                <w:caps w:val="0"/>
                <w:color w:val="auto"/>
                <w:spacing w:val="0"/>
                <w:sz w:val="21"/>
                <w:szCs w:val="21"/>
                <w:highlight w:val="none"/>
                <w:shd w:val="clear" w:fill="FFFFFF"/>
              </w:rPr>
              <w:t>分；方案完整，满足招标文件基本要求，得</w:t>
            </w:r>
            <w:r>
              <w:rPr>
                <w:rFonts w:hint="eastAsia" w:ascii="宋体" w:hAnsi="宋体" w:eastAsia="宋体" w:cs="宋体"/>
                <w:i w:val="0"/>
                <w:iCs w:val="0"/>
                <w:caps w:val="0"/>
                <w:color w:val="auto"/>
                <w:spacing w:val="0"/>
                <w:sz w:val="21"/>
                <w:szCs w:val="21"/>
                <w:highlight w:val="none"/>
                <w:shd w:val="clear" w:fill="FFFFFF"/>
                <w:lang w:val="en-US" w:eastAsia="zh-CN"/>
              </w:rPr>
              <w:t>7</w:t>
            </w:r>
            <w:r>
              <w:rPr>
                <w:rFonts w:hint="eastAsia" w:ascii="宋体" w:hAnsi="宋体" w:eastAsia="宋体" w:cs="宋体"/>
                <w:i w:val="0"/>
                <w:iCs w:val="0"/>
                <w:caps w:val="0"/>
                <w:color w:val="auto"/>
                <w:spacing w:val="0"/>
                <w:sz w:val="21"/>
                <w:szCs w:val="21"/>
                <w:highlight w:val="none"/>
                <w:shd w:val="clear" w:fill="FFFFFF"/>
              </w:rPr>
              <w:t>分；方案内容有缺失或服务标准一般，得</w:t>
            </w:r>
            <w:r>
              <w:rPr>
                <w:rFonts w:hint="eastAsia" w:ascii="宋体" w:hAnsi="宋体" w:eastAsia="宋体" w:cs="宋体"/>
                <w:i w:val="0"/>
                <w:iCs w:val="0"/>
                <w:caps w:val="0"/>
                <w:color w:val="auto"/>
                <w:spacing w:val="0"/>
                <w:sz w:val="21"/>
                <w:szCs w:val="21"/>
                <w:highlight w:val="none"/>
                <w:shd w:val="clear" w:fill="FFFFFF"/>
                <w:lang w:val="en-US" w:eastAsia="zh-CN"/>
              </w:rPr>
              <w:t>6</w:t>
            </w:r>
            <w:r>
              <w:rPr>
                <w:rFonts w:hint="eastAsia" w:ascii="宋体" w:hAnsi="宋体" w:eastAsia="宋体" w:cs="宋体"/>
                <w:i w:val="0"/>
                <w:iCs w:val="0"/>
                <w:caps w:val="0"/>
                <w:color w:val="auto"/>
                <w:spacing w:val="0"/>
                <w:sz w:val="21"/>
                <w:szCs w:val="21"/>
                <w:highlight w:val="none"/>
                <w:shd w:val="clear" w:fill="FFFFFF"/>
              </w:rPr>
              <w:t>分；方案不可行或未提供</w:t>
            </w:r>
            <w:r>
              <w:rPr>
                <w:rFonts w:hint="eastAsia" w:ascii="宋体" w:hAnsi="宋体" w:eastAsia="宋体" w:cs="宋体"/>
                <w:color w:val="auto"/>
                <w:kern w:val="0"/>
                <w:sz w:val="21"/>
                <w:szCs w:val="21"/>
                <w:highlight w:val="none"/>
                <w:lang w:val="en-US" w:eastAsia="zh-CN"/>
              </w:rPr>
              <w:t>不得分</w:t>
            </w:r>
            <w:r>
              <w:rPr>
                <w:rFonts w:hint="eastAsia" w:ascii="宋体" w:hAnsi="宋体" w:eastAsia="宋体" w:cs="宋体"/>
                <w:i w:val="0"/>
                <w:iCs w:val="0"/>
                <w:caps w:val="0"/>
                <w:color w:val="auto"/>
                <w:spacing w:val="0"/>
                <w:sz w:val="21"/>
                <w:szCs w:val="21"/>
                <w:highlight w:val="none"/>
                <w:shd w:val="clear" w:fill="FFFFFF"/>
              </w:rPr>
              <w:t>。</w:t>
            </w:r>
          </w:p>
          <w:p w14:paraId="6BD3FAB6">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b/>
                <w:bCs/>
                <w:color w:val="auto"/>
                <w:kern w:val="0"/>
                <w:sz w:val="21"/>
                <w:szCs w:val="21"/>
                <w:highlight w:val="none"/>
                <w:lang w:val="en-US" w:eastAsia="zh-CN"/>
              </w:rPr>
              <w:t>【技术标中须能充分反映出本评分项内容】</w:t>
            </w:r>
          </w:p>
        </w:tc>
      </w:tr>
      <w:tr w14:paraId="0CE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79" w:type="dxa"/>
            <w:gridSpan w:val="4"/>
            <w:vAlign w:val="center"/>
          </w:tcPr>
          <w:p w14:paraId="6BDBAEAB">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注：1.各投标人技术标总得分为各评委评分的平均值为最终得分。取两位小数，小数点后第三位四舍五入。</w:t>
            </w:r>
          </w:p>
          <w:p w14:paraId="318A0434">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61FB2E5C">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2.1 技术标暗标不设空白页。技术标投标文件封面不出现投标人、法定代表人签章内容，格式以系统设置为准。正文必须按招标文件要求的顺序进行排版；</w:t>
            </w:r>
          </w:p>
          <w:p w14:paraId="0DC0614F">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5186B820">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2BE34F38">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3.技术标暗标文件的格式、制作不符合上述要求的，每一分项扣0.2分。技术标实行暗标的，对技术标（暗标）部分不予澄清、说明或者补正。</w:t>
            </w:r>
          </w:p>
          <w:p w14:paraId="5B9B1474">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b/>
                <w:bCs/>
                <w:color w:val="auto"/>
                <w:kern w:val="0"/>
                <w:szCs w:val="21"/>
                <w:highlight w:val="none"/>
              </w:rPr>
              <w:t>技术标的</w:t>
            </w:r>
            <w:r>
              <w:rPr>
                <w:rFonts w:hint="eastAsia" w:ascii="宋体" w:hAnsi="宋体" w:cs="宋体"/>
                <w:b/>
                <w:bCs/>
                <w:color w:val="auto"/>
                <w:kern w:val="0"/>
                <w:szCs w:val="21"/>
                <w:highlight w:val="none"/>
                <w:lang w:val="en-US" w:eastAsia="zh-CN"/>
              </w:rPr>
              <w:t>每个评分点</w:t>
            </w:r>
            <w:r>
              <w:rPr>
                <w:rFonts w:hint="eastAsia" w:ascii="宋体" w:hAnsi="宋体" w:cs="宋体"/>
                <w:b/>
                <w:bCs/>
                <w:color w:val="auto"/>
                <w:kern w:val="0"/>
                <w:szCs w:val="21"/>
                <w:highlight w:val="none"/>
              </w:rPr>
              <w:t>页数不多于</w:t>
            </w:r>
            <w:r>
              <w:rPr>
                <w:rFonts w:hint="eastAsia" w:ascii="宋体" w:hAnsi="宋体" w:cs="宋体"/>
                <w:b/>
                <w:bCs/>
                <w:color w:val="auto"/>
                <w:kern w:val="0"/>
                <w:szCs w:val="21"/>
                <w:highlight w:val="none"/>
                <w:lang w:val="en-US" w:eastAsia="zh-CN"/>
              </w:rPr>
              <w:t>100</w:t>
            </w:r>
            <w:r>
              <w:rPr>
                <w:rFonts w:hint="eastAsia" w:ascii="宋体" w:hAnsi="宋体" w:cs="宋体"/>
                <w:b/>
                <w:bCs/>
                <w:color w:val="auto"/>
                <w:kern w:val="0"/>
                <w:szCs w:val="21"/>
                <w:highlight w:val="none"/>
              </w:rPr>
              <w:t>页</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含附图、附表</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rPr>
              <w:t>具体篇幅(字数)要求及扣分标准（扣分值为0.</w:t>
            </w:r>
            <w:r>
              <w:rPr>
                <w:rFonts w:hint="eastAsia" w:ascii="宋体" w:hAnsi="宋体"/>
                <w:color w:val="auto"/>
                <w:szCs w:val="21"/>
                <w:highlight w:val="none"/>
                <w:lang w:val="en-US" w:eastAsia="zh-CN"/>
              </w:rPr>
              <w:t>5</w:t>
            </w:r>
            <w:r>
              <w:rPr>
                <w:rFonts w:hint="eastAsia" w:ascii="宋体" w:hAnsi="宋体"/>
                <w:color w:val="auto"/>
                <w:szCs w:val="21"/>
                <w:highlight w:val="none"/>
              </w:rPr>
              <w:t>分）。偏离规定标准的，评标委员会应酌情扣分。</w:t>
            </w:r>
          </w:p>
          <w:p w14:paraId="3A7D6C52">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9140C7C">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如所有投标企业技术标都出现能反映企业信息等相关内容的，该项目流标。</w:t>
            </w:r>
          </w:p>
        </w:tc>
      </w:tr>
    </w:tbl>
    <w:p w14:paraId="3C023600">
      <w:pPr>
        <w:shd w:val="clear"/>
        <w:kinsoku/>
        <w:overflowPunct/>
        <w:bidi w:val="0"/>
        <w:adjustRightInd w:val="0"/>
        <w:snapToGrid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37"/>
        <w:tblW w:w="966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315"/>
      </w:tblGrid>
      <w:tr w14:paraId="01D9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6E94CD9D">
            <w:pPr>
              <w:shd w:val="clear"/>
              <w:kinsoku/>
              <w:overflowPunct/>
              <w:bidi w:val="0"/>
              <w:spacing w:line="500" w:lineRule="exact"/>
              <w:ind w:left="0" w:leftChars="0" w:right="0" w:rightChars="0"/>
              <w:jc w:val="center"/>
              <w:rPr>
                <w:rFonts w:ascii="宋体" w:hAnsi="宋体" w:cs="宋体"/>
                <w:b/>
                <w:bCs/>
                <w:color w:val="auto"/>
                <w:highlight w:val="none"/>
              </w:rPr>
            </w:pPr>
            <w:bookmarkStart w:id="87" w:name="_Toc23311"/>
            <w:bookmarkStart w:id="88" w:name="_Toc449028881"/>
            <w:bookmarkStart w:id="89" w:name="_Toc58430321"/>
            <w:r>
              <w:rPr>
                <w:rFonts w:hint="eastAsia" w:ascii="宋体" w:hAnsi="宋体" w:cs="宋体"/>
                <w:b/>
                <w:bCs/>
                <w:color w:val="auto"/>
                <w:highlight w:val="none"/>
              </w:rPr>
              <w:t>评分因素</w:t>
            </w:r>
          </w:p>
        </w:tc>
        <w:tc>
          <w:tcPr>
            <w:tcW w:w="8315" w:type="dxa"/>
            <w:vAlign w:val="center"/>
          </w:tcPr>
          <w:p w14:paraId="7C74BBB5">
            <w:pPr>
              <w:shd w:val="clear"/>
              <w:kinsoku/>
              <w:overflowPunct/>
              <w:bidi w:val="0"/>
              <w:spacing w:line="500" w:lineRule="exact"/>
              <w:ind w:left="0" w:leftChars="0" w:right="0" w:rightChars="0"/>
              <w:jc w:val="center"/>
              <w:rPr>
                <w:rFonts w:ascii="宋体" w:hAnsi="宋体" w:cs="宋体"/>
                <w:b/>
                <w:bCs/>
                <w:color w:val="auto"/>
                <w:highlight w:val="none"/>
              </w:rPr>
            </w:pPr>
            <w:r>
              <w:rPr>
                <w:rFonts w:hint="eastAsia" w:ascii="宋体" w:hAnsi="宋体" w:cs="宋体"/>
                <w:b/>
                <w:bCs/>
                <w:color w:val="auto"/>
                <w:highlight w:val="none"/>
              </w:rPr>
              <w:t>评审细则</w:t>
            </w:r>
          </w:p>
        </w:tc>
      </w:tr>
      <w:tr w14:paraId="2244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F6F80B0">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商务标</w:t>
            </w:r>
          </w:p>
          <w:p w14:paraId="114B7101">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8315" w:type="dxa"/>
          </w:tcPr>
          <w:p w14:paraId="70110B44">
            <w:pPr>
              <w:shd w:val="clear"/>
              <w:tabs>
                <w:tab w:val="left" w:pos="1080"/>
              </w:tabs>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2DEC4737">
            <w:pPr>
              <w:shd w:val="clear"/>
              <w:tabs>
                <w:tab w:val="left" w:pos="1080"/>
              </w:tabs>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rPr>
              <w:t>；</w:t>
            </w:r>
          </w:p>
          <w:p w14:paraId="62047AB0">
            <w:pPr>
              <w:shd w:val="clear"/>
              <w:tabs>
                <w:tab w:val="left" w:pos="1080"/>
              </w:tabs>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，小数点后保留两位小数，第三位四舍五入；</w:t>
            </w:r>
          </w:p>
          <w:p w14:paraId="3FAA775C">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1653210">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86"/>
      <w:bookmarkEnd w:id="87"/>
      <w:bookmarkEnd w:id="88"/>
      <w:bookmarkEnd w:id="89"/>
    </w:p>
    <w:p w14:paraId="6C11D8F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4A477A6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77C96248">
      <w:pPr>
        <w:shd w:val="clear"/>
        <w:kinsoku/>
        <w:overflowPunct/>
        <w:bidi w:val="0"/>
        <w:snapToGrid w:val="0"/>
        <w:spacing w:line="500" w:lineRule="exact"/>
        <w:ind w:left="0" w:leftChars="0" w:right="0" w:rightChars="0"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7.2</w:t>
      </w: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2A30D6FF">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4C4D3125">
      <w:pPr>
        <w:shd w:val="clear"/>
        <w:kinsoku/>
        <w:overflowPunct/>
        <w:bidi w:val="0"/>
        <w:snapToGrid w:val="0"/>
        <w:spacing w:line="500" w:lineRule="exact"/>
        <w:ind w:left="0" w:leftChars="0" w:right="0" w:rightChars="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25486316">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）未在开标截止时间前通过网上招标投标系统递交有效电子投标文件的，开标系统不予接收，投标将被拒绝。</w:t>
      </w:r>
    </w:p>
    <w:p w14:paraId="032F384C">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461058F3">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26225DDB">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w:t>
      </w:r>
      <w:r>
        <w:rPr>
          <w:rFonts w:hint="eastAsia" w:ascii="宋体" w:hAnsi="宋体" w:cs="宋体"/>
          <w:color w:val="auto"/>
          <w:szCs w:val="21"/>
          <w:highlight w:val="none"/>
        </w:rPr>
        <w:t>投标人为本项目提供招标代理服务的；</w:t>
      </w:r>
    </w:p>
    <w:p w14:paraId="08311410">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投标人与在本项目代理机构存在相互任职或工作的；</w:t>
      </w:r>
    </w:p>
    <w:p w14:paraId="70D3998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评标专家无法查看并检验电子投标文件中相关资料的；</w:t>
      </w:r>
    </w:p>
    <w:p w14:paraId="27F561E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color w:val="auto"/>
          <w:szCs w:val="21"/>
          <w:highlight w:val="none"/>
        </w:rPr>
        <w:t>联合体投标未提交联合体协议的；</w:t>
      </w:r>
    </w:p>
    <w:p w14:paraId="5043905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hAnsi="宋体" w:cs="宋体"/>
          <w:color w:val="auto"/>
          <w:szCs w:val="21"/>
          <w:highlight w:val="none"/>
        </w:rPr>
        <w:t>被暂停营业的；</w:t>
      </w:r>
    </w:p>
    <w:p w14:paraId="73833E4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
          <w:color w:val="auto"/>
          <w:szCs w:val="21"/>
          <w:highlight w:val="none"/>
        </w:rPr>
        <w:t>被暂停或取消投标资格的；</w:t>
      </w:r>
    </w:p>
    <w:p w14:paraId="23280C9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w:t>
      </w:r>
      <w:r>
        <w:rPr>
          <w:rFonts w:hint="eastAsia" w:ascii="宋体" w:hAnsi="宋体" w:cs="宋体"/>
          <w:color w:val="auto"/>
          <w:szCs w:val="21"/>
          <w:highlight w:val="none"/>
        </w:rPr>
        <w:t>财产被接管或冻结的；</w:t>
      </w:r>
    </w:p>
    <w:p w14:paraId="4F7C9B4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投标人单位负责人为同一人或者存在控股、管理关系的不同单位的；</w:t>
      </w:r>
    </w:p>
    <w:p w14:paraId="79DA9B4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w:t>
      </w:r>
      <w:r>
        <w:rPr>
          <w:rFonts w:hint="eastAsia" w:ascii="宋体" w:hAnsi="宋体" w:cs="宋体"/>
          <w:color w:val="auto"/>
          <w:szCs w:val="21"/>
          <w:highlight w:val="none"/>
        </w:rPr>
        <w:t>保证金不按第二章“投标人须知”及其前附表要求提交投标保证金的；</w:t>
      </w:r>
    </w:p>
    <w:p w14:paraId="55AACE0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w:t>
      </w:r>
      <w:r>
        <w:rPr>
          <w:rFonts w:hint="eastAsia" w:ascii="宋体" w:hAnsi="宋体" w:cs="宋体"/>
          <w:color w:val="auto"/>
          <w:szCs w:val="21"/>
          <w:highlight w:val="none"/>
        </w:rPr>
        <w:t>投标人未办理省主体库登记入库手续的；</w:t>
      </w:r>
    </w:p>
    <w:p w14:paraId="071CA90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w:t>
      </w:r>
      <w:r>
        <w:rPr>
          <w:rFonts w:hint="eastAsia" w:ascii="宋体" w:hAnsi="宋体" w:cs="宋体"/>
          <w:color w:val="auto"/>
          <w:szCs w:val="21"/>
          <w:highlight w:val="none"/>
        </w:rPr>
        <w:t>投标人申请开具电子保函 MAC 地址一致的；</w:t>
      </w:r>
    </w:p>
    <w:p w14:paraId="182FFAD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w:t>
      </w:r>
      <w:r>
        <w:rPr>
          <w:rFonts w:hint="eastAsia" w:ascii="宋体" w:hAnsi="宋体" w:cs="宋体"/>
          <w:color w:val="auto"/>
          <w:szCs w:val="21"/>
          <w:highlight w:val="none"/>
        </w:rPr>
        <w:t>投标人基本资格条件和特定资格条件中有一项及以上不符合要求的；</w:t>
      </w:r>
    </w:p>
    <w:p w14:paraId="06E7FC5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13</w:t>
      </w:r>
      <w:r>
        <w:rPr>
          <w:rFonts w:hint="eastAsia" w:ascii="宋体" w:hAnsi="宋体" w:cs="宋体"/>
          <w:bCs/>
          <w:color w:val="auto"/>
          <w:szCs w:val="21"/>
          <w:highlight w:val="none"/>
        </w:rPr>
        <w:t>）</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617352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w:t>
      </w:r>
      <w:r>
        <w:rPr>
          <w:rFonts w:hint="eastAsia" w:ascii="宋体" w:hAnsi="宋体" w:cs="宋体"/>
          <w:color w:val="auto"/>
          <w:szCs w:val="21"/>
          <w:highlight w:val="none"/>
        </w:rPr>
        <w:t>其它情形，经评标委员会委提出按无效投标处理，并经公共资源交易监督部门核准的；</w:t>
      </w:r>
    </w:p>
    <w:p w14:paraId="5AB0255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w:t>
      </w:r>
      <w:r>
        <w:rPr>
          <w:rFonts w:hint="eastAsia" w:ascii="宋体" w:hAnsi="宋体" w:cs="宋体"/>
          <w:color w:val="auto"/>
          <w:szCs w:val="21"/>
          <w:highlight w:val="none"/>
        </w:rPr>
        <w:t>投标人投标MAC地址或投标人联系人或联系电话相同的，由评标委员会否决其投标，并报告监管部门作不良行为处理和进一步调查；</w:t>
      </w:r>
    </w:p>
    <w:p w14:paraId="2F4BF5B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16</w:t>
      </w:r>
      <w:r>
        <w:rPr>
          <w:rFonts w:hint="eastAsia" w:ascii="宋体" w:hAnsi="宋体" w:cs="宋体"/>
          <w:bCs/>
          <w:color w:val="auto"/>
          <w:szCs w:val="21"/>
          <w:highlight w:val="none"/>
        </w:rPr>
        <w:t>）</w:t>
      </w:r>
      <w:r>
        <w:rPr>
          <w:rFonts w:hint="eastAsia" w:ascii="宋体" w:hAnsi="宋体" w:cs="宋体"/>
          <w:color w:val="auto"/>
          <w:szCs w:val="21"/>
          <w:highlight w:val="none"/>
        </w:rPr>
        <w:t>投标人单方面出现其他投标人材料的；</w:t>
      </w:r>
    </w:p>
    <w:p w14:paraId="0406914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0AAE80AD">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4D7856A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）投标文件签字、盖章不全，经评标委员会一致认定对开评标内容有实质性影响并经公共资源交易监督部门核准的；</w:t>
      </w:r>
    </w:p>
    <w:p w14:paraId="7D0DA2D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）未按规定的格式填写导致实质性内容不全以及实质上不响应，或者关键字迹模糊、无法辨认； 经公共资源交易监督部门核准的；</w:t>
      </w:r>
    </w:p>
    <w:p w14:paraId="3B6D027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2F2F2D1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1EEEB9EF">
      <w:pPr>
        <w:shd w:val="clear"/>
        <w:kinsoku/>
        <w:overflowPunct/>
        <w:bidi w:val="0"/>
        <w:spacing w:line="500" w:lineRule="exact"/>
        <w:ind w:left="0" w:leftChars="0" w:right="0" w:rightChars="0"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E19B42B">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74AC2049">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14:paraId="37212B7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）投标文件含有招标人不能接受的附加条件的;</w:t>
      </w:r>
    </w:p>
    <w:p w14:paraId="337C06DE">
      <w:pPr>
        <w:shd w:val="clear"/>
        <w:tabs>
          <w:tab w:val="left" w:pos="1123"/>
        </w:tabs>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1B889E9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0EE7933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3B243CB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1D104C0A">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92F2D3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7F0721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442AAE7D">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1358FED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9"/>
    <w:p w14:paraId="5037E0B5">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bookmarkStart w:id="90" w:name="_Toc30417"/>
      <w:bookmarkStart w:id="91" w:name="_Toc449028945"/>
      <w:bookmarkStart w:id="92" w:name="_Toc22340"/>
    </w:p>
    <w:p w14:paraId="7A919F70">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5CEC0EFC">
      <w:pPr>
        <w:pStyle w:val="12"/>
        <w:rPr>
          <w:rFonts w:hint="eastAsia" w:ascii="宋体"/>
          <w:b/>
          <w:color w:val="auto"/>
          <w:sz w:val="32"/>
          <w:szCs w:val="32"/>
          <w:highlight w:val="none"/>
          <w:lang w:val="en-US" w:eastAsia="zh-CN"/>
        </w:rPr>
      </w:pPr>
    </w:p>
    <w:p w14:paraId="6BA5C33D">
      <w:pPr>
        <w:rPr>
          <w:rFonts w:hint="eastAsia"/>
          <w:color w:val="auto"/>
          <w:highlight w:val="none"/>
          <w:lang w:val="en-US" w:eastAsia="zh-CN"/>
        </w:rPr>
      </w:pPr>
    </w:p>
    <w:p w14:paraId="73EE4575">
      <w:pPr>
        <w:numPr>
          <w:ilvl w:val="0"/>
          <w:numId w:val="0"/>
        </w:numPr>
        <w:shd w:val="clear"/>
        <w:kinsoku/>
        <w:overflowPunct/>
        <w:bidi w:val="0"/>
        <w:snapToGrid w:val="0"/>
        <w:spacing w:line="440" w:lineRule="exact"/>
        <w:ind w:left="0" w:leftChars="0" w:right="0" w:rightChars="0" w:firstLine="14" w:firstLineChars="0"/>
        <w:jc w:val="center"/>
        <w:outlineLvl w:val="0"/>
        <w:rPr>
          <w:rFonts w:hAnsi="宋体"/>
          <w:b/>
          <w:bCs/>
          <w:color w:val="auto"/>
          <w:sz w:val="32"/>
          <w:szCs w:val="32"/>
          <w:highlight w:val="none"/>
        </w:rPr>
      </w:pPr>
      <w:r>
        <w:rPr>
          <w:rFonts w:hint="eastAsia" w:ascii="宋体"/>
          <w:b/>
          <w:color w:val="auto"/>
          <w:sz w:val="32"/>
          <w:szCs w:val="32"/>
          <w:highlight w:val="none"/>
          <w:lang w:val="en-US" w:eastAsia="zh-CN"/>
        </w:rPr>
        <w:t>第四章</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服务内容及技术要</w:t>
      </w:r>
      <w:r>
        <w:rPr>
          <w:rFonts w:hint="eastAsia" w:hAnsi="宋体"/>
          <w:b/>
          <w:bCs/>
          <w:color w:val="auto"/>
          <w:sz w:val="32"/>
          <w:szCs w:val="32"/>
          <w:highlight w:val="none"/>
        </w:rPr>
        <w:t>求</w:t>
      </w:r>
      <w:bookmarkEnd w:id="90"/>
    </w:p>
    <w:p w14:paraId="29F61579">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一、项目概况</w:t>
      </w:r>
    </w:p>
    <w:p w14:paraId="696D08EF">
      <w:pPr>
        <w:pStyle w:val="54"/>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本</w:t>
      </w:r>
      <w:r>
        <w:rPr>
          <w:rFonts w:hint="eastAsia" w:ascii="宋体" w:hAnsi="宋体" w:eastAsia="宋体" w:cs="宋体"/>
          <w:b w:val="0"/>
          <w:bCs w:val="0"/>
          <w:color w:val="auto"/>
          <w:szCs w:val="21"/>
          <w:highlight w:val="none"/>
          <w:lang w:val="en-US" w:eastAsia="zh-CN"/>
        </w:rPr>
        <w:t>项目须依托全省一体化数据基础平台进行开发建设，复用一体化数据基础平台已有组件和资源，落实数据工程要求</w:t>
      </w:r>
      <w:r>
        <w:rPr>
          <w:rFonts w:hint="eastAsia" w:cs="宋体"/>
          <w:b w:val="0"/>
          <w:bCs w:val="0"/>
          <w:color w:val="auto"/>
          <w:szCs w:val="21"/>
          <w:highlight w:val="none"/>
          <w:lang w:val="en-US" w:eastAsia="zh-CN"/>
        </w:rPr>
        <w:t>、按照数据资源管理部门的要求沉淀本项目相关组件</w:t>
      </w:r>
      <w:r>
        <w:rPr>
          <w:rFonts w:hint="eastAsia" w:ascii="宋体" w:hAnsi="宋体" w:eastAsia="宋体" w:cs="宋体"/>
          <w:b w:val="0"/>
          <w:bCs w:val="0"/>
          <w:color w:val="auto"/>
          <w:szCs w:val="21"/>
          <w:highlight w:val="none"/>
          <w:lang w:val="en-US" w:eastAsia="zh-CN"/>
        </w:rPr>
        <w:t>，依托</w:t>
      </w:r>
      <w:r>
        <w:rPr>
          <w:rFonts w:hint="eastAsia" w:cs="宋体"/>
          <w:b w:val="0"/>
          <w:bCs w:val="0"/>
          <w:color w:val="auto"/>
          <w:szCs w:val="21"/>
          <w:highlight w:val="none"/>
          <w:lang w:val="en-US" w:eastAsia="zh-CN"/>
        </w:rPr>
        <w:t>政务（信创）云平台</w:t>
      </w:r>
      <w:r>
        <w:rPr>
          <w:rFonts w:hint="eastAsia" w:ascii="宋体" w:hAnsi="宋体" w:eastAsia="宋体" w:cs="宋体"/>
          <w:b w:val="0"/>
          <w:bCs w:val="0"/>
          <w:color w:val="auto"/>
          <w:szCs w:val="21"/>
          <w:highlight w:val="none"/>
          <w:lang w:val="en-US" w:eastAsia="zh-CN"/>
        </w:rPr>
        <w:t>部署</w:t>
      </w:r>
      <w:r>
        <w:rPr>
          <w:rFonts w:hint="eastAsia" w:cs="宋体"/>
          <w:b w:val="0"/>
          <w:bCs w:val="0"/>
          <w:color w:val="auto"/>
          <w:szCs w:val="21"/>
          <w:highlight w:val="none"/>
          <w:lang w:val="en-US" w:eastAsia="zh-CN"/>
        </w:rPr>
        <w:t>，落实国产化软硬件相关要求</w:t>
      </w:r>
      <w:r>
        <w:rPr>
          <w:rFonts w:hint="eastAsia" w:ascii="宋体" w:hAnsi="宋体" w:cs="宋体"/>
          <w:b w:val="0"/>
          <w:bCs w:val="0"/>
          <w:color w:val="auto"/>
          <w:szCs w:val="21"/>
          <w:highlight w:val="none"/>
          <w:lang w:val="en-US" w:eastAsia="zh-CN"/>
        </w:rPr>
        <w:t>。</w:t>
      </w:r>
    </w:p>
    <w:p w14:paraId="5F4B2C47">
      <w:pPr>
        <w:pStyle w:val="54"/>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通过AI深度学习解析招标文件，精准提炼项目建设需求、评标办法、评分条件等关键信息，结合评标纪律、评审注意事项、评审操作流程等内容，构建评审所需掌握的项目要点、系统操作等内容，在评审开始前，帮助专家快速掌握项目评审要素，熟悉评标流程，提高评标质效。同时搭建智能问答、智能引导、暗标格式自动清标、暗标打分智能校验、保证金智能查询等辅助功能，助力专家提升评标效率。</w:t>
      </w:r>
    </w:p>
    <w:p w14:paraId="2C4AE9D8">
      <w:pPr>
        <w:pStyle w:val="54"/>
        <w:keepNext w:val="0"/>
        <w:keepLines w:val="0"/>
        <w:pageBreakBefore w:val="0"/>
        <w:widowControl w:val="0"/>
        <w:shd w:val="clear"/>
        <w:kinsoku/>
        <w:wordWrap/>
        <w:overflowPunct/>
        <w:topLinePunct w:val="0"/>
        <w:autoSpaceDE/>
        <w:autoSpaceDN/>
        <w:bidi w:val="0"/>
        <w:adjustRightInd/>
        <w:snapToGrid/>
        <w:spacing w:line="440" w:lineRule="exact"/>
        <w:ind w:left="0" w:leftChars="0" w:right="0" w:rightChars="0" w:firstLine="562" w:firstLineChars="20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二、</w:t>
      </w:r>
      <w:bookmarkStart w:id="93" w:name="_Toc24659"/>
      <w:r>
        <w:rPr>
          <w:rFonts w:hint="eastAsia" w:ascii="Times New Roman" w:hAnsi="宋体" w:eastAsia="宋体" w:cs="Times New Roman"/>
          <w:b/>
          <w:bCs/>
          <w:color w:val="auto"/>
          <w:kern w:val="2"/>
          <w:sz w:val="28"/>
          <w:szCs w:val="28"/>
          <w:highlight w:val="none"/>
          <w:lang w:val="en-US" w:eastAsia="zh-CN" w:bidi="ar-SA"/>
        </w:rPr>
        <w:t>现状及存在问题</w:t>
      </w:r>
      <w:bookmarkEnd w:id="93"/>
    </w:p>
    <w:p w14:paraId="2F08A73B">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4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bookmarkStart w:id="94" w:name="_Toc1346572085"/>
      <w:bookmarkStart w:id="95" w:name="_Toc1605398743"/>
      <w:bookmarkStart w:id="96" w:name="_Toc1841770212"/>
      <w:bookmarkStart w:id="97" w:name="_Toc6391"/>
      <w:r>
        <w:rPr>
          <w:rFonts w:hint="eastAsia" w:ascii="宋体" w:hAnsi="宋体" w:eastAsia="宋体" w:cs="Times New Roman"/>
          <w:b w:val="0"/>
          <w:bCs w:val="0"/>
          <w:color w:val="auto"/>
          <w:kern w:val="2"/>
          <w:sz w:val="21"/>
          <w:szCs w:val="24"/>
          <w:highlight w:val="none"/>
          <w:lang w:val="en-US" w:eastAsia="zh-CN" w:bidi="ar-SA"/>
        </w:rPr>
        <w:t>1、信息化建设现状</w:t>
      </w:r>
      <w:bookmarkEnd w:id="94"/>
      <w:bookmarkEnd w:id="95"/>
      <w:bookmarkEnd w:id="96"/>
      <w:bookmarkEnd w:id="97"/>
    </w:p>
    <w:p w14:paraId="1A646CE0">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4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滁州市公共资源交易中心已建成滁州市公共资源交易平台系统，包括中心网站及交易、土地竞价、产权竞价、评标、不见面开标、不见面答辩、中介超市、服务、电子档案、金融服务平台（电子保函、中标贷）、电子监管、标后监管、大数据分析、掌上办等14个子系统，全面实现公共资源交易全流程网上办、掌上办。落地部署国家CA互认组件、安徽省主体库，实现了投标企业办理一把锁即可投全国的项目。落地部署了安徽省远程异地评标调度音视频会议系统，完成全国远程异地评标互联共享技术改造，实现了省内、市内远程异地评标常态化，全国远程异地评标标准化。</w:t>
      </w:r>
    </w:p>
    <w:p w14:paraId="56A0FB54">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4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bookmarkStart w:id="98" w:name="_Toc1940809539"/>
      <w:bookmarkStart w:id="99" w:name="_Toc1551993933"/>
      <w:bookmarkStart w:id="100" w:name="_Toc2136824999"/>
      <w:bookmarkStart w:id="101" w:name="_Toc18752"/>
      <w:r>
        <w:rPr>
          <w:rFonts w:hint="eastAsia" w:ascii="宋体" w:hAnsi="宋体" w:eastAsia="宋体" w:cs="Times New Roman"/>
          <w:b w:val="0"/>
          <w:bCs w:val="0"/>
          <w:color w:val="auto"/>
          <w:kern w:val="2"/>
          <w:sz w:val="21"/>
          <w:szCs w:val="24"/>
          <w:highlight w:val="none"/>
          <w:lang w:val="en-US" w:eastAsia="zh-CN" w:bidi="ar-SA"/>
        </w:rPr>
        <w:t>2、存在问题</w:t>
      </w:r>
      <w:bookmarkEnd w:id="98"/>
      <w:bookmarkEnd w:id="99"/>
      <w:bookmarkEnd w:id="100"/>
      <w:bookmarkEnd w:id="101"/>
    </w:p>
    <w:p w14:paraId="6C60D2C1">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4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一是项目评审前，专家需要花费较长时间了解项目建设背景、建设内容、评标办法等，但招标文件少则几十页，多则一百多页，不利于专家短时间内充分理解掌握。二是当前常态化推行远程异地评标，项目专家大多为外地专家，对我市招标范本、评标办法、评审流程、系统操作不熟悉，影响评审推进，三是代理机构退出评标区，无人辅助评标专家理解招标文件、操作评标系统。四是针对技术标暗标部分，有特定的格式要求，人工辨别存在一定困难。同时防范专家未按招标文件要求对技术标进行打分的情况，排除修正打分带来的潜在不利影响，节省评审时间；五是封闭评标环境不支持联网查询政策文件、示范文本、案例等。</w:t>
      </w:r>
    </w:p>
    <w:p w14:paraId="5A8BF997">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三、</w:t>
      </w:r>
      <w:bookmarkStart w:id="102" w:name="_Toc27655"/>
      <w:bookmarkStart w:id="103" w:name="_Toc13651"/>
      <w:bookmarkStart w:id="104" w:name="_Toc26813"/>
      <w:bookmarkStart w:id="105" w:name="_Toc148980138"/>
      <w:bookmarkStart w:id="106" w:name="_Toc138615705"/>
      <w:bookmarkStart w:id="107" w:name="_Toc1967731249"/>
      <w:bookmarkStart w:id="108" w:name="_Toc25751"/>
      <w:bookmarkStart w:id="109" w:name="_Toc280057653"/>
      <w:bookmarkStart w:id="110" w:name="_Toc674619332"/>
      <w:bookmarkStart w:id="111" w:name="_Toc23575"/>
      <w:bookmarkStart w:id="112" w:name="_Toc18952"/>
      <w:bookmarkStart w:id="113" w:name="_Toc6905"/>
      <w:bookmarkStart w:id="114" w:name="_Toc14627"/>
      <w:r>
        <w:rPr>
          <w:rFonts w:hint="eastAsia" w:ascii="Times New Roman" w:hAnsi="宋体" w:eastAsia="宋体" w:cs="Times New Roman"/>
          <w:b/>
          <w:bCs/>
          <w:color w:val="auto"/>
          <w:kern w:val="2"/>
          <w:sz w:val="28"/>
          <w:szCs w:val="28"/>
          <w:highlight w:val="none"/>
          <w:lang w:val="en-US" w:eastAsia="zh-CN" w:bidi="ar-SA"/>
        </w:rPr>
        <w:t>现有软件环境</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5FB45285">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4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按照“省市共建、市县一体”的原则整合建设了滁州市公共资源交易平台系统，打造“一网三平台”交易体系，即滁州市公共资源交易中心网，交易平台、服务平台、监管平台，全市项目统一使用滁州市公共资源交易平台系统交易。</w:t>
      </w:r>
      <w:r>
        <w:rPr>
          <w:rFonts w:hint="default" w:ascii="宋体" w:hAnsi="宋体" w:eastAsia="宋体" w:cs="Times New Roman"/>
          <w:b w:val="0"/>
          <w:bCs w:val="0"/>
          <w:color w:val="auto"/>
          <w:kern w:val="2"/>
          <w:sz w:val="21"/>
          <w:szCs w:val="24"/>
          <w:highlight w:val="none"/>
          <w:lang w:val="en-US" w:eastAsia="zh-CN" w:bidi="ar-SA"/>
        </w:rPr>
        <w:t>2016年</w:t>
      </w:r>
      <w:r>
        <w:rPr>
          <w:rFonts w:hint="eastAsia" w:ascii="宋体" w:hAnsi="宋体" w:eastAsia="宋体" w:cs="Times New Roman"/>
          <w:b w:val="0"/>
          <w:bCs w:val="0"/>
          <w:color w:val="auto"/>
          <w:kern w:val="2"/>
          <w:sz w:val="21"/>
          <w:szCs w:val="24"/>
          <w:highlight w:val="none"/>
          <w:lang w:val="en-US" w:eastAsia="zh-CN" w:bidi="ar-SA"/>
        </w:rPr>
        <w:t>底</w:t>
      </w:r>
      <w:r>
        <w:rPr>
          <w:rFonts w:hint="default" w:ascii="宋体" w:hAnsi="宋体" w:eastAsia="宋体" w:cs="Times New Roman"/>
          <w:b w:val="0"/>
          <w:bCs w:val="0"/>
          <w:color w:val="auto"/>
          <w:kern w:val="2"/>
          <w:sz w:val="21"/>
          <w:szCs w:val="24"/>
          <w:highlight w:val="none"/>
          <w:lang w:val="en-US" w:eastAsia="zh-CN" w:bidi="ar-SA"/>
        </w:rPr>
        <w:t>，滁州市就陆续在建设工程、政府采购、其他交易等项目上，实现了招、投、开、评、定全流程电子化交易，招投标全流程业务都可以在线上办理，2019年疫情暴发后，滁州在全省率先实现开标不见面、投标不出门。</w:t>
      </w:r>
      <w:r>
        <w:rPr>
          <w:rFonts w:hint="eastAsia" w:ascii="宋体" w:hAnsi="宋体" w:eastAsia="宋体" w:cs="Times New Roman"/>
          <w:b w:val="0"/>
          <w:bCs w:val="0"/>
          <w:color w:val="auto"/>
          <w:kern w:val="2"/>
          <w:sz w:val="21"/>
          <w:szCs w:val="24"/>
          <w:highlight w:val="none"/>
          <w:lang w:val="en-US" w:eastAsia="zh-CN" w:bidi="ar-SA"/>
        </w:rPr>
        <w:t>2023年，建设“交易掌上办”，打破物理限制，实现掌上开标、开具电子保函等招投标活动移动端办理，推行双盲远程异地评标，打破专家本地熟人圈，保障项目公平公正评审。</w:t>
      </w:r>
    </w:p>
    <w:p w14:paraId="48DB8593">
      <w:pPr>
        <w:spacing w:beforeLines="0" w:afterLines="0"/>
        <w:jc w:val="center"/>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滁州市公共资源交易平台系统现有软件情况如下：</w:t>
      </w:r>
    </w:p>
    <w:tbl>
      <w:tblPr>
        <w:tblStyle w:val="37"/>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640"/>
        <w:gridCol w:w="7308"/>
      </w:tblGrid>
      <w:tr w14:paraId="6143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D55900">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业务系统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B0AC3">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系统介绍</w:t>
            </w:r>
          </w:p>
        </w:tc>
      </w:tr>
      <w:tr w14:paraId="2121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7D8292">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电子服务系统</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1416800">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滁州市公共资源交易公共服务系统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6056E">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提供交易项目登记受理审核，公告公示完整性审核等，为交易信息汇集、共享和发布提供在线服务。</w:t>
            </w:r>
          </w:p>
        </w:tc>
      </w:tr>
      <w:tr w14:paraId="36D3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F46FA3">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CB6314A">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滁州市公共资源交易大数据分析系统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FC1BD">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汇聚交易数据，通过大数据可视化能力，快速了解本地公共资源交易情况;运用大数据分析成果，为交易信息监管提供线索。</w:t>
            </w:r>
          </w:p>
        </w:tc>
      </w:tr>
      <w:tr w14:paraId="2724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317D83">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09B6CCD">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滁州电子档案管理系统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63CF6">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归集交易项目全过程电子化数据，按照档案目录形式展示，提供档案归档、存储、查阅功能。</w:t>
            </w:r>
          </w:p>
        </w:tc>
      </w:tr>
      <w:tr w14:paraId="0D2A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34C5B9">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6648BA7">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金融服务平台</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34580">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含电子保函和中标贷，为市场主体提供在线金融服务：在线开具电子保函、办理贷款等业务；</w:t>
            </w:r>
          </w:p>
        </w:tc>
      </w:tr>
      <w:tr w14:paraId="704F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FEC477">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EB5D428">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网站及网站管理后台</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90E21">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实现交易信息集中发布、交易主体信息及信用信息公示、相关政务信息的公开发布、信息查询等。同时公布与各级、各类电子交易系统、监督平台等的对接连通情况。</w:t>
            </w:r>
          </w:p>
        </w:tc>
      </w:tr>
      <w:tr w14:paraId="0616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70B6472">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电子监管系统</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A3CC35F">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滁州市公共资源交易电子监管系统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F282F7">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为行政监督部门、纪委监委、审计部门提供在线监督通道，提供信用、监管信息录入功能。</w:t>
            </w:r>
          </w:p>
        </w:tc>
      </w:tr>
      <w:tr w14:paraId="73E0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821A7C">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8B0EB56">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滁州市国有资金投资项目标后监管平台</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BC29F">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为项且标后履约情况提供在线监管通道，提供履约情况录入，项目人员考勤等功能。</w:t>
            </w:r>
          </w:p>
        </w:tc>
      </w:tr>
      <w:tr w14:paraId="60FD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tcBorders>
              <w:top w:val="single" w:color="auto" w:sz="4" w:space="0"/>
              <w:left w:val="single" w:color="auto" w:sz="4" w:space="0"/>
              <w:right w:val="single" w:color="auto" w:sz="4" w:space="0"/>
              <w:tl2br w:val="nil"/>
              <w:tr2bl w:val="nil"/>
            </w:tcBorders>
            <w:noWrap w:val="0"/>
            <w:vAlign w:val="center"/>
          </w:tcPr>
          <w:p w14:paraId="0E7FDE9F">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电子交易系统</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1688FA1">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滁州市不见面开标系统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9A1F2">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为市场主体提供在线开标服务，提供在线解密、唱标、交流等线上服务。</w:t>
            </w:r>
          </w:p>
        </w:tc>
      </w:tr>
      <w:tr w14:paraId="4470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l2br w:val="nil"/>
              <w:tr2bl w:val="nil"/>
            </w:tcBorders>
            <w:noWrap w:val="0"/>
            <w:vAlign w:val="center"/>
          </w:tcPr>
          <w:p w14:paraId="03E7C6B1">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0CA41D1">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业务交易管理平台</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6999BC">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为交易主体提供业务交易管理相关功能。</w:t>
            </w:r>
          </w:p>
        </w:tc>
      </w:tr>
      <w:tr w14:paraId="22C4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l2br w:val="nil"/>
              <w:tr2bl w:val="nil"/>
            </w:tcBorders>
            <w:noWrap w:val="0"/>
            <w:vAlign w:val="center"/>
          </w:tcPr>
          <w:p w14:paraId="05DE3931">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8D582AA">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中介超市</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BF668">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提供招标代理机构日常管理服务;提供建设单位线上选取项且招标代理机构服务。</w:t>
            </w:r>
          </w:p>
        </w:tc>
      </w:tr>
      <w:tr w14:paraId="62C8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l2br w:val="nil"/>
              <w:tr2bl w:val="nil"/>
            </w:tcBorders>
            <w:noWrap w:val="0"/>
            <w:vAlign w:val="center"/>
          </w:tcPr>
          <w:p w14:paraId="4670B084">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77FEF13">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交易系统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61079">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为招标人、招标代理、投标人等市场主体提供在线交易服务，包含项目招标、投标、定标、合同签订等。</w:t>
            </w:r>
          </w:p>
        </w:tc>
      </w:tr>
      <w:tr w14:paraId="2BE8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l2br w:val="nil"/>
              <w:tr2bl w:val="nil"/>
            </w:tcBorders>
            <w:noWrap w:val="0"/>
            <w:vAlign w:val="center"/>
          </w:tcPr>
          <w:p w14:paraId="67F72F0A">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D0B9F48">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土地竞价系统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E64D93">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为市场主体提供线上土地竞价服务。</w:t>
            </w:r>
          </w:p>
        </w:tc>
      </w:tr>
      <w:tr w14:paraId="5A34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l2br w:val="nil"/>
              <w:tr2bl w:val="nil"/>
            </w:tcBorders>
            <w:noWrap w:val="0"/>
            <w:vAlign w:val="center"/>
          </w:tcPr>
          <w:p w14:paraId="4388367E">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426998B">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产权竞价系统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56B1A">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为市场主体提供线上产权竞价服务</w:t>
            </w:r>
          </w:p>
        </w:tc>
      </w:tr>
      <w:tr w14:paraId="5FF3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l2br w:val="nil"/>
              <w:tr2bl w:val="nil"/>
            </w:tcBorders>
            <w:noWrap w:val="0"/>
            <w:vAlign w:val="center"/>
          </w:tcPr>
          <w:p w14:paraId="00134904">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C607557">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评标系统</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61CDB">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提供交易项目投标文件电子化评标评审功能。</w:t>
            </w:r>
          </w:p>
        </w:tc>
      </w:tr>
      <w:tr w14:paraId="2A6E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bottom w:val="single" w:color="auto" w:sz="4" w:space="0"/>
              <w:right w:val="single" w:color="auto" w:sz="4" w:space="0"/>
              <w:tl2br w:val="nil"/>
              <w:tr2bl w:val="nil"/>
            </w:tcBorders>
            <w:noWrap w:val="0"/>
            <w:vAlign w:val="center"/>
          </w:tcPr>
          <w:p w14:paraId="5B6EE961">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eastAsia" w:ascii="宋体" w:hAnsi="宋体" w:eastAsia="宋体" w:cs="Times New Roman"/>
                <w:b w:val="0"/>
                <w:bCs w:val="0"/>
                <w:color w:val="auto"/>
                <w:kern w:val="2"/>
                <w:sz w:val="21"/>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ED28A5D">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center"/>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交易掌上办</w:t>
            </w:r>
          </w:p>
        </w:tc>
        <w:tc>
          <w:tcPr>
            <w:tcW w:w="73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96403A">
            <w:pPr>
              <w:pStyle w:val="141"/>
              <w:keepNext w:val="0"/>
              <w:keepLines w:val="0"/>
              <w:pageBreakBefore w:val="0"/>
              <w:widowControl w:val="0"/>
              <w:kinsoku/>
              <w:wordWrap/>
              <w:overflowPunct/>
              <w:topLinePunct w:val="0"/>
              <w:autoSpaceDE/>
              <w:autoSpaceDN/>
              <w:bidi w:val="0"/>
              <w:adjustRightInd/>
              <w:snapToGrid/>
              <w:spacing w:beforeLines="0" w:line="440" w:lineRule="exact"/>
              <w:ind w:firstLine="0" w:firstLineChars="0"/>
              <w:jc w:val="left"/>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市场主体（皖企通）、工作人员（皖政通）在移动端办理招投标业务。</w:t>
            </w:r>
          </w:p>
        </w:tc>
      </w:tr>
    </w:tbl>
    <w:p w14:paraId="0DD7098B">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4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四、本次招标服务内容及要求</w:t>
      </w:r>
    </w:p>
    <w:p w14:paraId="5490776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default" w:ascii="宋体" w:hAnsi="宋体" w:eastAsia="宋体" w:cs="Times New Roman"/>
          <w:b/>
          <w:bCs/>
          <w:color w:val="auto"/>
          <w:kern w:val="2"/>
          <w:sz w:val="21"/>
          <w:szCs w:val="24"/>
          <w:highlight w:val="none"/>
          <w:lang w:val="en-US" w:eastAsia="zh-CN" w:bidi="ar-SA"/>
        </w:rPr>
      </w:pPr>
      <w:bookmarkStart w:id="115" w:name="_Toc11280"/>
      <w:bookmarkStart w:id="116" w:name="_Toc148980147"/>
      <w:bookmarkStart w:id="117" w:name="_Toc138615914"/>
      <w:bookmarkStart w:id="118" w:name="_Toc5152"/>
      <w:bookmarkStart w:id="119" w:name="_Toc11015"/>
      <w:bookmarkStart w:id="120" w:name="_Toc658225649"/>
      <w:bookmarkStart w:id="121" w:name="_Toc1760949866"/>
      <w:bookmarkStart w:id="122" w:name="_Toc206"/>
      <w:bookmarkStart w:id="123" w:name="_Toc26416"/>
      <w:bookmarkStart w:id="124" w:name="_Toc18655"/>
      <w:bookmarkStart w:id="125" w:name="_Toc15579"/>
      <w:bookmarkStart w:id="126" w:name="_Toc960347035"/>
      <w:bookmarkStart w:id="127" w:name="_Toc3048"/>
      <w:r>
        <w:rPr>
          <w:rFonts w:hint="eastAsia" w:ascii="宋体" w:hAnsi="宋体" w:eastAsia="宋体" w:cs="Times New Roman"/>
          <w:b/>
          <w:bCs/>
          <w:color w:val="auto"/>
          <w:kern w:val="2"/>
          <w:sz w:val="21"/>
          <w:szCs w:val="24"/>
          <w:highlight w:val="none"/>
          <w:lang w:val="en-US" w:eastAsia="zh-CN" w:bidi="ar-SA"/>
        </w:rPr>
        <w:t>（一）</w:t>
      </w:r>
      <w:r>
        <w:rPr>
          <w:rFonts w:hint="default" w:ascii="宋体" w:hAnsi="宋体" w:eastAsia="宋体" w:cs="Times New Roman"/>
          <w:b/>
          <w:bCs/>
          <w:color w:val="auto"/>
          <w:kern w:val="2"/>
          <w:sz w:val="21"/>
          <w:szCs w:val="24"/>
          <w:highlight w:val="none"/>
          <w:lang w:val="en-US" w:eastAsia="zh-CN" w:bidi="ar-SA"/>
        </w:rPr>
        <w:t>业务需求</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54EB1E7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本项目为评标专家打造贯穿评审全流程辅助，通过AI深度学习解析招标文件，精准提炼项目建设需求、评标办法、评分条件等关键信息，结合评标纪律、评审注意事项、评审操作流程等内容，构建评审所需掌握的项目要点、系统操作等内容，在评审开始前，帮助专家快速掌握项目评审要素，熟悉评标流程，提高评标质效。评标过程，打造全流程智能引导，通过新建专家回避、投标保证金查询、暗标格式清标、打分分值智能校验等功能，将专家从事务性劳动中解放出来，发挥专家专业特长，服务评标评审。</w:t>
      </w:r>
    </w:p>
    <w:p w14:paraId="0C862EB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default" w:ascii="宋体" w:hAnsi="宋体" w:eastAsia="宋体" w:cs="Times New Roman"/>
          <w:b/>
          <w:bCs/>
          <w:color w:val="auto"/>
          <w:kern w:val="2"/>
          <w:sz w:val="21"/>
          <w:szCs w:val="24"/>
          <w:highlight w:val="none"/>
          <w:lang w:val="en-US" w:eastAsia="zh-CN" w:bidi="ar-SA"/>
        </w:rPr>
      </w:pPr>
      <w:bookmarkStart w:id="128" w:name="_Toc138615915"/>
      <w:bookmarkStart w:id="129" w:name="_Toc148980148"/>
      <w:bookmarkStart w:id="130" w:name="_Toc23946"/>
      <w:bookmarkStart w:id="131" w:name="_Toc7755"/>
      <w:bookmarkStart w:id="132" w:name="_Toc14442"/>
      <w:bookmarkStart w:id="133" w:name="_Toc12827"/>
      <w:bookmarkStart w:id="134" w:name="_Toc1811092749"/>
      <w:bookmarkStart w:id="135" w:name="_Toc21141"/>
      <w:bookmarkStart w:id="136" w:name="_Toc525308319"/>
      <w:bookmarkStart w:id="137" w:name="_Toc8914"/>
      <w:bookmarkStart w:id="138" w:name="_Toc6129"/>
      <w:bookmarkStart w:id="139" w:name="_Toc819"/>
      <w:bookmarkStart w:id="140" w:name="_Toc1868745742"/>
      <w:r>
        <w:rPr>
          <w:rFonts w:hint="eastAsia" w:ascii="宋体" w:hAnsi="宋体" w:eastAsia="宋体" w:cs="Times New Roman"/>
          <w:b/>
          <w:bCs/>
          <w:color w:val="auto"/>
          <w:kern w:val="2"/>
          <w:sz w:val="21"/>
          <w:szCs w:val="24"/>
          <w:highlight w:val="none"/>
          <w:lang w:val="en-US" w:eastAsia="zh-CN" w:bidi="ar-SA"/>
        </w:rPr>
        <w:t>（二）</w:t>
      </w:r>
      <w:r>
        <w:rPr>
          <w:rFonts w:hint="default" w:ascii="宋体" w:hAnsi="宋体" w:eastAsia="宋体" w:cs="Times New Roman"/>
          <w:b/>
          <w:bCs/>
          <w:color w:val="auto"/>
          <w:kern w:val="2"/>
          <w:sz w:val="21"/>
          <w:szCs w:val="24"/>
          <w:highlight w:val="none"/>
          <w:lang w:val="en-US" w:eastAsia="zh-CN" w:bidi="ar-SA"/>
        </w:rPr>
        <w:t>功能需求</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68A26D5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本项目基于封闭评标场景，面向专家提供评审相关的智能化辅助服务，旨在提高评审质效，建设内容如下：</w:t>
      </w:r>
    </w:p>
    <w:p w14:paraId="15C4986B">
      <w:pPr>
        <w:keepNext w:val="0"/>
        <w:keepLines w:val="0"/>
        <w:pageBreakBefore w:val="0"/>
        <w:widowControl w:val="0"/>
        <w:numPr>
          <w:ilvl w:val="0"/>
          <w:numId w:val="8"/>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eastAsia" w:ascii="宋体" w:hAnsi="宋体" w:eastAsia="宋体" w:cs="Times New Roman"/>
          <w:b/>
          <w:bCs/>
          <w:color w:val="auto"/>
          <w:kern w:val="2"/>
          <w:sz w:val="21"/>
          <w:szCs w:val="24"/>
          <w:highlight w:val="none"/>
          <w:lang w:val="en-US" w:eastAsia="zh-CN" w:bidi="ar-SA"/>
        </w:rPr>
      </w:pPr>
      <w:r>
        <w:rPr>
          <w:rFonts w:hint="default" w:ascii="宋体" w:hAnsi="宋体" w:eastAsia="宋体" w:cs="Times New Roman"/>
          <w:b/>
          <w:bCs/>
          <w:color w:val="auto"/>
          <w:kern w:val="2"/>
          <w:sz w:val="21"/>
          <w:szCs w:val="24"/>
          <w:highlight w:val="none"/>
          <w:lang w:val="en-US" w:eastAsia="zh-CN" w:bidi="ar-SA"/>
        </w:rPr>
        <w:t>搭建评审要点，熟悉系统操作，辅助专家快速掌握项目评审关键信息</w:t>
      </w:r>
      <w:r>
        <w:rPr>
          <w:rFonts w:hint="eastAsia" w:ascii="宋体" w:hAnsi="宋体" w:eastAsia="宋体" w:cs="Times New Roman"/>
          <w:b/>
          <w:bCs/>
          <w:color w:val="auto"/>
          <w:kern w:val="2"/>
          <w:sz w:val="21"/>
          <w:szCs w:val="24"/>
          <w:highlight w:val="none"/>
          <w:lang w:val="en-US" w:eastAsia="zh-CN" w:bidi="ar-SA"/>
        </w:rPr>
        <w:t>：</w:t>
      </w:r>
    </w:p>
    <w:p w14:paraId="3AC86D8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建设范围：滁州市进场交易评标评审项目。专家登录评标系统，进入项目后，快速学习“评审要点”和“系统操作”，评审过程中，支持返回查看“评审要点”和“系统操作”内容。</w:t>
      </w:r>
    </w:p>
    <w:p w14:paraId="29E08C8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评审要点讲解。对进场交易评标评审项目招标（澄清）公告、文件进行解析，提炼项目建设背景及内容、资质条件、资格审查、评标办法、评分条件、废标条款等关键信息，形成5分钟左右简短的“项目评审要点”，支持快速查找定位及语音播报。例如：点击“评审要点”中的“建设内容”，即能快递、准确定位并显示招标（澄清）公告、文件的“建设内容”具体描述。</w:t>
      </w:r>
    </w:p>
    <w:p w14:paraId="72B32A8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（2）系统操作引导。以视频形式</w:t>
      </w:r>
      <w:r>
        <w:rPr>
          <w:rFonts w:hint="eastAsia" w:ascii="宋体" w:hAnsi="宋体" w:cs="Times New Roman"/>
          <w:b w:val="0"/>
          <w:bCs w:val="0"/>
          <w:color w:val="auto"/>
          <w:kern w:val="2"/>
          <w:sz w:val="21"/>
          <w:szCs w:val="24"/>
          <w:highlight w:val="none"/>
          <w:lang w:val="en-US" w:eastAsia="zh-CN" w:bidi="ar-SA"/>
        </w:rPr>
        <w:t>（能便于专家直观学习的更优形式也可）</w:t>
      </w:r>
      <w:r>
        <w:rPr>
          <w:rFonts w:hint="default" w:ascii="宋体" w:hAnsi="宋体" w:eastAsia="宋体" w:cs="Times New Roman"/>
          <w:b w:val="0"/>
          <w:bCs w:val="0"/>
          <w:color w:val="auto"/>
          <w:kern w:val="2"/>
          <w:sz w:val="21"/>
          <w:szCs w:val="24"/>
          <w:highlight w:val="none"/>
          <w:lang w:val="en-US" w:eastAsia="zh-CN" w:bidi="ar-SA"/>
        </w:rPr>
        <w:t>，对进场交易评标评审项目的操作流程、步骤、重要功能菜单进行说明，方便专家快速掌握。</w:t>
      </w:r>
    </w:p>
    <w:p w14:paraId="0339C5F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default" w:ascii="宋体" w:hAnsi="宋体" w:eastAsia="宋体" w:cs="Times New Roman"/>
          <w:b/>
          <w:bCs/>
          <w:color w:val="auto"/>
          <w:kern w:val="2"/>
          <w:sz w:val="21"/>
          <w:szCs w:val="24"/>
          <w:highlight w:val="none"/>
          <w:lang w:val="en-US" w:eastAsia="zh-CN" w:bidi="ar-SA"/>
        </w:rPr>
      </w:pPr>
      <w:r>
        <w:rPr>
          <w:rFonts w:hint="eastAsia" w:ascii="宋体" w:hAnsi="宋体" w:eastAsia="宋体" w:cs="Times New Roman"/>
          <w:b/>
          <w:bCs/>
          <w:color w:val="auto"/>
          <w:kern w:val="2"/>
          <w:sz w:val="21"/>
          <w:szCs w:val="24"/>
          <w:highlight w:val="none"/>
          <w:lang w:val="en-US" w:eastAsia="zh-CN" w:bidi="ar-SA"/>
        </w:rPr>
        <w:t>2</w:t>
      </w:r>
      <w:r>
        <w:rPr>
          <w:rFonts w:hint="default" w:ascii="宋体" w:hAnsi="宋体" w:eastAsia="宋体" w:cs="Times New Roman"/>
          <w:b/>
          <w:bCs/>
          <w:color w:val="auto"/>
          <w:kern w:val="2"/>
          <w:sz w:val="21"/>
          <w:szCs w:val="24"/>
          <w:highlight w:val="none"/>
          <w:lang w:val="en-US" w:eastAsia="zh-CN" w:bidi="ar-SA"/>
        </w:rPr>
        <w:t>、搭建智能问答，为专家提供政策文件、案例查询服务</w:t>
      </w:r>
      <w:r>
        <w:rPr>
          <w:rFonts w:hint="eastAsia" w:ascii="宋体" w:hAnsi="宋体" w:eastAsia="宋体" w:cs="Times New Roman"/>
          <w:b/>
          <w:bCs/>
          <w:color w:val="auto"/>
          <w:kern w:val="2"/>
          <w:sz w:val="21"/>
          <w:szCs w:val="24"/>
          <w:highlight w:val="none"/>
          <w:lang w:val="en-US" w:eastAsia="zh-CN" w:bidi="ar-SA"/>
        </w:rPr>
        <w:t>：</w:t>
      </w:r>
    </w:p>
    <w:p w14:paraId="120B4C4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搭建评标素材库:包括国家、省级、地方招投标法律法规、示范文本库，投诉、异议、质疑案例库、评标过程常见问题；能对专家提出的评标过程问题进行快速匹配，准确定位与问题相关的材料；建立问题收集、反馈、优化机制，不断提升问题匹配的准确性，为专家评审提供参考。</w:t>
      </w:r>
    </w:p>
    <w:p w14:paraId="65F98DD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（1）法律法规库。归集、建立招投标法律法规及解读文件</w:t>
      </w:r>
      <w:r>
        <w:rPr>
          <w:rFonts w:hint="eastAsia" w:ascii="宋体" w:hAnsi="宋体" w:cs="Times New Roman"/>
          <w:b w:val="0"/>
          <w:bCs w:val="0"/>
          <w:color w:val="auto"/>
          <w:kern w:val="2"/>
          <w:sz w:val="21"/>
          <w:szCs w:val="24"/>
          <w:highlight w:val="none"/>
          <w:lang w:val="en-US" w:eastAsia="zh-CN" w:bidi="ar-SA"/>
        </w:rPr>
        <w:t>等</w:t>
      </w:r>
      <w:r>
        <w:rPr>
          <w:rFonts w:hint="default" w:ascii="宋体" w:hAnsi="宋体" w:eastAsia="宋体" w:cs="Times New Roman"/>
          <w:b w:val="0"/>
          <w:bCs w:val="0"/>
          <w:color w:val="auto"/>
          <w:kern w:val="2"/>
          <w:sz w:val="21"/>
          <w:szCs w:val="24"/>
          <w:highlight w:val="none"/>
          <w:lang w:val="en-US" w:eastAsia="zh-CN" w:bidi="ar-SA"/>
        </w:rPr>
        <w:t>，包括法律条文的背景、目的和具体应用场景。（2）评标过程常见问题。针对滁州市评标过程可能遇到的业务问题、操作问题、易错问题，建立评标过程常见问题库。（3）示范文本库。归集、建立国家、省级、市级行业主管部门的示范文本，帮助专家将项目文件与标准范本进行比对。（4）异议、质疑、投诉案例库。包括不限于归集、建立滁州市公共资源交易领域异议、质疑、投诉的案例库</w:t>
      </w:r>
      <w:r>
        <w:rPr>
          <w:rFonts w:hint="eastAsia" w:ascii="宋体" w:hAnsi="宋体" w:cs="Times New Roman"/>
          <w:b w:val="0"/>
          <w:bCs w:val="0"/>
          <w:color w:val="auto"/>
          <w:kern w:val="2"/>
          <w:sz w:val="21"/>
          <w:szCs w:val="24"/>
          <w:highlight w:val="none"/>
          <w:lang w:val="en-US" w:eastAsia="zh-CN" w:bidi="ar-SA"/>
        </w:rPr>
        <w:t>。</w:t>
      </w:r>
      <w:r>
        <w:rPr>
          <w:rFonts w:hint="default" w:ascii="宋体" w:hAnsi="宋体" w:eastAsia="宋体" w:cs="Times New Roman"/>
          <w:b w:val="0"/>
          <w:bCs w:val="0"/>
          <w:color w:val="auto"/>
          <w:kern w:val="2"/>
          <w:sz w:val="21"/>
          <w:szCs w:val="24"/>
          <w:highlight w:val="none"/>
          <w:lang w:val="en-US" w:eastAsia="zh-CN" w:bidi="ar-SA"/>
        </w:rPr>
        <w:t>案例材料须脱敏处理，素材库提供实时问答服务，能记录历史问题，综合历史提问内容匹配相关的信息。</w:t>
      </w:r>
    </w:p>
    <w:p w14:paraId="778C650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default" w:ascii="宋体" w:hAnsi="宋体" w:eastAsia="宋体" w:cs="Times New Roman"/>
          <w:b/>
          <w:bCs/>
          <w:color w:val="auto"/>
          <w:kern w:val="2"/>
          <w:sz w:val="21"/>
          <w:szCs w:val="24"/>
          <w:highlight w:val="none"/>
          <w:lang w:val="en-US" w:eastAsia="zh-CN" w:bidi="ar-SA"/>
        </w:rPr>
      </w:pPr>
      <w:r>
        <w:rPr>
          <w:rFonts w:hint="eastAsia" w:ascii="宋体" w:hAnsi="宋体" w:eastAsia="宋体" w:cs="Times New Roman"/>
          <w:b/>
          <w:bCs/>
          <w:color w:val="auto"/>
          <w:kern w:val="2"/>
          <w:sz w:val="21"/>
          <w:szCs w:val="24"/>
          <w:highlight w:val="none"/>
          <w:lang w:val="en-US" w:eastAsia="zh-CN" w:bidi="ar-SA"/>
        </w:rPr>
        <w:t>3、建设技术标暗标打分及格式智能校验</w:t>
      </w:r>
      <w:r>
        <w:rPr>
          <w:rFonts w:hint="eastAsia" w:ascii="宋体" w:hAnsi="宋体" w:cs="Times New Roman"/>
          <w:b/>
          <w:bCs/>
          <w:color w:val="auto"/>
          <w:kern w:val="2"/>
          <w:sz w:val="21"/>
          <w:szCs w:val="24"/>
          <w:highlight w:val="none"/>
          <w:lang w:val="en-US" w:eastAsia="zh-CN" w:bidi="ar-SA"/>
        </w:rPr>
        <w:t>：</w:t>
      </w:r>
    </w:p>
    <w:p w14:paraId="2A43722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建设范围：滁州市进场交易技术标打分项目（不含政府采购项目）：</w:t>
      </w:r>
    </w:p>
    <w:p w14:paraId="34B135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4"/>
          <w:highlight w:val="none"/>
          <w:lang w:val="en-US" w:eastAsia="zh-CN" w:bidi="ar-SA"/>
        </w:rPr>
        <w:t>（1）</w:t>
      </w:r>
      <w:r>
        <w:rPr>
          <w:rFonts w:hint="default" w:ascii="宋体" w:hAnsi="宋体" w:eastAsia="宋体" w:cs="Times New Roman"/>
          <w:b w:val="0"/>
          <w:bCs w:val="0"/>
          <w:color w:val="auto"/>
          <w:kern w:val="2"/>
          <w:sz w:val="21"/>
          <w:szCs w:val="24"/>
          <w:highlight w:val="none"/>
          <w:lang w:val="en-US" w:eastAsia="zh-CN" w:bidi="ar-SA"/>
        </w:rPr>
        <w:t>暗标打分校验功能。将评标专家技术标打分分值与招标文件设置分值进行自动比对，检出未按招标文件设置进行打分的情况，提示专家核对，并链接定位招标文件相应分值条款。</w:t>
      </w:r>
    </w:p>
    <w:p w14:paraId="0B5C087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4"/>
          <w:highlight w:val="none"/>
          <w:lang w:val="en-US" w:eastAsia="zh-CN" w:bidi="ar-SA"/>
        </w:rPr>
        <w:t>（2）</w:t>
      </w:r>
      <w:r>
        <w:rPr>
          <w:rFonts w:hint="default" w:ascii="宋体" w:hAnsi="宋体" w:eastAsia="宋体" w:cs="Times New Roman"/>
          <w:b w:val="0"/>
          <w:bCs w:val="0"/>
          <w:color w:val="auto"/>
          <w:kern w:val="2"/>
          <w:sz w:val="21"/>
          <w:szCs w:val="24"/>
          <w:highlight w:val="none"/>
          <w:lang w:val="en-US" w:eastAsia="zh-CN" w:bidi="ar-SA"/>
        </w:rPr>
        <w:t>暗标格式清标功能。开发智能清标及暗标检测功能，实现对文本样式的智能分析比对，能够自动判断出技术标文件的格式是否符合招标文件的要求，对文本的字体格式进行区分展示，自动识别出不符合格式要求的内容并予以提醒，辅助专家进行评审</w:t>
      </w:r>
      <w:r>
        <w:rPr>
          <w:rFonts w:hint="eastAsia" w:ascii="宋体" w:hAnsi="宋体" w:cs="Times New Roman"/>
          <w:b w:val="0"/>
          <w:bCs w:val="0"/>
          <w:color w:val="auto"/>
          <w:kern w:val="2"/>
          <w:sz w:val="21"/>
          <w:szCs w:val="24"/>
          <w:highlight w:val="none"/>
          <w:lang w:val="en-US" w:eastAsia="zh-CN" w:bidi="ar-SA"/>
        </w:rPr>
        <w:t>。</w:t>
      </w:r>
    </w:p>
    <w:p w14:paraId="370DA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eastAsia" w:ascii="宋体" w:hAnsi="宋体" w:eastAsia="宋体" w:cs="Times New Roman"/>
          <w:b/>
          <w:bCs/>
          <w:color w:val="auto"/>
          <w:kern w:val="2"/>
          <w:sz w:val="21"/>
          <w:szCs w:val="24"/>
          <w:highlight w:val="none"/>
          <w:lang w:val="en-US" w:eastAsia="zh-CN" w:bidi="ar-SA"/>
        </w:rPr>
      </w:pPr>
      <w:r>
        <w:rPr>
          <w:rFonts w:hint="eastAsia" w:ascii="宋体" w:hAnsi="宋体" w:eastAsia="宋体" w:cs="Times New Roman"/>
          <w:b/>
          <w:bCs/>
          <w:color w:val="auto"/>
          <w:kern w:val="2"/>
          <w:sz w:val="21"/>
          <w:szCs w:val="24"/>
          <w:highlight w:val="none"/>
          <w:lang w:val="en-US" w:eastAsia="zh-CN" w:bidi="ar-SA"/>
        </w:rPr>
        <w:t>4、流程智能引导：</w:t>
      </w:r>
    </w:p>
    <w:p w14:paraId="74C5843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4"/>
          <w:highlight w:val="none"/>
          <w:lang w:val="en-US" w:eastAsia="zh-CN" w:bidi="ar-SA"/>
        </w:rPr>
        <w:t>（1）</w:t>
      </w:r>
      <w:r>
        <w:rPr>
          <w:rFonts w:hint="default" w:ascii="宋体" w:hAnsi="宋体" w:eastAsia="宋体" w:cs="Times New Roman"/>
          <w:b w:val="0"/>
          <w:bCs w:val="0"/>
          <w:color w:val="auto"/>
          <w:kern w:val="2"/>
          <w:sz w:val="21"/>
          <w:szCs w:val="24"/>
          <w:highlight w:val="none"/>
          <w:lang w:val="en-US" w:eastAsia="zh-CN" w:bidi="ar-SA"/>
        </w:rPr>
        <w:t>针对房建市政项目（7个评标办法、12套流程）每个评审步骤进行语音提示及标签引导，将暗标编号分配、资信、技术、商务得分汇总等操作自动化执行，减少代理机构、专家的事务性工作，提高评审效率。</w:t>
      </w:r>
    </w:p>
    <w:p w14:paraId="28ACC7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4"/>
          <w:highlight w:val="none"/>
          <w:lang w:val="en-US" w:eastAsia="zh-CN" w:bidi="ar-SA"/>
        </w:rPr>
        <w:t>（2）</w:t>
      </w:r>
      <w:r>
        <w:rPr>
          <w:rFonts w:hint="default" w:ascii="宋体" w:hAnsi="宋体" w:eastAsia="宋体" w:cs="Times New Roman"/>
          <w:b w:val="0"/>
          <w:bCs w:val="0"/>
          <w:color w:val="auto"/>
          <w:kern w:val="2"/>
          <w:sz w:val="21"/>
          <w:szCs w:val="24"/>
          <w:highlight w:val="none"/>
          <w:lang w:val="en-US" w:eastAsia="zh-CN" w:bidi="ar-SA"/>
        </w:rPr>
        <w:t>投标保证金智能筛查。针对滁州市进场交易评标评审项目，将现金保证金、电子保函、纸质保函、减免（免交）材料（中小企业声明函等）等材料进行汇总分析，初步判断投标人保证金是否在规定期限、规定账户、足额缴纳，同时支持一键定位纸质保函、中小企业声明函，方便专家查看核对，解决评审时评标专家需要从查询投标文件中，核对纸质保函、减免（免交）材料耗时长等问题。</w:t>
      </w:r>
    </w:p>
    <w:p w14:paraId="20B2925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4"/>
          <w:highlight w:val="none"/>
          <w:lang w:val="en-US" w:eastAsia="zh-CN" w:bidi="ar-SA"/>
        </w:rPr>
        <w:t>（3）</w:t>
      </w:r>
      <w:r>
        <w:rPr>
          <w:rFonts w:hint="default" w:ascii="宋体" w:hAnsi="宋体" w:eastAsia="宋体" w:cs="Times New Roman"/>
          <w:b w:val="0"/>
          <w:bCs w:val="0"/>
          <w:color w:val="auto"/>
          <w:kern w:val="2"/>
          <w:sz w:val="21"/>
          <w:szCs w:val="24"/>
          <w:highlight w:val="none"/>
          <w:lang w:val="en-US" w:eastAsia="zh-CN" w:bidi="ar-SA"/>
        </w:rPr>
        <w:t>新建回避辅助。针对滁州市进场交易评标评审项目，评标开始前，系统汇集、展示项目招标人、代理机构、投标人（尤其是联合体）、专家名称、工作单位等信息，给出初步回避意见，辅助专家判断。</w:t>
      </w:r>
    </w:p>
    <w:p w14:paraId="596AED2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4"/>
          <w:highlight w:val="none"/>
          <w:lang w:val="en-US" w:eastAsia="zh-CN" w:bidi="ar-SA"/>
        </w:rPr>
        <w:t>（4）</w:t>
      </w:r>
      <w:r>
        <w:rPr>
          <w:rFonts w:hint="default" w:ascii="宋体" w:hAnsi="宋体" w:eastAsia="宋体" w:cs="Times New Roman"/>
          <w:b w:val="0"/>
          <w:bCs w:val="0"/>
          <w:color w:val="auto"/>
          <w:kern w:val="2"/>
          <w:sz w:val="21"/>
          <w:szCs w:val="24"/>
          <w:highlight w:val="none"/>
          <w:lang w:val="en-US" w:eastAsia="zh-CN" w:bidi="ar-SA"/>
        </w:rPr>
        <w:t>评标进度协调。针对滁州市进场交易评标评审项目，评标页面上方实时展示各专家集合时间、到达时间，为评标开始做好准备；开始评标后，展示各个专家所处的评审环节、打分提交状态</w:t>
      </w:r>
      <w:r>
        <w:rPr>
          <w:rFonts w:hint="eastAsia" w:ascii="宋体" w:hAnsi="宋体" w:cs="Times New Roman"/>
          <w:b w:val="0"/>
          <w:bCs w:val="0"/>
          <w:color w:val="auto"/>
          <w:kern w:val="2"/>
          <w:sz w:val="21"/>
          <w:szCs w:val="24"/>
          <w:highlight w:val="none"/>
          <w:lang w:val="en-US" w:eastAsia="zh-CN" w:bidi="ar-SA"/>
        </w:rPr>
        <w:t>等</w:t>
      </w:r>
      <w:r>
        <w:rPr>
          <w:rFonts w:hint="default" w:ascii="宋体" w:hAnsi="宋体" w:eastAsia="宋体" w:cs="Times New Roman"/>
          <w:b w:val="0"/>
          <w:bCs w:val="0"/>
          <w:color w:val="auto"/>
          <w:kern w:val="2"/>
          <w:sz w:val="21"/>
          <w:szCs w:val="24"/>
          <w:highlight w:val="none"/>
          <w:lang w:val="en-US" w:eastAsia="zh-CN" w:bidi="ar-SA"/>
        </w:rPr>
        <w:t>，方便评标组长了解组员评标进度。</w:t>
      </w:r>
    </w:p>
    <w:p w14:paraId="19B3BE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Times New Roman"/>
          <w:b w:val="0"/>
          <w:bCs w:val="0"/>
          <w:color w:val="auto"/>
          <w:kern w:val="2"/>
          <w:sz w:val="21"/>
          <w:szCs w:val="24"/>
          <w:highlight w:val="none"/>
          <w:lang w:val="en-US" w:eastAsia="zh-CN" w:bidi="ar-SA"/>
        </w:rPr>
      </w:pPr>
      <w:r>
        <w:rPr>
          <w:rFonts w:hint="default" w:ascii="宋体" w:hAnsi="宋体" w:eastAsia="宋体" w:cs="Times New Roman"/>
          <w:b w:val="0"/>
          <w:bCs w:val="0"/>
          <w:color w:val="auto"/>
          <w:kern w:val="2"/>
          <w:sz w:val="21"/>
          <w:szCs w:val="24"/>
          <w:highlight w:val="none"/>
          <w:lang w:val="en-US" w:eastAsia="zh-CN" w:bidi="ar-SA"/>
        </w:rPr>
        <w:t>涉及滁州市房建市政工程电子范本7个评标办法，12套流程：</w:t>
      </w:r>
      <w:r>
        <w:rPr>
          <w:rFonts w:hint="eastAsia" w:ascii="宋体" w:hAnsi="宋体" w:cs="Times New Roman"/>
          <w:b w:val="0"/>
          <w:bCs w:val="0"/>
          <w:color w:val="auto"/>
          <w:kern w:val="2"/>
          <w:sz w:val="21"/>
          <w:szCs w:val="24"/>
          <w:highlight w:val="none"/>
          <w:lang w:val="en-US" w:eastAsia="zh-CN" w:bidi="ar-SA"/>
        </w:rPr>
        <w:t>（下表所列评标办法及对应流程为项目启动时的暂定范围，项目实施过程中，招标人有权根据实际需求调整支持的评标办法类型及流程细节，中标人须无条件配合完成相应的系统适配、流程调整及功能开发，且不得因此增加费用或延长工期。所有调整以招标人书面通知为准）</w:t>
      </w:r>
    </w:p>
    <w:tbl>
      <w:tblPr>
        <w:tblStyle w:val="37"/>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28"/>
        <w:gridCol w:w="5397"/>
      </w:tblGrid>
      <w:tr w14:paraId="0AF3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A15">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 xml:space="preserve">无范本-滁州综合评分法（资信-技术打分-清标/不清标）技术标明标 </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2C6">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评标准备-初步评审-资信评审-技术评审-商务评审-评标结果的全流程评审操作智能引导</w:t>
            </w:r>
          </w:p>
        </w:tc>
      </w:tr>
      <w:tr w14:paraId="696A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FACF">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 xml:space="preserve">无范本-滁州综合评分法（技术标符合-清标/不清标）技术标明标 </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4773">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评标准备-初步评审-资信评审-技术评审-商务评审-评标结果的全流程评审操作智能引导</w:t>
            </w:r>
          </w:p>
        </w:tc>
      </w:tr>
      <w:tr w14:paraId="2EE3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29CA">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 xml:space="preserve">房建市政范本-滁州工程综合评估法一（清标/不清标）（横向暗标） </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F71B">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评标准备-初步评审-资信评审-技术评审-商务评审-评标结果的全流程评审操作智能引导</w:t>
            </w:r>
          </w:p>
        </w:tc>
      </w:tr>
      <w:tr w14:paraId="34E9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1F99">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房建市政范本-滁州工程综合评估法二（清标/不清标）（横向暗标）</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46D7">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评标准备-初步评审-资信评审-技术评审-商务评审-评标结果的全流程评审操作智能引导</w:t>
            </w:r>
          </w:p>
        </w:tc>
      </w:tr>
      <w:tr w14:paraId="5482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D0AE">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房建市政范本-滁州工程总承包EPC综合评估法（不清标）（横向暗标）</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617">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评标准备-初步评审-资信评审-技术评审-商务评审-评标结果的全流程评审操作智能引导</w:t>
            </w:r>
          </w:p>
        </w:tc>
      </w:tr>
      <w:tr w14:paraId="74E3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63A1">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房建市政范本-滁州合理价格竞争法（清标）</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982F">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评标准备-初步评审-资信评审-技术评审-商务评审-评标结果的全流程评审操作智能引导</w:t>
            </w:r>
          </w:p>
        </w:tc>
      </w:tr>
      <w:tr w14:paraId="2CA2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103">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房建市政范本-新版信价量化法评标办法（清标）（分为房建市政清单/水利清单）</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0545">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0" w:rightChars="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评标准备-初步评审-资信评审-技术评审-商务评审-评标结果的全流程评审操作智能引导</w:t>
            </w:r>
          </w:p>
        </w:tc>
      </w:tr>
    </w:tbl>
    <w:p w14:paraId="6745BCC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eastAsia" w:ascii="宋体" w:hAnsi="宋体" w:eastAsia="宋体" w:cs="Times New Roman"/>
          <w:b/>
          <w:bCs/>
          <w:color w:val="auto"/>
          <w:kern w:val="2"/>
          <w:sz w:val="21"/>
          <w:szCs w:val="24"/>
          <w:highlight w:val="none"/>
          <w:lang w:val="en-US" w:eastAsia="zh-CN" w:bidi="ar-SA"/>
        </w:rPr>
      </w:pPr>
      <w:bookmarkStart w:id="141" w:name="_Toc6918"/>
      <w:bookmarkStart w:id="142" w:name="_Toc927932960"/>
      <w:bookmarkStart w:id="143" w:name="_Toc305955750"/>
      <w:bookmarkStart w:id="144" w:name="_Toc24880"/>
      <w:bookmarkStart w:id="145" w:name="_Toc1768098827"/>
      <w:bookmarkStart w:id="146" w:name="_Toc148980149"/>
      <w:r>
        <w:rPr>
          <w:rFonts w:hint="eastAsia" w:ascii="宋体" w:hAnsi="宋体" w:eastAsia="宋体" w:cs="Times New Roman"/>
          <w:b/>
          <w:bCs/>
          <w:color w:val="auto"/>
          <w:kern w:val="2"/>
          <w:sz w:val="21"/>
          <w:szCs w:val="24"/>
          <w:highlight w:val="none"/>
          <w:lang w:val="en-US" w:eastAsia="zh-CN" w:bidi="ar-SA"/>
        </w:rPr>
        <w:t>(三）</w:t>
      </w:r>
      <w:bookmarkEnd w:id="141"/>
      <w:bookmarkEnd w:id="142"/>
      <w:bookmarkEnd w:id="143"/>
      <w:bookmarkEnd w:id="144"/>
      <w:bookmarkEnd w:id="145"/>
      <w:bookmarkEnd w:id="146"/>
      <w:bookmarkStart w:id="147" w:name="_Toc27162"/>
      <w:bookmarkStart w:id="148" w:name="_Toc26080"/>
      <w:bookmarkStart w:id="149" w:name="_Toc18502"/>
      <w:bookmarkStart w:id="150" w:name="_Toc138615916"/>
      <w:bookmarkStart w:id="151" w:name="_Toc678359514"/>
      <w:bookmarkStart w:id="152" w:name="_Toc2108551913"/>
      <w:bookmarkStart w:id="153" w:name="_Toc2144044224"/>
      <w:bookmarkStart w:id="154" w:name="_Toc17788"/>
      <w:bookmarkStart w:id="155" w:name="_Toc9557"/>
      <w:bookmarkStart w:id="156" w:name="_Toc6673"/>
      <w:bookmarkStart w:id="157" w:name="_Toc148980150"/>
      <w:bookmarkStart w:id="158" w:name="_Toc20043"/>
      <w:bookmarkStart w:id="159" w:name="_Toc18452"/>
      <w:bookmarkStart w:id="160" w:name="_Toc25807"/>
      <w:r>
        <w:rPr>
          <w:rFonts w:hint="eastAsia" w:ascii="宋体" w:hAnsi="宋体" w:eastAsia="宋体" w:cs="Times New Roman"/>
          <w:b/>
          <w:bCs/>
          <w:color w:val="auto"/>
          <w:kern w:val="2"/>
          <w:sz w:val="21"/>
          <w:szCs w:val="24"/>
          <w:highlight w:val="none"/>
          <w:lang w:val="en-US" w:eastAsia="zh-CN" w:bidi="ar-SA"/>
        </w:rPr>
        <w:t>建设依据</w:t>
      </w:r>
    </w:p>
    <w:p w14:paraId="0819AB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（1）《国务院关于深入实施“人工智能+”行动的意见》（国发〔2025〕11号）：“加快人工智能在各类公共资源招标投标活动中的应用，提升智能交易服务和监管水平。”</w:t>
      </w:r>
    </w:p>
    <w:p w14:paraId="0C95214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(2)《关于加快招标投标领域人工智能推广应用的实施意见》(发改法规〔2026〕195号)：“推动招标投标和人工智能深度融合、促进招标投标市场规范健康发展”。</w:t>
      </w:r>
    </w:p>
    <w:p w14:paraId="125D6F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(3)《安徽省公共资源交易监督管理联席会议办公室2026年全省公共资源交易工作要点》（皖公管联办〔2026〕1号）：“2026年底前，按照差异化布局、小切口推进，成熟一个、推广一个”的原则，积极推进人工智能在更多场景探索应用。”</w:t>
      </w:r>
    </w:p>
    <w:p w14:paraId="137E1A4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(4)《安徽省“人工智能+万物”应用行动方案》（皖政发〔2025〕15号）：“加快推动“人工智能+”招标投标。支持文件智能生成及合规质检、投标文件异常检测、智能辅助评标等研发应用，实现招标文件科学规范编制及合规问题智能发现、投标文件异常问题智能预警、专家评标智能辅助等功能。”</w:t>
      </w:r>
    </w:p>
    <w:p w14:paraId="5AA341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(5)《安徽省发展改革委关于在部分地方小切口探索推进“AI+招标投标”工作的通知》：“加快推进人工智能大模型赋能招投标工作”。</w:t>
      </w:r>
    </w:p>
    <w:p w14:paraId="37C89B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(6)《国家发展改革委办公厅关于加快推广远程异地评标的通知》(发改办法规〔2025]807号）、《国务院办公厅关于创新完善体制机制推动招标投标市场规范健康发展的意见》（国办发{2024}21号）、《安徽省发展改革委关于印发安徽省创新完善体制机制推动招标投标市场规范健康发展重点任务清单的通知》（皖发改公管{2024}460号）、《安徽省发展改革委关于推动远程异地评标常态化运行的通知》文件指出:“常态化推行远程异地评标”。</w:t>
      </w:r>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10B0322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bookmarkStart w:id="161" w:name="_Toc5432"/>
      <w:bookmarkStart w:id="162" w:name="_Toc32586"/>
      <w:bookmarkStart w:id="163" w:name="_Toc1036"/>
      <w:bookmarkStart w:id="164" w:name="_Toc148980151"/>
      <w:bookmarkStart w:id="165" w:name="_Toc27113"/>
      <w:bookmarkStart w:id="166" w:name="_Toc7692"/>
      <w:bookmarkStart w:id="167" w:name="_Toc20380"/>
      <w:bookmarkStart w:id="168" w:name="_Toc15553"/>
      <w:bookmarkStart w:id="169" w:name="_Toc2193"/>
      <w:bookmarkStart w:id="170" w:name="_Toc975627360"/>
      <w:bookmarkStart w:id="171" w:name="_Toc138615917"/>
      <w:bookmarkStart w:id="172" w:name="_Toc1385935895"/>
      <w:bookmarkStart w:id="173" w:name="_Toc1249112835"/>
      <w:r>
        <w:rPr>
          <w:rFonts w:hint="eastAsia" w:ascii="宋体" w:hAnsi="宋体" w:cs="宋体"/>
          <w:b/>
          <w:bCs/>
          <w:color w:val="auto"/>
          <w:szCs w:val="21"/>
          <w:highlight w:val="none"/>
          <w:lang w:val="en-US" w:eastAsia="zh-CN"/>
        </w:rPr>
        <w:t>（四）</w:t>
      </w:r>
      <w:r>
        <w:rPr>
          <w:rFonts w:hint="default" w:ascii="宋体" w:hAnsi="宋体" w:eastAsia="宋体" w:cs="宋体"/>
          <w:b/>
          <w:bCs/>
          <w:color w:val="auto"/>
          <w:szCs w:val="21"/>
          <w:highlight w:val="none"/>
          <w:lang w:val="en-US" w:eastAsia="zh-CN"/>
        </w:rPr>
        <w:t>安全需求</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387AE0F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本项目建设内容与滁州市公共资源交易平台系统服务子系统、评标子系统存在数据交互，我单位建设的滁州市公共资源交易平台系统定级备案为第三级，结合《信息安全等级保护管理办法》、《信息安全技术网络安全等级保护等级指南》（GB/T22240-2020）等要求，本项目以满足信息系统安全保护等级第三级要求进行建设。</w:t>
      </w:r>
    </w:p>
    <w:p w14:paraId="63B2711B">
      <w:pPr>
        <w:pStyle w:val="16"/>
        <w:keepNext w:val="0"/>
        <w:keepLines w:val="0"/>
        <w:pageBreakBefore w:val="0"/>
        <w:widowControl w:val="0"/>
        <w:numPr>
          <w:ilvl w:val="0"/>
          <w:numId w:val="0"/>
        </w:numPr>
        <w:shd w:val="clear"/>
        <w:kinsoku/>
        <w:wordWrap/>
        <w:overflowPunct/>
        <w:topLinePunct w:val="0"/>
        <w:autoSpaceDE/>
        <w:autoSpaceDN/>
        <w:bidi w:val="0"/>
        <w:adjustRightInd/>
        <w:snapToGrid/>
        <w:spacing w:after="0" w:line="440" w:lineRule="exact"/>
        <w:ind w:right="0" w:rightChars="0"/>
        <w:textAlignment w:val="auto"/>
        <w:rPr>
          <w:rFonts w:hint="default" w:hAnsi="宋体" w:cs="Times New Roman"/>
          <w:b/>
          <w:bCs/>
          <w:color w:val="auto"/>
          <w:kern w:val="2"/>
          <w:sz w:val="28"/>
          <w:szCs w:val="28"/>
          <w:highlight w:val="none"/>
          <w:lang w:val="en-US" w:eastAsia="zh-CN" w:bidi="ar-SA"/>
        </w:rPr>
      </w:pPr>
      <w:r>
        <w:rPr>
          <w:rFonts w:hint="eastAsia" w:hAnsi="宋体" w:cs="Times New Roman"/>
          <w:b/>
          <w:bCs/>
          <w:color w:val="auto"/>
          <w:kern w:val="2"/>
          <w:sz w:val="28"/>
          <w:szCs w:val="28"/>
          <w:highlight w:val="none"/>
          <w:lang w:val="en-US" w:eastAsia="zh-CN" w:bidi="ar-SA"/>
        </w:rPr>
        <w:t>五、相关要求</w:t>
      </w:r>
    </w:p>
    <w:p w14:paraId="48ED40A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r>
        <w:rPr>
          <w:rFonts w:hint="default" w:ascii="宋体" w:hAnsi="宋体" w:eastAsia="宋体" w:cs="宋体"/>
          <w:b/>
          <w:bCs/>
          <w:color w:val="auto"/>
          <w:szCs w:val="21"/>
          <w:highlight w:val="none"/>
          <w:lang w:val="en-US" w:eastAsia="zh-CN"/>
        </w:rPr>
        <w:t>驻场开发服务</w:t>
      </w:r>
    </w:p>
    <w:p w14:paraId="5B1F02A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r>
        <w:rPr>
          <w:rFonts w:hint="default" w:ascii="宋体" w:hAnsi="宋体" w:eastAsia="宋体" w:cs="宋体"/>
          <w:b w:val="0"/>
          <w:bCs w:val="0"/>
          <w:color w:val="auto"/>
          <w:szCs w:val="21"/>
          <w:highlight w:val="none"/>
          <w:lang w:val="en-US" w:eastAsia="zh-CN"/>
        </w:rPr>
        <w:t>驻场要求</w:t>
      </w:r>
    </w:p>
    <w:p w14:paraId="15BEE9E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中标人须在合同签订后</w:t>
      </w:r>
      <w:r>
        <w:rPr>
          <w:rFonts w:hint="eastAsia" w:ascii="宋体" w:hAnsi="宋体" w:cs="宋体"/>
          <w:b/>
          <w:bCs/>
          <w:color w:val="auto"/>
          <w:szCs w:val="21"/>
          <w:highlight w:val="none"/>
          <w:lang w:val="en-US" w:eastAsia="zh-CN"/>
        </w:rPr>
        <w:t>5</w:t>
      </w:r>
      <w:r>
        <w:rPr>
          <w:rFonts w:hint="default" w:ascii="宋体" w:hAnsi="宋体" w:eastAsia="宋体" w:cs="宋体"/>
          <w:b/>
          <w:bCs/>
          <w:color w:val="auto"/>
          <w:szCs w:val="21"/>
          <w:highlight w:val="none"/>
          <w:lang w:val="en-US" w:eastAsia="zh-CN"/>
        </w:rPr>
        <w:t>个工作日内派驻专职项目团队驻场开发</w:t>
      </w:r>
      <w:r>
        <w:rPr>
          <w:rFonts w:hint="eastAsia" w:ascii="宋体" w:hAnsi="宋体" w:cs="宋体"/>
          <w:b/>
          <w:bCs/>
          <w:color w:val="auto"/>
          <w:szCs w:val="21"/>
          <w:highlight w:val="none"/>
          <w:lang w:val="en-US" w:eastAsia="zh-CN"/>
        </w:rPr>
        <w:t>。</w:t>
      </w:r>
      <w:r>
        <w:rPr>
          <w:rFonts w:hint="default" w:ascii="宋体" w:hAnsi="宋体" w:eastAsia="宋体" w:cs="宋体"/>
          <w:b/>
          <w:bCs/>
          <w:color w:val="auto"/>
          <w:szCs w:val="21"/>
          <w:highlight w:val="none"/>
          <w:lang w:val="en-US" w:eastAsia="zh-CN"/>
        </w:rPr>
        <w:t>项目</w:t>
      </w:r>
      <w:r>
        <w:rPr>
          <w:rFonts w:hint="eastAsia" w:ascii="宋体" w:hAnsi="宋体" w:cs="宋体"/>
          <w:b/>
          <w:bCs/>
          <w:color w:val="auto"/>
          <w:szCs w:val="21"/>
          <w:highlight w:val="none"/>
          <w:lang w:val="en-US" w:eastAsia="zh-CN"/>
        </w:rPr>
        <w:t>负责人1</w:t>
      </w:r>
      <w:r>
        <w:rPr>
          <w:rFonts w:hint="default" w:ascii="宋体" w:hAnsi="宋体" w:eastAsia="宋体" w:cs="宋体"/>
          <w:b/>
          <w:bCs/>
          <w:color w:val="auto"/>
          <w:szCs w:val="21"/>
          <w:highlight w:val="none"/>
          <w:lang w:val="en-US" w:eastAsia="zh-CN"/>
        </w:rPr>
        <w:t>名、技术负责人</w:t>
      </w:r>
      <w:r>
        <w:rPr>
          <w:rFonts w:hint="eastAsia" w:ascii="宋体" w:hAnsi="宋体" w:cs="宋体"/>
          <w:b/>
          <w:bCs/>
          <w:color w:val="auto"/>
          <w:szCs w:val="21"/>
          <w:highlight w:val="none"/>
          <w:lang w:val="en-US" w:eastAsia="zh-CN"/>
        </w:rPr>
        <w:t>1</w:t>
      </w:r>
      <w:r>
        <w:rPr>
          <w:rFonts w:hint="default" w:ascii="宋体" w:hAnsi="宋体" w:eastAsia="宋体" w:cs="宋体"/>
          <w:b/>
          <w:bCs/>
          <w:color w:val="auto"/>
          <w:szCs w:val="21"/>
          <w:highlight w:val="none"/>
          <w:lang w:val="en-US" w:eastAsia="zh-CN"/>
        </w:rPr>
        <w:t>名</w:t>
      </w:r>
      <w:r>
        <w:rPr>
          <w:rFonts w:hint="eastAsia" w:ascii="宋体" w:hAnsi="宋体" w:cs="宋体"/>
          <w:b/>
          <w:bCs/>
          <w:color w:val="auto"/>
          <w:szCs w:val="21"/>
          <w:highlight w:val="none"/>
          <w:lang w:val="en-US" w:eastAsia="zh-CN"/>
        </w:rPr>
        <w:t>必须按要求驻场，其他人员根据实际情况驻场。</w:t>
      </w:r>
    </w:p>
    <w:p w14:paraId="6B30EC6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驻场地点：滁州市公共资源交易中心指定场所，直至项目验收上线</w:t>
      </w:r>
      <w:r>
        <w:rPr>
          <w:rFonts w:hint="eastAsia" w:ascii="宋体" w:hAnsi="宋体" w:cs="宋体"/>
          <w:b/>
          <w:bCs/>
          <w:color w:val="auto"/>
          <w:szCs w:val="21"/>
          <w:highlight w:val="none"/>
          <w:lang w:val="en-US" w:eastAsia="zh-CN"/>
        </w:rPr>
        <w:t>。</w:t>
      </w:r>
    </w:p>
    <w:p w14:paraId="5467C75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w:t>
      </w:r>
      <w:r>
        <w:rPr>
          <w:rFonts w:hint="default" w:ascii="宋体" w:hAnsi="宋体" w:eastAsia="宋体" w:cs="宋体"/>
          <w:b w:val="0"/>
          <w:bCs w:val="0"/>
          <w:color w:val="auto"/>
          <w:szCs w:val="21"/>
          <w:highlight w:val="none"/>
          <w:lang w:val="en-US" w:eastAsia="zh-CN"/>
        </w:rPr>
        <w:t>驻场工作内容</w:t>
      </w:r>
    </w:p>
    <w:p w14:paraId="6EDDF28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每日需求对接、进度同步、问题闭环</w:t>
      </w:r>
      <w:r>
        <w:rPr>
          <w:rFonts w:hint="eastAsia" w:ascii="宋体" w:hAnsi="宋体" w:cs="宋体"/>
          <w:b w:val="0"/>
          <w:bCs w:val="0"/>
          <w:color w:val="auto"/>
          <w:szCs w:val="21"/>
          <w:highlight w:val="none"/>
          <w:lang w:val="en-US" w:eastAsia="zh-CN"/>
        </w:rPr>
        <w:t>等</w:t>
      </w:r>
    </w:p>
    <w:p w14:paraId="52B67F3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与招标人、交易中心、现有系统厂商现场联调</w:t>
      </w:r>
      <w:r>
        <w:rPr>
          <w:rFonts w:hint="eastAsia" w:ascii="宋体" w:hAnsi="宋体" w:cs="宋体"/>
          <w:b w:val="0"/>
          <w:bCs w:val="0"/>
          <w:color w:val="auto"/>
          <w:szCs w:val="21"/>
          <w:highlight w:val="none"/>
          <w:lang w:val="en-US" w:eastAsia="zh-CN"/>
        </w:rPr>
        <w:t>等</w:t>
      </w:r>
    </w:p>
    <w:p w14:paraId="7224A3C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按周提交进度报告、按里程碑完成交付</w:t>
      </w:r>
      <w:r>
        <w:rPr>
          <w:rFonts w:hint="eastAsia" w:ascii="宋体" w:hAnsi="宋体" w:cs="宋体"/>
          <w:b w:val="0"/>
          <w:bCs w:val="0"/>
          <w:color w:val="auto"/>
          <w:szCs w:val="21"/>
          <w:highlight w:val="none"/>
          <w:lang w:val="en-US" w:eastAsia="zh-CN"/>
        </w:rPr>
        <w:t>等</w:t>
      </w:r>
    </w:p>
    <w:p w14:paraId="66E2C2C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现场处理测试问题、整改优化、配合评审与验收</w:t>
      </w:r>
      <w:r>
        <w:rPr>
          <w:rFonts w:hint="eastAsia" w:ascii="宋体" w:hAnsi="宋体" w:cs="宋体"/>
          <w:b w:val="0"/>
          <w:bCs w:val="0"/>
          <w:color w:val="auto"/>
          <w:szCs w:val="21"/>
          <w:highlight w:val="none"/>
          <w:lang w:val="en-US" w:eastAsia="zh-CN"/>
        </w:rPr>
        <w:t>等</w:t>
      </w:r>
    </w:p>
    <w:p w14:paraId="724EC68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default" w:ascii="宋体" w:hAnsi="宋体" w:eastAsia="宋体" w:cs="宋体"/>
          <w:b w:val="0"/>
          <w:bCs w:val="0"/>
          <w:color w:val="auto"/>
          <w:szCs w:val="21"/>
          <w:highlight w:val="none"/>
          <w:lang w:val="en-US" w:eastAsia="zh-CN"/>
        </w:rPr>
        <w:t>驻场管理</w:t>
      </w:r>
    </w:p>
    <w:p w14:paraId="6F98EE3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服从招标人考勤与工作安排，未经同意不得更换核心人员</w:t>
      </w:r>
    </w:p>
    <w:p w14:paraId="492F298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严格遵守保密规定，签署保密协议，全程不泄露项目数据与评审信息</w:t>
      </w:r>
    </w:p>
    <w:p w14:paraId="68C2557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default" w:ascii="宋体" w:hAnsi="宋体" w:eastAsia="宋体" w:cs="宋体"/>
          <w:b/>
          <w:bCs/>
          <w:color w:val="auto"/>
          <w:szCs w:val="21"/>
          <w:highlight w:val="none"/>
          <w:lang w:val="en-US" w:eastAsia="zh-CN"/>
        </w:rPr>
        <w:t>项目培训的基本要求</w:t>
      </w:r>
    </w:p>
    <w:p w14:paraId="0619692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对采购人及相关业务部门安排全面的人员培训。</w:t>
      </w:r>
    </w:p>
    <w:p w14:paraId="368D940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根据项目的实际情况设计完善的培训计划，组织和编写出完整的培训教材。</w:t>
      </w:r>
    </w:p>
    <w:p w14:paraId="133F6B4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提供最新的文字、音响、电子培训资料。</w:t>
      </w:r>
    </w:p>
    <w:p w14:paraId="7F02E49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接受技术咨询，派人到现场作安装技术指导。</w:t>
      </w:r>
    </w:p>
    <w:p w14:paraId="5634C10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提供培训师资，根据本项目中涉及的不同类型、不同层次对象，安排相应的专业培训师资。对于应用系统的使用培训，要求提供内容详实的培训教材和熟练的培训人员。</w:t>
      </w:r>
    </w:p>
    <w:p w14:paraId="64841DB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w:t>
      </w:r>
      <w:r>
        <w:rPr>
          <w:rFonts w:hint="default" w:ascii="宋体" w:hAnsi="宋体" w:eastAsia="宋体" w:cs="宋体"/>
          <w:b/>
          <w:bCs/>
          <w:color w:val="auto"/>
          <w:szCs w:val="21"/>
          <w:highlight w:val="none"/>
          <w:lang w:val="en-US" w:eastAsia="zh-CN"/>
        </w:rPr>
        <w:t>培训计划</w:t>
      </w:r>
    </w:p>
    <w:p w14:paraId="2406406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对于系统操作人员，将对他们进行一般的电脑、网络、服务器等基础知识培训，使他们能熟练运用各种设备进行日常的工作。</w:t>
      </w:r>
    </w:p>
    <w:p w14:paraId="283598A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对于系统管理人员，将进行重点培训，除了一般的基础的知识，进一步的理论和实践培训，使他们具有一定的理论和实践能力，了解整个系统的构成和各个系统的功能及原理，对一般的故障能有排查和解决的能力。</w:t>
      </w:r>
    </w:p>
    <w:p w14:paraId="789DE8A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w:t>
      </w:r>
      <w:r>
        <w:rPr>
          <w:rFonts w:hint="default" w:ascii="宋体" w:hAnsi="宋体" w:eastAsia="宋体" w:cs="宋体"/>
          <w:b/>
          <w:bCs/>
          <w:color w:val="auto"/>
          <w:szCs w:val="21"/>
          <w:highlight w:val="none"/>
          <w:lang w:val="en-US" w:eastAsia="zh-CN"/>
        </w:rPr>
        <w:t>项目实施培训方式</w:t>
      </w:r>
    </w:p>
    <w:p w14:paraId="0C0DC71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由易到难，大课集中上机培训考虑到各层次人员电脑应用水平及相关工作人员年龄问题，从最基本电脑操作着手；实际上机操作，现场模拟业务流程，现场考核；指定系统管理员，对其进行相关业务培训、软件操作培训、后台管理员培训培训、常见问题处理方法培训等；分批次对系统使用人员进行培训；领导用户点对点培训；寻找合适的单位先期试用及试运行。</w:t>
      </w:r>
    </w:p>
    <w:p w14:paraId="699120F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系统使用人员培训计划</w:t>
      </w:r>
    </w:p>
    <w:p w14:paraId="4AE2455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由于此次涉及到的系统使用人员比较多，涉及到工作人员、技术人员、应用该系统的外单位用户、领导等，角色纷繁。因此在实施培训阶段，我们将采用按不同对象分步骤开展培训，对系统涉及到的各类使用人员全面展开实施培训工作。</w:t>
      </w:r>
    </w:p>
    <w:p w14:paraId="28F71B1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第一步：根据系统各项功能要求，组织对所有相关用户分类开展大课集中培训、机房上机培训、以及点对点培训，让各类用户了解系统的基本操作。</w:t>
      </w:r>
    </w:p>
    <w:p w14:paraId="4C969F6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第二步：组织对系统中不同的角色进行分角色培训，不同角色操作系统的界面和功能各不相同，针对角色的培训方便对系统操作的掌握。</w:t>
      </w:r>
    </w:p>
    <w:p w14:paraId="055A6B8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第三步：针对具体业务使用人员数量庞大及范围较广的情况，我们采用定期与不定期方式组织培训工作；对于其他未能参加集中培训的人员，我们将整理相应的资料放在网站上供下载学习。</w:t>
      </w:r>
    </w:p>
    <w:p w14:paraId="6C07757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系统管理员培训</w:t>
      </w:r>
    </w:p>
    <w:p w14:paraId="2FFE3AB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为了使系统管理员能对系统安装、应用及维护和故障的处理有全面的了解和认识，我们将根据项目实施的各阶段系统管理员安排有针对性的培训。</w:t>
      </w:r>
    </w:p>
    <w:p w14:paraId="580BF20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掌握内容：要求能达到维护系统正常运行的要求。</w:t>
      </w:r>
    </w:p>
    <w:p w14:paraId="189C54B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系统应用软件：对软件的基本操作、维护培训，系统常见故障的排除，日常维护任务和工作方法。</w:t>
      </w:r>
    </w:p>
    <w:p w14:paraId="500B8E3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业务系统维护培训：系统各类用户管理、权限分配、数据管理等内容</w:t>
      </w:r>
    </w:p>
    <w:p w14:paraId="629B1C3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w:t>
      </w:r>
      <w:r>
        <w:rPr>
          <w:rFonts w:hint="default" w:ascii="宋体" w:hAnsi="宋体" w:eastAsia="宋体" w:cs="宋体"/>
          <w:b/>
          <w:bCs/>
          <w:color w:val="auto"/>
          <w:szCs w:val="21"/>
          <w:highlight w:val="none"/>
          <w:lang w:val="en-US" w:eastAsia="zh-CN"/>
        </w:rPr>
        <w:t>系统运维服务</w:t>
      </w:r>
    </w:p>
    <w:p w14:paraId="014CEBE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bCs/>
          <w:color w:val="auto"/>
          <w:szCs w:val="21"/>
          <w:highlight w:val="none"/>
          <w:lang w:val="en-US" w:eastAsia="zh-CN"/>
        </w:rPr>
      </w:pPr>
      <w:r>
        <w:rPr>
          <w:rFonts w:ascii="Segoe UI" w:hAnsi="Segoe UI" w:eastAsia="Segoe UI" w:cs="Segoe UI"/>
          <w:b/>
          <w:bCs/>
          <w:i w:val="0"/>
          <w:iCs w:val="0"/>
          <w:caps w:val="0"/>
          <w:color w:val="auto"/>
          <w:spacing w:val="0"/>
          <w:sz w:val="21"/>
          <w:szCs w:val="21"/>
          <w:highlight w:val="none"/>
          <w:shd w:val="clear" w:fill="FFFFFF"/>
        </w:rPr>
        <w:t>本项目建设完</w:t>
      </w:r>
      <w:r>
        <w:rPr>
          <w:rFonts w:hint="eastAsia" w:ascii="Segoe UI" w:hAnsi="Segoe UI" w:eastAsia="宋体" w:cs="Segoe UI"/>
          <w:b/>
          <w:bCs/>
          <w:i w:val="0"/>
          <w:iCs w:val="0"/>
          <w:caps w:val="0"/>
          <w:color w:val="auto"/>
          <w:spacing w:val="0"/>
          <w:sz w:val="21"/>
          <w:szCs w:val="21"/>
          <w:highlight w:val="none"/>
          <w:shd w:val="clear" w:fill="FFFFFF"/>
          <w:lang w:val="en-US" w:eastAsia="zh-CN"/>
        </w:rPr>
        <w:t>成</w:t>
      </w:r>
      <w:r>
        <w:rPr>
          <w:rFonts w:ascii="Segoe UI" w:hAnsi="Segoe UI" w:eastAsia="Segoe UI" w:cs="Segoe UI"/>
          <w:b/>
          <w:bCs/>
          <w:i w:val="0"/>
          <w:iCs w:val="0"/>
          <w:caps w:val="0"/>
          <w:color w:val="auto"/>
          <w:spacing w:val="0"/>
          <w:sz w:val="21"/>
          <w:szCs w:val="21"/>
          <w:highlight w:val="none"/>
          <w:shd w:val="clear" w:fill="FFFFFF"/>
        </w:rPr>
        <w:t>后应提供三年的免费维护期，以项目通过最终验收之日起计算。免费维护期服务内容</w:t>
      </w:r>
      <w:r>
        <w:rPr>
          <w:rFonts w:hint="default" w:ascii="Segoe UI" w:hAnsi="Segoe UI" w:eastAsia="Segoe UI" w:cs="Segoe UI"/>
          <w:b/>
          <w:bCs/>
          <w:i w:val="0"/>
          <w:iCs w:val="0"/>
          <w:caps w:val="0"/>
          <w:color w:val="auto"/>
          <w:spacing w:val="0"/>
          <w:sz w:val="21"/>
          <w:szCs w:val="21"/>
          <w:highlight w:val="none"/>
          <w:shd w:val="clear" w:fill="FFFFFF"/>
        </w:rPr>
        <w:t>：包括但不限于</w:t>
      </w:r>
      <w:r>
        <w:rPr>
          <w:rFonts w:hint="eastAsia" w:ascii="Segoe UI" w:hAnsi="Segoe UI" w:eastAsia="宋体" w:cs="Segoe UI"/>
          <w:b/>
          <w:bCs/>
          <w:i w:val="0"/>
          <w:iCs w:val="0"/>
          <w:caps w:val="0"/>
          <w:color w:val="auto"/>
          <w:spacing w:val="0"/>
          <w:sz w:val="21"/>
          <w:szCs w:val="21"/>
          <w:highlight w:val="none"/>
          <w:shd w:val="clear" w:fill="FFFFFF"/>
          <w:lang w:val="en-US" w:eastAsia="zh-CN"/>
        </w:rPr>
        <w:t>功能优化、</w:t>
      </w:r>
      <w:r>
        <w:rPr>
          <w:rFonts w:hint="default" w:ascii="Segoe UI" w:hAnsi="Segoe UI" w:eastAsia="Segoe UI" w:cs="Segoe UI"/>
          <w:b/>
          <w:bCs/>
          <w:i w:val="0"/>
          <w:iCs w:val="0"/>
          <w:caps w:val="0"/>
          <w:color w:val="auto"/>
          <w:spacing w:val="0"/>
          <w:sz w:val="21"/>
          <w:szCs w:val="21"/>
          <w:highlight w:val="none"/>
          <w:shd w:val="clear" w:fill="FFFFFF"/>
        </w:rPr>
        <w:t>系统故障修复、性能优化、安全补丁更新、功能缺陷修复、日常技术支持、系统巡检等。免费维护期内不收取任何额外费用。</w:t>
      </w:r>
      <w:r>
        <w:rPr>
          <w:rFonts w:hint="eastAsia" w:ascii="Segoe UI" w:hAnsi="Segoe UI" w:eastAsia="宋体" w:cs="Segoe UI"/>
          <w:b/>
          <w:bCs/>
          <w:i w:val="0"/>
          <w:iCs w:val="0"/>
          <w:caps w:val="0"/>
          <w:color w:val="auto"/>
          <w:spacing w:val="0"/>
          <w:sz w:val="21"/>
          <w:szCs w:val="21"/>
          <w:highlight w:val="none"/>
          <w:shd w:val="clear" w:fill="FFFFFF"/>
          <w:lang w:val="en-US" w:eastAsia="zh-CN"/>
        </w:rPr>
        <w:t>具体要求如下</w:t>
      </w:r>
    </w:p>
    <w:p w14:paraId="42259DC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r>
        <w:rPr>
          <w:rFonts w:hint="default" w:ascii="宋体" w:hAnsi="宋体" w:eastAsia="宋体" w:cs="宋体"/>
          <w:b w:val="0"/>
          <w:bCs w:val="0"/>
          <w:color w:val="auto"/>
          <w:szCs w:val="21"/>
          <w:highlight w:val="none"/>
          <w:lang w:val="en-US" w:eastAsia="zh-CN"/>
        </w:rPr>
        <w:t>系统日常维护</w:t>
      </w:r>
    </w:p>
    <w:p w14:paraId="044C49F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供应商需对平台进行日常维护，确保系统能够正常运行，不影响使用。同时提高系统的安全性、健壮性。主要包括以下几方面：</w:t>
      </w:r>
    </w:p>
    <w:p w14:paraId="54699FD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系统运行情况的日常监测、日常修改维护和问题处理，包括对功能模块运行中发现的bug进行完善；</w:t>
      </w:r>
    </w:p>
    <w:p w14:paraId="39D8C6C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完成临时性的数据查询和统计；</w:t>
      </w:r>
    </w:p>
    <w:p w14:paraId="126185D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系统问题诊断及错误修正。</w:t>
      </w:r>
    </w:p>
    <w:p w14:paraId="7E5B59A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w:t>
      </w:r>
      <w:r>
        <w:rPr>
          <w:rFonts w:hint="default" w:ascii="宋体" w:hAnsi="宋体" w:eastAsia="宋体" w:cs="宋体"/>
          <w:b w:val="0"/>
          <w:bCs w:val="0"/>
          <w:color w:val="auto"/>
          <w:szCs w:val="21"/>
          <w:highlight w:val="none"/>
          <w:lang w:val="en-US" w:eastAsia="zh-CN"/>
        </w:rPr>
        <w:t>数据备份服务</w:t>
      </w:r>
    </w:p>
    <w:p w14:paraId="630F85C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在保证系统稳定运行前提下更加要确保数据的安全性，为确保数据的安全有效性，制定出完备的备份方案，配合第三方完成数据备份。</w:t>
      </w:r>
    </w:p>
    <w:p w14:paraId="6013EDE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default" w:ascii="宋体" w:hAnsi="宋体" w:eastAsia="宋体" w:cs="宋体"/>
          <w:b w:val="0"/>
          <w:bCs w:val="0"/>
          <w:color w:val="auto"/>
          <w:szCs w:val="21"/>
          <w:highlight w:val="none"/>
          <w:lang w:val="en-US" w:eastAsia="zh-CN"/>
        </w:rPr>
        <w:t>系统安全维护</w:t>
      </w:r>
    </w:p>
    <w:p w14:paraId="4BE853B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定期查看运行系统的安全管理软件和网络日志，在发现网络遭到非法攻击和非法攻击尝试时，应利用系统提供的功能进行自我保护。从而提高系统的安全性、健壮性。系统管理人员统一管理，注意保密；定期修改口令并符合保密要求。</w:t>
      </w:r>
    </w:p>
    <w:p w14:paraId="1E610C6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r>
        <w:rPr>
          <w:rFonts w:hint="default" w:ascii="宋体" w:hAnsi="宋体" w:eastAsia="宋体" w:cs="宋体"/>
          <w:b w:val="0"/>
          <w:bCs w:val="0"/>
          <w:color w:val="auto"/>
          <w:szCs w:val="21"/>
          <w:highlight w:val="none"/>
          <w:lang w:val="en-US" w:eastAsia="zh-CN"/>
        </w:rPr>
        <w:t>系统功能维护</w:t>
      </w:r>
    </w:p>
    <w:p w14:paraId="343E3E4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按照要求对系统中的功能进行维护，能够满足中心业务变更的要求</w:t>
      </w:r>
    </w:p>
    <w:p w14:paraId="51A96E3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r>
        <w:rPr>
          <w:rFonts w:hint="default" w:ascii="宋体" w:hAnsi="宋体" w:eastAsia="宋体" w:cs="宋体"/>
          <w:b w:val="0"/>
          <w:bCs w:val="0"/>
          <w:color w:val="auto"/>
          <w:szCs w:val="21"/>
          <w:highlight w:val="none"/>
          <w:lang w:val="en-US" w:eastAsia="zh-CN"/>
        </w:rPr>
        <w:t>巡检服务</w:t>
      </w:r>
    </w:p>
    <w:p w14:paraId="4CD27BC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在不干扰业务运行的前提下，定期进行巡检，对设备、应用系统及数据库进行性能测试和效能分析，以便对故障征兆进行提前预防</w:t>
      </w:r>
    </w:p>
    <w:p w14:paraId="30A15EF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完善系统中对相关功能的维护，建立动态管理机制。</w:t>
      </w:r>
    </w:p>
    <w:p w14:paraId="3205A5B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default" w:ascii="宋体" w:hAnsi="宋体" w:eastAsia="宋体" w:cs="宋体"/>
          <w:b w:val="0"/>
          <w:bCs w:val="0"/>
          <w:color w:val="auto"/>
          <w:szCs w:val="21"/>
          <w:highlight w:val="none"/>
          <w:lang w:val="en-US" w:eastAsia="zh-CN"/>
        </w:rPr>
        <w:t>协助服务</w:t>
      </w:r>
    </w:p>
    <w:p w14:paraId="15FC70B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针对软件运行而进行的使用咨询、疑难问题解决和系统升级方案设计等，协助中心做好如培训、参数设置、数据转移、突发事件处理等工作。</w:t>
      </w:r>
    </w:p>
    <w:p w14:paraId="1202008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w:t>
      </w:r>
      <w:r>
        <w:rPr>
          <w:rFonts w:hint="default" w:ascii="宋体" w:hAnsi="宋体" w:eastAsia="宋体" w:cs="宋体"/>
          <w:b w:val="0"/>
          <w:bCs w:val="0"/>
          <w:color w:val="auto"/>
          <w:szCs w:val="21"/>
          <w:highlight w:val="none"/>
          <w:lang w:val="en-US" w:eastAsia="zh-CN"/>
        </w:rPr>
        <w:t>数据库维护</w:t>
      </w:r>
    </w:p>
    <w:p w14:paraId="5DE45B7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维护安全性，使数据库不被无权人员查看；合理管理和组织数据库的存储空间，每月月初定期压缩和整理数据库，使数据库保持有效性和简洁性，提高存储速度；数据库升级安装与配置，根据需要如果用户数据信息有更新，完成数据库系统的升级安装和配置。</w:t>
      </w:r>
    </w:p>
    <w:p w14:paraId="7EE1DF1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（8）响应时间</w:t>
      </w:r>
    </w:p>
    <w:p w14:paraId="0FD44DB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服务响应：提供7×24小时服务热线和在线支持。对于系统重大故障（影响评标正常进行），响应时间不超过15分钟；对于一般故障，响应时间不超过1小时。</w:t>
      </w:r>
    </w:p>
    <w:p w14:paraId="430DCC1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故障解决：重大故障需在2小时内解决或提供可行替代方案；一般故障需在24小时内解决。</w:t>
      </w:r>
    </w:p>
    <w:p w14:paraId="3479785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巡检要求：每季度提供一次现场巡检服务，并在巡检结束后5个工作日内提交详细的巡检报告。</w:t>
      </w:r>
    </w:p>
    <w:p w14:paraId="0A01E87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6、免费迁移服务</w:t>
      </w:r>
    </w:p>
    <w:p w14:paraId="3B46516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免费维护期内，中标人应免费提供系统迁移服务一次，包括但不限于：</w:t>
      </w:r>
    </w:p>
    <w:p w14:paraId="1047ACA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（1）迁移方案设计；</w:t>
      </w:r>
    </w:p>
    <w:p w14:paraId="38A5E78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（2）系统环境适配与重构；</w:t>
      </w:r>
    </w:p>
    <w:p w14:paraId="7C11F18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（3）数据完整迁移与一致性校验；</w:t>
      </w:r>
    </w:p>
    <w:p w14:paraId="655EEF1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（4）迁移后的系统联调与测试；</w:t>
      </w:r>
    </w:p>
    <w:p w14:paraId="2F9EDF6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（5）迁移期间的业务连续性保障。</w:t>
      </w:r>
    </w:p>
    <w:p w14:paraId="4297595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7、免费接口开发</w:t>
      </w:r>
    </w:p>
    <w:p w14:paraId="525A998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在免费维护期内，按照招标人要求进行数据对接或接口开发，中标人应免费提供接口设计、开发、测试、部署及文档服务。接口开发应遵循相关法律法规数据共享标准和技术规范。</w:t>
      </w:r>
    </w:p>
    <w:p w14:paraId="11AEB89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8、</w:t>
      </w:r>
      <w:r>
        <w:rPr>
          <w:rFonts w:hint="default" w:ascii="宋体" w:hAnsi="宋体" w:cs="宋体"/>
          <w:b/>
          <w:bCs/>
          <w:color w:val="auto"/>
          <w:szCs w:val="21"/>
          <w:highlight w:val="none"/>
          <w:lang w:val="en-US" w:eastAsia="zh-CN"/>
        </w:rPr>
        <w:t>数据资源共享与归集</w:t>
      </w:r>
    </w:p>
    <w:p w14:paraId="635D79F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（1）本项目建设和运行过程中产生的所有数据资源（包括但不限于招标文件解析数据、评标过程数据、智能问答记录、用户行为日志等）归</w:t>
      </w:r>
      <w:r>
        <w:rPr>
          <w:rFonts w:hint="eastAsia" w:ascii="宋体" w:hAnsi="宋体" w:cs="宋体"/>
          <w:b w:val="0"/>
          <w:bCs w:val="0"/>
          <w:color w:val="auto"/>
          <w:szCs w:val="21"/>
          <w:highlight w:val="none"/>
          <w:lang w:val="en-US" w:eastAsia="zh-CN"/>
        </w:rPr>
        <w:t>招标人</w:t>
      </w:r>
      <w:r>
        <w:rPr>
          <w:rFonts w:hint="default" w:ascii="宋体" w:hAnsi="宋体" w:cs="宋体"/>
          <w:b w:val="0"/>
          <w:bCs w:val="0"/>
          <w:color w:val="auto"/>
          <w:szCs w:val="21"/>
          <w:highlight w:val="none"/>
          <w:lang w:val="en-US" w:eastAsia="zh-CN"/>
        </w:rPr>
        <w:t>所有。</w:t>
      </w:r>
    </w:p>
    <w:p w14:paraId="7A00DBC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中标人</w:t>
      </w:r>
      <w:r>
        <w:rPr>
          <w:rFonts w:hint="default" w:ascii="宋体" w:hAnsi="宋体" w:cs="宋体"/>
          <w:b w:val="0"/>
          <w:bCs w:val="0"/>
          <w:color w:val="auto"/>
          <w:szCs w:val="21"/>
          <w:highlight w:val="none"/>
          <w:lang w:val="en-US" w:eastAsia="zh-CN"/>
        </w:rPr>
        <w:t>按照</w:t>
      </w:r>
      <w:r>
        <w:rPr>
          <w:rFonts w:hint="eastAsia" w:ascii="宋体" w:hAnsi="宋体" w:cs="宋体"/>
          <w:b w:val="0"/>
          <w:bCs w:val="0"/>
          <w:color w:val="auto"/>
          <w:szCs w:val="21"/>
          <w:highlight w:val="none"/>
          <w:lang w:val="en-US" w:eastAsia="zh-CN"/>
        </w:rPr>
        <w:t>招标人要求</w:t>
      </w:r>
      <w:r>
        <w:rPr>
          <w:rFonts w:hint="default" w:ascii="宋体" w:hAnsi="宋体" w:cs="宋体"/>
          <w:b w:val="0"/>
          <w:bCs w:val="0"/>
          <w:color w:val="auto"/>
          <w:szCs w:val="21"/>
          <w:highlight w:val="none"/>
          <w:lang w:val="en-US" w:eastAsia="zh-CN"/>
        </w:rPr>
        <w:t>，将上述数据资源归集</w:t>
      </w:r>
      <w:r>
        <w:rPr>
          <w:rFonts w:hint="eastAsia" w:ascii="宋体" w:hAnsi="宋体" w:cs="宋体"/>
          <w:b w:val="0"/>
          <w:bCs w:val="0"/>
          <w:color w:val="auto"/>
          <w:szCs w:val="21"/>
          <w:highlight w:val="none"/>
          <w:lang w:val="en-US" w:eastAsia="zh-CN"/>
        </w:rPr>
        <w:t>到</w:t>
      </w:r>
      <w:r>
        <w:rPr>
          <w:rFonts w:hint="default" w:ascii="宋体" w:hAnsi="宋体" w:cs="宋体"/>
          <w:b w:val="0"/>
          <w:bCs w:val="0"/>
          <w:color w:val="auto"/>
          <w:szCs w:val="21"/>
          <w:highlight w:val="none"/>
          <w:lang w:val="en-US" w:eastAsia="zh-CN"/>
        </w:rPr>
        <w:t>数据共享交换平台。</w:t>
      </w:r>
    </w:p>
    <w:p w14:paraId="7F42B70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中标人</w:t>
      </w:r>
      <w:r>
        <w:rPr>
          <w:rFonts w:hint="default" w:ascii="宋体" w:hAnsi="宋体" w:cs="宋体"/>
          <w:b w:val="0"/>
          <w:bCs w:val="0"/>
          <w:color w:val="auto"/>
          <w:szCs w:val="21"/>
          <w:highlight w:val="none"/>
          <w:lang w:val="en-US" w:eastAsia="zh-CN"/>
        </w:rPr>
        <w:t>应无条件配合数据的归集、清洗、标准化、接口开发等工作，确保数据可共享、可调用。</w:t>
      </w:r>
    </w:p>
    <w:p w14:paraId="5B9AE2F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（4）其他政府部门或单位依法依规申请共享本项目数据资源的，</w:t>
      </w:r>
      <w:r>
        <w:rPr>
          <w:rFonts w:hint="eastAsia" w:ascii="宋体" w:hAnsi="宋体" w:cs="宋体"/>
          <w:b w:val="0"/>
          <w:bCs w:val="0"/>
          <w:color w:val="auto"/>
          <w:szCs w:val="21"/>
          <w:highlight w:val="none"/>
          <w:lang w:val="en-US" w:eastAsia="zh-CN"/>
        </w:rPr>
        <w:t>招标人</w:t>
      </w:r>
      <w:r>
        <w:rPr>
          <w:rFonts w:hint="default" w:ascii="宋体" w:hAnsi="宋体" w:cs="宋体"/>
          <w:b w:val="0"/>
          <w:bCs w:val="0"/>
          <w:color w:val="auto"/>
          <w:szCs w:val="21"/>
          <w:highlight w:val="none"/>
          <w:lang w:val="en-US" w:eastAsia="zh-CN"/>
        </w:rPr>
        <w:t>有权予以提供，</w:t>
      </w:r>
      <w:r>
        <w:rPr>
          <w:rFonts w:hint="eastAsia" w:ascii="宋体" w:hAnsi="宋体" w:cs="宋体"/>
          <w:b w:val="0"/>
          <w:bCs w:val="0"/>
          <w:color w:val="auto"/>
          <w:szCs w:val="21"/>
          <w:highlight w:val="none"/>
          <w:lang w:val="en-US" w:eastAsia="zh-CN"/>
        </w:rPr>
        <w:t>中标人</w:t>
      </w:r>
      <w:r>
        <w:rPr>
          <w:rFonts w:hint="default" w:ascii="宋体" w:hAnsi="宋体" w:cs="宋体"/>
          <w:b w:val="0"/>
          <w:bCs w:val="0"/>
          <w:color w:val="auto"/>
          <w:szCs w:val="21"/>
          <w:highlight w:val="none"/>
          <w:lang w:val="en-US" w:eastAsia="zh-CN"/>
        </w:rPr>
        <w:t>不得设置技术障碍。</w:t>
      </w:r>
    </w:p>
    <w:p w14:paraId="76887A9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9、国产化要求</w:t>
      </w:r>
    </w:p>
    <w:p w14:paraId="44881F9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本项目须严格落实《中华人民共和国网络安全法》、《中华人民共和国数据安全法》等相关文件要求，在项目建设中优先采用安全可靠的国产化软硬件产品，确保技术自主可控、供应链安全可靠。</w:t>
      </w:r>
    </w:p>
    <w:p w14:paraId="42CC49A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10、建设周期要求</w:t>
      </w:r>
    </w:p>
    <w:p w14:paraId="3811891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合同履行期限：合同签订之日起3个月内完成建设开发，第4个月完成试运行并通过验收上线。试运行期间系统应稳定运行，无重大功能缺陷，满足招标文件及合同约定的全部业务需求。</w:t>
      </w:r>
    </w:p>
    <w:p w14:paraId="307BDCF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color w:val="auto"/>
          <w:highlight w:val="none"/>
          <w:lang w:val="en-US" w:eastAsia="zh-CN"/>
        </w:rPr>
      </w:pPr>
      <w:r>
        <w:rPr>
          <w:rFonts w:hint="eastAsia" w:ascii="宋体" w:hAnsi="宋体" w:cs="宋体"/>
          <w:b/>
          <w:bCs/>
          <w:color w:val="auto"/>
          <w:szCs w:val="21"/>
          <w:highlight w:val="none"/>
          <w:lang w:val="en-US" w:eastAsia="zh-CN"/>
        </w:rPr>
        <w:t>11</w:t>
      </w:r>
      <w:r>
        <w:rPr>
          <w:rFonts w:hint="default" w:ascii="宋体" w:hAnsi="宋体" w:cs="宋体"/>
          <w:b/>
          <w:bCs/>
          <w:color w:val="auto"/>
          <w:szCs w:val="21"/>
          <w:highlight w:val="none"/>
          <w:lang w:val="en-US" w:eastAsia="zh-CN"/>
        </w:rPr>
        <w:t>、与原有系统对接要求</w:t>
      </w:r>
    </w:p>
    <w:p w14:paraId="5FE4D8E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（1）本项目新建系统须与滁州市公共资源交易平台系统现有系统（包括但不限于服务系统、评标系统）实现无缝对接，确保数据互通、业务协同、系统兼容。</w:t>
      </w:r>
    </w:p>
    <w:p w14:paraId="02C4DBB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（2）投标人应充分调研现有系统的接口规范、数据格式、认证机制等技术细节。</w:t>
      </w:r>
    </w:p>
    <w:p w14:paraId="56E676D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3）中标人须配合招标人及现有系统厂商完成联调测试，确保系统上线后稳定运行。对接过程中产生的所有费用（包括但不限于接口开发、联调测试、技术咨询等）均已包含在投标报价中，招标人不再另行支付。</w:t>
      </w:r>
    </w:p>
    <w:p w14:paraId="3E3F2ED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cs="宋体"/>
          <w:b/>
          <w:bCs/>
          <w:color w:val="auto"/>
          <w:szCs w:val="21"/>
          <w:highlight w:val="none"/>
          <w:lang w:val="en-US" w:eastAsia="zh-CN"/>
        </w:rPr>
      </w:pPr>
      <w:r>
        <w:rPr>
          <w:rFonts w:hint="default" w:ascii="宋体" w:hAnsi="宋体" w:cs="宋体"/>
          <w:b/>
          <w:bCs/>
          <w:color w:val="auto"/>
          <w:szCs w:val="21"/>
          <w:highlight w:val="none"/>
          <w:lang w:val="en-US" w:eastAsia="zh-CN"/>
        </w:rPr>
        <w:t>（4）特别承诺要求：投标人须在投标文件中出具书面承诺函</w:t>
      </w:r>
      <w:r>
        <w:rPr>
          <w:rFonts w:hint="eastAsia" w:ascii="宋体" w:hAnsi="宋体" w:cs="宋体"/>
          <w:b/>
          <w:bCs/>
          <w:color w:val="auto"/>
          <w:szCs w:val="21"/>
          <w:highlight w:val="none"/>
          <w:lang w:val="en-US" w:eastAsia="zh-CN"/>
        </w:rPr>
        <w:t>（格式自拟）</w:t>
      </w:r>
      <w:r>
        <w:rPr>
          <w:rFonts w:hint="default" w:ascii="宋体" w:hAnsi="宋体" w:cs="宋体"/>
          <w:b/>
          <w:bCs/>
          <w:color w:val="auto"/>
          <w:szCs w:val="21"/>
          <w:highlight w:val="none"/>
          <w:lang w:val="en-US" w:eastAsia="zh-CN"/>
        </w:rPr>
        <w:t>，承诺内容至少包括：</w:t>
      </w:r>
    </w:p>
    <w:p w14:paraId="6B186F2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cs="宋体"/>
          <w:b/>
          <w:bCs/>
          <w:color w:val="auto"/>
          <w:szCs w:val="21"/>
          <w:highlight w:val="none"/>
          <w:lang w:val="en-US" w:eastAsia="zh-CN"/>
        </w:rPr>
      </w:pPr>
      <w:r>
        <w:rPr>
          <w:rFonts w:hint="default" w:ascii="宋体" w:hAnsi="宋体" w:cs="宋体"/>
          <w:b/>
          <w:bCs/>
          <w:color w:val="auto"/>
          <w:szCs w:val="21"/>
          <w:highlight w:val="none"/>
          <w:lang w:val="en-US" w:eastAsia="zh-CN"/>
        </w:rPr>
        <w:t>已充分了解现有系统的技术状况，具备完成对接的技术能力；</w:t>
      </w:r>
    </w:p>
    <w:p w14:paraId="42EB3BB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cs="宋体"/>
          <w:b/>
          <w:bCs/>
          <w:color w:val="auto"/>
          <w:szCs w:val="21"/>
          <w:highlight w:val="none"/>
          <w:lang w:val="en-US" w:eastAsia="zh-CN"/>
        </w:rPr>
      </w:pPr>
      <w:r>
        <w:rPr>
          <w:rFonts w:hint="default" w:ascii="宋体" w:hAnsi="宋体" w:cs="宋体"/>
          <w:b/>
          <w:bCs/>
          <w:color w:val="auto"/>
          <w:szCs w:val="21"/>
          <w:highlight w:val="none"/>
          <w:lang w:val="en-US" w:eastAsia="zh-CN"/>
        </w:rPr>
        <w:t>不得以“原有系统无法对接”、“接口文档不完整”、“现有系统厂商不配合”等任何理由，要求延长工期或增加合同价款；</w:t>
      </w:r>
    </w:p>
    <w:p w14:paraId="256C719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default" w:ascii="宋体" w:hAnsi="宋体" w:cs="宋体"/>
          <w:b/>
          <w:bCs/>
          <w:color w:val="auto"/>
          <w:szCs w:val="21"/>
          <w:highlight w:val="none"/>
          <w:lang w:val="en-US" w:eastAsia="zh-CN"/>
        </w:rPr>
      </w:pPr>
      <w:r>
        <w:rPr>
          <w:rFonts w:hint="default" w:ascii="宋体" w:hAnsi="宋体" w:cs="宋体"/>
          <w:b/>
          <w:bCs/>
          <w:color w:val="auto"/>
          <w:szCs w:val="21"/>
          <w:highlight w:val="none"/>
          <w:lang w:val="en-US" w:eastAsia="zh-CN"/>
        </w:rPr>
        <w:t>如因对接问题导致项目延误，中标人承担全部违约责任，并按照合同约定支付违约金。</w:t>
      </w:r>
    </w:p>
    <w:p w14:paraId="1396791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2" w:firstLineChars="200"/>
        <w:textAlignment w:val="auto"/>
        <w:rPr>
          <w:rFonts w:hint="eastAsia" w:ascii="宋体" w:hAnsi="宋体" w:cs="宋体"/>
          <w:b/>
          <w:bCs/>
          <w:color w:val="auto"/>
          <w:szCs w:val="21"/>
          <w:highlight w:val="none"/>
          <w:lang w:val="en-US" w:eastAsia="zh-CN"/>
        </w:rPr>
      </w:pPr>
      <w:r>
        <w:rPr>
          <w:rFonts w:hint="default" w:ascii="宋体" w:hAnsi="宋体" w:cs="宋体"/>
          <w:b/>
          <w:bCs/>
          <w:color w:val="auto"/>
          <w:szCs w:val="21"/>
          <w:highlight w:val="none"/>
          <w:lang w:val="en-US" w:eastAsia="zh-CN"/>
        </w:rPr>
        <w:t>12、技术方案优化与提升要求</w:t>
      </w:r>
    </w:p>
    <w:p w14:paraId="73CD257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（1）投标人提交的技术标评审方案作为本项目建设的最低执行标准。中标人必须按照投标方案承诺的功能、性能、技术路线及质量要求完成项目建设。</w:t>
      </w:r>
    </w:p>
    <w:p w14:paraId="1CF69AA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（2）在项目实施过程中，若发现</w:t>
      </w:r>
      <w:r>
        <w:rPr>
          <w:rFonts w:hint="eastAsia" w:ascii="宋体" w:hAnsi="宋体" w:cs="宋体"/>
          <w:b w:val="0"/>
          <w:bCs w:val="0"/>
          <w:color w:val="auto"/>
          <w:szCs w:val="21"/>
          <w:highlight w:val="none"/>
          <w:lang w:val="en-US" w:eastAsia="zh-CN"/>
        </w:rPr>
        <w:t>（</w:t>
      </w:r>
      <w:r>
        <w:rPr>
          <w:rFonts w:hint="default" w:ascii="宋体" w:hAnsi="宋体" w:cs="宋体"/>
          <w:b w:val="0"/>
          <w:bCs w:val="0"/>
          <w:color w:val="auto"/>
          <w:szCs w:val="21"/>
          <w:highlight w:val="none"/>
          <w:lang w:val="en-US" w:eastAsia="zh-CN"/>
        </w:rPr>
        <w:t>或提出</w:t>
      </w:r>
      <w:r>
        <w:rPr>
          <w:rFonts w:hint="eastAsia" w:ascii="宋体" w:hAnsi="宋体" w:cs="宋体"/>
          <w:b w:val="0"/>
          <w:bCs w:val="0"/>
          <w:color w:val="auto"/>
          <w:szCs w:val="21"/>
          <w:highlight w:val="none"/>
          <w:lang w:val="en-US" w:eastAsia="zh-CN"/>
        </w:rPr>
        <w:t>）</w:t>
      </w:r>
      <w:r>
        <w:rPr>
          <w:rFonts w:hint="default" w:ascii="宋体" w:hAnsi="宋体" w:cs="宋体"/>
          <w:b w:val="0"/>
          <w:bCs w:val="0"/>
          <w:color w:val="auto"/>
          <w:szCs w:val="21"/>
          <w:highlight w:val="none"/>
          <w:lang w:val="en-US" w:eastAsia="zh-CN"/>
        </w:rPr>
        <w:t>优于投标方案的更优技术方案、算法模型、系统架构、实现方法或性能优化措施（包括但不限于提升系统响应速度、增强安全性、提高智能化水平、降低资源消耗等），且经招标人认可</w:t>
      </w:r>
      <w:r>
        <w:rPr>
          <w:rFonts w:hint="eastAsia" w:ascii="宋体" w:hAnsi="宋体" w:cs="宋体"/>
          <w:b w:val="0"/>
          <w:bCs w:val="0"/>
          <w:color w:val="auto"/>
          <w:szCs w:val="21"/>
          <w:highlight w:val="none"/>
          <w:lang w:val="en-US" w:eastAsia="zh-CN"/>
        </w:rPr>
        <w:t>后</w:t>
      </w:r>
      <w:r>
        <w:rPr>
          <w:rFonts w:hint="default" w:ascii="宋体" w:hAnsi="宋体" w:cs="宋体"/>
          <w:b w:val="0"/>
          <w:bCs w:val="0"/>
          <w:color w:val="auto"/>
          <w:szCs w:val="21"/>
          <w:highlight w:val="none"/>
          <w:lang w:val="en-US" w:eastAsia="zh-CN"/>
        </w:rPr>
        <w:t>，中标人应主动采用该更优方案进行建设。</w:t>
      </w:r>
    </w:p>
    <w:p w14:paraId="22AE079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（3）采用更优方案所增加的全部工作量、技术投入及成本，已包含在合同总价款中，中标人不得以方案变更为由要求增加合同价款或延长工期。</w:t>
      </w:r>
    </w:p>
    <w:p w14:paraId="519F4D7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p>
    <w:p w14:paraId="64B6E5A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cs="宋体"/>
          <w:b w:val="0"/>
          <w:bCs w:val="0"/>
          <w:color w:val="auto"/>
          <w:szCs w:val="21"/>
          <w:highlight w:val="none"/>
          <w:lang w:val="en-US" w:eastAsia="zh-CN"/>
        </w:rPr>
      </w:pPr>
    </w:p>
    <w:p w14:paraId="51DBBD9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p>
    <w:p w14:paraId="15D3CC5C">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br w:type="page"/>
      </w:r>
    </w:p>
    <w:p w14:paraId="2CCA7D53">
      <w:pPr>
        <w:shd w:val="clear"/>
        <w:kinsoku/>
        <w:overflowPunct/>
        <w:bidi w:val="0"/>
        <w:spacing w:line="440" w:lineRule="exact"/>
        <w:ind w:left="0" w:leftChars="0" w:right="0" w:rightChars="0"/>
        <w:jc w:val="center"/>
        <w:rPr>
          <w:rFonts w:ascii="宋体"/>
          <w:color w:val="auto"/>
          <w:szCs w:val="32"/>
          <w:highlight w:val="none"/>
        </w:rPr>
      </w:pPr>
      <w:r>
        <w:rPr>
          <w:rFonts w:hint="eastAsia" w:ascii="宋体"/>
          <w:b/>
          <w:bCs/>
          <w:color w:val="auto"/>
          <w:sz w:val="36"/>
          <w:szCs w:val="52"/>
          <w:highlight w:val="none"/>
        </w:rPr>
        <w:t>第五章  合同条款及格式</w:t>
      </w:r>
      <w:bookmarkEnd w:id="91"/>
      <w:bookmarkEnd w:id="92"/>
    </w:p>
    <w:p w14:paraId="6321608E">
      <w:pPr>
        <w:widowControl/>
        <w:spacing w:before="120" w:beforeLines="50" w:after="120" w:afterLines="50" w:line="440" w:lineRule="exact"/>
        <w:jc w:val="center"/>
        <w:outlineLvl w:val="0"/>
        <w:rPr>
          <w:rFonts w:hint="eastAsia" w:ascii="宋体"/>
          <w:b/>
          <w:color w:val="auto"/>
          <w:sz w:val="30"/>
          <w:szCs w:val="30"/>
          <w:highlight w:val="none"/>
        </w:rPr>
      </w:pPr>
      <w:bookmarkStart w:id="174" w:name="_Toc449028948"/>
      <w:r>
        <w:rPr>
          <w:rFonts w:hint="eastAsia" w:ascii="宋体"/>
          <w:b/>
          <w:color w:val="auto"/>
          <w:sz w:val="32"/>
          <w:szCs w:val="32"/>
          <w:highlight w:val="none"/>
        </w:rPr>
        <w:t>合同条款及格式参考范本（合同版本仅供参考，后期由双方协定）</w:t>
      </w:r>
    </w:p>
    <w:p w14:paraId="31CB5A8C">
      <w:pPr>
        <w:widowControl/>
        <w:spacing w:line="440" w:lineRule="exact"/>
        <w:ind w:left="360"/>
        <w:jc w:val="center"/>
        <w:textAlignment w:val="baseline"/>
        <w:outlineLvl w:val="1"/>
        <w:rPr>
          <w:rFonts w:ascii="黑体" w:eastAsia="黑体"/>
          <w:b/>
          <w:color w:val="auto"/>
          <w:sz w:val="30"/>
          <w:szCs w:val="30"/>
          <w:highlight w:val="none"/>
        </w:rPr>
      </w:pPr>
      <w:r>
        <w:rPr>
          <w:rFonts w:hint="eastAsia" w:ascii="宋体"/>
          <w:b/>
          <w:color w:val="auto"/>
          <w:sz w:val="30"/>
          <w:szCs w:val="30"/>
          <w:highlight w:val="none"/>
        </w:rPr>
        <w:t>一、合同协议书（格式）</w:t>
      </w:r>
    </w:p>
    <w:p w14:paraId="75E9B466">
      <w:pPr>
        <w:spacing w:line="440" w:lineRule="exact"/>
        <w:ind w:firstLine="3795" w:firstLineChars="1350"/>
        <w:rPr>
          <w:rFonts w:ascii="宋体"/>
          <w:color w:val="auto"/>
          <w:sz w:val="28"/>
          <w:szCs w:val="28"/>
          <w:highlight w:val="none"/>
        </w:rPr>
      </w:pPr>
      <w:r>
        <w:rPr>
          <w:rFonts w:hint="eastAsia" w:ascii="宋体"/>
          <w:b/>
          <w:color w:val="auto"/>
          <w:sz w:val="28"/>
          <w:szCs w:val="28"/>
          <w:highlight w:val="none"/>
        </w:rPr>
        <w:t xml:space="preserve">合同名称   </w:t>
      </w:r>
      <w:r>
        <w:rPr>
          <w:rFonts w:hint="eastAsia" w:ascii="宋体"/>
          <w:color w:val="auto"/>
          <w:sz w:val="28"/>
          <w:szCs w:val="28"/>
          <w:highlight w:val="none"/>
        </w:rPr>
        <w:t xml:space="preserve">          编号</w:t>
      </w:r>
    </w:p>
    <w:p w14:paraId="6CDA8930">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买    方：                                   卖    方：</w:t>
      </w:r>
    </w:p>
    <w:p w14:paraId="346562ED">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电    话：                                   电    话：</w:t>
      </w:r>
    </w:p>
    <w:p w14:paraId="71063AA7">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 xml:space="preserve">住    所：                                   住    所：                       </w:t>
      </w:r>
    </w:p>
    <w:p w14:paraId="17EF1C68">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为中标人。按照《中华人民共和国民法典》的规定，买卖双方同意按照下述的条款和条件，签署本合同。</w:t>
      </w:r>
    </w:p>
    <w:p w14:paraId="77DA8860">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1.本合同文件</w:t>
      </w:r>
    </w:p>
    <w:p w14:paraId="5CC7BB06">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下列每一文件均应作为合同的组成部分进行阅读和解释：</w:t>
      </w:r>
    </w:p>
    <w:p w14:paraId="6841856B">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（1）招标文件（2）投标文件（3）中标通知书</w:t>
      </w:r>
    </w:p>
    <w:p w14:paraId="74D87EA0">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（4）经双方确认进入合同的其它文件、补充条款或说明</w:t>
      </w:r>
    </w:p>
    <w:p w14:paraId="5EC44B2E">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2.采购标的、数量、质量要求</w:t>
      </w:r>
    </w:p>
    <w:p w14:paraId="5BA7449F">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3.合同总价</w:t>
      </w:r>
    </w:p>
    <w:p w14:paraId="56A96703">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14:paraId="02C3867F">
      <w:pPr>
        <w:keepNext w:val="0"/>
        <w:keepLines w:val="0"/>
        <w:pageBreakBefore w:val="0"/>
        <w:widowControl w:val="0"/>
        <w:kinsoku/>
        <w:wordWrap/>
        <w:overflowPunct/>
        <w:topLinePunct w:val="0"/>
        <w:autoSpaceDE/>
        <w:autoSpaceDN w:val="0"/>
        <w:bidi w:val="0"/>
        <w:adjustRightInd/>
        <w:snapToGrid/>
        <w:spacing w:line="420" w:lineRule="exact"/>
        <w:ind w:firstLine="420" w:firstLineChars="200"/>
        <w:textAlignment w:val="auto"/>
        <w:rPr>
          <w:rFonts w:ascii="宋体" w:hAnsi="宋体" w:cs="宋体"/>
          <w:b/>
          <w:color w:val="auto"/>
          <w:kern w:val="0"/>
          <w:szCs w:val="21"/>
          <w:highlight w:val="none"/>
          <w:u w:val="singl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b/>
          <w:bCs/>
          <w:color w:val="auto"/>
          <w:highlight w:val="none"/>
          <w:u w:val="single"/>
          <w:lang w:val="en-US" w:eastAsia="zh-CN"/>
        </w:rPr>
        <w:t>初步验收合格，具备支付条件后，支付合同金额的80%；竣工验收通过，具备支付条件后支付项目余款</w:t>
      </w:r>
      <w:r>
        <w:rPr>
          <w:rFonts w:hint="eastAsia" w:ascii="黑体" w:eastAsia="黑体" w:cs="宋体"/>
          <w:b w:val="0"/>
          <w:bCs w:val="0"/>
          <w:color w:val="auto"/>
          <w:szCs w:val="21"/>
          <w:highlight w:val="none"/>
          <w:u w:val="single"/>
          <w:lang w:val="en-US" w:eastAsia="zh-CN"/>
        </w:rPr>
        <w:t>。</w:t>
      </w:r>
    </w:p>
    <w:p w14:paraId="60182FF4">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14:paraId="79F0480E">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6.验收要求及违约责任</w:t>
      </w:r>
    </w:p>
    <w:p w14:paraId="072A4288">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7.违约责任及解决争议方法</w:t>
      </w:r>
    </w:p>
    <w:p w14:paraId="51D3DD81">
      <w:pPr>
        <w:keepNext w:val="0"/>
        <w:keepLines w:val="0"/>
        <w:pageBreakBefore w:val="0"/>
        <w:widowControl w:val="0"/>
        <w:kinsoku/>
        <w:wordWrap/>
        <w:overflowPunct/>
        <w:topLinePunct w:val="0"/>
        <w:autoSpaceDE/>
        <w:bidi w:val="0"/>
        <w:adjustRightInd/>
        <w:snapToGrid/>
        <w:spacing w:line="42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8.合同的生效</w:t>
      </w:r>
    </w:p>
    <w:p w14:paraId="51DA66C0">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合同经双方授权代表签署，买卖双方加盖印章之后生效。</w:t>
      </w:r>
    </w:p>
    <w:p w14:paraId="1AF5C199">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本合同一式     份，双方各执     份。</w:t>
      </w:r>
    </w:p>
    <w:p w14:paraId="051A0237">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买  方：                          卖  方：</w:t>
      </w:r>
    </w:p>
    <w:p w14:paraId="02BD3981">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名  称：（盖章）                  名  称：（盖章）</w:t>
      </w:r>
    </w:p>
    <w:p w14:paraId="71A9DB50">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法定代表人（或委托代理人）：      法定代表人（或委托代理人）：</w:t>
      </w:r>
    </w:p>
    <w:p w14:paraId="3EDF1E2D">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（签字）                        （签字）</w:t>
      </w:r>
    </w:p>
    <w:p w14:paraId="67511B7C">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地    址：                        地    址：</w:t>
      </w:r>
    </w:p>
    <w:p w14:paraId="0E3913B2">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邮政编码：                        邮政编码：</w:t>
      </w:r>
    </w:p>
    <w:p w14:paraId="73E53C6D">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电    话：                        电    话：</w:t>
      </w:r>
    </w:p>
    <w:p w14:paraId="749CD48D">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开户银行：                        开户银行：</w:t>
      </w:r>
    </w:p>
    <w:p w14:paraId="62C54283">
      <w:pPr>
        <w:pStyle w:val="17"/>
        <w:keepNext w:val="0"/>
        <w:keepLines w:val="0"/>
        <w:pageBreakBefore w:val="0"/>
        <w:widowControl w:val="0"/>
        <w:kinsoku/>
        <w:wordWrap/>
        <w:overflowPunct/>
        <w:topLinePunct w:val="0"/>
        <w:autoSpaceDE/>
        <w:bidi w:val="0"/>
        <w:adjustRightInd/>
        <w:snapToGrid/>
        <w:spacing w:after="0" w:line="420" w:lineRule="exact"/>
        <w:ind w:left="0" w:leftChars="0" w:firstLine="420" w:firstLineChars="200"/>
        <w:textAlignment w:val="auto"/>
        <w:rPr>
          <w:rFonts w:ascii="宋体" w:cs="宋体"/>
          <w:color w:val="auto"/>
          <w:kern w:val="0"/>
          <w:szCs w:val="21"/>
          <w:highlight w:val="none"/>
        </w:rPr>
      </w:pPr>
      <w:r>
        <w:rPr>
          <w:rFonts w:hint="eastAsia" w:ascii="宋体" w:cs="宋体"/>
          <w:color w:val="auto"/>
          <w:kern w:val="0"/>
          <w:szCs w:val="21"/>
          <w:highlight w:val="none"/>
        </w:rPr>
        <w:t>帐    号：                        帐    号：</w:t>
      </w:r>
    </w:p>
    <w:p w14:paraId="71786E23">
      <w:pPr>
        <w:widowControl/>
        <w:spacing w:line="400" w:lineRule="exact"/>
        <w:ind w:left="360"/>
        <w:jc w:val="center"/>
        <w:textAlignment w:val="baseline"/>
        <w:outlineLvl w:val="1"/>
        <w:rPr>
          <w:rFonts w:ascii="黑体" w:eastAsia="黑体"/>
          <w:b/>
          <w:color w:val="auto"/>
          <w:sz w:val="30"/>
          <w:szCs w:val="30"/>
          <w:highlight w:val="none"/>
        </w:rPr>
      </w:pPr>
      <w:bookmarkStart w:id="175" w:name="_Toc179632628"/>
      <w:bookmarkStart w:id="176" w:name="_Toc247085768"/>
      <w:bookmarkStart w:id="177" w:name="_Toc449028947"/>
      <w:bookmarkStart w:id="178" w:name="_Toc246996253"/>
      <w:bookmarkStart w:id="179" w:name="_Toc144974578"/>
      <w:bookmarkStart w:id="180" w:name="_Toc296602498"/>
      <w:bookmarkStart w:id="181" w:name="_Toc152042388"/>
      <w:bookmarkStart w:id="182" w:name="_Toc246996996"/>
      <w:bookmarkStart w:id="183" w:name="_Toc152045610"/>
      <w:r>
        <w:rPr>
          <w:rFonts w:ascii="黑体" w:eastAsia="黑体"/>
          <w:b/>
          <w:color w:val="auto"/>
          <w:sz w:val="30"/>
          <w:szCs w:val="30"/>
          <w:highlight w:val="none"/>
        </w:rPr>
        <w:br w:type="page"/>
      </w:r>
      <w:bookmarkStart w:id="184" w:name="_Toc58430331"/>
      <w:r>
        <w:rPr>
          <w:rFonts w:hint="eastAsia" w:ascii="宋体"/>
          <w:b/>
          <w:color w:val="auto"/>
          <w:sz w:val="30"/>
          <w:szCs w:val="30"/>
          <w:highlight w:val="none"/>
        </w:rPr>
        <w:t>二、合同条款</w:t>
      </w:r>
      <w:bookmarkEnd w:id="175"/>
      <w:bookmarkEnd w:id="176"/>
      <w:bookmarkEnd w:id="177"/>
      <w:bookmarkEnd w:id="178"/>
      <w:bookmarkEnd w:id="179"/>
      <w:bookmarkEnd w:id="180"/>
      <w:bookmarkEnd w:id="181"/>
      <w:bookmarkEnd w:id="182"/>
      <w:bookmarkEnd w:id="183"/>
      <w:bookmarkEnd w:id="184"/>
    </w:p>
    <w:p w14:paraId="2B984270">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一.合同文件</w:t>
      </w:r>
    </w:p>
    <w:p w14:paraId="5CF4C0DF">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1.合同文件适用法律</w:t>
      </w:r>
    </w:p>
    <w:p w14:paraId="29DDD886">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适用于合同文件的法律是中华人民共和国现行法律、法规及采购人所在地的地方性法规。</w:t>
      </w:r>
    </w:p>
    <w:p w14:paraId="0664F003">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2.合同文件组成和解释顺序</w:t>
      </w:r>
    </w:p>
    <w:p w14:paraId="3286D480">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(1)合同文件的组成和解释顺序如下：</w:t>
      </w:r>
    </w:p>
    <w:p w14:paraId="47B9285F">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&lt;1&gt;合同的主要条款；</w:t>
      </w:r>
    </w:p>
    <w:p w14:paraId="42BAFC4C">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&lt;2&gt;合同的一般性条款；</w:t>
      </w:r>
    </w:p>
    <w:p w14:paraId="0FE4FE73">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&lt;3&gt;洽商、变更等明确双方权利义务的纪要、协议；</w:t>
      </w:r>
    </w:p>
    <w:p w14:paraId="6D0C556F">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&lt;4&gt;中标通知书、投标文件和招标文件；</w:t>
      </w:r>
    </w:p>
    <w:p w14:paraId="176CEE02">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&lt;5&gt;有关图纸、标准、规范和其它有关技术资料、技术要求。</w:t>
      </w:r>
    </w:p>
    <w:p w14:paraId="0894C309">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&lt;6&gt;合同的主要条款的效力优于合同的一般性条款的效力。</w:t>
      </w:r>
    </w:p>
    <w:p w14:paraId="4357B1BA">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3.合同文件使用文字</w:t>
      </w:r>
    </w:p>
    <w:p w14:paraId="3404916D">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(1)合同文件使用中文书写、解释和说明。</w:t>
      </w:r>
    </w:p>
    <w:p w14:paraId="7A9C3116">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 xml:space="preserve">(2)合同文件使用技术性条款约定的为国家标准和规范；国家没有相应标准、规范时，可使用行业标准、规范。非标货物应按约定的技术性条款的标准和规范。 </w:t>
      </w:r>
    </w:p>
    <w:p w14:paraId="59604FBD">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二.标的物的一般条款</w:t>
      </w:r>
    </w:p>
    <w:p w14:paraId="5268E769">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4.完整物权</w:t>
      </w:r>
    </w:p>
    <w:p w14:paraId="338C7A2B">
      <w:pPr>
        <w:tabs>
          <w:tab w:val="left" w:pos="660"/>
        </w:tabs>
        <w:spacing w:line="440" w:lineRule="exact"/>
        <w:ind w:firstLine="420" w:firstLineChars="200"/>
        <w:rPr>
          <w:rFonts w:ascii="宋体" w:cs="宋体"/>
          <w:color w:val="auto"/>
          <w:szCs w:val="21"/>
          <w:highlight w:val="none"/>
        </w:rPr>
      </w:pPr>
      <w:r>
        <w:rPr>
          <w:rFonts w:hint="eastAsia" w:ascii="宋体" w:cs="宋体"/>
          <w:color w:val="auto"/>
          <w:szCs w:val="21"/>
          <w:highlight w:val="none"/>
        </w:rPr>
        <w:t>对于出卖的标的物，卖方应当拥有完整物权，并且卖方负有保证第三人不得向买方主张任何权利（包括知识产权）的义务。</w:t>
      </w:r>
    </w:p>
    <w:p w14:paraId="19FA35A0">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5.质量保证</w:t>
      </w:r>
    </w:p>
    <w:p w14:paraId="74C1EA15">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75389F9B">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130CBDC2">
      <w:pPr>
        <w:pStyle w:val="13"/>
        <w:tabs>
          <w:tab w:val="left" w:pos="900"/>
        </w:tabs>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(3)除合同主要条款规定外，合同条款中标的物的质量保证期均自标的物通过最终验收之日起计算，且质量保证期按不低于国家标准和卖方承诺的高于国家标准的质保期（卖方有特殊要求的除外）。</w:t>
      </w:r>
    </w:p>
    <w:p w14:paraId="608AD455">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6.包装</w:t>
      </w:r>
    </w:p>
    <w:p w14:paraId="4B0722C7">
      <w:pPr>
        <w:pStyle w:val="13"/>
        <w:tabs>
          <w:tab w:val="left" w:pos="900"/>
        </w:tabs>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27A4D53">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7.伴随服务</w:t>
      </w:r>
    </w:p>
    <w:p w14:paraId="2590B01C">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(1)卖方除应履行按期按量交付合格标的物的义务之外，还应提供下列服务：</w:t>
      </w:r>
    </w:p>
    <w:p w14:paraId="1E299EA7">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&lt;1&gt;标的物的现场安装或指导安装、启动、调试、监督（如果必须安装、调试的话）；</w:t>
      </w:r>
    </w:p>
    <w:p w14:paraId="48A58F2E">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&lt;2&gt;提供标的物组装和一般维修所必须的工具；</w:t>
      </w:r>
    </w:p>
    <w:p w14:paraId="5D677866">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&lt;3&gt;在合同规定的期限内对所提供标的物实行运行监督、维修服务的前提条件是该服务并不能免除卖方在质量保证期内所承担的义务；</w:t>
      </w:r>
    </w:p>
    <w:p w14:paraId="00C83E48">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&lt;4&gt;对买方技术人员的技术指导或培训。</w:t>
      </w:r>
    </w:p>
    <w:p w14:paraId="5872C7C6">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(2)除合同另有规定之外，伴随服务的费用均已含在合同价款中，买方不再另行进行支付。</w:t>
      </w:r>
    </w:p>
    <w:p w14:paraId="4F0A3085">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三.标的物的交付、检验和验收</w:t>
      </w:r>
    </w:p>
    <w:p w14:paraId="6E46D19F">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8.标的物的交付</w:t>
      </w:r>
    </w:p>
    <w:p w14:paraId="334FFF03">
      <w:pPr>
        <w:pStyle w:val="13"/>
        <w:spacing w:line="440" w:lineRule="exact"/>
        <w:ind w:firstLine="420" w:firstLineChars="200"/>
        <w:rPr>
          <w:rFonts w:hint="default" w:ascii="宋体" w:eastAsia="宋体" w:cs="宋体"/>
          <w:color w:val="auto"/>
          <w:sz w:val="21"/>
          <w:szCs w:val="21"/>
          <w:highlight w:val="none"/>
          <w:lang w:val="en-US" w:eastAsia="zh-CN"/>
        </w:rPr>
      </w:pPr>
      <w:r>
        <w:rPr>
          <w:rFonts w:hint="eastAsia" w:ascii="宋体" w:cs="宋体"/>
          <w:color w:val="auto"/>
          <w:sz w:val="21"/>
          <w:szCs w:val="21"/>
          <w:highlight w:val="none"/>
        </w:rPr>
        <w:t>(1)标的物的所有权自标的物交付时转移。</w:t>
      </w:r>
      <w:r>
        <w:rPr>
          <w:rFonts w:hint="eastAsia" w:ascii="宋体" w:cs="宋体"/>
          <w:color w:val="auto"/>
          <w:sz w:val="21"/>
          <w:szCs w:val="21"/>
          <w:highlight w:val="none"/>
          <w:lang w:val="en-US" w:eastAsia="zh-CN"/>
        </w:rPr>
        <w:t>移交时删除临时数据、清理配置，并移交项目资产、文档资料、系统代码、配置和账号等。</w:t>
      </w:r>
    </w:p>
    <w:p w14:paraId="6CEE8753">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(2)卖方应当按照约定的期限和约定的地点交付符合招标文件要求的标的物。</w:t>
      </w:r>
    </w:p>
    <w:p w14:paraId="77DE05D8">
      <w:pPr>
        <w:pStyle w:val="13"/>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(3)卖方应当按照约定或者交易习惯向采购人交付提取标的物单证以外的有关单证和资料。</w:t>
      </w:r>
    </w:p>
    <w:p w14:paraId="44476E18">
      <w:pPr>
        <w:pStyle w:val="13"/>
        <w:spacing w:line="440" w:lineRule="exact"/>
        <w:ind w:firstLine="422" w:firstLineChars="200"/>
        <w:rPr>
          <w:rFonts w:hint="eastAsia" w:ascii="宋体" w:cs="宋体"/>
          <w:b/>
          <w:bCs/>
          <w:color w:val="auto"/>
          <w:sz w:val="21"/>
          <w:szCs w:val="21"/>
          <w:highlight w:val="none"/>
          <w:lang w:eastAsia="zh-CN"/>
        </w:rPr>
      </w:pPr>
      <w:r>
        <w:rPr>
          <w:rFonts w:hint="eastAsia" w:ascii="宋体" w:cs="宋体"/>
          <w:b/>
          <w:bCs/>
          <w:color w:val="auto"/>
          <w:sz w:val="21"/>
          <w:szCs w:val="21"/>
          <w:highlight w:val="none"/>
        </w:rPr>
        <w:t>(</w:t>
      </w:r>
      <w:r>
        <w:rPr>
          <w:rFonts w:hint="eastAsia" w:ascii="宋体" w:cs="宋体"/>
          <w:b/>
          <w:bCs/>
          <w:color w:val="auto"/>
          <w:sz w:val="21"/>
          <w:szCs w:val="21"/>
          <w:highlight w:val="none"/>
          <w:lang w:val="en-US" w:eastAsia="zh-CN"/>
        </w:rPr>
        <w:t>4</w:t>
      </w:r>
      <w:r>
        <w:rPr>
          <w:rFonts w:hint="eastAsia" w:ascii="宋体" w:cs="宋体"/>
          <w:b/>
          <w:bCs/>
          <w:color w:val="auto"/>
          <w:sz w:val="21"/>
          <w:szCs w:val="21"/>
          <w:highlight w:val="none"/>
        </w:rPr>
        <w:t>)</w:t>
      </w:r>
      <w:r>
        <w:rPr>
          <w:rFonts w:hint="eastAsia" w:ascii="宋体" w:cs="宋体"/>
          <w:b/>
          <w:bCs/>
          <w:color w:val="auto"/>
          <w:sz w:val="21"/>
          <w:szCs w:val="21"/>
          <w:highlight w:val="none"/>
          <w:lang w:eastAsia="zh-CN"/>
        </w:rPr>
        <w:t>知识产权</w:t>
      </w:r>
    </w:p>
    <w:p w14:paraId="793BF000">
      <w:pPr>
        <w:pStyle w:val="13"/>
        <w:spacing w:line="440" w:lineRule="exact"/>
        <w:ind w:firstLine="420" w:firstLineChars="200"/>
        <w:rPr>
          <w:rFonts w:hint="eastAsia" w:ascii="宋体" w:cs="宋体"/>
          <w:color w:val="auto"/>
          <w:sz w:val="21"/>
          <w:szCs w:val="21"/>
          <w:highlight w:val="none"/>
          <w:lang w:eastAsia="zh-CN"/>
        </w:rPr>
      </w:pPr>
      <w:r>
        <w:rPr>
          <w:rFonts w:ascii="Segoe UI" w:hAnsi="Segoe UI" w:eastAsia="Segoe UI" w:cs="Segoe UI"/>
          <w:i w:val="0"/>
          <w:iCs w:val="0"/>
          <w:caps w:val="0"/>
          <w:color w:val="auto"/>
          <w:spacing w:val="0"/>
          <w:sz w:val="21"/>
          <w:szCs w:val="21"/>
          <w:highlight w:val="none"/>
          <w:shd w:val="clear" w:fill="FFFFFF"/>
        </w:rPr>
        <w:t>卖方为履行本合同所产生的所有源代码、技术文档、设计方案、</w:t>
      </w:r>
      <w:r>
        <w:rPr>
          <w:rFonts w:hint="eastAsia" w:ascii="Segoe UI" w:hAnsi="Segoe UI" w:eastAsia="宋体" w:cs="Segoe UI"/>
          <w:i w:val="0"/>
          <w:iCs w:val="0"/>
          <w:caps w:val="0"/>
          <w:color w:val="auto"/>
          <w:spacing w:val="0"/>
          <w:sz w:val="21"/>
          <w:szCs w:val="21"/>
          <w:highlight w:val="none"/>
          <w:shd w:val="clear" w:fill="FFFFFF"/>
          <w:lang w:val="en-US" w:eastAsia="zh-CN"/>
        </w:rPr>
        <w:t>规则库</w:t>
      </w:r>
      <w:r>
        <w:rPr>
          <w:rFonts w:ascii="Segoe UI" w:hAnsi="Segoe UI" w:eastAsia="Segoe UI" w:cs="Segoe UI"/>
          <w:i w:val="0"/>
          <w:iCs w:val="0"/>
          <w:caps w:val="0"/>
          <w:color w:val="auto"/>
          <w:spacing w:val="0"/>
          <w:sz w:val="21"/>
          <w:szCs w:val="21"/>
          <w:highlight w:val="none"/>
          <w:shd w:val="clear" w:fill="FFFFFF"/>
        </w:rPr>
        <w:t>、数据及其他任何形式的交付成果，其知识产权（包括但不限于软件著作权、专利申请权、技术秘密等）自产生之日起，全部、排他性地归属于买方所有</w:t>
      </w:r>
      <w:r>
        <w:rPr>
          <w:rFonts w:hint="eastAsia" w:ascii="宋体" w:cs="宋体"/>
          <w:color w:val="auto"/>
          <w:sz w:val="21"/>
          <w:szCs w:val="21"/>
          <w:highlight w:val="none"/>
          <w:lang w:eastAsia="zh-CN"/>
        </w:rPr>
        <w:t>。</w:t>
      </w:r>
    </w:p>
    <w:p w14:paraId="30A9F5E2">
      <w:pPr>
        <w:pStyle w:val="13"/>
        <w:spacing w:line="440" w:lineRule="exact"/>
        <w:ind w:firstLine="420" w:firstLineChars="200"/>
        <w:rPr>
          <w:rFonts w:hint="eastAsia" w:ascii="宋体" w:cs="宋体"/>
          <w:color w:val="auto"/>
          <w:sz w:val="21"/>
          <w:szCs w:val="21"/>
          <w:highlight w:val="none"/>
          <w:lang w:eastAsia="zh-CN"/>
        </w:rPr>
      </w:pPr>
      <w:r>
        <w:rPr>
          <w:rFonts w:hint="eastAsia" w:ascii="宋体" w:cs="宋体"/>
          <w:color w:val="auto"/>
          <w:sz w:val="21"/>
          <w:szCs w:val="21"/>
          <w:highlight w:val="none"/>
          <w:lang w:val="en-US" w:eastAsia="zh-CN"/>
        </w:rPr>
        <w:t>卖方</w:t>
      </w:r>
      <w:r>
        <w:rPr>
          <w:rFonts w:hint="eastAsia" w:ascii="宋体" w:cs="宋体"/>
          <w:color w:val="auto"/>
          <w:sz w:val="21"/>
          <w:szCs w:val="21"/>
          <w:highlight w:val="none"/>
          <w:lang w:eastAsia="zh-CN"/>
        </w:rPr>
        <w:t>应保证其提供的产品及服务不侵犯任何第三方的知识产权。如发生任何第三方指控侵权，</w:t>
      </w:r>
      <w:r>
        <w:rPr>
          <w:rFonts w:hint="eastAsia" w:ascii="宋体" w:cs="宋体"/>
          <w:color w:val="auto"/>
          <w:sz w:val="21"/>
          <w:szCs w:val="21"/>
          <w:highlight w:val="none"/>
          <w:lang w:val="en-US" w:eastAsia="zh-CN"/>
        </w:rPr>
        <w:t>卖方</w:t>
      </w:r>
      <w:r>
        <w:rPr>
          <w:rFonts w:hint="eastAsia" w:ascii="宋体" w:cs="宋体"/>
          <w:color w:val="auto"/>
          <w:sz w:val="21"/>
          <w:szCs w:val="21"/>
          <w:highlight w:val="none"/>
          <w:lang w:eastAsia="zh-CN"/>
        </w:rPr>
        <w:t>应负责处理并承担由此产生的全部费用及法律责任。</w:t>
      </w:r>
    </w:p>
    <w:p w14:paraId="55FB78B0">
      <w:pPr>
        <w:pStyle w:val="13"/>
        <w:spacing w:line="440" w:lineRule="exact"/>
        <w:ind w:firstLine="420" w:firstLineChars="200"/>
        <w:rPr>
          <w:rFonts w:hint="eastAsia" w:ascii="宋体" w:cs="宋体"/>
          <w:color w:val="auto"/>
          <w:sz w:val="21"/>
          <w:szCs w:val="21"/>
          <w:highlight w:val="none"/>
          <w:lang w:eastAsia="zh-CN"/>
        </w:rPr>
      </w:pPr>
      <w:r>
        <w:rPr>
          <w:rFonts w:hint="eastAsia" w:ascii="宋体" w:cs="宋体"/>
          <w:color w:val="auto"/>
          <w:sz w:val="21"/>
          <w:szCs w:val="21"/>
          <w:highlight w:val="none"/>
          <w:lang w:eastAsia="zh-CN"/>
        </w:rPr>
        <w:t>卖方须在项目最终验收通过后15个工作日内，向买方提供完整、可编译、可部署的源代码及全部技术文档，包括但不限于系统架构说明、接口文档、数据库设计说明书、部署手册等。</w:t>
      </w:r>
    </w:p>
    <w:p w14:paraId="1336A710">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9.检验和验收</w:t>
      </w:r>
    </w:p>
    <w:p w14:paraId="3C33CFBF">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37429547">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(2)买方根据合同规定的内容和验收标准进行验收，经检验无误后出具验收合格证明，该证明作为最终付款所需文件的组成部分。</w:t>
      </w:r>
    </w:p>
    <w:p w14:paraId="72ED4550">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(3)验收期限自标的物交付之日起三十天内。特殊情况需延长的，双方应在合同条款中约定。</w:t>
      </w:r>
    </w:p>
    <w:p w14:paraId="42DADD57">
      <w:pPr>
        <w:pStyle w:val="13"/>
        <w:overflowPunct w:val="0"/>
        <w:spacing w:line="440" w:lineRule="exact"/>
        <w:ind w:firstLine="420" w:firstLineChars="200"/>
        <w:rPr>
          <w:rFonts w:hint="default" w:ascii="宋体" w:eastAsia="宋体" w:cs="宋体"/>
          <w:color w:val="auto"/>
          <w:sz w:val="21"/>
          <w:szCs w:val="21"/>
          <w:highlight w:val="none"/>
          <w:lang w:val="en-US" w:eastAsia="zh-CN"/>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4</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初步验收相关要求</w:t>
      </w:r>
    </w:p>
    <w:p w14:paraId="208F6D7B">
      <w:pPr>
        <w:pStyle w:val="13"/>
        <w:overflowPunct w:val="0"/>
        <w:spacing w:line="440" w:lineRule="exact"/>
        <w:ind w:firstLine="420" w:firstLineChars="200"/>
        <w:rPr>
          <w:rFonts w:hint="eastAsia" w:ascii="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cs="宋体"/>
          <w:color w:val="auto"/>
          <w:sz w:val="21"/>
          <w:szCs w:val="21"/>
          <w:highlight w:val="none"/>
        </w:rPr>
        <w:t>项目完成以下全部开发与部署工作后，可申请初步验收：</w:t>
      </w:r>
    </w:p>
    <w:p w14:paraId="394F015E">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系统开发完成：全部功能模块（包括评审要点讲解、系统操作引导、智能问答、暗标格式校验、打分校验、流程引导、保证金筛查、回避辅助等）已完成开发并通过内部测试；</w:t>
      </w:r>
    </w:p>
    <w:p w14:paraId="6EC96ADD">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大模型私有化部署完成：AI大模型已按招标文件要求在政务云或指定本地服务器完成私有化部署，并通过基础推理测试；</w:t>
      </w:r>
    </w:p>
    <w:p w14:paraId="48797683">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系统对接完成：与滁州市公共资源交易平台现有系统（服务系统、评标系统等）完成联调对接，数据互通、业务协同；</w:t>
      </w:r>
    </w:p>
    <w:p w14:paraId="4AA20ECE">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试运行启动：系统已在真实或模拟评标环境中连续稳定运行不少于10个工作日，无重大功能缺失或阻断性缺陷；</w:t>
      </w:r>
    </w:p>
    <w:p w14:paraId="19BC5FE6">
      <w:pPr>
        <w:pStyle w:val="13"/>
        <w:overflowPunct w:val="0"/>
        <w:spacing w:line="440" w:lineRule="exact"/>
        <w:ind w:firstLine="420" w:firstLineChars="200"/>
        <w:rPr>
          <w:rFonts w:hint="eastAsia" w:ascii="宋体" w:eastAsia="宋体" w:cs="宋体"/>
          <w:color w:val="auto"/>
          <w:sz w:val="21"/>
          <w:szCs w:val="21"/>
          <w:highlight w:val="none"/>
          <w:lang w:eastAsia="zh-CN"/>
        </w:rPr>
      </w:pPr>
      <w:r>
        <w:rPr>
          <w:rFonts w:hint="eastAsia" w:ascii="宋体" w:cs="宋体"/>
          <w:color w:val="auto"/>
          <w:sz w:val="21"/>
          <w:szCs w:val="21"/>
          <w:highlight w:val="none"/>
        </w:rPr>
        <w:t>文档交付完整：提供初步验收所需的全部文档，包括但不限于：系统设计说明书</w:t>
      </w:r>
      <w:r>
        <w:rPr>
          <w:rFonts w:hint="eastAsia" w:ascii="宋体" w:cs="宋体"/>
          <w:color w:val="auto"/>
          <w:sz w:val="21"/>
          <w:szCs w:val="21"/>
          <w:highlight w:val="none"/>
          <w:lang w:eastAsia="zh-CN"/>
        </w:rPr>
        <w:t>、</w:t>
      </w:r>
      <w:r>
        <w:rPr>
          <w:rFonts w:hint="eastAsia" w:ascii="宋体" w:cs="宋体"/>
          <w:color w:val="auto"/>
          <w:sz w:val="21"/>
          <w:szCs w:val="21"/>
          <w:highlight w:val="none"/>
        </w:rPr>
        <w:t>接口文档</w:t>
      </w:r>
      <w:r>
        <w:rPr>
          <w:rFonts w:hint="eastAsia" w:ascii="宋体" w:cs="宋体"/>
          <w:color w:val="auto"/>
          <w:sz w:val="21"/>
          <w:szCs w:val="21"/>
          <w:highlight w:val="none"/>
          <w:lang w:eastAsia="zh-CN"/>
        </w:rPr>
        <w:t>、</w:t>
      </w:r>
      <w:r>
        <w:rPr>
          <w:rFonts w:hint="eastAsia" w:ascii="宋体" w:cs="宋体"/>
          <w:color w:val="auto"/>
          <w:sz w:val="21"/>
          <w:szCs w:val="21"/>
          <w:highlight w:val="none"/>
        </w:rPr>
        <w:t>部署与配置手册</w:t>
      </w:r>
      <w:r>
        <w:rPr>
          <w:rFonts w:hint="eastAsia" w:ascii="宋体" w:cs="宋体"/>
          <w:color w:val="auto"/>
          <w:sz w:val="21"/>
          <w:szCs w:val="21"/>
          <w:highlight w:val="none"/>
          <w:lang w:eastAsia="zh-CN"/>
        </w:rPr>
        <w:t>、</w:t>
      </w:r>
      <w:r>
        <w:rPr>
          <w:rFonts w:hint="eastAsia" w:ascii="宋体" w:cs="宋体"/>
          <w:color w:val="auto"/>
          <w:sz w:val="21"/>
          <w:szCs w:val="21"/>
          <w:highlight w:val="none"/>
        </w:rPr>
        <w:t>测试报告（含功能、性能、安全性测试）</w:t>
      </w:r>
      <w:r>
        <w:rPr>
          <w:rFonts w:hint="eastAsia" w:ascii="宋体" w:cs="宋体"/>
          <w:color w:val="auto"/>
          <w:sz w:val="21"/>
          <w:szCs w:val="21"/>
          <w:highlight w:val="none"/>
          <w:lang w:eastAsia="zh-CN"/>
        </w:rPr>
        <w:t>、</w:t>
      </w:r>
      <w:r>
        <w:rPr>
          <w:rFonts w:hint="eastAsia" w:ascii="宋体" w:cs="宋体"/>
          <w:color w:val="auto"/>
          <w:sz w:val="21"/>
          <w:szCs w:val="21"/>
          <w:highlight w:val="none"/>
        </w:rPr>
        <w:t>用户操作手册</w:t>
      </w:r>
      <w:r>
        <w:rPr>
          <w:rFonts w:hint="eastAsia" w:ascii="宋体" w:cs="宋体"/>
          <w:color w:val="auto"/>
          <w:sz w:val="21"/>
          <w:szCs w:val="21"/>
          <w:highlight w:val="none"/>
          <w:lang w:eastAsia="zh-CN"/>
        </w:rPr>
        <w:t>、</w:t>
      </w:r>
      <w:r>
        <w:rPr>
          <w:rFonts w:hint="eastAsia" w:ascii="宋体" w:cs="宋体"/>
          <w:color w:val="auto"/>
          <w:sz w:val="21"/>
          <w:szCs w:val="21"/>
          <w:highlight w:val="none"/>
        </w:rPr>
        <w:t>培训资料</w:t>
      </w:r>
      <w:r>
        <w:rPr>
          <w:rFonts w:hint="eastAsia" w:ascii="宋体" w:cs="宋体"/>
          <w:color w:val="auto"/>
          <w:sz w:val="21"/>
          <w:szCs w:val="21"/>
          <w:highlight w:val="none"/>
          <w:lang w:eastAsia="zh-CN"/>
        </w:rPr>
        <w:t>。</w:t>
      </w:r>
    </w:p>
    <w:p w14:paraId="1EFE5FCD">
      <w:pPr>
        <w:pStyle w:val="13"/>
        <w:overflowPunct w:val="0"/>
        <w:spacing w:line="440" w:lineRule="exact"/>
        <w:ind w:firstLine="420" w:firstLineChars="200"/>
        <w:rPr>
          <w:rFonts w:hint="eastAsia" w:ascii="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cs="宋体"/>
          <w:color w:val="auto"/>
          <w:sz w:val="21"/>
          <w:szCs w:val="21"/>
          <w:highlight w:val="none"/>
        </w:rPr>
        <w:t>初步验收组织方式</w:t>
      </w:r>
    </w:p>
    <w:p w14:paraId="3A74F6B7">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验收小组：由</w:t>
      </w:r>
      <w:r>
        <w:rPr>
          <w:rFonts w:hint="eastAsia" w:ascii="宋体" w:cs="宋体"/>
          <w:color w:val="auto"/>
          <w:sz w:val="21"/>
          <w:szCs w:val="21"/>
          <w:highlight w:val="none"/>
          <w:lang w:val="en-US" w:eastAsia="zh-CN"/>
        </w:rPr>
        <w:t>甲方组织相关人员进行验收</w:t>
      </w:r>
      <w:r>
        <w:rPr>
          <w:rFonts w:hint="eastAsia" w:ascii="宋体" w:cs="宋体"/>
          <w:color w:val="auto"/>
          <w:sz w:val="21"/>
          <w:szCs w:val="21"/>
          <w:highlight w:val="none"/>
        </w:rPr>
        <w:t>；</w:t>
      </w:r>
    </w:p>
    <w:p w14:paraId="518083FB">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验收形式：现场演示 + 功能核验 + 文档审查 + 试运行记录分析；</w:t>
      </w:r>
    </w:p>
    <w:p w14:paraId="20685919">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验收地点：</w:t>
      </w:r>
      <w:r>
        <w:rPr>
          <w:rFonts w:hint="eastAsia" w:ascii="宋体" w:cs="宋体"/>
          <w:color w:val="auto"/>
          <w:sz w:val="21"/>
          <w:szCs w:val="21"/>
          <w:highlight w:val="none"/>
          <w:lang w:val="en-US" w:eastAsia="zh-CN"/>
        </w:rPr>
        <w:t>甲方指定场所</w:t>
      </w:r>
      <w:r>
        <w:rPr>
          <w:rFonts w:hint="eastAsia" w:ascii="宋体" w:cs="宋体"/>
          <w:color w:val="auto"/>
          <w:sz w:val="21"/>
          <w:szCs w:val="21"/>
          <w:highlight w:val="none"/>
        </w:rPr>
        <w:t>。</w:t>
      </w:r>
    </w:p>
    <w:p w14:paraId="6A600BC6">
      <w:pPr>
        <w:pStyle w:val="13"/>
        <w:overflowPunct w:val="0"/>
        <w:spacing w:line="440" w:lineRule="exact"/>
        <w:ind w:firstLine="420" w:firstLineChars="200"/>
        <w:rPr>
          <w:rFonts w:hint="eastAsia" w:ascii="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cs="宋体"/>
          <w:color w:val="auto"/>
          <w:sz w:val="21"/>
          <w:szCs w:val="21"/>
          <w:highlight w:val="none"/>
        </w:rPr>
        <w:t>初步验收核心标准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8318"/>
      </w:tblGrid>
      <w:tr w14:paraId="3F23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tcPr>
          <w:p w14:paraId="10524025">
            <w:pPr>
              <w:pStyle w:val="13"/>
              <w:overflowPunct w:val="0"/>
              <w:spacing w:line="440" w:lineRule="exact"/>
              <w:ind w:left="0" w:leftChars="0" w:firstLine="0" w:firstLineChars="0"/>
              <w:jc w:val="center"/>
              <w:rPr>
                <w:rFonts w:hint="eastAsia" w:ascii="宋体" w:cs="宋体"/>
                <w:b/>
                <w:bCs/>
                <w:color w:val="auto"/>
                <w:sz w:val="21"/>
                <w:szCs w:val="21"/>
                <w:highlight w:val="none"/>
                <w:vertAlign w:val="baseline"/>
              </w:rPr>
            </w:pPr>
            <w:r>
              <w:rPr>
                <w:rFonts w:hint="eastAsia" w:ascii="宋体" w:cs="宋体"/>
                <w:b/>
                <w:bCs/>
                <w:color w:val="auto"/>
                <w:sz w:val="21"/>
                <w:szCs w:val="21"/>
                <w:highlight w:val="none"/>
                <w:lang w:val="en-US" w:eastAsia="zh-CN"/>
              </w:rPr>
              <w:t>验收维度</w:t>
            </w:r>
          </w:p>
        </w:tc>
        <w:tc>
          <w:tcPr>
            <w:tcW w:w="8318" w:type="dxa"/>
          </w:tcPr>
          <w:p w14:paraId="6811ADCA">
            <w:pPr>
              <w:pStyle w:val="13"/>
              <w:overflowPunct w:val="0"/>
              <w:spacing w:line="440" w:lineRule="exact"/>
              <w:ind w:left="0" w:leftChars="0" w:firstLine="0" w:firstLineChars="0"/>
              <w:jc w:val="center"/>
              <w:rPr>
                <w:rFonts w:hint="eastAsia" w:ascii="宋体" w:cs="宋体"/>
                <w:b/>
                <w:bCs/>
                <w:color w:val="auto"/>
                <w:sz w:val="21"/>
                <w:szCs w:val="21"/>
                <w:highlight w:val="none"/>
                <w:vertAlign w:val="baseline"/>
              </w:rPr>
            </w:pPr>
            <w:r>
              <w:rPr>
                <w:rFonts w:hint="eastAsia" w:ascii="宋体" w:cs="宋体"/>
                <w:b/>
                <w:bCs/>
                <w:color w:val="auto"/>
                <w:sz w:val="21"/>
                <w:szCs w:val="21"/>
                <w:highlight w:val="none"/>
                <w:lang w:val="en-US" w:eastAsia="zh-CN"/>
              </w:rPr>
              <w:t>验收标准</w:t>
            </w:r>
          </w:p>
        </w:tc>
      </w:tr>
      <w:tr w14:paraId="4F5E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14:paraId="64AFDCD6">
            <w:pPr>
              <w:pStyle w:val="13"/>
              <w:overflowPunct w:val="0"/>
              <w:spacing w:line="440" w:lineRule="exact"/>
              <w:ind w:left="0" w:leftChars="0" w:firstLine="0" w:firstLineChars="0"/>
              <w:jc w:val="center"/>
              <w:rPr>
                <w:rFonts w:hint="eastAsia" w:ascii="宋体" w:cs="宋体"/>
                <w:color w:val="auto"/>
                <w:sz w:val="21"/>
                <w:szCs w:val="21"/>
                <w:highlight w:val="none"/>
                <w:vertAlign w:val="baseline"/>
              </w:rPr>
            </w:pPr>
            <w:r>
              <w:rPr>
                <w:rFonts w:hint="eastAsia" w:ascii="宋体" w:cs="宋体"/>
                <w:color w:val="auto"/>
                <w:sz w:val="21"/>
                <w:szCs w:val="21"/>
                <w:highlight w:val="none"/>
                <w:vertAlign w:val="baseline"/>
                <w:lang w:val="en-US" w:eastAsia="zh-CN"/>
              </w:rPr>
              <w:t>功能完整性</w:t>
            </w:r>
          </w:p>
        </w:tc>
        <w:tc>
          <w:tcPr>
            <w:tcW w:w="8318" w:type="dxa"/>
          </w:tcPr>
          <w:p w14:paraId="02D96BF7">
            <w:pPr>
              <w:pStyle w:val="13"/>
              <w:overflowPunct w:val="0"/>
              <w:spacing w:line="440" w:lineRule="exact"/>
              <w:ind w:left="0" w:leftChars="0" w:firstLine="0" w:firstLineChars="0"/>
              <w:rPr>
                <w:rFonts w:hint="eastAsia" w:ascii="宋体" w:cs="宋体"/>
                <w:color w:val="auto"/>
                <w:sz w:val="21"/>
                <w:szCs w:val="21"/>
                <w:highlight w:val="none"/>
                <w:vertAlign w:val="baseline"/>
              </w:rPr>
            </w:pPr>
            <w:r>
              <w:rPr>
                <w:rFonts w:hint="eastAsia" w:ascii="宋体" w:cs="宋体"/>
                <w:color w:val="auto"/>
                <w:sz w:val="21"/>
                <w:szCs w:val="21"/>
                <w:highlight w:val="none"/>
                <w:vertAlign w:val="baseline"/>
                <w:lang w:val="en-US" w:eastAsia="zh-CN"/>
              </w:rPr>
              <w:t>第四章“服务内容及技术要求”中列出的全部业务需求、功能需求均已实现，核心功能（评审要点、暗标清标、打分校验、智能问答、流程引导）无缺失；</w:t>
            </w:r>
          </w:p>
        </w:tc>
      </w:tr>
      <w:tr w14:paraId="3084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14:paraId="08294EE3">
            <w:pPr>
              <w:pStyle w:val="13"/>
              <w:overflowPunct w:val="0"/>
              <w:spacing w:line="440" w:lineRule="exact"/>
              <w:ind w:left="0" w:leftChars="0" w:firstLine="0" w:firstLineChars="0"/>
              <w:jc w:val="center"/>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性能达标</w:t>
            </w:r>
          </w:p>
        </w:tc>
        <w:tc>
          <w:tcPr>
            <w:tcW w:w="8318" w:type="dxa"/>
          </w:tcPr>
          <w:p w14:paraId="192A1AF6">
            <w:pPr>
              <w:pStyle w:val="13"/>
              <w:overflowPunct w:val="0"/>
              <w:spacing w:line="440" w:lineRule="exact"/>
              <w:ind w:left="0" w:leftChars="0" w:firstLine="0" w:firstLineChars="0"/>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页面加载≤3秒；评审要点生成≤30秒；智能问答响应≤5秒；暗标格式校验≤10秒；支持并发评标项目数≥40个；</w:t>
            </w:r>
          </w:p>
        </w:tc>
      </w:tr>
      <w:tr w14:paraId="1424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14:paraId="4DD31469">
            <w:pPr>
              <w:pStyle w:val="13"/>
              <w:overflowPunct w:val="0"/>
              <w:spacing w:line="440" w:lineRule="exact"/>
              <w:ind w:left="0" w:leftChars="0" w:firstLine="0" w:firstLineChars="0"/>
              <w:jc w:val="center"/>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安全性</w:t>
            </w:r>
          </w:p>
        </w:tc>
        <w:tc>
          <w:tcPr>
            <w:tcW w:w="8318" w:type="dxa"/>
          </w:tcPr>
          <w:p w14:paraId="7CEC2D83">
            <w:pPr>
              <w:pStyle w:val="13"/>
              <w:overflowPunct w:val="0"/>
              <w:spacing w:line="440" w:lineRule="exact"/>
              <w:ind w:left="0" w:leftChars="0" w:firstLine="0" w:firstLineChars="0"/>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满足等保三级要求；大模型私有化部署，不依赖公网API；数据加密、访问控制、需采集操作系统、应用系统、数据库等日志记录；无高危漏洞；</w:t>
            </w:r>
          </w:p>
        </w:tc>
      </w:tr>
      <w:tr w14:paraId="3903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14:paraId="13AD8131">
            <w:pPr>
              <w:pStyle w:val="13"/>
              <w:overflowPunct w:val="0"/>
              <w:spacing w:line="440" w:lineRule="exact"/>
              <w:ind w:left="0" w:leftChars="0" w:firstLine="0" w:firstLineChars="0"/>
              <w:jc w:val="center"/>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系统对接</w:t>
            </w:r>
          </w:p>
        </w:tc>
        <w:tc>
          <w:tcPr>
            <w:tcW w:w="8318" w:type="dxa"/>
          </w:tcPr>
          <w:p w14:paraId="4B6DD3DB">
            <w:pPr>
              <w:pStyle w:val="13"/>
              <w:overflowPunct w:val="0"/>
              <w:spacing w:line="440" w:lineRule="exact"/>
              <w:ind w:left="0" w:leftChars="0" w:firstLine="0" w:firstLineChars="0"/>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与评标系统、服务系统数据互通；保证金信息、专家信息、投标文件等可正常调用展示；</w:t>
            </w:r>
          </w:p>
        </w:tc>
      </w:tr>
      <w:tr w14:paraId="7458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14:paraId="462EF5F8">
            <w:pPr>
              <w:pStyle w:val="13"/>
              <w:overflowPunct w:val="0"/>
              <w:spacing w:line="440" w:lineRule="exact"/>
              <w:ind w:left="0" w:leftChars="0" w:firstLine="0" w:firstLineChars="0"/>
              <w:jc w:val="center"/>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稳定性</w:t>
            </w:r>
          </w:p>
        </w:tc>
        <w:tc>
          <w:tcPr>
            <w:tcW w:w="8318" w:type="dxa"/>
          </w:tcPr>
          <w:p w14:paraId="2DDA0B55">
            <w:pPr>
              <w:pStyle w:val="13"/>
              <w:overflowPunct w:val="0"/>
              <w:spacing w:line="440" w:lineRule="exact"/>
              <w:ind w:left="0" w:leftChars="0" w:firstLine="0" w:firstLineChars="0"/>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试运行期间系统可用率≥99.5%，无因系统缺陷导致的评标中断；</w:t>
            </w:r>
          </w:p>
        </w:tc>
      </w:tr>
      <w:tr w14:paraId="4F67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14:paraId="730AEE19">
            <w:pPr>
              <w:pStyle w:val="13"/>
              <w:overflowPunct w:val="0"/>
              <w:spacing w:line="440" w:lineRule="exact"/>
              <w:ind w:left="0" w:leftChars="0" w:firstLine="0" w:firstLineChars="0"/>
              <w:jc w:val="center"/>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可维护性</w:t>
            </w:r>
          </w:p>
        </w:tc>
        <w:tc>
          <w:tcPr>
            <w:tcW w:w="8318" w:type="dxa"/>
          </w:tcPr>
          <w:p w14:paraId="19DDF61F">
            <w:pPr>
              <w:pStyle w:val="13"/>
              <w:overflowPunct w:val="0"/>
              <w:spacing w:line="440" w:lineRule="exact"/>
              <w:ind w:left="0" w:leftChars="0" w:firstLine="0" w:firstLineChars="0"/>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源代码可编译、可部署；数据库结构清晰；日志完整；配置文件规范；</w:t>
            </w:r>
          </w:p>
        </w:tc>
      </w:tr>
      <w:tr w14:paraId="0877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14:paraId="5B9C675E">
            <w:pPr>
              <w:pStyle w:val="13"/>
              <w:overflowPunct w:val="0"/>
              <w:spacing w:line="440" w:lineRule="exact"/>
              <w:ind w:left="0" w:leftChars="0" w:firstLine="0" w:firstLineChars="0"/>
              <w:jc w:val="center"/>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文档完整性</w:t>
            </w:r>
          </w:p>
        </w:tc>
        <w:tc>
          <w:tcPr>
            <w:tcW w:w="8318" w:type="dxa"/>
          </w:tcPr>
          <w:p w14:paraId="7DD16809">
            <w:pPr>
              <w:pStyle w:val="13"/>
              <w:overflowPunct w:val="0"/>
              <w:spacing w:line="440" w:lineRule="exact"/>
              <w:ind w:left="0" w:leftChars="0" w:firstLine="0" w:firstLineChars="0"/>
              <w:rPr>
                <w:rFonts w:hint="eastAsia" w:ascii="宋体" w:cs="宋体"/>
                <w:color w:val="auto"/>
                <w:sz w:val="21"/>
                <w:szCs w:val="21"/>
                <w:highlight w:val="none"/>
                <w:vertAlign w:val="baseline"/>
              </w:rPr>
            </w:pPr>
            <w:r>
              <w:rPr>
                <w:rFonts w:hint="eastAsia" w:ascii="宋体" w:cs="宋体"/>
                <w:color w:val="auto"/>
                <w:sz w:val="21"/>
                <w:szCs w:val="21"/>
                <w:highlight w:val="none"/>
                <w:lang w:val="en-US" w:eastAsia="zh-CN"/>
              </w:rPr>
              <w:t>所有验收文档齐全、内容准确、版本一致。</w:t>
            </w:r>
          </w:p>
        </w:tc>
      </w:tr>
    </w:tbl>
    <w:p w14:paraId="310F1EEE">
      <w:pPr>
        <w:pStyle w:val="13"/>
        <w:overflowPunct w:val="0"/>
        <w:spacing w:line="440" w:lineRule="exact"/>
        <w:ind w:firstLine="420" w:firstLineChars="200"/>
        <w:rPr>
          <w:rFonts w:hint="eastAsia" w:ascii="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cs="宋体"/>
          <w:color w:val="auto"/>
          <w:sz w:val="21"/>
          <w:szCs w:val="21"/>
          <w:highlight w:val="none"/>
        </w:rPr>
        <w:t>初步验收结论</w:t>
      </w:r>
    </w:p>
    <w:p w14:paraId="4641C707">
      <w:pPr>
        <w:pStyle w:val="13"/>
        <w:overflowPunct w:val="0"/>
        <w:spacing w:line="440" w:lineRule="exact"/>
        <w:ind w:firstLine="420" w:firstLineChars="200"/>
        <w:rPr>
          <w:rFonts w:hint="eastAsia" w:ascii="宋体" w:cs="宋体"/>
          <w:color w:val="auto"/>
          <w:sz w:val="21"/>
          <w:szCs w:val="21"/>
          <w:highlight w:val="none"/>
        </w:rPr>
      </w:pPr>
    </w:p>
    <w:p w14:paraId="4D269FC0">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通过：满足全部验收标准，</w:t>
      </w:r>
      <w:r>
        <w:rPr>
          <w:rFonts w:hint="eastAsia" w:ascii="宋体" w:cs="宋体"/>
          <w:color w:val="auto"/>
          <w:sz w:val="21"/>
          <w:szCs w:val="21"/>
          <w:highlight w:val="none"/>
          <w:lang w:val="en-US" w:eastAsia="zh-CN"/>
        </w:rPr>
        <w:t>甲方</w:t>
      </w:r>
      <w:r>
        <w:rPr>
          <w:rFonts w:hint="eastAsia" w:ascii="宋体" w:cs="宋体"/>
          <w:color w:val="auto"/>
          <w:sz w:val="21"/>
          <w:szCs w:val="21"/>
          <w:highlight w:val="none"/>
        </w:rPr>
        <w:t>出具《初步验收合格报告》；</w:t>
      </w:r>
    </w:p>
    <w:p w14:paraId="3D7FE1AD">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rPr>
        <w:t>不通过：</w:t>
      </w:r>
      <w:r>
        <w:rPr>
          <w:rFonts w:hint="eastAsia" w:ascii="宋体" w:cs="宋体"/>
          <w:color w:val="auto"/>
          <w:sz w:val="21"/>
          <w:szCs w:val="21"/>
          <w:highlight w:val="none"/>
          <w:lang w:val="en-US" w:eastAsia="zh-CN"/>
        </w:rPr>
        <w:t>乙方</w:t>
      </w:r>
      <w:r>
        <w:rPr>
          <w:rFonts w:hint="eastAsia" w:ascii="宋体" w:cs="宋体"/>
          <w:color w:val="auto"/>
          <w:sz w:val="21"/>
          <w:szCs w:val="21"/>
          <w:highlight w:val="none"/>
        </w:rPr>
        <w:t>应在15日内完成整改并重新申请初步验收；若累计两次不通过，</w:t>
      </w:r>
      <w:r>
        <w:rPr>
          <w:rFonts w:hint="eastAsia" w:ascii="宋体" w:cs="宋体"/>
          <w:color w:val="auto"/>
          <w:sz w:val="21"/>
          <w:szCs w:val="21"/>
          <w:highlight w:val="none"/>
          <w:lang w:val="en-US" w:eastAsia="zh-CN"/>
        </w:rPr>
        <w:t>甲方</w:t>
      </w:r>
      <w:r>
        <w:rPr>
          <w:rFonts w:hint="eastAsia" w:ascii="宋体" w:cs="宋体"/>
          <w:color w:val="auto"/>
          <w:sz w:val="21"/>
          <w:szCs w:val="21"/>
          <w:highlight w:val="none"/>
        </w:rPr>
        <w:t>有权按合同违约条款处理。</w:t>
      </w:r>
    </w:p>
    <w:p w14:paraId="684347B0">
      <w:pPr>
        <w:pStyle w:val="13"/>
        <w:overflowPunct w:val="0"/>
        <w:spacing w:line="440" w:lineRule="exact"/>
        <w:ind w:firstLine="420" w:firstLineChars="200"/>
        <w:rPr>
          <w:rFonts w:hint="eastAsia" w:ascii="宋体" w:cs="宋体"/>
          <w:color w:val="auto"/>
          <w:sz w:val="21"/>
          <w:szCs w:val="21"/>
          <w:highlight w:val="none"/>
        </w:rPr>
      </w:pPr>
      <w:r>
        <w:rPr>
          <w:rFonts w:hint="eastAsia" w:ascii="宋体" w:cs="宋体"/>
          <w:color w:val="auto"/>
          <w:sz w:val="21"/>
          <w:szCs w:val="21"/>
          <w:highlight w:val="none"/>
          <w:lang w:val="en-US" w:eastAsia="zh-CN"/>
        </w:rPr>
        <w:t>（5）</w:t>
      </w:r>
      <w:r>
        <w:rPr>
          <w:rFonts w:hint="eastAsia" w:ascii="宋体" w:cs="宋体"/>
          <w:color w:val="auto"/>
          <w:sz w:val="21"/>
          <w:szCs w:val="21"/>
          <w:highlight w:val="none"/>
        </w:rPr>
        <w:t>数据安全管理</w:t>
      </w:r>
    </w:p>
    <w:p w14:paraId="0B69EB71">
      <w:pPr>
        <w:pStyle w:val="13"/>
        <w:overflowPunct w:val="0"/>
        <w:spacing w:line="440" w:lineRule="exact"/>
        <w:ind w:firstLine="420" w:firstLineChars="200"/>
        <w:rPr>
          <w:rFonts w:hint="eastAsia" w:ascii="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cs="宋体"/>
          <w:color w:val="auto"/>
          <w:sz w:val="21"/>
          <w:szCs w:val="21"/>
          <w:highlight w:val="none"/>
        </w:rPr>
        <w:t>卖方应按照国家网络安全等级保护三级（等保三级）要求，对本系统进行安全设计、开发、部署和运维。</w:t>
      </w:r>
    </w:p>
    <w:p w14:paraId="79460B41">
      <w:pPr>
        <w:pStyle w:val="13"/>
        <w:overflowPunct w:val="0"/>
        <w:spacing w:line="440" w:lineRule="exact"/>
        <w:ind w:firstLine="420" w:firstLineChars="200"/>
        <w:rPr>
          <w:rFonts w:hint="eastAsia" w:ascii="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cs="宋体"/>
          <w:color w:val="auto"/>
          <w:sz w:val="21"/>
          <w:szCs w:val="21"/>
          <w:highlight w:val="none"/>
        </w:rPr>
        <w:t>卖方应采取数据加密、访问控制、需采集操作系统、应用系统、数据库等日志记录、防泄露等必要措施，确保系统数据在采集、存储、处理、传输、共享、销毁全过程的安全性。</w:t>
      </w:r>
    </w:p>
    <w:p w14:paraId="7BD3963E">
      <w:pPr>
        <w:pStyle w:val="13"/>
        <w:overflowPunct w:val="0"/>
        <w:spacing w:line="440" w:lineRule="exact"/>
        <w:ind w:firstLine="420" w:firstLineChars="200"/>
        <w:rPr>
          <w:rFonts w:hint="eastAsia" w:ascii="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cs="宋体"/>
          <w:color w:val="auto"/>
          <w:sz w:val="21"/>
          <w:szCs w:val="21"/>
          <w:highlight w:val="none"/>
        </w:rPr>
        <w:t>未经买方书面同意，卖方不得以任何形式将本项目数据提供给第三方，不得用于与本项目无关的任何目的。</w:t>
      </w:r>
    </w:p>
    <w:p w14:paraId="68EC40DD">
      <w:pPr>
        <w:pStyle w:val="13"/>
        <w:overflowPunct w:val="0"/>
        <w:spacing w:line="440" w:lineRule="exact"/>
        <w:ind w:firstLine="420" w:firstLineChars="200"/>
        <w:rPr>
          <w:rFonts w:hint="eastAsia" w:ascii="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cs="宋体"/>
          <w:color w:val="auto"/>
          <w:sz w:val="21"/>
          <w:szCs w:val="21"/>
          <w:highlight w:val="none"/>
        </w:rPr>
        <w:t>卖方应签署保密协议，项目团队成员应接受买方组织的数据安全培训。如发生数据泄露或违规使用，卖方应承担全部法律责任。</w:t>
      </w:r>
    </w:p>
    <w:p w14:paraId="75128920">
      <w:pPr>
        <w:pStyle w:val="13"/>
        <w:numPr>
          <w:ilvl w:val="0"/>
          <w:numId w:val="9"/>
        </w:numPr>
        <w:overflowPunct w:val="0"/>
        <w:spacing w:line="440" w:lineRule="exact"/>
        <w:ind w:firstLine="420" w:firstLineChars="200"/>
        <w:rPr>
          <w:rFonts w:hint="eastAsia" w:ascii="宋体" w:cs="宋体"/>
          <w:color w:val="auto"/>
          <w:sz w:val="21"/>
          <w:szCs w:val="21"/>
          <w:highlight w:val="none"/>
          <w:lang w:val="en-US" w:eastAsia="zh-CN"/>
        </w:rPr>
      </w:pPr>
      <w:r>
        <w:rPr>
          <w:rFonts w:hint="eastAsia" w:ascii="宋体" w:cs="宋体"/>
          <w:color w:val="auto"/>
          <w:sz w:val="21"/>
          <w:szCs w:val="21"/>
          <w:highlight w:val="none"/>
          <w:lang w:val="en-US" w:eastAsia="zh-CN"/>
        </w:rPr>
        <w:t>大模型要求</w:t>
      </w:r>
    </w:p>
    <w:p w14:paraId="74935850">
      <w:pPr>
        <w:pStyle w:val="13"/>
        <w:numPr>
          <w:ilvl w:val="0"/>
          <w:numId w:val="0"/>
        </w:numPr>
        <w:overflowPunct w:val="0"/>
        <w:spacing w:line="440" w:lineRule="exact"/>
        <w:ind w:firstLine="420" w:firstLineChars="200"/>
        <w:rPr>
          <w:rFonts w:hint="default" w:asci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default" w:ascii="宋体" w:cs="宋体"/>
          <w:color w:val="auto"/>
          <w:sz w:val="21"/>
          <w:szCs w:val="21"/>
          <w:highlight w:val="none"/>
          <w:lang w:val="en-US" w:eastAsia="zh-CN"/>
        </w:rPr>
        <w:t>部署方式：</w:t>
      </w:r>
      <w:r>
        <w:rPr>
          <w:rFonts w:hint="eastAsia" w:ascii="宋体" w:cs="宋体"/>
          <w:color w:val="auto"/>
          <w:sz w:val="21"/>
          <w:szCs w:val="21"/>
          <w:highlight w:val="none"/>
          <w:lang w:val="en-US" w:eastAsia="zh-CN"/>
        </w:rPr>
        <w:t>人工智能</w:t>
      </w:r>
      <w:r>
        <w:rPr>
          <w:rFonts w:hint="default" w:ascii="宋体" w:cs="宋体"/>
          <w:color w:val="auto"/>
          <w:sz w:val="21"/>
          <w:szCs w:val="21"/>
          <w:highlight w:val="none"/>
          <w:lang w:val="en-US" w:eastAsia="zh-CN"/>
        </w:rPr>
        <w:t>大模型应实现私有化部署，部署在滁州市政务云或招标人指定的本地服务器环境中，所有数据处理和推理计算均在内网完成，不得依赖外部公网API。</w:t>
      </w:r>
    </w:p>
    <w:p w14:paraId="2EAC8E64">
      <w:pPr>
        <w:pStyle w:val="13"/>
        <w:numPr>
          <w:ilvl w:val="0"/>
          <w:numId w:val="0"/>
        </w:numPr>
        <w:overflowPunct w:val="0"/>
        <w:spacing w:line="440" w:lineRule="exact"/>
        <w:ind w:firstLine="420" w:firstLineChars="200"/>
        <w:rPr>
          <w:rFonts w:hint="default" w:asci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default" w:ascii="宋体" w:cs="宋体"/>
          <w:color w:val="auto"/>
          <w:sz w:val="21"/>
          <w:szCs w:val="21"/>
          <w:highlight w:val="none"/>
          <w:lang w:val="en-US" w:eastAsia="zh-CN"/>
        </w:rPr>
        <w:t>数据来源合法性：</w:t>
      </w:r>
      <w:r>
        <w:rPr>
          <w:rFonts w:hint="eastAsia" w:ascii="宋体" w:cs="宋体"/>
          <w:color w:val="auto"/>
          <w:sz w:val="21"/>
          <w:szCs w:val="21"/>
          <w:highlight w:val="none"/>
          <w:lang w:val="en-US" w:eastAsia="zh-CN"/>
        </w:rPr>
        <w:t>卖方</w:t>
      </w:r>
      <w:r>
        <w:rPr>
          <w:rFonts w:hint="default" w:ascii="宋体" w:cs="宋体"/>
          <w:color w:val="auto"/>
          <w:sz w:val="21"/>
          <w:szCs w:val="21"/>
          <w:highlight w:val="none"/>
          <w:lang w:val="en-US" w:eastAsia="zh-CN"/>
        </w:rPr>
        <w:t>用于大模型训练、调优、推理的所有数据（包括但不限于招标文件、投标文件、评标报告、政策法规文件等），必须具有合法来源，不得使用未经授权的数据、侵权数据或非法获取的数据。</w:t>
      </w:r>
    </w:p>
    <w:p w14:paraId="371E9F83">
      <w:pPr>
        <w:pStyle w:val="13"/>
        <w:numPr>
          <w:ilvl w:val="0"/>
          <w:numId w:val="0"/>
        </w:numPr>
        <w:overflowPunct w:val="0"/>
        <w:spacing w:line="440" w:lineRule="exact"/>
        <w:ind w:firstLine="420" w:firstLineChars="200"/>
        <w:rPr>
          <w:rFonts w:hint="default" w:asci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default" w:ascii="宋体" w:cs="宋体"/>
          <w:color w:val="auto"/>
          <w:sz w:val="21"/>
          <w:szCs w:val="21"/>
          <w:highlight w:val="none"/>
          <w:lang w:val="en-US" w:eastAsia="zh-CN"/>
        </w:rPr>
        <w:t>数据脱敏处理：涉及评标专家个人信息、投标人商业信息、招标人敏感信息等数据，在用于大模型训练或推理前，必须进行严格的匿名化或脱敏处理，确保无法识别特定个人或实体。</w:t>
      </w:r>
    </w:p>
    <w:p w14:paraId="51F186C7">
      <w:pPr>
        <w:pStyle w:val="13"/>
        <w:numPr>
          <w:ilvl w:val="0"/>
          <w:numId w:val="0"/>
        </w:numPr>
        <w:overflowPunct w:val="0"/>
        <w:spacing w:line="440" w:lineRule="exact"/>
        <w:ind w:firstLine="420" w:firstLineChars="200"/>
        <w:rPr>
          <w:rFonts w:hint="default" w:asci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default" w:ascii="宋体" w:cs="宋体"/>
          <w:color w:val="auto"/>
          <w:sz w:val="21"/>
          <w:szCs w:val="21"/>
          <w:highlight w:val="none"/>
          <w:lang w:val="en-US" w:eastAsia="zh-CN"/>
        </w:rPr>
        <w:t>数据隔离保护：本项目大模型运行所用的训练数据、推理数据应与</w:t>
      </w:r>
      <w:r>
        <w:rPr>
          <w:rFonts w:hint="eastAsia" w:ascii="宋体" w:cs="宋体"/>
          <w:color w:val="auto"/>
          <w:sz w:val="21"/>
          <w:szCs w:val="21"/>
          <w:highlight w:val="none"/>
          <w:lang w:val="en-US" w:eastAsia="zh-CN"/>
        </w:rPr>
        <w:t>卖方</w:t>
      </w:r>
      <w:r>
        <w:rPr>
          <w:rFonts w:hint="default" w:ascii="宋体" w:cs="宋体"/>
          <w:color w:val="auto"/>
          <w:sz w:val="21"/>
          <w:szCs w:val="21"/>
          <w:highlight w:val="none"/>
          <w:lang w:val="en-US" w:eastAsia="zh-CN"/>
        </w:rPr>
        <w:t>的其他商业项目数据严格隔离，不得将本项目数据用于任何其他商业大模型的训练或优化。</w:t>
      </w:r>
    </w:p>
    <w:p w14:paraId="35736A02">
      <w:pPr>
        <w:pStyle w:val="13"/>
        <w:numPr>
          <w:ilvl w:val="0"/>
          <w:numId w:val="0"/>
        </w:numPr>
        <w:overflowPunct w:val="0"/>
        <w:spacing w:line="440" w:lineRule="exact"/>
        <w:ind w:firstLine="420" w:firstLineChars="200"/>
        <w:rPr>
          <w:rFonts w:hint="default" w:asci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w:t>
      </w:r>
      <w:r>
        <w:rPr>
          <w:rFonts w:hint="default" w:ascii="宋体" w:cs="宋体"/>
          <w:color w:val="auto"/>
          <w:sz w:val="21"/>
          <w:szCs w:val="21"/>
          <w:highlight w:val="none"/>
          <w:lang w:val="en-US" w:eastAsia="zh-CN"/>
        </w:rPr>
        <w:t>数据全流程管控：</w:t>
      </w:r>
      <w:r>
        <w:rPr>
          <w:rFonts w:hint="eastAsia" w:ascii="宋体" w:cs="宋体"/>
          <w:color w:val="auto"/>
          <w:sz w:val="21"/>
          <w:szCs w:val="21"/>
          <w:highlight w:val="none"/>
          <w:lang w:val="en-US" w:eastAsia="zh-CN"/>
        </w:rPr>
        <w:t>卖方</w:t>
      </w:r>
      <w:r>
        <w:rPr>
          <w:rFonts w:hint="default" w:ascii="宋体" w:cs="宋体"/>
          <w:color w:val="auto"/>
          <w:sz w:val="21"/>
          <w:szCs w:val="21"/>
          <w:highlight w:val="none"/>
          <w:lang w:val="en-US" w:eastAsia="zh-CN"/>
        </w:rPr>
        <w:t>应建立数据采集、清洗、标注、训练、调用的全流程安全管控机制，防止政务数据外流与再识别风险。</w:t>
      </w:r>
    </w:p>
    <w:p w14:paraId="5412DEEA">
      <w:pPr>
        <w:pStyle w:val="13"/>
        <w:numPr>
          <w:ilvl w:val="0"/>
          <w:numId w:val="0"/>
        </w:numPr>
        <w:overflowPunct w:val="0"/>
        <w:spacing w:line="44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w:t>
      </w:r>
      <w:r>
        <w:rPr>
          <w:rFonts w:hint="eastAsia" w:ascii="宋体" w:cs="宋体"/>
          <w:color w:val="auto"/>
          <w:sz w:val="21"/>
          <w:szCs w:val="21"/>
          <w:highlight w:val="none"/>
          <w:lang w:val="en-US" w:eastAsia="zh-CN"/>
        </w:rPr>
        <w:t>人工智能</w:t>
      </w:r>
      <w:r>
        <w:rPr>
          <w:rFonts w:hint="default" w:ascii="宋体" w:cs="宋体"/>
          <w:color w:val="auto"/>
          <w:sz w:val="21"/>
          <w:szCs w:val="21"/>
          <w:highlight w:val="none"/>
          <w:lang w:val="en-US" w:eastAsia="zh-CN"/>
        </w:rPr>
        <w:t>大模型</w:t>
      </w:r>
      <w:r>
        <w:rPr>
          <w:rFonts w:hint="eastAsia" w:ascii="宋体" w:hAnsi="宋体" w:eastAsia="宋体" w:cs="宋体"/>
          <w:color w:val="auto"/>
          <w:sz w:val="21"/>
          <w:szCs w:val="21"/>
          <w:highlight w:val="none"/>
          <w:lang w:val="en-US" w:eastAsia="zh-CN"/>
        </w:rPr>
        <w:t>应当记录应用运行日志，包括系统行为、用户行为、输入输出内容，留存时长不少于6个月；</w:t>
      </w:r>
    </w:p>
    <w:p w14:paraId="1739CC87">
      <w:pPr>
        <w:pStyle w:val="13"/>
        <w:numPr>
          <w:ilvl w:val="0"/>
          <w:numId w:val="0"/>
        </w:numPr>
        <w:overflowPunct w:val="0"/>
        <w:spacing w:line="440" w:lineRule="exact"/>
        <w:ind w:firstLine="420" w:firstLineChars="200"/>
        <w:rPr>
          <w:rFonts w:hint="eastAsia" w:asci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w:t>
      </w:r>
      <w:r>
        <w:rPr>
          <w:rFonts w:hint="default" w:ascii="宋体" w:cs="宋体"/>
          <w:color w:val="auto"/>
          <w:sz w:val="21"/>
          <w:szCs w:val="21"/>
          <w:highlight w:val="none"/>
          <w:lang w:val="en-US" w:eastAsia="zh-CN"/>
        </w:rPr>
        <w:t>严禁将国家秘密、工作秘密和敏感信息输入</w:t>
      </w:r>
      <w:r>
        <w:rPr>
          <w:rFonts w:hint="eastAsia" w:ascii="宋体" w:cs="宋体"/>
          <w:color w:val="auto"/>
          <w:sz w:val="21"/>
          <w:szCs w:val="21"/>
          <w:highlight w:val="none"/>
          <w:lang w:val="en-US" w:eastAsia="zh-CN"/>
        </w:rPr>
        <w:t>人工智能</w:t>
      </w:r>
      <w:r>
        <w:rPr>
          <w:rFonts w:hint="default" w:ascii="宋体" w:cs="宋体"/>
          <w:color w:val="auto"/>
          <w:sz w:val="21"/>
          <w:szCs w:val="21"/>
          <w:highlight w:val="none"/>
          <w:lang w:val="en-US" w:eastAsia="zh-CN"/>
        </w:rPr>
        <w:t>大模型，防范敏感数据汇聚、关联引发的泄密风险</w:t>
      </w:r>
      <w:r>
        <w:rPr>
          <w:rFonts w:hint="eastAsia" w:ascii="宋体" w:cs="宋体"/>
          <w:color w:val="auto"/>
          <w:sz w:val="21"/>
          <w:szCs w:val="21"/>
          <w:highlight w:val="none"/>
          <w:lang w:val="en-US" w:eastAsia="zh-CN"/>
        </w:rPr>
        <w:t>。</w:t>
      </w:r>
    </w:p>
    <w:p w14:paraId="4DA9D7C7">
      <w:pPr>
        <w:pStyle w:val="13"/>
        <w:numPr>
          <w:ilvl w:val="0"/>
          <w:numId w:val="0"/>
        </w:numPr>
        <w:overflowPunct w:val="0"/>
        <w:spacing w:line="440" w:lineRule="exact"/>
        <w:ind w:firstLine="420" w:firstLineChars="200"/>
        <w:rPr>
          <w:rFonts w:hint="eastAsia" w:asci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w:t>
      </w:r>
      <w:r>
        <w:rPr>
          <w:rFonts w:hint="eastAsia" w:ascii="宋体" w:cs="宋体"/>
          <w:color w:val="auto"/>
          <w:sz w:val="21"/>
          <w:szCs w:val="21"/>
          <w:highlight w:val="none"/>
          <w:lang w:val="en-US" w:eastAsia="zh-CN"/>
        </w:rPr>
        <w:t>确保使用的人工智能大模型已在国家网信部门双备案（算法备案+大模型备案）。</w:t>
      </w:r>
    </w:p>
    <w:p w14:paraId="66344F16">
      <w:pPr>
        <w:pStyle w:val="13"/>
        <w:numPr>
          <w:ilvl w:val="0"/>
          <w:numId w:val="0"/>
        </w:numPr>
        <w:overflowPunct w:val="0"/>
        <w:spacing w:line="440" w:lineRule="exact"/>
        <w:ind w:firstLine="420" w:firstLineChars="200"/>
        <w:rPr>
          <w:rFonts w:hint="eastAsia" w:asci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w:t>
      </w:r>
      <w:r>
        <w:rPr>
          <w:rFonts w:hint="eastAsia" w:ascii="宋体" w:cs="宋体"/>
          <w:color w:val="auto"/>
          <w:sz w:val="21"/>
          <w:szCs w:val="21"/>
          <w:highlight w:val="none"/>
          <w:lang w:val="en-US" w:eastAsia="zh-CN"/>
        </w:rPr>
        <w:t xml:space="preserve"> 版本持续更新义务</w:t>
      </w:r>
    </w:p>
    <w:p w14:paraId="27A65AE0">
      <w:pPr>
        <w:pStyle w:val="13"/>
        <w:numPr>
          <w:ilvl w:val="0"/>
          <w:numId w:val="0"/>
        </w:numPr>
        <w:overflowPunct w:val="0"/>
        <w:spacing w:line="440" w:lineRule="exact"/>
        <w:ind w:firstLine="420" w:firstLineChars="200"/>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建设及免费维护期内，卖方应主动将所采用的人工智能大模型升级至符合技术发展趋势的最新稳定版本，确保系统技术先进性。版本升级所需全部工作及费用已包含在合同总价款中，卖方不得以版本变更为由要求增加费用或延长工期。</w:t>
      </w:r>
    </w:p>
    <w:p w14:paraId="5A22B903">
      <w:pPr>
        <w:spacing w:line="440" w:lineRule="exact"/>
        <w:ind w:firstLine="420" w:firstLineChars="200"/>
        <w:rPr>
          <w:rFonts w:hint="eastAsia" w:ascii="宋体" w:cs="宋体"/>
          <w:color w:val="auto"/>
          <w:sz w:val="21"/>
          <w:szCs w:val="21"/>
          <w:highlight w:val="none"/>
          <w:lang w:val="en-US" w:eastAsia="zh-CN"/>
        </w:rPr>
      </w:pPr>
      <w:r>
        <w:rPr>
          <w:rFonts w:hint="eastAsia" w:ascii="宋体" w:cs="宋体"/>
          <w:color w:val="auto"/>
          <w:sz w:val="21"/>
          <w:szCs w:val="21"/>
          <w:highlight w:val="none"/>
          <w:lang w:val="en-US" w:eastAsia="zh-CN"/>
        </w:rPr>
        <w:t>因卖方</w:t>
      </w:r>
      <w:r>
        <w:rPr>
          <w:rFonts w:hint="default" w:ascii="宋体" w:cs="宋体"/>
          <w:color w:val="auto"/>
          <w:sz w:val="21"/>
          <w:szCs w:val="21"/>
          <w:highlight w:val="none"/>
          <w:lang w:val="en-US" w:eastAsia="zh-CN"/>
        </w:rPr>
        <w:t>未履行备案义务或数据调用不合规所引发的一切法律责任及损失由</w:t>
      </w:r>
      <w:r>
        <w:rPr>
          <w:rFonts w:hint="eastAsia" w:ascii="宋体" w:cs="宋体"/>
          <w:color w:val="auto"/>
          <w:sz w:val="21"/>
          <w:szCs w:val="21"/>
          <w:highlight w:val="none"/>
          <w:lang w:val="en-US" w:eastAsia="zh-CN"/>
        </w:rPr>
        <w:t>卖方</w:t>
      </w:r>
      <w:r>
        <w:rPr>
          <w:rFonts w:hint="default" w:ascii="宋体" w:cs="宋体"/>
          <w:color w:val="auto"/>
          <w:sz w:val="21"/>
          <w:szCs w:val="21"/>
          <w:highlight w:val="none"/>
          <w:lang w:val="en-US" w:eastAsia="zh-CN"/>
        </w:rPr>
        <w:t>自行承担，</w:t>
      </w:r>
      <w:r>
        <w:rPr>
          <w:rFonts w:hint="eastAsia" w:ascii="宋体" w:cs="宋体"/>
          <w:color w:val="auto"/>
          <w:sz w:val="21"/>
          <w:szCs w:val="21"/>
          <w:highlight w:val="none"/>
          <w:lang w:val="en-US" w:eastAsia="zh-CN"/>
        </w:rPr>
        <w:t>买方</w:t>
      </w:r>
      <w:r>
        <w:rPr>
          <w:rFonts w:hint="default" w:ascii="宋体" w:cs="宋体"/>
          <w:color w:val="auto"/>
          <w:sz w:val="21"/>
          <w:szCs w:val="21"/>
          <w:highlight w:val="none"/>
          <w:lang w:val="en-US" w:eastAsia="zh-CN"/>
        </w:rPr>
        <w:t>有权据此解除合同并要求</w:t>
      </w:r>
      <w:r>
        <w:rPr>
          <w:rFonts w:hint="eastAsia" w:ascii="宋体" w:cs="宋体"/>
          <w:color w:val="auto"/>
          <w:sz w:val="21"/>
          <w:szCs w:val="21"/>
          <w:highlight w:val="none"/>
          <w:lang w:val="en-US" w:eastAsia="zh-CN"/>
        </w:rPr>
        <w:t>卖方</w:t>
      </w:r>
      <w:r>
        <w:rPr>
          <w:rFonts w:hint="default" w:ascii="宋体" w:cs="宋体"/>
          <w:color w:val="auto"/>
          <w:sz w:val="21"/>
          <w:szCs w:val="21"/>
          <w:highlight w:val="none"/>
          <w:lang w:val="en-US" w:eastAsia="zh-CN"/>
        </w:rPr>
        <w:t>承担违约责任</w:t>
      </w:r>
      <w:r>
        <w:rPr>
          <w:rFonts w:hint="eastAsia" w:ascii="宋体" w:cs="宋体"/>
          <w:color w:val="auto"/>
          <w:sz w:val="21"/>
          <w:szCs w:val="21"/>
          <w:highlight w:val="none"/>
          <w:lang w:val="en-US" w:eastAsia="zh-CN"/>
        </w:rPr>
        <w:t>。</w:t>
      </w:r>
    </w:p>
    <w:p w14:paraId="44DE3516">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四.对标的物提出异议的时间和办法</w:t>
      </w:r>
    </w:p>
    <w:p w14:paraId="374319B5">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10.对标的物提出异议的时间和办法 </w:t>
      </w:r>
    </w:p>
    <w:p w14:paraId="32794FA0">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(1)买方在验收过程中，应当于双方约定的检验期间内将标的物的数量或质量不符合约定的情形及处理方式以书面形式通知卖方。</w:t>
      </w:r>
    </w:p>
    <w:p w14:paraId="0812AFD9">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(2)如买方在验收期满后既不出具验收合格证明又未提出书面异议的视为卖方所交标的物符合合同规定。</w:t>
      </w:r>
    </w:p>
    <w:p w14:paraId="1B3160E0">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(3)卖方应在收到买方书面异议后七天内负责处理问题，否则将视为默认买方提出的异议和处理意见。</w:t>
      </w:r>
    </w:p>
    <w:p w14:paraId="49BD6D66">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五.合同价款和支付</w:t>
      </w:r>
    </w:p>
    <w:p w14:paraId="0D82D53A">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11.合同价款和支付</w:t>
      </w:r>
    </w:p>
    <w:p w14:paraId="1EB0EAD8">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(1)本合同的结算货币为人民币，单位元。</w:t>
      </w:r>
    </w:p>
    <w:p w14:paraId="569F2DBC">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(2)卖方应按照双方签订的合同规定交货并在合同主要条款规定的期限内持下列单据结算货款：</w:t>
      </w:r>
    </w:p>
    <w:p w14:paraId="3442260E">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&lt;1&gt;合格的销售发票；</w:t>
      </w:r>
    </w:p>
    <w:p w14:paraId="4A49A2C0">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&lt;2&gt;买方盖章签收后的送货回单和验收合格证明。</w:t>
      </w:r>
    </w:p>
    <w:p w14:paraId="75D16156">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(3)买方应按合同主要条款规定的期限和方式付款。</w:t>
      </w:r>
    </w:p>
    <w:p w14:paraId="446CFA34">
      <w:pPr>
        <w:pStyle w:val="13"/>
        <w:tabs>
          <w:tab w:val="left" w:pos="540"/>
        </w:tabs>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(4)根据现行税法对买方征收的与本合同有关的一切税费均由买方承担；根据现行税法对卖方征收的与本合同有关的一切税费均由卖方承担。</w:t>
      </w:r>
    </w:p>
    <w:p w14:paraId="3C29ACDC">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六.违约责任</w:t>
      </w:r>
    </w:p>
    <w:p w14:paraId="0AF04CD6">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12.违约责任</w:t>
      </w:r>
    </w:p>
    <w:p w14:paraId="0871F10B">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合同一方不履行合同义务或者履行合同义务不符合约定的，应当承担继续履行、采取补救措施或者赔偿损失等违约责任。</w:t>
      </w:r>
    </w:p>
    <w:p w14:paraId="04DDC3F8">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13.买方违约责任</w:t>
      </w:r>
    </w:p>
    <w:p w14:paraId="336F2606">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(1)在合同生效后，买方要求退货的，应向卖方偿付合同总价款的5%，作为违约金，违约金不足以补偿损失的，卖方有权要求甲方补足。</w:t>
      </w:r>
    </w:p>
    <w:p w14:paraId="131DEFE6">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(2)买方逾期付款的应按照逾期付款金额的每天万分之四支付逾期付款违约金。</w:t>
      </w:r>
    </w:p>
    <w:p w14:paraId="44DA4627">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(3)买方违反合同规定，拒绝接收卖方交付的符合招标文件要求的合格标的物，应当承担卖方由此造成的损失。</w:t>
      </w:r>
    </w:p>
    <w:p w14:paraId="48074A12">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14.卖方违约责任</w:t>
      </w:r>
    </w:p>
    <w:p w14:paraId="6E774A98">
      <w:pPr>
        <w:pStyle w:val="13"/>
        <w:overflowPunct w:val="0"/>
        <w:spacing w:line="440" w:lineRule="exact"/>
        <w:ind w:left="0" w:leftChars="0" w:firstLine="420" w:firstLineChars="200"/>
        <w:rPr>
          <w:rFonts w:hint="eastAsia" w:ascii="宋体" w:cs="宋体"/>
          <w:color w:val="auto"/>
          <w:sz w:val="21"/>
          <w:szCs w:val="21"/>
          <w:highlight w:val="none"/>
        </w:rPr>
      </w:pPr>
      <w:r>
        <w:rPr>
          <w:rFonts w:hint="eastAsia" w:ascii="宋体" w:cs="宋体"/>
          <w:color w:val="auto"/>
          <w:sz w:val="21"/>
          <w:szCs w:val="21"/>
          <w:highlight w:val="none"/>
        </w:rPr>
        <w:t>14.1 交付与验收相关违约</w:t>
      </w:r>
    </w:p>
    <w:p w14:paraId="5676BD4D">
      <w:pPr>
        <w:pStyle w:val="13"/>
        <w:overflowPunct w:val="0"/>
        <w:spacing w:line="440" w:lineRule="exact"/>
        <w:ind w:left="0" w:leftChars="0" w:firstLine="420" w:firstLineChars="200"/>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rPr>
        <w:t>（1）</w:t>
      </w:r>
      <w:r>
        <w:rPr>
          <w:rFonts w:hint="eastAsia" w:ascii="宋体" w:cs="宋体"/>
          <w:color w:val="auto"/>
          <w:sz w:val="21"/>
          <w:szCs w:val="21"/>
          <w:highlight w:val="none"/>
          <w:lang w:val="en-US" w:eastAsia="zh-CN"/>
        </w:rPr>
        <w:t>逾期交付</w:t>
      </w:r>
    </w:p>
    <w:p w14:paraId="4B1A473F">
      <w:pPr>
        <w:pStyle w:val="13"/>
        <w:overflowPunct w:val="0"/>
        <w:spacing w:line="440" w:lineRule="exact"/>
        <w:ind w:left="0" w:leftChars="0" w:firstLine="420" w:firstLineChars="200"/>
        <w:rPr>
          <w:rFonts w:hint="eastAsia" w:ascii="宋体" w:eastAsia="宋体" w:cs="宋体"/>
          <w:color w:val="auto"/>
          <w:sz w:val="21"/>
          <w:szCs w:val="21"/>
          <w:highlight w:val="none"/>
          <w:lang w:eastAsia="zh-CN"/>
        </w:rPr>
      </w:pPr>
      <w:r>
        <w:rPr>
          <w:rFonts w:hint="eastAsia" w:ascii="宋体" w:cs="宋体"/>
          <w:color w:val="auto"/>
          <w:sz w:val="21"/>
          <w:szCs w:val="21"/>
          <w:highlight w:val="none"/>
        </w:rPr>
        <w:t>卖方未能按合同约定的里程碑节点交付相应成果的，每逾期一天，应按</w:t>
      </w:r>
      <w:r>
        <w:rPr>
          <w:rFonts w:hint="eastAsia" w:ascii="宋体" w:cs="宋体"/>
          <w:color w:val="auto"/>
          <w:sz w:val="21"/>
          <w:szCs w:val="21"/>
          <w:highlight w:val="none"/>
          <w:lang w:val="en-US" w:eastAsia="zh-CN"/>
        </w:rPr>
        <w:t>2000元/天</w:t>
      </w:r>
      <w:r>
        <w:rPr>
          <w:rFonts w:hint="eastAsia" w:ascii="宋体" w:cs="宋体"/>
          <w:color w:val="auto"/>
          <w:sz w:val="21"/>
          <w:szCs w:val="21"/>
          <w:highlight w:val="none"/>
        </w:rPr>
        <w:t>向买方支付违约金。逾期超过15天的，买方有权单方解除合同，卖方应在收到解除通知后 10日内退还买方已支付的全部款项，并向买方支付合同总价款 20% 的违约金。若该违约金不足以弥补买方损失的，卖方还应赔偿买方全部实际损失（包括但不限于重新招标费用、第三方替代开发费用、因评标准备缺失导致的效率损失等）</w:t>
      </w:r>
      <w:r>
        <w:rPr>
          <w:rFonts w:hint="eastAsia" w:ascii="宋体" w:cs="宋体"/>
          <w:color w:val="auto"/>
          <w:sz w:val="21"/>
          <w:szCs w:val="21"/>
          <w:highlight w:val="none"/>
          <w:lang w:eastAsia="zh-CN"/>
        </w:rPr>
        <w:t>。</w:t>
      </w:r>
    </w:p>
    <w:p w14:paraId="1F66E6B1">
      <w:pPr>
        <w:pStyle w:val="13"/>
        <w:numPr>
          <w:ilvl w:val="0"/>
          <w:numId w:val="10"/>
        </w:numPr>
        <w:overflowPunct w:val="0"/>
        <w:spacing w:line="440" w:lineRule="exact"/>
        <w:ind w:left="0" w:leftChars="0" w:firstLine="420" w:firstLineChars="200"/>
        <w:rPr>
          <w:rFonts w:hint="eastAsia" w:ascii="宋体" w:cs="宋体"/>
          <w:color w:val="auto"/>
          <w:sz w:val="21"/>
          <w:szCs w:val="21"/>
          <w:highlight w:val="none"/>
          <w:lang w:val="en-US" w:eastAsia="zh-CN"/>
        </w:rPr>
      </w:pPr>
      <w:r>
        <w:rPr>
          <w:rFonts w:hint="eastAsia" w:ascii="宋体" w:cs="宋体"/>
          <w:color w:val="auto"/>
          <w:sz w:val="21"/>
          <w:szCs w:val="21"/>
          <w:highlight w:val="none"/>
          <w:lang w:val="en-US" w:eastAsia="zh-CN"/>
        </w:rPr>
        <w:t>验收不合格</w:t>
      </w:r>
    </w:p>
    <w:p w14:paraId="666457AD">
      <w:pPr>
        <w:pStyle w:val="13"/>
        <w:numPr>
          <w:ilvl w:val="0"/>
          <w:numId w:val="0"/>
        </w:numPr>
        <w:overflowPunct w:val="0"/>
        <w:spacing w:line="440" w:lineRule="exact"/>
        <w:ind w:leftChars="200"/>
        <w:rPr>
          <w:rFonts w:hint="default" w:ascii="宋体" w:cs="宋体"/>
          <w:color w:val="auto"/>
          <w:sz w:val="21"/>
          <w:szCs w:val="21"/>
          <w:highlight w:val="none"/>
          <w:lang w:val="en-US" w:eastAsia="zh-CN"/>
        </w:rPr>
      </w:pPr>
      <w:r>
        <w:rPr>
          <w:rFonts w:hint="default" w:ascii="宋体" w:cs="宋体"/>
          <w:color w:val="auto"/>
          <w:sz w:val="21"/>
          <w:szCs w:val="21"/>
          <w:highlight w:val="none"/>
          <w:lang w:val="en-US" w:eastAsia="zh-CN"/>
        </w:rPr>
        <w:t>项目经买方或第三方测试，发现系统功能、性能或安全指标未达到招标文件及合同约定的，买方有</w:t>
      </w:r>
    </w:p>
    <w:p w14:paraId="5F7C9438">
      <w:pPr>
        <w:pStyle w:val="13"/>
        <w:numPr>
          <w:ilvl w:val="0"/>
          <w:numId w:val="0"/>
        </w:numPr>
        <w:overflowPunct w:val="0"/>
        <w:spacing w:line="440" w:lineRule="exact"/>
        <w:ind w:left="420" w:hanging="420" w:hangingChars="200"/>
        <w:rPr>
          <w:rFonts w:hint="default" w:ascii="宋体" w:cs="宋体"/>
          <w:color w:val="auto"/>
          <w:sz w:val="21"/>
          <w:szCs w:val="21"/>
          <w:highlight w:val="none"/>
          <w:lang w:val="en-US" w:eastAsia="zh-CN"/>
        </w:rPr>
      </w:pPr>
      <w:r>
        <w:rPr>
          <w:rFonts w:hint="default" w:ascii="宋体" w:cs="宋体"/>
          <w:color w:val="auto"/>
          <w:sz w:val="21"/>
          <w:szCs w:val="21"/>
          <w:highlight w:val="none"/>
          <w:lang w:val="en-US" w:eastAsia="zh-CN"/>
        </w:rPr>
        <w:t>权要求卖方在 15日内 完成整改。整改后仍不合格的，买方有权按以下方式处理：</w:t>
      </w:r>
      <w:r>
        <w:rPr>
          <w:rFonts w:hint="default" w:ascii="宋体" w:cs="宋体"/>
          <w:color w:val="auto"/>
          <w:sz w:val="21"/>
          <w:szCs w:val="21"/>
          <w:highlight w:val="none"/>
          <w:lang w:val="en-US" w:eastAsia="zh-CN"/>
        </w:rPr>
        <w:br w:type="textWrapping"/>
      </w:r>
      <w:r>
        <w:rPr>
          <w:rFonts w:hint="default" w:ascii="宋体" w:cs="宋体"/>
          <w:color w:val="auto"/>
          <w:sz w:val="21"/>
          <w:szCs w:val="21"/>
          <w:highlight w:val="none"/>
          <w:lang w:val="en-US" w:eastAsia="zh-CN"/>
        </w:rPr>
        <w:t>① 每次验收不合格，卖方支付合同总价款 5% 的违约金（可累计）；</w:t>
      </w:r>
      <w:r>
        <w:rPr>
          <w:rFonts w:hint="default" w:ascii="宋体" w:cs="宋体"/>
          <w:color w:val="auto"/>
          <w:sz w:val="21"/>
          <w:szCs w:val="21"/>
          <w:highlight w:val="none"/>
          <w:lang w:val="en-US" w:eastAsia="zh-CN"/>
        </w:rPr>
        <w:br w:type="textWrapping"/>
      </w:r>
      <w:r>
        <w:rPr>
          <w:rFonts w:hint="default" w:ascii="宋体" w:cs="宋体"/>
          <w:color w:val="auto"/>
          <w:sz w:val="21"/>
          <w:szCs w:val="21"/>
          <w:highlight w:val="none"/>
          <w:lang w:val="en-US" w:eastAsia="zh-CN"/>
        </w:rPr>
        <w:t>② 累计两次验收不合格，买方有权解除合同，卖方退还全部已付款项，并支付合同总价款 20% 的</w:t>
      </w:r>
    </w:p>
    <w:p w14:paraId="1BC4A936">
      <w:pPr>
        <w:pStyle w:val="13"/>
        <w:numPr>
          <w:ilvl w:val="0"/>
          <w:numId w:val="0"/>
        </w:numPr>
        <w:overflowPunct w:val="0"/>
        <w:spacing w:line="440" w:lineRule="exact"/>
        <w:rPr>
          <w:rFonts w:hint="eastAsia" w:ascii="宋体" w:cs="宋体"/>
          <w:color w:val="auto"/>
          <w:sz w:val="21"/>
          <w:szCs w:val="21"/>
          <w:highlight w:val="none"/>
          <w:lang w:eastAsia="zh-CN"/>
        </w:rPr>
      </w:pPr>
      <w:r>
        <w:rPr>
          <w:rFonts w:hint="default" w:ascii="宋体" w:cs="宋体"/>
          <w:color w:val="auto"/>
          <w:sz w:val="21"/>
          <w:szCs w:val="21"/>
          <w:highlight w:val="none"/>
          <w:lang w:val="en-US" w:eastAsia="zh-CN"/>
        </w:rPr>
        <w:t>违约金。</w:t>
      </w:r>
    </w:p>
    <w:p w14:paraId="44D54798">
      <w:pPr>
        <w:spacing w:line="44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14.2 功能与性能违约</w:t>
      </w:r>
    </w:p>
    <w:p w14:paraId="0CF9E7E4">
      <w:pPr>
        <w:spacing w:line="440" w:lineRule="exact"/>
        <w:ind w:left="420" w:leftChars="200" w:firstLine="0" w:firstLineChars="0"/>
        <w:rPr>
          <w:rFonts w:hint="eastAsia" w:ascii="宋体" w:cs="宋体"/>
          <w:b/>
          <w:bCs/>
          <w:color w:val="auto"/>
          <w:szCs w:val="21"/>
          <w:highlight w:val="none"/>
        </w:rPr>
      </w:pPr>
      <w:r>
        <w:rPr>
          <w:rFonts w:hint="eastAsia" w:ascii="宋体" w:cs="宋体"/>
          <w:b/>
          <w:bCs/>
          <w:color w:val="auto"/>
          <w:szCs w:val="21"/>
          <w:highlight w:val="none"/>
        </w:rPr>
        <w:t>（1）核心功能缺失或关键指标不达标</w:t>
      </w:r>
      <w:r>
        <w:rPr>
          <w:rFonts w:hint="eastAsia" w:ascii="宋体" w:cs="宋体"/>
          <w:b/>
          <w:bCs/>
          <w:color w:val="auto"/>
          <w:szCs w:val="21"/>
          <w:highlight w:val="none"/>
        </w:rPr>
        <w:br w:type="textWrapping"/>
      </w:r>
      <w:r>
        <w:rPr>
          <w:rFonts w:hint="eastAsia" w:ascii="宋体" w:cs="宋体"/>
          <w:b/>
          <w:bCs/>
          <w:color w:val="auto"/>
          <w:szCs w:val="21"/>
          <w:highlight w:val="none"/>
        </w:rPr>
        <w:t>若系统在最终验收时，经双方确认存在以下情形之一的，视为卖方根本违约：</w:t>
      </w:r>
    </w:p>
    <w:p w14:paraId="15B5732B">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招标文件第四章“服务内容及技术要求”中核心功能（如大模型私有化部署、智能评审要点提取、暗标格式清标、打分智能校验、智能问答等）任何一项完全缺失或无法正常使用；</w:t>
      </w:r>
    </w:p>
    <w:p w14:paraId="14DDEF10">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买方有权要求卖方在 20日内 完成整改；若逾期未完成或整改后仍不达标，买方有权解除合同，卖方按合同总价款 </w:t>
      </w:r>
      <w:r>
        <w:rPr>
          <w:rFonts w:hint="eastAsia" w:ascii="宋体" w:cs="宋体"/>
          <w:color w:val="auto"/>
          <w:szCs w:val="21"/>
          <w:highlight w:val="none"/>
          <w:lang w:val="en-US" w:eastAsia="zh-CN"/>
        </w:rPr>
        <w:t>20</w:t>
      </w:r>
      <w:r>
        <w:rPr>
          <w:rFonts w:hint="eastAsia" w:ascii="宋体" w:cs="宋体"/>
          <w:color w:val="auto"/>
          <w:szCs w:val="21"/>
          <w:highlight w:val="none"/>
        </w:rPr>
        <w:t>% 支付违约金，并赔偿买方全部损失。</w:t>
      </w:r>
    </w:p>
    <w:p w14:paraId="375E813D">
      <w:pPr>
        <w:spacing w:line="44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14.3 数据安全与知识产权违约</w:t>
      </w:r>
    </w:p>
    <w:p w14:paraId="06BA7827">
      <w:pPr>
        <w:spacing w:line="440" w:lineRule="exact"/>
        <w:ind w:left="420" w:leftChars="200" w:firstLine="0" w:firstLineChars="0"/>
        <w:rPr>
          <w:rFonts w:hint="eastAsia" w:ascii="宋体" w:cs="宋体"/>
          <w:b/>
          <w:bCs/>
          <w:color w:val="auto"/>
          <w:szCs w:val="21"/>
          <w:highlight w:val="none"/>
        </w:rPr>
      </w:pPr>
      <w:r>
        <w:rPr>
          <w:rFonts w:hint="eastAsia" w:ascii="宋体" w:cs="宋体"/>
          <w:b/>
          <w:bCs/>
          <w:color w:val="auto"/>
          <w:szCs w:val="21"/>
          <w:highlight w:val="none"/>
        </w:rPr>
        <w:t>（1）数据泄露或违规使用</w:t>
      </w:r>
    </w:p>
    <w:p w14:paraId="037AB0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卖方或其人员未经买方同意，将本项目数据（包括但不限于招标文件、投标文件、评标过程数据、模型权重、用户信息等）泄露给第三方，或用于其他商业目的，或未按等保三级要求采取安全防护措施的，每发生一次，卖方支付</w:t>
      </w:r>
      <w:r>
        <w:rPr>
          <w:rFonts w:hint="eastAsia" w:ascii="宋体" w:cs="宋体"/>
          <w:color w:val="auto"/>
          <w:szCs w:val="21"/>
          <w:highlight w:val="none"/>
          <w:lang w:val="en-US" w:eastAsia="zh-CN"/>
        </w:rPr>
        <w:t>20000元</w:t>
      </w:r>
      <w:r>
        <w:rPr>
          <w:rFonts w:hint="eastAsia" w:ascii="宋体" w:cs="宋体"/>
          <w:color w:val="auto"/>
          <w:szCs w:val="21"/>
          <w:highlight w:val="none"/>
        </w:rPr>
        <w:t>的违约金；造成严重后果的（如数据被公开、被用于违法活动等），买方有权解除合同，卖方赔偿全部损失，并承担相应法律责任。</w:t>
      </w:r>
    </w:p>
    <w:p w14:paraId="71F0C7F4">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20" w:leftChars="200" w:firstLine="0" w:firstLineChars="0"/>
        <w:textAlignment w:val="auto"/>
        <w:rPr>
          <w:rFonts w:hint="eastAsia" w:ascii="宋体" w:cs="宋体"/>
          <w:b/>
          <w:bCs/>
          <w:color w:val="auto"/>
          <w:szCs w:val="21"/>
          <w:highlight w:val="none"/>
          <w:lang w:val="en-US" w:eastAsia="zh-CN"/>
        </w:rPr>
      </w:pPr>
      <w:r>
        <w:rPr>
          <w:rFonts w:hint="eastAsia" w:ascii="宋体" w:cs="宋体"/>
          <w:b/>
          <w:bCs/>
          <w:color w:val="auto"/>
          <w:szCs w:val="21"/>
          <w:highlight w:val="none"/>
        </w:rPr>
        <w:t>侵犯第三方知识</w:t>
      </w:r>
      <w:r>
        <w:rPr>
          <w:rFonts w:hint="eastAsia" w:ascii="宋体" w:cs="宋体"/>
          <w:b/>
          <w:bCs/>
          <w:color w:val="auto"/>
          <w:szCs w:val="21"/>
          <w:highlight w:val="none"/>
          <w:lang w:val="en-US" w:eastAsia="zh-CN"/>
        </w:rPr>
        <w:t>产权</w:t>
      </w:r>
    </w:p>
    <w:p w14:paraId="5ACF4B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因卖方提供的产品、服务或交付成果侵犯第三方知识产权，导致买方被诉或遭受损失的，卖方应承担全部诉讼费用、赔偿费用及买方直接损失，并向买方支付合同总价款 15% 的违约金。</w:t>
      </w:r>
    </w:p>
    <w:p w14:paraId="0EFBB6BF">
      <w:pPr>
        <w:numPr>
          <w:ilvl w:val="0"/>
          <w:numId w:val="11"/>
        </w:numPr>
        <w:spacing w:line="440" w:lineRule="exact"/>
        <w:ind w:left="420" w:leftChars="200" w:firstLine="0" w:firstLineChars="0"/>
        <w:rPr>
          <w:rFonts w:hint="eastAsia" w:ascii="宋体" w:cs="宋体"/>
          <w:b/>
          <w:bCs/>
          <w:color w:val="auto"/>
          <w:szCs w:val="21"/>
          <w:highlight w:val="none"/>
        </w:rPr>
      </w:pPr>
      <w:r>
        <w:rPr>
          <w:rFonts w:hint="eastAsia" w:ascii="宋体" w:cs="宋体"/>
          <w:b/>
          <w:bCs/>
          <w:color w:val="auto"/>
          <w:szCs w:val="21"/>
          <w:highlight w:val="none"/>
        </w:rPr>
        <w:t>源代码与文档交付违约</w:t>
      </w:r>
    </w:p>
    <w:p w14:paraId="24E9A50F">
      <w:pPr>
        <w:numPr>
          <w:ilvl w:val="0"/>
          <w:numId w:val="0"/>
        </w:num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卖方未在项目最终验收后 15个工作日内交付完整、可编译、可部署的源代码及全部技术文档的，每逾期一天，支付合同总价款千分之一 的违约金；逾期超过 30天，买方有权解除合同，并追索已付款项。</w:t>
      </w:r>
    </w:p>
    <w:p w14:paraId="6BB0655C">
      <w:pPr>
        <w:spacing w:line="44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14.4 合规</w:t>
      </w:r>
      <w:r>
        <w:rPr>
          <w:rFonts w:hint="eastAsia" w:ascii="宋体" w:cs="宋体"/>
          <w:b/>
          <w:bCs/>
          <w:color w:val="auto"/>
          <w:szCs w:val="21"/>
          <w:highlight w:val="none"/>
          <w:lang w:val="en-US" w:eastAsia="zh-CN"/>
        </w:rPr>
        <w:t>性与</w:t>
      </w:r>
      <w:r>
        <w:rPr>
          <w:rFonts w:hint="eastAsia" w:ascii="宋体" w:cs="宋体"/>
          <w:b/>
          <w:bCs/>
          <w:color w:val="auto"/>
          <w:szCs w:val="21"/>
          <w:highlight w:val="none"/>
        </w:rPr>
        <w:t>违约</w:t>
      </w:r>
    </w:p>
    <w:p w14:paraId="150C9BA6">
      <w:pPr>
        <w:numPr>
          <w:ilvl w:val="0"/>
          <w:numId w:val="0"/>
        </w:num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卖方使用未经授权、侵权或非法获取的数据用于模型训练、调优或推理，或因数据脱敏不彻底导致个人或商业信息泄露的，每发现一次，卖方支付合同总价款 10% 的违约金；情节严重的，买方解除合同。</w:t>
      </w:r>
    </w:p>
    <w:p w14:paraId="416A1D7B">
      <w:pPr>
        <w:spacing w:line="44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14.5 服务与人员违约</w:t>
      </w:r>
    </w:p>
    <w:p w14:paraId="6A23BA4A">
      <w:pPr>
        <w:spacing w:line="440" w:lineRule="exact"/>
        <w:ind w:left="420" w:leftChars="200" w:firstLine="0" w:firstLineChars="0"/>
        <w:rPr>
          <w:rFonts w:hint="eastAsia" w:ascii="宋体" w:cs="宋体"/>
          <w:b/>
          <w:bCs/>
          <w:color w:val="auto"/>
          <w:szCs w:val="21"/>
          <w:highlight w:val="none"/>
        </w:rPr>
      </w:pPr>
      <w:r>
        <w:rPr>
          <w:rFonts w:hint="eastAsia" w:ascii="宋体" w:cs="宋体"/>
          <w:b/>
          <w:bCs/>
          <w:color w:val="auto"/>
          <w:szCs w:val="21"/>
          <w:highlight w:val="none"/>
        </w:rPr>
        <w:t>（1）驻场人员违约</w:t>
      </w:r>
    </w:p>
    <w:p w14:paraId="1985465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卖方未按合同约定在签订后 5个工作日内派驻项目负责人、技术负责人驻场，或未经买方书面同意擅自更换核心人员，每人次支付违约金 1万元；连续 7天未驻场，买方有权解除合同。</w:t>
      </w:r>
    </w:p>
    <w:p w14:paraId="1CA520A4">
      <w:pPr>
        <w:numPr>
          <w:ilvl w:val="0"/>
          <w:numId w:val="12"/>
        </w:numPr>
        <w:spacing w:line="440" w:lineRule="exact"/>
        <w:ind w:left="420" w:leftChars="200" w:firstLine="0" w:firstLineChars="0"/>
        <w:rPr>
          <w:rFonts w:hint="eastAsia" w:ascii="宋体" w:cs="宋体"/>
          <w:b/>
          <w:bCs/>
          <w:color w:val="auto"/>
          <w:szCs w:val="21"/>
          <w:highlight w:val="none"/>
        </w:rPr>
      </w:pPr>
      <w:r>
        <w:rPr>
          <w:rFonts w:hint="eastAsia" w:ascii="宋体" w:cs="宋体"/>
          <w:b/>
          <w:bCs/>
          <w:color w:val="auto"/>
          <w:szCs w:val="21"/>
          <w:highlight w:val="none"/>
          <w:lang w:val="en-US" w:eastAsia="zh-CN"/>
        </w:rPr>
        <w:t>维护</w:t>
      </w:r>
      <w:r>
        <w:rPr>
          <w:rFonts w:hint="eastAsia" w:ascii="宋体" w:cs="宋体"/>
          <w:b/>
          <w:bCs/>
          <w:color w:val="auto"/>
          <w:szCs w:val="21"/>
          <w:highlight w:val="none"/>
        </w:rPr>
        <w:t>不达标</w:t>
      </w:r>
    </w:p>
    <w:p w14:paraId="5EF472C6">
      <w:pPr>
        <w:numPr>
          <w:ilvl w:val="0"/>
          <w:numId w:val="0"/>
        </w:num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免费维护期内，卖方未按合同约定提供 7×24 小时服务热线，或重大故障响应时间超过 15 分钟，或一般故障响应时间超过 1 小时，或故障解决时间超过约定时限的，每次支付违约金 2000元；若单月内出现 3次 以上，买方有权委托第三方提供维护服务，所产生费用由卖方承担，并从合同尾款或履约保证金中直接扣除。</w:t>
      </w:r>
    </w:p>
    <w:p w14:paraId="334D860C">
      <w:pPr>
        <w:spacing w:line="44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14.6 其他违约责任</w:t>
      </w:r>
    </w:p>
    <w:p w14:paraId="11CCBE75">
      <w:pPr>
        <w:spacing w:line="44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（1）转包或违规分包</w:t>
      </w:r>
    </w:p>
    <w:p w14:paraId="6DFADCF1">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卖方将项目主体或关键工作转包、违法分包的，买方有权解除合同，卖方退还全部已付款项，并支付合同总价款 </w:t>
      </w:r>
      <w:r>
        <w:rPr>
          <w:rFonts w:hint="eastAsia" w:ascii="宋体" w:cs="宋体"/>
          <w:color w:val="auto"/>
          <w:szCs w:val="21"/>
          <w:highlight w:val="none"/>
          <w:lang w:val="en-US" w:eastAsia="zh-CN"/>
        </w:rPr>
        <w:t>2</w:t>
      </w:r>
      <w:r>
        <w:rPr>
          <w:rFonts w:hint="eastAsia" w:ascii="宋体" w:cs="宋体"/>
          <w:color w:val="auto"/>
          <w:szCs w:val="21"/>
          <w:highlight w:val="none"/>
        </w:rPr>
        <w:t>0% 的违约金。</w:t>
      </w:r>
    </w:p>
    <w:p w14:paraId="6F8D74B8">
      <w:pPr>
        <w:numPr>
          <w:ilvl w:val="0"/>
          <w:numId w:val="13"/>
        </w:numPr>
        <w:spacing w:line="44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虚假响应</w:t>
      </w:r>
    </w:p>
    <w:p w14:paraId="7925F4C5">
      <w:pPr>
        <w:numPr>
          <w:ilvl w:val="0"/>
          <w:numId w:val="0"/>
        </w:num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若卖方在投标或合同履行阶段提供虚假材料（如业绩、证书、人员资质、模型能力等），一经查实，买方有权立即解除合同，并赔偿买方全部损失。</w:t>
      </w:r>
    </w:p>
    <w:p w14:paraId="5E066CBA">
      <w:pPr>
        <w:spacing w:line="440" w:lineRule="exact"/>
        <w:ind w:left="420" w:leftChars="200" w:firstLine="0" w:firstLineChars="0"/>
        <w:rPr>
          <w:rFonts w:hint="eastAsia" w:ascii="宋体" w:cs="宋体"/>
          <w:color w:val="auto"/>
          <w:szCs w:val="21"/>
          <w:highlight w:val="none"/>
        </w:rPr>
      </w:pPr>
      <w:r>
        <w:rPr>
          <w:rFonts w:hint="eastAsia" w:ascii="宋体" w:cs="宋体"/>
          <w:b/>
          <w:bCs/>
          <w:color w:val="auto"/>
          <w:szCs w:val="21"/>
          <w:highlight w:val="none"/>
        </w:rPr>
        <w:t>（3）同时适用多项违约</w:t>
      </w:r>
      <w:r>
        <w:rPr>
          <w:rFonts w:hint="eastAsia" w:ascii="宋体" w:cs="宋体"/>
          <w:b/>
          <w:bCs/>
          <w:color w:val="auto"/>
          <w:szCs w:val="21"/>
          <w:highlight w:val="none"/>
        </w:rPr>
        <w:br w:type="textWrapping"/>
      </w:r>
      <w:r>
        <w:rPr>
          <w:rFonts w:hint="eastAsia" w:ascii="宋体" w:cs="宋体"/>
          <w:color w:val="auto"/>
          <w:szCs w:val="21"/>
          <w:highlight w:val="none"/>
        </w:rPr>
        <w:t>卖方发生多项违约行为的，违约金累计计算，但总额不超过合同总价款的 50%。</w:t>
      </w:r>
    </w:p>
    <w:p w14:paraId="3EECB086">
      <w:pPr>
        <w:spacing w:line="44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14.7 违约金支付与买方权利</w:t>
      </w:r>
    </w:p>
    <w:p w14:paraId="5C8ACFA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买方有权从应付合同款项、履约保证金中直接扣除违约金。违约金不足以弥补损失的，买方有权继续追偿。</w:t>
      </w:r>
    </w:p>
    <w:p w14:paraId="521DDE5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因卖方违约导致买方解除合同的，卖方应在 10日内 配合完成系统迁移、数据移交等善后工作，移交费用由卖方承担。</w:t>
      </w:r>
    </w:p>
    <w:p w14:paraId="3274FC74">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买方向卖方发出的任何违约通知，自到达卖方指定通讯地址或电子邮箱之日起生效。</w:t>
      </w:r>
    </w:p>
    <w:p w14:paraId="7C25EDDB">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15.不可抗力</w:t>
      </w:r>
    </w:p>
    <w:p w14:paraId="4E56920F">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(1)因水灾、火灾、地震、战争等不可抗力不能履行合同的，根据不可抗力的影响，部分或者全部免除责任。但合同一方迟延履行后发生不可抗力的，不能免除责任。</w:t>
      </w:r>
    </w:p>
    <w:p w14:paraId="0E8CCAF4">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(2)合同一方因不可抗力不能履行合同的，应当及时通知对方，以减轻可能给对方造成的损失，并应当在合理期限内提供证明。</w:t>
      </w:r>
    </w:p>
    <w:p w14:paraId="31AF2515">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七.索赔</w:t>
      </w:r>
    </w:p>
    <w:p w14:paraId="4FED3B19">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16.索赔</w:t>
      </w:r>
    </w:p>
    <w:p w14:paraId="0B22CF7A">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(1)买方有权根据当地产品质量检验机构或其它有权威部门出具的检验证书向卖方提出索赔。</w:t>
      </w:r>
    </w:p>
    <w:p w14:paraId="7417A87D">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(2)在本合同规定的检验期和质量保证期内，如果卖方对买方提出的索赔或差异有责任，则卖方应按买方同意的下列一种或多种方式解决索赔事宜：</w:t>
      </w:r>
    </w:p>
    <w:p w14:paraId="4A76A611">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&lt;1&gt;卖方同意退货，并按合同规定的货币将货款退还给买方，并承担由此发生的一切损失和费用，包括利息、银行手续费、运费、保险费、检验费、仓储费、装卸费以及为保护退回标的物所需的其它必要费用；</w:t>
      </w:r>
    </w:p>
    <w:p w14:paraId="7FFF39E6">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&lt;2&gt;根据标的物的低劣程度、损坏程度以及甲方遭受损失的数额，经双方协商确定降低标的物的价格；</w:t>
      </w:r>
    </w:p>
    <w:p w14:paraId="630364EA">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52ADB6E">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9755529">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(4)买方提出索赔的书面材料应报当地政府采购管理部门备案。卖方同意的索赔方案应报当地政府采购管理部门审核。</w:t>
      </w:r>
    </w:p>
    <w:p w14:paraId="73D35810">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八.履约保证金</w:t>
      </w:r>
    </w:p>
    <w:p w14:paraId="39CAA538">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17.履约保证金</w:t>
      </w:r>
    </w:p>
    <w:p w14:paraId="23105511">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(1)卖方应在本合同签订时，按招标文件的约定提供相应的履约保证金，保证金的有效期应不低于合同有效期。</w:t>
      </w:r>
    </w:p>
    <w:p w14:paraId="1A91DC79">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(2)如果卖方未能履行合同规定的任何义务，买方有权从履约保证金中取得补偿。</w:t>
      </w:r>
    </w:p>
    <w:p w14:paraId="75E348B5">
      <w:pPr>
        <w:pStyle w:val="13"/>
        <w:overflowPunct w:val="0"/>
        <w:spacing w:line="440" w:lineRule="exact"/>
        <w:ind w:firstLine="422" w:firstLineChars="200"/>
        <w:rPr>
          <w:rFonts w:ascii="宋体" w:cs="宋体"/>
          <w:b/>
          <w:color w:val="auto"/>
          <w:kern w:val="2"/>
          <w:sz w:val="21"/>
          <w:szCs w:val="21"/>
          <w:highlight w:val="none"/>
        </w:rPr>
      </w:pPr>
      <w:r>
        <w:rPr>
          <w:rFonts w:hint="eastAsia" w:ascii="宋体" w:cs="宋体"/>
          <w:b/>
          <w:color w:val="auto"/>
          <w:kern w:val="2"/>
          <w:sz w:val="21"/>
          <w:szCs w:val="21"/>
          <w:highlight w:val="none"/>
        </w:rPr>
        <w:t>九.合同的解除和转让</w:t>
      </w:r>
    </w:p>
    <w:p w14:paraId="1E7903B2">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18.合同的解除</w:t>
      </w:r>
    </w:p>
    <w:p w14:paraId="4A32B7FF">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(1)买方和卖方协商一致，可以解除合同。</w:t>
      </w:r>
    </w:p>
    <w:p w14:paraId="534EA0E2">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(2)有下列情形之一，合同一方可以解除合同：</w:t>
      </w:r>
    </w:p>
    <w:p w14:paraId="7D61F1CF">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&lt;1&gt;因不可抗力致使不能实现合同目的，未受不可抗力影响的一方有权解除合同；</w:t>
      </w:r>
    </w:p>
    <w:p w14:paraId="6A0A92D9">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&lt;2&gt;因合同一方违约导致合同不能履行，另一方有权解除合同。</w:t>
      </w:r>
    </w:p>
    <w:p w14:paraId="7A08785D">
      <w:pPr>
        <w:pStyle w:val="13"/>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(3)有权解除合同的一方，应当在违约事实或不可抗力发生之后三十天内书面通知对方以主张解除合同，合同在书面通知到达对方时解除。</w:t>
      </w:r>
    </w:p>
    <w:p w14:paraId="2D9664AC">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19.合同的转让</w:t>
      </w:r>
    </w:p>
    <w:p w14:paraId="2A5E185C">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合同的部分和全部都不得转让。</w:t>
      </w:r>
    </w:p>
    <w:p w14:paraId="64C81544">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十.合同的生效</w:t>
      </w:r>
    </w:p>
    <w:p w14:paraId="01D5AE57">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20.合同的生效</w:t>
      </w:r>
    </w:p>
    <w:p w14:paraId="46D4850D">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本合同在双方签字盖章后生效。</w:t>
      </w:r>
    </w:p>
    <w:p w14:paraId="1D4D5DA4">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十一.争议解决</w:t>
      </w:r>
    </w:p>
    <w:p w14:paraId="6007EA79">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21.争议解决</w:t>
      </w:r>
    </w:p>
    <w:p w14:paraId="7E671121">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 xml:space="preserve"> 买卖双方因合同发生争议，进行调解，协商不成，可选择：</w:t>
      </w:r>
    </w:p>
    <w:p w14:paraId="62825ADE">
      <w:pPr>
        <w:pStyle w:val="13"/>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(1)双方同时申请仲裁；</w:t>
      </w:r>
    </w:p>
    <w:p w14:paraId="0A3AD312">
      <w:pPr>
        <w:pStyle w:val="13"/>
        <w:tabs>
          <w:tab w:val="left" w:pos="900"/>
        </w:tabs>
        <w:overflowPunct w:val="0"/>
        <w:spacing w:line="44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(2)向买方所在地人民法院提起诉讼。</w:t>
      </w:r>
    </w:p>
    <w:p w14:paraId="5CDB0BE8">
      <w:pPr>
        <w:spacing w:line="440" w:lineRule="exact"/>
        <w:ind w:firstLine="422" w:firstLineChars="200"/>
        <w:rPr>
          <w:rFonts w:ascii="宋体" w:cs="宋体"/>
          <w:b/>
          <w:color w:val="auto"/>
          <w:szCs w:val="21"/>
          <w:highlight w:val="none"/>
        </w:rPr>
      </w:pPr>
      <w:r>
        <w:rPr>
          <w:rFonts w:hint="eastAsia" w:ascii="宋体" w:cs="宋体"/>
          <w:b/>
          <w:color w:val="auto"/>
          <w:szCs w:val="21"/>
          <w:highlight w:val="none"/>
        </w:rPr>
        <w:t>十二.附则</w:t>
      </w:r>
    </w:p>
    <w:p w14:paraId="65AA6B56">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22.合同份数。</w:t>
      </w:r>
    </w:p>
    <w:p w14:paraId="5798FFCA">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本合同一式陆份，买卖双方各执二份，招标代理机构一份，招标采购管理部门一份。</w:t>
      </w:r>
    </w:p>
    <w:p w14:paraId="6E1EAD97">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23.未尽事宜</w:t>
      </w:r>
    </w:p>
    <w:p w14:paraId="4421F08A">
      <w:pPr>
        <w:pStyle w:val="36"/>
        <w:keepNext w:val="0"/>
        <w:keepLines w:val="0"/>
        <w:pageBreakBefore w:val="0"/>
        <w:widowControl w:val="0"/>
        <w:shd w:val="clear"/>
        <w:kinsoku/>
        <w:wordWrap/>
        <w:overflowPunct/>
        <w:topLinePunct w:val="0"/>
        <w:autoSpaceDE/>
        <w:autoSpaceDN/>
        <w:bidi w:val="0"/>
        <w:adjustRightInd/>
        <w:snapToGrid/>
        <w:spacing w:after="0" w:line="440" w:lineRule="exact"/>
        <w:ind w:left="0" w:leftChars="0" w:right="0" w:rightChars="0" w:firstLine="883"/>
        <w:textAlignment w:val="auto"/>
        <w:rPr>
          <w:rFonts w:hint="eastAsia" w:ascii="宋体" w:cs="宋体"/>
          <w:color w:val="auto"/>
          <w:szCs w:val="21"/>
          <w:highlight w:val="none"/>
          <w:lang w:eastAsia="zh-CN"/>
        </w:rPr>
      </w:pPr>
      <w:r>
        <w:rPr>
          <w:rFonts w:hint="eastAsia" w:ascii="宋体" w:cs="宋体"/>
          <w:color w:val="auto"/>
          <w:szCs w:val="21"/>
          <w:highlight w:val="none"/>
        </w:rPr>
        <w:t>本合同未尽事宜应按《中华人民共和国政府采购法》、《中华人民共和国民法典》、《中华人民共和国产品质量法》之规定解释</w:t>
      </w:r>
      <w:r>
        <w:rPr>
          <w:rFonts w:hint="eastAsia" w:ascii="宋体" w:cs="宋体"/>
          <w:color w:val="auto"/>
          <w:szCs w:val="21"/>
          <w:highlight w:val="none"/>
          <w:lang w:eastAsia="zh-CN"/>
        </w:rPr>
        <w:t>。</w:t>
      </w:r>
    </w:p>
    <w:p w14:paraId="3C86F736">
      <w:pPr>
        <w:rPr>
          <w:rFonts w:hint="eastAsia"/>
          <w:color w:val="auto"/>
          <w:highlight w:val="none"/>
          <w:lang w:eastAsia="zh-CN"/>
        </w:rPr>
      </w:pPr>
    </w:p>
    <w:p w14:paraId="522D3F7D">
      <w:pPr>
        <w:rPr>
          <w:rFonts w:hint="eastAsia"/>
          <w:color w:val="auto"/>
          <w:highlight w:val="none"/>
          <w:lang w:eastAsia="zh-CN"/>
        </w:rPr>
      </w:pPr>
    </w:p>
    <w:p w14:paraId="57D59363">
      <w:pPr>
        <w:rPr>
          <w:rFonts w:hint="eastAsia"/>
          <w:color w:val="auto"/>
          <w:highlight w:val="none"/>
          <w:lang w:eastAsia="zh-CN"/>
        </w:rPr>
      </w:pPr>
    </w:p>
    <w:p w14:paraId="0345EE65">
      <w:pPr>
        <w:rPr>
          <w:rFonts w:hint="eastAsia" w:ascii="宋体" w:cs="宋体"/>
          <w:color w:val="auto"/>
          <w:szCs w:val="21"/>
          <w:highlight w:val="none"/>
          <w:lang w:eastAsia="zh-CN"/>
        </w:rPr>
      </w:pPr>
    </w:p>
    <w:p w14:paraId="0F320882">
      <w:pPr>
        <w:rPr>
          <w:rFonts w:hint="eastAsia" w:ascii="宋体" w:cs="宋体"/>
          <w:color w:val="auto"/>
          <w:szCs w:val="21"/>
          <w:highlight w:val="none"/>
          <w:lang w:eastAsia="zh-CN"/>
        </w:rPr>
      </w:pPr>
    </w:p>
    <w:p w14:paraId="431E7835">
      <w:pPr>
        <w:rPr>
          <w:rFonts w:hint="eastAsia" w:ascii="宋体" w:cs="宋体"/>
          <w:color w:val="auto"/>
          <w:szCs w:val="21"/>
          <w:highlight w:val="none"/>
          <w:lang w:eastAsia="zh-CN"/>
        </w:rPr>
      </w:pPr>
    </w:p>
    <w:p w14:paraId="5CCD1942">
      <w:pPr>
        <w:rPr>
          <w:rFonts w:hint="eastAsia" w:ascii="宋体" w:cs="宋体"/>
          <w:color w:val="auto"/>
          <w:szCs w:val="21"/>
          <w:highlight w:val="none"/>
          <w:lang w:eastAsia="zh-CN"/>
        </w:rPr>
      </w:pPr>
    </w:p>
    <w:p w14:paraId="63AE9BCA">
      <w:pPr>
        <w:rPr>
          <w:rFonts w:hint="eastAsia" w:ascii="宋体" w:cs="宋体"/>
          <w:color w:val="auto"/>
          <w:szCs w:val="21"/>
          <w:highlight w:val="none"/>
          <w:lang w:eastAsia="zh-CN"/>
        </w:rPr>
      </w:pPr>
    </w:p>
    <w:p w14:paraId="3B919369">
      <w:pPr>
        <w:rPr>
          <w:rFonts w:hint="eastAsia" w:ascii="宋体" w:cs="宋体"/>
          <w:color w:val="auto"/>
          <w:szCs w:val="21"/>
          <w:highlight w:val="none"/>
          <w:lang w:eastAsia="zh-CN"/>
        </w:rPr>
      </w:pPr>
    </w:p>
    <w:p w14:paraId="5A7FF5E4">
      <w:pPr>
        <w:rPr>
          <w:rFonts w:hint="eastAsia"/>
          <w:color w:val="auto"/>
          <w:highlight w:val="none"/>
          <w:lang w:eastAsia="zh-CN"/>
        </w:rPr>
      </w:pPr>
    </w:p>
    <w:p w14:paraId="6D29103A">
      <w:pPr>
        <w:rPr>
          <w:rFonts w:hint="eastAsia"/>
          <w:color w:val="auto"/>
          <w:highlight w:val="none"/>
          <w:lang w:eastAsia="zh-CN"/>
        </w:rPr>
      </w:pPr>
    </w:p>
    <w:p w14:paraId="5E4D9E3E">
      <w:pPr>
        <w:rPr>
          <w:rFonts w:hint="eastAsia"/>
          <w:color w:val="auto"/>
          <w:highlight w:val="none"/>
          <w:lang w:eastAsia="zh-CN"/>
        </w:rPr>
      </w:pPr>
    </w:p>
    <w:p w14:paraId="457DE694">
      <w:pPr>
        <w:pStyle w:val="2"/>
        <w:shd w:val="clear"/>
        <w:kinsoku/>
        <w:overflowPunct/>
        <w:bidi w:val="0"/>
        <w:ind w:left="0" w:leftChars="0" w:right="0" w:rightChars="0"/>
        <w:rPr>
          <w:color w:val="auto"/>
          <w:highlight w:val="none"/>
        </w:rPr>
      </w:pPr>
      <w:bookmarkStart w:id="185" w:name="_Toc8628"/>
      <w:r>
        <w:rPr>
          <w:rFonts w:hint="eastAsia"/>
          <w:color w:val="auto"/>
          <w:highlight w:val="none"/>
        </w:rPr>
        <w:t>第六章  投标文件格式</w:t>
      </w:r>
      <w:bookmarkEnd w:id="174"/>
      <w:bookmarkEnd w:id="185"/>
    </w:p>
    <w:p w14:paraId="39818888">
      <w:pPr>
        <w:shd w:val="clear"/>
        <w:kinsoku/>
        <w:overflowPunct/>
        <w:bidi w:val="0"/>
        <w:ind w:left="0" w:leftChars="0" w:right="0" w:rightChars="0"/>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2D44B8D0">
      <w:pPr>
        <w:shd w:val="clear"/>
        <w:kinsoku/>
        <w:overflowPunct/>
        <w:bidi w:val="0"/>
        <w:ind w:left="0" w:leftChars="0" w:right="0" w:rightChars="0"/>
        <w:jc w:val="center"/>
        <w:rPr>
          <w:rFonts w:eastAsia="黑体"/>
          <w:color w:val="auto"/>
          <w:sz w:val="20"/>
          <w:highlight w:val="none"/>
        </w:rPr>
      </w:pPr>
    </w:p>
    <w:p w14:paraId="16758330">
      <w:pPr>
        <w:shd w:val="clear"/>
        <w:kinsoku/>
        <w:overflowPunct/>
        <w:bidi w:val="0"/>
        <w:ind w:left="0" w:leftChars="0" w:right="0" w:rightChars="0"/>
        <w:rPr>
          <w:rFonts w:eastAsia="黑体"/>
          <w:color w:val="auto"/>
          <w:sz w:val="20"/>
          <w:highlight w:val="none"/>
        </w:rPr>
      </w:pPr>
    </w:p>
    <w:p w14:paraId="3838E293">
      <w:pPr>
        <w:shd w:val="clear"/>
        <w:kinsoku/>
        <w:overflowPunct/>
        <w:bidi w:val="0"/>
        <w:ind w:left="0" w:leftChars="0" w:right="0" w:rightChars="0"/>
        <w:jc w:val="center"/>
        <w:rPr>
          <w:rFonts w:ascii="宋体"/>
          <w:b/>
          <w:color w:val="auto"/>
          <w:sz w:val="44"/>
          <w:szCs w:val="44"/>
          <w:highlight w:val="none"/>
        </w:rPr>
      </w:pPr>
      <w:bookmarkStart w:id="186" w:name="_Toc350698753"/>
      <w:bookmarkStart w:id="187" w:name="_Toc449028949"/>
      <w:r>
        <w:rPr>
          <w:rFonts w:hint="eastAsia" w:ascii="宋体"/>
          <w:b/>
          <w:color w:val="auto"/>
          <w:sz w:val="44"/>
          <w:szCs w:val="44"/>
          <w:highlight w:val="none"/>
        </w:rPr>
        <w:t>资信证明文件</w:t>
      </w:r>
      <w:bookmarkEnd w:id="186"/>
      <w:bookmarkEnd w:id="187"/>
    </w:p>
    <w:p w14:paraId="52106849">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rPr>
        <w:t>（投标文件一）</w:t>
      </w:r>
    </w:p>
    <w:p w14:paraId="0C7077DB">
      <w:pPr>
        <w:shd w:val="clear"/>
        <w:kinsoku/>
        <w:overflowPunct/>
        <w:bidi w:val="0"/>
        <w:ind w:left="0" w:leftChars="0" w:right="0" w:rightChars="0"/>
        <w:jc w:val="center"/>
        <w:rPr>
          <w:rFonts w:eastAsia="黑体"/>
          <w:color w:val="auto"/>
          <w:sz w:val="44"/>
          <w:szCs w:val="44"/>
          <w:highlight w:val="none"/>
        </w:rPr>
      </w:pPr>
    </w:p>
    <w:p w14:paraId="354E1FB8">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CEDA6D3">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F4017B9">
      <w:pPr>
        <w:shd w:val="clear"/>
        <w:kinsoku/>
        <w:overflowPunct/>
        <w:bidi w:val="0"/>
        <w:ind w:left="0" w:leftChars="0" w:right="0" w:rightChars="0"/>
        <w:rPr>
          <w:rFonts w:ascii="宋体"/>
          <w:color w:val="auto"/>
          <w:sz w:val="28"/>
          <w:szCs w:val="28"/>
          <w:highlight w:val="none"/>
        </w:rPr>
      </w:pPr>
    </w:p>
    <w:p w14:paraId="236710E5">
      <w:pPr>
        <w:shd w:val="clear"/>
        <w:kinsoku/>
        <w:overflowPunct/>
        <w:bidi w:val="0"/>
        <w:ind w:left="0" w:leftChars="0" w:right="0" w:rightChars="0"/>
        <w:rPr>
          <w:rFonts w:ascii="宋体"/>
          <w:color w:val="auto"/>
          <w:sz w:val="28"/>
          <w:szCs w:val="28"/>
          <w:highlight w:val="none"/>
        </w:rPr>
      </w:pPr>
    </w:p>
    <w:p w14:paraId="3FF73A11">
      <w:pPr>
        <w:shd w:val="clear"/>
        <w:kinsoku/>
        <w:overflowPunct/>
        <w:bidi w:val="0"/>
        <w:ind w:left="0" w:leftChars="0" w:right="0" w:rightChars="0"/>
        <w:rPr>
          <w:rFonts w:ascii="宋体"/>
          <w:color w:val="auto"/>
          <w:sz w:val="28"/>
          <w:szCs w:val="28"/>
          <w:highlight w:val="none"/>
        </w:rPr>
      </w:pPr>
    </w:p>
    <w:p w14:paraId="18D99A30">
      <w:pPr>
        <w:shd w:val="clear"/>
        <w:kinsoku/>
        <w:overflowPunct/>
        <w:bidi w:val="0"/>
        <w:ind w:left="0" w:leftChars="0" w:right="0" w:rightChars="0"/>
        <w:rPr>
          <w:rFonts w:ascii="宋体"/>
          <w:color w:val="auto"/>
          <w:sz w:val="28"/>
          <w:szCs w:val="28"/>
          <w:highlight w:val="none"/>
        </w:rPr>
      </w:pPr>
    </w:p>
    <w:p w14:paraId="4255A2F0">
      <w:pPr>
        <w:shd w:val="clear"/>
        <w:kinsoku/>
        <w:overflowPunct/>
        <w:bidi w:val="0"/>
        <w:ind w:left="0" w:leftChars="0" w:right="0" w:rightChars="0"/>
        <w:rPr>
          <w:rFonts w:ascii="宋体"/>
          <w:color w:val="auto"/>
          <w:sz w:val="28"/>
          <w:szCs w:val="28"/>
          <w:highlight w:val="none"/>
        </w:rPr>
      </w:pPr>
    </w:p>
    <w:p w14:paraId="5423F851">
      <w:pPr>
        <w:shd w:val="clear"/>
        <w:kinsoku/>
        <w:overflowPunct/>
        <w:bidi w:val="0"/>
        <w:ind w:left="0" w:leftChars="0" w:right="0" w:rightChars="0"/>
        <w:rPr>
          <w:rFonts w:ascii="宋体"/>
          <w:color w:val="auto"/>
          <w:sz w:val="28"/>
          <w:szCs w:val="28"/>
          <w:highlight w:val="none"/>
        </w:rPr>
      </w:pPr>
    </w:p>
    <w:p w14:paraId="666E7538">
      <w:pPr>
        <w:shd w:val="clear"/>
        <w:kinsoku/>
        <w:overflowPunct/>
        <w:bidi w:val="0"/>
        <w:ind w:left="0" w:leftChars="0" w:right="0" w:rightChars="0"/>
        <w:rPr>
          <w:rFonts w:ascii="宋体"/>
          <w:color w:val="auto"/>
          <w:sz w:val="28"/>
          <w:szCs w:val="28"/>
          <w:highlight w:val="none"/>
        </w:rPr>
      </w:pPr>
    </w:p>
    <w:p w14:paraId="17D5CAB8">
      <w:pPr>
        <w:shd w:val="clear"/>
        <w:kinsoku/>
        <w:overflowPunct/>
        <w:bidi w:val="0"/>
        <w:ind w:left="0" w:leftChars="0" w:right="0" w:rightChars="0"/>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FA08363">
      <w:pPr>
        <w:shd w:val="clear"/>
        <w:kinsoku/>
        <w:overflowPunct/>
        <w:bidi w:val="0"/>
        <w:ind w:left="0" w:leftChars="0" w:right="0" w:rightChars="0"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B89275E">
      <w:pPr>
        <w:shd w:val="clear"/>
        <w:kinsoku/>
        <w:overflowPunct/>
        <w:bidi w:val="0"/>
        <w:ind w:left="0" w:leftChars="0" w:right="0" w:rightChars="0"/>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940778D">
      <w:pPr>
        <w:shd w:val="clear"/>
        <w:kinsoku/>
        <w:overflowPunct/>
        <w:bidi w:val="0"/>
        <w:spacing w:line="720" w:lineRule="auto"/>
        <w:ind w:left="0" w:leftChars="0" w:right="0" w:rightChars="0"/>
        <w:jc w:val="center"/>
        <w:rPr>
          <w:rFonts w:ascii="宋体"/>
          <w:b/>
          <w:color w:val="auto"/>
          <w:sz w:val="36"/>
          <w:szCs w:val="36"/>
          <w:highlight w:val="none"/>
        </w:rPr>
      </w:pPr>
    </w:p>
    <w:p w14:paraId="4406A234">
      <w:pPr>
        <w:shd w:val="clear"/>
        <w:kinsoku/>
        <w:overflowPunct/>
        <w:bidi w:val="0"/>
        <w:spacing w:line="400" w:lineRule="exact"/>
        <w:ind w:left="0" w:leftChars="0" w:right="0" w:rightChars="0" w:firstLine="4130" w:firstLineChars="935"/>
        <w:rPr>
          <w:b/>
          <w:color w:val="auto"/>
          <w:sz w:val="44"/>
          <w:szCs w:val="44"/>
          <w:highlight w:val="none"/>
        </w:rPr>
      </w:pPr>
    </w:p>
    <w:p w14:paraId="6891E8D5">
      <w:pPr>
        <w:pStyle w:val="35"/>
        <w:shd w:val="clear"/>
        <w:kinsoku/>
        <w:overflowPunct/>
        <w:bidi w:val="0"/>
        <w:ind w:left="0" w:leftChars="0" w:right="0" w:rightChars="0" w:firstLine="210"/>
        <w:rPr>
          <w:color w:val="auto"/>
          <w:highlight w:val="none"/>
        </w:rPr>
      </w:pPr>
    </w:p>
    <w:p w14:paraId="5401311B">
      <w:pPr>
        <w:shd w:val="clear"/>
        <w:kinsoku/>
        <w:overflowPunct/>
        <w:bidi w:val="0"/>
        <w:ind w:left="0" w:leftChars="0" w:right="0" w:rightChars="0"/>
        <w:jc w:val="center"/>
        <w:rPr>
          <w:b/>
          <w:color w:val="auto"/>
          <w:sz w:val="44"/>
          <w:szCs w:val="44"/>
          <w:highlight w:val="none"/>
        </w:rPr>
      </w:pPr>
      <w:r>
        <w:rPr>
          <w:rFonts w:hint="eastAsia"/>
          <w:b/>
          <w:color w:val="auto"/>
          <w:sz w:val="36"/>
          <w:szCs w:val="36"/>
          <w:highlight w:val="none"/>
        </w:rPr>
        <w:t>目   录</w:t>
      </w:r>
    </w:p>
    <w:p w14:paraId="7E5535E2">
      <w:pPr>
        <w:shd w:val="clear"/>
        <w:kinsoku/>
        <w:overflowPunct/>
        <w:bidi w:val="0"/>
        <w:spacing w:line="400" w:lineRule="exact"/>
        <w:ind w:left="0" w:leftChars="0" w:right="0" w:rightChars="0" w:firstLine="562" w:firstLineChars="200"/>
        <w:rPr>
          <w:b/>
          <w:color w:val="auto"/>
          <w:sz w:val="28"/>
          <w:szCs w:val="28"/>
          <w:highlight w:val="none"/>
        </w:rPr>
      </w:pPr>
    </w:p>
    <w:p w14:paraId="389C46A5">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49BF682E">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58372440">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1117EE1">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）服务承诺：是否响应招标文件要求的书面说明和服务承诺书（格式见附件）</w:t>
      </w:r>
    </w:p>
    <w:p w14:paraId="11B2E1DF">
      <w:pPr>
        <w:shd w:val="clear"/>
        <w:kinsoku/>
        <w:overflowPunct/>
        <w:bidi w:val="0"/>
        <w:spacing w:line="440" w:lineRule="exact"/>
        <w:ind w:left="0" w:leftChars="0" w:right="0" w:rightChars="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服务内容及技术要求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要求的人员相关证明材料；</w:t>
      </w:r>
    </w:p>
    <w:p w14:paraId="308E6E81">
      <w:pPr>
        <w:shd w:val="clear"/>
        <w:kinsoku/>
        <w:overflowPunct/>
        <w:bidi w:val="0"/>
        <w:spacing w:line="440" w:lineRule="exact"/>
        <w:ind w:left="0" w:leftChars="0" w:right="0" w:rightChars="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招标文件中要求的资信标评审及其他支持资料</w:t>
      </w:r>
      <w:r>
        <w:rPr>
          <w:rFonts w:hint="eastAsia" w:ascii="宋体" w:hAnsi="宋体" w:cs="宋体"/>
          <w:bCs/>
          <w:color w:val="auto"/>
          <w:szCs w:val="21"/>
          <w:highlight w:val="none"/>
          <w:lang w:eastAsia="zh-CN"/>
        </w:rPr>
        <w:t>。</w:t>
      </w:r>
    </w:p>
    <w:p w14:paraId="75460FFE">
      <w:pPr>
        <w:shd w:val="clear"/>
        <w:kinsoku/>
        <w:overflowPunct/>
        <w:bidi w:val="0"/>
        <w:spacing w:line="400" w:lineRule="exact"/>
        <w:ind w:left="0" w:leftChars="0" w:right="0" w:rightChars="0" w:firstLine="562" w:firstLineChars="200"/>
        <w:rPr>
          <w:b/>
          <w:color w:val="auto"/>
          <w:sz w:val="28"/>
          <w:szCs w:val="28"/>
          <w:highlight w:val="none"/>
        </w:rPr>
      </w:pPr>
    </w:p>
    <w:p w14:paraId="3D91E656">
      <w:pPr>
        <w:shd w:val="clear"/>
        <w:kinsoku/>
        <w:overflowPunct/>
        <w:bidi w:val="0"/>
        <w:spacing w:line="400" w:lineRule="exact"/>
        <w:ind w:left="0" w:leftChars="0" w:right="0" w:rightChars="0" w:firstLine="562" w:firstLineChars="200"/>
        <w:rPr>
          <w:b/>
          <w:color w:val="auto"/>
          <w:sz w:val="28"/>
          <w:szCs w:val="28"/>
          <w:highlight w:val="none"/>
        </w:rPr>
      </w:pPr>
    </w:p>
    <w:p w14:paraId="47C42AD0">
      <w:pPr>
        <w:shd w:val="clear"/>
        <w:kinsoku/>
        <w:overflowPunct/>
        <w:bidi w:val="0"/>
        <w:spacing w:line="400" w:lineRule="exact"/>
        <w:ind w:left="0" w:leftChars="0" w:right="0" w:rightChars="0" w:firstLine="562" w:firstLineChars="200"/>
        <w:rPr>
          <w:b/>
          <w:color w:val="auto"/>
          <w:sz w:val="28"/>
          <w:szCs w:val="28"/>
          <w:highlight w:val="none"/>
        </w:rPr>
      </w:pPr>
    </w:p>
    <w:p w14:paraId="647CE73E">
      <w:pPr>
        <w:shd w:val="clear"/>
        <w:kinsoku/>
        <w:overflowPunct/>
        <w:bidi w:val="0"/>
        <w:spacing w:line="400" w:lineRule="exact"/>
        <w:ind w:left="0" w:leftChars="0" w:right="0" w:rightChars="0" w:firstLine="562" w:firstLineChars="200"/>
        <w:rPr>
          <w:b/>
          <w:color w:val="auto"/>
          <w:sz w:val="28"/>
          <w:szCs w:val="28"/>
          <w:highlight w:val="none"/>
        </w:rPr>
      </w:pPr>
    </w:p>
    <w:p w14:paraId="49B9508F">
      <w:pPr>
        <w:shd w:val="clear"/>
        <w:kinsoku/>
        <w:overflowPunct/>
        <w:bidi w:val="0"/>
        <w:spacing w:line="400" w:lineRule="exact"/>
        <w:ind w:left="0" w:leftChars="0" w:right="0" w:rightChars="0"/>
        <w:rPr>
          <w:b/>
          <w:color w:val="auto"/>
          <w:sz w:val="28"/>
          <w:szCs w:val="28"/>
          <w:highlight w:val="none"/>
        </w:rPr>
        <w:sectPr>
          <w:headerReference r:id="rId5" w:type="default"/>
          <w:footerReference r:id="rId6" w:type="default"/>
          <w:pgSz w:w="11906" w:h="16838"/>
          <w:pgMar w:top="1440" w:right="1247" w:bottom="1417" w:left="1247" w:header="851" w:footer="992" w:gutter="0"/>
          <w:pgNumType w:fmt="numberInDash"/>
          <w:cols w:space="0" w:num="1"/>
          <w:rtlGutter w:val="0"/>
          <w:docGrid w:type="lines" w:linePitch="312" w:charSpace="0"/>
        </w:sectPr>
      </w:pPr>
    </w:p>
    <w:p w14:paraId="477269B5">
      <w:pPr>
        <w:shd w:val="clear"/>
        <w:kinsoku/>
        <w:overflowPunct/>
        <w:bidi w:val="0"/>
        <w:spacing w:line="360" w:lineRule="auto"/>
        <w:ind w:left="0" w:leftChars="0" w:right="0" w:rightChars="0"/>
        <w:rPr>
          <w:b/>
          <w:color w:val="auto"/>
          <w:sz w:val="28"/>
          <w:szCs w:val="28"/>
          <w:highlight w:val="none"/>
        </w:rPr>
      </w:pPr>
      <w:r>
        <w:rPr>
          <w:rFonts w:hint="eastAsia"/>
          <w:b/>
          <w:color w:val="auto"/>
          <w:sz w:val="28"/>
          <w:szCs w:val="28"/>
          <w:highlight w:val="none"/>
        </w:rPr>
        <w:t>附件1</w:t>
      </w:r>
    </w:p>
    <w:p w14:paraId="5448B5F4">
      <w:pPr>
        <w:shd w:val="clear"/>
        <w:kinsoku/>
        <w:overflowPunct/>
        <w:bidi w:val="0"/>
        <w:spacing w:line="360" w:lineRule="auto"/>
        <w:ind w:left="0" w:leftChars="0" w:right="0" w:rightChars="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1FB80223">
      <w:pPr>
        <w:pStyle w:val="106"/>
        <w:shd w:val="clear"/>
        <w:kinsoku/>
        <w:overflowPunct/>
        <w:bidi w:val="0"/>
        <w:spacing w:beforeLines="100" w:afterLines="100" w:line="480" w:lineRule="exact"/>
        <w:ind w:left="0" w:leftChars="0" w:right="0" w:rightChars="0"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037406A0">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0AB3BFB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5C446A5B">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7A85906">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04F2981">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FA1A029">
      <w:pPr>
        <w:shd w:val="clear"/>
        <w:kinsoku/>
        <w:overflowPunct/>
        <w:bidi w:val="0"/>
        <w:spacing w:line="480" w:lineRule="exact"/>
        <w:ind w:left="0" w:leftChars="0" w:right="0" w:rightChars="0"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AE61EB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E5C6F13">
      <w:pPr>
        <w:shd w:val="clear"/>
        <w:kinsoku/>
        <w:overflowPunct/>
        <w:bidi w:val="0"/>
        <w:spacing w:line="480" w:lineRule="exact"/>
        <w:ind w:left="0" w:leftChars="0" w:right="0" w:rightChars="0" w:firstLine="960" w:firstLineChars="400"/>
        <w:rPr>
          <w:rFonts w:ascii="宋体"/>
          <w:color w:val="auto"/>
          <w:sz w:val="24"/>
          <w:highlight w:val="none"/>
        </w:rPr>
      </w:pPr>
      <w:r>
        <w:rPr>
          <w:rFonts w:hint="eastAsia" w:ascii="宋体"/>
          <w:color w:val="auto"/>
          <w:sz w:val="24"/>
          <w:highlight w:val="none"/>
        </w:rPr>
        <w:t>特此证明。</w:t>
      </w:r>
    </w:p>
    <w:p w14:paraId="7B01580B">
      <w:pPr>
        <w:shd w:val="clear"/>
        <w:kinsoku/>
        <w:overflowPunct/>
        <w:bidi w:val="0"/>
        <w:spacing w:line="360" w:lineRule="auto"/>
        <w:ind w:left="0" w:leftChars="0" w:right="0" w:rightChars="0"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2E70931">
      <w:pPr>
        <w:shd w:val="clear"/>
        <w:kinsoku/>
        <w:wordWrap w:val="0"/>
        <w:overflowPunct/>
        <w:bidi w:val="0"/>
        <w:spacing w:line="360" w:lineRule="auto"/>
        <w:ind w:left="0" w:leftChars="0" w:right="0" w:rightChars="0"/>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3181964D">
      <w:pPr>
        <w:shd w:val="clear"/>
        <w:kinsoku/>
        <w:overflowPunct/>
        <w:bidi w:val="0"/>
        <w:spacing w:beforeLines="100" w:afterLines="100" w:line="480" w:lineRule="exact"/>
        <w:ind w:left="0" w:leftChars="0" w:right="0" w:rightChars="0" w:firstLine="3654" w:firstLineChars="1305"/>
        <w:rPr>
          <w:rFonts w:ascii="宋体"/>
          <w:color w:val="auto"/>
          <w:sz w:val="28"/>
          <w:szCs w:val="28"/>
          <w:highlight w:val="none"/>
        </w:rPr>
      </w:pPr>
      <w:r>
        <w:rPr>
          <w:rFonts w:hint="eastAsia" w:ascii="宋体"/>
          <w:color w:val="auto"/>
          <w:sz w:val="28"/>
          <w:szCs w:val="28"/>
          <w:highlight w:val="none"/>
        </w:rPr>
        <w:t>2.授权委托书</w:t>
      </w:r>
    </w:p>
    <w:p w14:paraId="75B95580">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6882F59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委托期限：                                </w:t>
      </w:r>
    </w:p>
    <w:p w14:paraId="15CBF56B">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代理人无转委托权。</w:t>
      </w:r>
    </w:p>
    <w:p w14:paraId="1FDFF012">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23890DC">
      <w:pPr>
        <w:shd w:val="clear"/>
        <w:kinsoku/>
        <w:overflowPunct/>
        <w:bidi w:val="0"/>
        <w:spacing w:line="480" w:lineRule="exact"/>
        <w:ind w:left="0" w:leftChars="0" w:right="0" w:rightChars="0"/>
        <w:rPr>
          <w:rFonts w:ascii="宋体"/>
          <w:color w:val="auto"/>
          <w:sz w:val="24"/>
          <w:highlight w:val="none"/>
        </w:rPr>
      </w:pPr>
      <w:r>
        <w:rPr>
          <w:rFonts w:hint="eastAsia" w:ascii="宋体"/>
          <w:color w:val="auto"/>
          <w:sz w:val="24"/>
          <w:highlight w:val="none"/>
        </w:rPr>
        <w:t xml:space="preserve">                                     投标人：             （盖单位章）</w:t>
      </w:r>
    </w:p>
    <w:p w14:paraId="01F26E13">
      <w:pPr>
        <w:shd w:val="clear"/>
        <w:kinsoku/>
        <w:overflowPunct/>
        <w:bidi w:val="0"/>
        <w:spacing w:line="480" w:lineRule="exact"/>
        <w:ind w:left="0" w:leftChars="0" w:right="0" w:rightChars="0"/>
        <w:jc w:val="right"/>
        <w:rPr>
          <w:rFonts w:ascii="宋体"/>
          <w:color w:val="auto"/>
          <w:sz w:val="24"/>
          <w:highlight w:val="none"/>
        </w:rPr>
      </w:pPr>
      <w:r>
        <w:rPr>
          <w:rFonts w:hint="eastAsia" w:ascii="宋体"/>
          <w:color w:val="auto"/>
          <w:sz w:val="24"/>
          <w:highlight w:val="none"/>
        </w:rPr>
        <w:t>法定代表人（身份证号码）：             （签章）</w:t>
      </w:r>
    </w:p>
    <w:p w14:paraId="330D4FEF">
      <w:pPr>
        <w:shd w:val="clear"/>
        <w:kinsoku/>
        <w:overflowPunct/>
        <w:bidi w:val="0"/>
        <w:spacing w:line="480" w:lineRule="exact"/>
        <w:ind w:left="0" w:leftChars="0" w:right="0" w:rightChars="0" w:firstLine="2820" w:firstLineChars="1175"/>
        <w:rPr>
          <w:rFonts w:ascii="宋体"/>
          <w:color w:val="auto"/>
          <w:sz w:val="24"/>
          <w:highlight w:val="none"/>
        </w:rPr>
      </w:pPr>
      <w:r>
        <w:rPr>
          <w:rFonts w:hint="eastAsia" w:ascii="宋体"/>
          <w:color w:val="auto"/>
          <w:sz w:val="24"/>
          <w:highlight w:val="none"/>
        </w:rPr>
        <w:t xml:space="preserve">              年    月    日</w:t>
      </w:r>
    </w:p>
    <w:p w14:paraId="6D0A51DD">
      <w:pPr>
        <w:shd w:val="clear"/>
        <w:kinsoku/>
        <w:overflowPunct/>
        <w:bidi w:val="0"/>
        <w:spacing w:line="360" w:lineRule="exact"/>
        <w:ind w:left="0" w:leftChars="0" w:right="0" w:rightChars="0" w:firstLine="413" w:firstLineChars="147"/>
        <w:rPr>
          <w:b/>
          <w:color w:val="auto"/>
          <w:sz w:val="28"/>
          <w:szCs w:val="28"/>
          <w:highlight w:val="none"/>
          <w:u w:val="single"/>
        </w:rPr>
      </w:pPr>
    </w:p>
    <w:p w14:paraId="1D992496">
      <w:pPr>
        <w:shd w:val="clear"/>
        <w:kinsoku/>
        <w:overflowPunct/>
        <w:bidi w:val="0"/>
        <w:spacing w:line="360" w:lineRule="exact"/>
        <w:ind w:left="0" w:leftChars="0" w:right="0" w:rightChars="0" w:firstLine="413" w:firstLineChars="147"/>
        <w:rPr>
          <w:b/>
          <w:color w:val="auto"/>
          <w:sz w:val="28"/>
          <w:szCs w:val="28"/>
          <w:highlight w:val="none"/>
          <w:u w:val="single"/>
        </w:rPr>
      </w:pPr>
    </w:p>
    <w:p w14:paraId="5E278B24">
      <w:pPr>
        <w:shd w:val="clear"/>
        <w:kinsoku/>
        <w:overflowPunct/>
        <w:bidi w:val="0"/>
        <w:spacing w:line="360" w:lineRule="exact"/>
        <w:ind w:left="0" w:leftChars="0" w:right="0" w:rightChars="0"/>
        <w:rPr>
          <w:rFonts w:ascii="宋体"/>
          <w:b/>
          <w:color w:val="auto"/>
          <w:sz w:val="30"/>
          <w:szCs w:val="30"/>
          <w:highlight w:val="none"/>
        </w:rPr>
      </w:pPr>
      <w:r>
        <w:rPr>
          <w:rFonts w:hint="eastAsia" w:ascii="宋体"/>
          <w:b/>
          <w:color w:val="auto"/>
          <w:sz w:val="30"/>
          <w:szCs w:val="30"/>
          <w:highlight w:val="none"/>
        </w:rPr>
        <w:t>附件2</w:t>
      </w:r>
    </w:p>
    <w:p w14:paraId="1F1590F2">
      <w:pPr>
        <w:shd w:val="clear"/>
        <w:kinsoku/>
        <w:overflowPunct/>
        <w:bidi w:val="0"/>
        <w:spacing w:line="360" w:lineRule="exact"/>
        <w:ind w:left="0" w:leftChars="0" w:right="0" w:rightChars="0" w:firstLine="413" w:firstLineChars="147"/>
        <w:jc w:val="center"/>
        <w:rPr>
          <w:b/>
          <w:color w:val="auto"/>
          <w:sz w:val="28"/>
          <w:szCs w:val="28"/>
          <w:highlight w:val="none"/>
        </w:rPr>
      </w:pPr>
      <w:bookmarkStart w:id="188" w:name="_Toc440443268"/>
      <w:bookmarkStart w:id="189" w:name="_Toc449028950"/>
      <w:r>
        <w:rPr>
          <w:rFonts w:hint="eastAsia"/>
          <w:b/>
          <w:color w:val="auto"/>
          <w:sz w:val="28"/>
          <w:szCs w:val="28"/>
          <w:highlight w:val="none"/>
        </w:rPr>
        <w:t>（2）诚信投标承诺书</w:t>
      </w:r>
    </w:p>
    <w:p w14:paraId="0D961E5C">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w:t>
      </w:r>
      <w:bookmarkStart w:id="190" w:name="_Toc503196197"/>
      <w:bookmarkStart w:id="191" w:name="_Toc506107356"/>
      <w:bookmarkStart w:id="192" w:name="_Toc26598"/>
      <w:r>
        <w:rPr>
          <w:rFonts w:hint="eastAsia" w:ascii="宋体" w:hAnsi="宋体"/>
          <w:color w:val="auto"/>
          <w:szCs w:val="21"/>
          <w:highlight w:val="none"/>
        </w:rPr>
        <w:t>开、公正和诚实信用</w:t>
      </w:r>
      <w:bookmarkEnd w:id="190"/>
      <w:bookmarkEnd w:id="191"/>
      <w:r>
        <w:rPr>
          <w:rFonts w:hint="eastAsia" w:ascii="宋体" w:hAnsi="宋体"/>
          <w:color w:val="auto"/>
          <w:szCs w:val="21"/>
          <w:highlight w:val="none"/>
        </w:rPr>
        <w:t>的</w:t>
      </w:r>
      <w:bookmarkEnd w:id="192"/>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1681460B">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二、所提供的一切材料都是真实、合法的；</w:t>
      </w:r>
    </w:p>
    <w:p w14:paraId="07AB2000">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68557D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7B8B7719">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ED87B9F">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u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u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没</w:t>
      </w:r>
      <w:r>
        <w:rPr>
          <w:rFonts w:hint="eastAsia" w:ascii="宋体" w:hAnsi="宋体"/>
          <w:color w:val="auto"/>
          <w:szCs w:val="21"/>
          <w:highlight w:val="none"/>
        </w:rPr>
        <w:t>有下列情形：</w:t>
      </w:r>
      <w:bookmarkStart w:id="193" w:name="OLE_LINK133"/>
      <w:bookmarkStart w:id="194" w:name="OLE_LINK134"/>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②被列入“信用中国”网站“重大税收违法失信主体”的；③被列入“信用中国”网站“严重失信主体名单”的；④在“信用中国”网站上披露的仍在公示期的严重失信行为(具体行为类别及判定依据见附件2)的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⑤被列入国家企业信用信息公示系统网站“经营异常名录”或者“严重违法失信名单”的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⑥前三年有行贿犯罪行为的单位和个人；⑦被滁州市县两级公管部门及各行业主管部门取消在一定期限内的投标资格且在取消期限内的</w:t>
      </w:r>
      <w:r>
        <w:rPr>
          <w:rFonts w:hint="eastAsia" w:ascii="宋体" w:hAnsi="宋体"/>
          <w:color w:val="auto"/>
          <w:szCs w:val="21"/>
          <w:highlight w:val="none"/>
          <w:lang w:eastAsia="zh-CN"/>
        </w:rPr>
        <w:t>。</w:t>
      </w:r>
      <w:r>
        <w:rPr>
          <w:rFonts w:hint="eastAsia" w:ascii="宋体" w:hAnsi="宋体"/>
          <w:color w:val="auto"/>
          <w:szCs w:val="21"/>
          <w:highlight w:val="none"/>
        </w:rPr>
        <w:t>（</w:t>
      </w:r>
      <w:bookmarkEnd w:id="193"/>
      <w:bookmarkEnd w:id="194"/>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7</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7</w:t>
      </w:r>
      <w:r>
        <w:rPr>
          <w:rFonts w:hint="eastAsia" w:ascii="宋体" w:hAnsi="宋体"/>
          <w:color w:val="auto"/>
          <w:szCs w:val="21"/>
          <w:highlight w:val="none"/>
        </w:rPr>
        <w:t>项情形）</w:t>
      </w:r>
    </w:p>
    <w:p w14:paraId="3E4222B4">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七、严格遵守开标纪律，服从监管人员管理；</w:t>
      </w:r>
    </w:p>
    <w:p w14:paraId="494884F8">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八、保证中标后不转包及使用挂靠队伍，若有分包征得</w:t>
      </w:r>
      <w:r>
        <w:rPr>
          <w:rFonts w:hint="eastAsia" w:ascii="宋体" w:hAnsi="宋体"/>
          <w:color w:val="auto"/>
          <w:szCs w:val="21"/>
          <w:highlight w:val="none"/>
          <w:lang w:val="en-US" w:eastAsia="zh-CN"/>
        </w:rPr>
        <w:t>招标人</w:t>
      </w:r>
      <w:r>
        <w:rPr>
          <w:rFonts w:hint="eastAsia" w:ascii="宋体" w:hAnsi="宋体"/>
          <w:color w:val="auto"/>
          <w:szCs w:val="21"/>
          <w:highlight w:val="none"/>
        </w:rPr>
        <w:t>同意；</w:t>
      </w:r>
    </w:p>
    <w:p w14:paraId="20E9CB0B">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68061C14">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80D95C8">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6803226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 </w:t>
      </w:r>
    </w:p>
    <w:p w14:paraId="5DA119BD">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hint="eastAsia" w:ascii="宋体" w:hAnsi="宋体"/>
          <w:color w:val="auto"/>
          <w:szCs w:val="21"/>
          <w:highlight w:val="none"/>
        </w:rPr>
      </w:pPr>
    </w:p>
    <w:p w14:paraId="32A734B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0484093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50AB8593">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14E0C288">
      <w:pPr>
        <w:shd w:val="clear"/>
        <w:kinsoku/>
        <w:overflowPunct/>
        <w:bidi w:val="0"/>
        <w:ind w:left="0" w:leftChars="0" w:right="0" w:rightChars="0"/>
        <w:rPr>
          <w:rFonts w:ascii="宋体" w:hAnsi="宋体"/>
          <w:color w:val="auto"/>
          <w:szCs w:val="21"/>
          <w:highlight w:val="none"/>
        </w:rPr>
      </w:pPr>
    </w:p>
    <w:p w14:paraId="26A6FBD6">
      <w:pPr>
        <w:shd w:val="clear"/>
        <w:kinsoku/>
        <w:overflowPunct/>
        <w:bidi w:val="0"/>
        <w:ind w:left="0" w:leftChars="0" w:right="0" w:rightChars="0"/>
        <w:rPr>
          <w:rFonts w:ascii="宋体" w:hAnsi="宋体"/>
          <w:color w:val="auto"/>
          <w:szCs w:val="21"/>
          <w:highlight w:val="none"/>
        </w:rPr>
      </w:pPr>
    </w:p>
    <w:p w14:paraId="6C4DD6A6">
      <w:pPr>
        <w:shd w:val="clear"/>
        <w:kinsoku/>
        <w:overflowPunct/>
        <w:bidi w:val="0"/>
        <w:spacing w:line="280" w:lineRule="exact"/>
        <w:ind w:right="0" w:rightChars="0"/>
        <w:jc w:val="center"/>
        <w:rPr>
          <w:b/>
          <w:color w:val="auto"/>
          <w:sz w:val="28"/>
          <w:szCs w:val="28"/>
          <w:highlight w:val="none"/>
        </w:rPr>
      </w:pPr>
      <w:r>
        <w:rPr>
          <w:rFonts w:hint="eastAsia"/>
          <w:b/>
          <w:color w:val="auto"/>
          <w:sz w:val="28"/>
          <w:szCs w:val="28"/>
          <w:highlight w:val="none"/>
        </w:rPr>
        <w:t>或（2）公共信用信息报告（无违法违规证明版或核查版））</w:t>
      </w:r>
    </w:p>
    <w:p w14:paraId="202BB602">
      <w:pPr>
        <w:keepNext w:val="0"/>
        <w:keepLines w:val="0"/>
        <w:pageBreakBefore w:val="0"/>
        <w:widowControl w:val="0"/>
        <w:shd w:val="clear"/>
        <w:kinsoku/>
        <w:wordWrap w:val="0"/>
        <w:overflowPunct/>
        <w:topLinePunct w:val="0"/>
        <w:autoSpaceDE/>
        <w:autoSpaceDN/>
        <w:bidi w:val="0"/>
        <w:adjustRightInd/>
        <w:snapToGrid/>
        <w:ind w:left="0" w:leftChars="0" w:right="0" w:rightChars="0"/>
        <w:textAlignment w:val="auto"/>
        <w:rPr>
          <w:rFonts w:hint="eastAsia" w:ascii="宋体" w:hAnsi="宋体"/>
          <w:color w:val="auto"/>
          <w:szCs w:val="21"/>
          <w:highlight w:val="none"/>
        </w:rPr>
      </w:pPr>
    </w:p>
    <w:p w14:paraId="7D4174F5">
      <w:pPr>
        <w:keepNext w:val="0"/>
        <w:keepLines w:val="0"/>
        <w:pageBreakBefore w:val="0"/>
        <w:widowControl w:val="0"/>
        <w:shd w:val="clear"/>
        <w:kinsoku/>
        <w:wordWrap w:val="0"/>
        <w:overflowPunct/>
        <w:topLinePunct w:val="0"/>
        <w:autoSpaceDE/>
        <w:autoSpaceDN/>
        <w:bidi w:val="0"/>
        <w:adjustRightInd/>
        <w:snapToGrid/>
        <w:ind w:left="0" w:leftChars="0" w:right="0" w:rightChars="0"/>
        <w:textAlignment w:val="auto"/>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697A6E54">
      <w:pPr>
        <w:shd w:val="clear"/>
        <w:kinsoku/>
        <w:overflowPunct/>
        <w:bidi w:val="0"/>
        <w:spacing w:line="360" w:lineRule="auto"/>
        <w:ind w:left="0" w:leftChars="0" w:right="0" w:rightChars="0"/>
        <w:rPr>
          <w:b/>
          <w:color w:val="auto"/>
          <w:sz w:val="28"/>
          <w:szCs w:val="28"/>
          <w:highlight w:val="none"/>
        </w:rPr>
      </w:pPr>
      <w:r>
        <w:rPr>
          <w:rFonts w:hint="eastAsia" w:ascii="宋体" w:hAnsi="宋体"/>
          <w:b/>
          <w:color w:val="auto"/>
          <w:sz w:val="24"/>
          <w:highlight w:val="none"/>
        </w:rPr>
        <w:t>附件3</w:t>
      </w:r>
    </w:p>
    <w:p w14:paraId="185E7333">
      <w:pPr>
        <w:shd w:val="clear"/>
        <w:kinsoku/>
        <w:overflowPunct/>
        <w:bidi w:val="0"/>
        <w:spacing w:line="400" w:lineRule="exact"/>
        <w:ind w:left="0" w:leftChars="0" w:right="0" w:rightChars="0" w:firstLine="562" w:firstLineChars="200"/>
        <w:rPr>
          <w:b/>
          <w:color w:val="auto"/>
          <w:sz w:val="28"/>
          <w:szCs w:val="28"/>
          <w:highlight w:val="none"/>
        </w:rPr>
      </w:pPr>
    </w:p>
    <w:p w14:paraId="313FD099">
      <w:pPr>
        <w:shd w:val="clear"/>
        <w:kinsoku/>
        <w:overflowPunct/>
        <w:bidi w:val="0"/>
        <w:ind w:left="0" w:leftChars="0" w:right="0" w:rightChars="0"/>
        <w:jc w:val="center"/>
        <w:rPr>
          <w:rFonts w:ascii="宋体"/>
          <w:b/>
          <w:color w:val="auto"/>
          <w:sz w:val="30"/>
          <w:szCs w:val="30"/>
          <w:highlight w:val="none"/>
        </w:rPr>
      </w:pPr>
      <w:r>
        <w:rPr>
          <w:rFonts w:hint="eastAsia" w:ascii="宋体"/>
          <w:b/>
          <w:color w:val="auto"/>
          <w:sz w:val="30"/>
          <w:szCs w:val="30"/>
          <w:highlight w:val="none"/>
        </w:rPr>
        <w:t>服务承诺书</w:t>
      </w:r>
    </w:p>
    <w:p w14:paraId="0A28FA71">
      <w:pPr>
        <w:shd w:val="clear"/>
        <w:kinsoku/>
        <w:overflowPunct/>
        <w:bidi w:val="0"/>
        <w:ind w:left="0" w:leftChars="0" w:right="0" w:rightChars="0" w:firstLine="480" w:firstLineChars="200"/>
        <w:rPr>
          <w:rFonts w:ascii="宋体"/>
          <w:color w:val="auto"/>
          <w:sz w:val="24"/>
          <w:highlight w:val="none"/>
        </w:rPr>
      </w:pPr>
    </w:p>
    <w:p w14:paraId="7F660E54">
      <w:pPr>
        <w:shd w:val="clear"/>
        <w:kinsoku/>
        <w:overflowPunct/>
        <w:bidi w:val="0"/>
        <w:ind w:left="0" w:leftChars="0" w:right="0" w:rightChars="0"/>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0113F672">
      <w:pPr>
        <w:shd w:val="clear"/>
        <w:kinsoku/>
        <w:overflowPunct/>
        <w:bidi w:val="0"/>
        <w:spacing w:line="800" w:lineRule="exact"/>
        <w:ind w:left="0" w:leftChars="0" w:right="0" w:rightChars="0"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9C9732A">
      <w:pPr>
        <w:shd w:val="clear"/>
        <w:kinsoku/>
        <w:overflowPunct/>
        <w:bidi w:val="0"/>
        <w:spacing w:line="800" w:lineRule="exact"/>
        <w:ind w:left="0" w:leftChars="0" w:right="0" w:rightChars="0" w:firstLine="480" w:firstLineChars="200"/>
        <w:rPr>
          <w:rFonts w:ascii="宋体"/>
          <w:color w:val="auto"/>
          <w:sz w:val="24"/>
          <w:highlight w:val="none"/>
        </w:rPr>
      </w:pPr>
      <w:r>
        <w:rPr>
          <w:rFonts w:hint="eastAsia" w:ascii="宋体"/>
          <w:color w:val="auto"/>
          <w:sz w:val="24"/>
          <w:highlight w:val="none"/>
        </w:rPr>
        <w:t>特此声明。</w:t>
      </w:r>
    </w:p>
    <w:p w14:paraId="1611C006">
      <w:pPr>
        <w:shd w:val="clear"/>
        <w:kinsoku/>
        <w:overflowPunct/>
        <w:bidi w:val="0"/>
        <w:spacing w:line="600" w:lineRule="exact"/>
        <w:ind w:left="0" w:leftChars="0" w:right="0" w:rightChars="0"/>
        <w:rPr>
          <w:rFonts w:ascii="宋体"/>
          <w:color w:val="auto"/>
          <w:sz w:val="24"/>
          <w:highlight w:val="none"/>
        </w:rPr>
      </w:pPr>
      <w:r>
        <w:rPr>
          <w:rFonts w:hint="eastAsia" w:ascii="宋体"/>
          <w:color w:val="auto"/>
          <w:sz w:val="24"/>
          <w:highlight w:val="none"/>
        </w:rPr>
        <w:t> </w:t>
      </w:r>
    </w:p>
    <w:p w14:paraId="753C0F3B">
      <w:pPr>
        <w:shd w:val="clear"/>
        <w:kinsoku/>
        <w:overflowPunct/>
        <w:bidi w:val="0"/>
        <w:spacing w:line="480" w:lineRule="auto"/>
        <w:ind w:left="0" w:leftChars="0" w:right="0" w:rightChars="0" w:firstLine="480" w:firstLineChars="200"/>
        <w:jc w:val="right"/>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036C338C">
      <w:pPr>
        <w:shd w:val="clear"/>
        <w:kinsoku/>
        <w:overflowPunct/>
        <w:bidi w:val="0"/>
        <w:spacing w:line="480" w:lineRule="auto"/>
        <w:ind w:left="0" w:leftChars="0" w:right="0" w:rightChars="0"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3FE99769">
      <w:pPr>
        <w:shd w:val="clear"/>
        <w:kinsoku/>
        <w:overflowPunct/>
        <w:bidi w:val="0"/>
        <w:spacing w:line="480" w:lineRule="auto"/>
        <w:ind w:left="0" w:leftChars="0" w:right="0" w:rightChars="0"/>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3F303B8">
      <w:pPr>
        <w:pStyle w:val="36"/>
        <w:shd w:val="clear"/>
        <w:kinsoku/>
        <w:overflowPunct/>
        <w:bidi w:val="0"/>
        <w:ind w:left="0" w:leftChars="0" w:right="0" w:rightChars="0" w:firstLine="400"/>
        <w:rPr>
          <w:color w:val="auto"/>
          <w:highlight w:val="none"/>
        </w:rPr>
      </w:pPr>
    </w:p>
    <w:bookmarkEnd w:id="188"/>
    <w:bookmarkEnd w:id="189"/>
    <w:p w14:paraId="4662246A">
      <w:pPr>
        <w:shd w:val="clear"/>
        <w:kinsoku/>
        <w:wordWrap w:val="0"/>
        <w:overflowPunct/>
        <w:bidi w:val="0"/>
        <w:spacing w:before="100" w:beforeAutospacing="1" w:after="100" w:afterAutospacing="1"/>
        <w:ind w:left="0" w:leftChars="0" w:right="0" w:rightChars="0"/>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09B014BE">
      <w:pPr>
        <w:shd w:val="clear"/>
        <w:kinsoku/>
        <w:overflowPunct/>
        <w:bidi w:val="0"/>
        <w:ind w:left="0" w:leftChars="0" w:right="0" w:rightChars="0"/>
        <w:jc w:val="center"/>
        <w:rPr>
          <w:rFonts w:ascii="宋体"/>
          <w:b/>
          <w:color w:val="auto"/>
          <w:sz w:val="44"/>
          <w:szCs w:val="44"/>
          <w:highlight w:val="none"/>
        </w:rPr>
      </w:pPr>
      <w:bookmarkStart w:id="195" w:name="_Toc387149626"/>
      <w:bookmarkStart w:id="196" w:name="_Toc449028953"/>
    </w:p>
    <w:p w14:paraId="184C39B7">
      <w:pPr>
        <w:shd w:val="clear"/>
        <w:kinsoku/>
        <w:overflowPunct/>
        <w:bidi w:val="0"/>
        <w:ind w:left="0" w:leftChars="0" w:right="0" w:rightChars="0"/>
        <w:jc w:val="center"/>
        <w:rPr>
          <w:rFonts w:ascii="宋体"/>
          <w:b/>
          <w:color w:val="auto"/>
          <w:sz w:val="44"/>
          <w:szCs w:val="44"/>
          <w:highlight w:val="none"/>
        </w:rPr>
      </w:pPr>
      <w:r>
        <w:rPr>
          <w:rFonts w:hint="eastAsia" w:ascii="宋体"/>
          <w:b/>
          <w:color w:val="auto"/>
          <w:sz w:val="44"/>
          <w:szCs w:val="44"/>
          <w:highlight w:val="none"/>
        </w:rPr>
        <w:t>技术标</w:t>
      </w:r>
      <w:bookmarkEnd w:id="195"/>
      <w:bookmarkEnd w:id="196"/>
    </w:p>
    <w:p w14:paraId="794EF0E5">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rPr>
        <w:t>（投标文件二）</w:t>
      </w:r>
    </w:p>
    <w:p w14:paraId="2EEB0E33">
      <w:pPr>
        <w:shd w:val="clear"/>
        <w:kinsoku/>
        <w:overflowPunct/>
        <w:bidi w:val="0"/>
        <w:ind w:left="0" w:leftChars="0" w:right="0" w:rightChars="0"/>
        <w:jc w:val="center"/>
        <w:rPr>
          <w:rFonts w:eastAsia="黑体"/>
          <w:color w:val="auto"/>
          <w:sz w:val="44"/>
          <w:szCs w:val="44"/>
          <w:highlight w:val="none"/>
        </w:rPr>
      </w:pPr>
    </w:p>
    <w:p w14:paraId="4CF087D7">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2FD1090">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0A8E3F5">
      <w:pPr>
        <w:shd w:val="clear"/>
        <w:kinsoku/>
        <w:overflowPunct/>
        <w:bidi w:val="0"/>
        <w:ind w:left="0" w:leftChars="0" w:right="0" w:rightChars="0"/>
        <w:rPr>
          <w:rFonts w:ascii="宋体"/>
          <w:color w:val="auto"/>
          <w:sz w:val="28"/>
          <w:szCs w:val="28"/>
          <w:highlight w:val="none"/>
        </w:rPr>
      </w:pPr>
    </w:p>
    <w:p w14:paraId="3520D157">
      <w:pPr>
        <w:shd w:val="clear"/>
        <w:kinsoku/>
        <w:overflowPunct/>
        <w:bidi w:val="0"/>
        <w:ind w:left="0" w:leftChars="0" w:right="0" w:rightChars="0"/>
        <w:rPr>
          <w:rFonts w:ascii="宋体"/>
          <w:color w:val="auto"/>
          <w:sz w:val="28"/>
          <w:szCs w:val="28"/>
          <w:highlight w:val="none"/>
        </w:rPr>
      </w:pPr>
    </w:p>
    <w:p w14:paraId="39180A69">
      <w:pPr>
        <w:shd w:val="clear"/>
        <w:kinsoku/>
        <w:overflowPunct/>
        <w:bidi w:val="0"/>
        <w:spacing w:line="700" w:lineRule="exact"/>
        <w:ind w:left="0" w:leftChars="0" w:right="0" w:rightChars="0"/>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341618CB">
      <w:pPr>
        <w:pStyle w:val="36"/>
        <w:shd w:val="clear"/>
        <w:kinsoku/>
        <w:overflowPunct/>
        <w:bidi w:val="0"/>
        <w:ind w:left="0" w:leftChars="0" w:right="0" w:rightChars="0" w:firstLine="560"/>
        <w:rPr>
          <w:rFonts w:ascii="宋体"/>
          <w:color w:val="auto"/>
          <w:sz w:val="28"/>
          <w:szCs w:val="28"/>
          <w:highlight w:val="none"/>
        </w:rPr>
      </w:pPr>
      <w:r>
        <w:rPr>
          <w:rFonts w:hint="eastAsia" w:ascii="宋体"/>
          <w:color w:val="auto"/>
          <w:sz w:val="28"/>
          <w:szCs w:val="28"/>
          <w:highlight w:val="none"/>
        </w:rPr>
        <w:br w:type="page"/>
      </w:r>
    </w:p>
    <w:p w14:paraId="167758B7">
      <w:pPr>
        <w:shd w:val="clear"/>
        <w:kinsoku/>
        <w:overflowPunct/>
        <w:bidi w:val="0"/>
        <w:ind w:left="0" w:leftChars="0" w:right="0" w:rightChars="0"/>
        <w:rPr>
          <w:rFonts w:ascii="宋体"/>
          <w:color w:val="auto"/>
          <w:sz w:val="28"/>
          <w:szCs w:val="28"/>
          <w:highlight w:val="none"/>
        </w:rPr>
      </w:pPr>
    </w:p>
    <w:p w14:paraId="59310380">
      <w:pPr>
        <w:pStyle w:val="36"/>
        <w:shd w:val="clear"/>
        <w:kinsoku/>
        <w:overflowPunct/>
        <w:bidi w:val="0"/>
        <w:ind w:left="0" w:leftChars="0" w:right="0" w:rightChars="0" w:firstLine="400"/>
        <w:rPr>
          <w:color w:val="auto"/>
          <w:highlight w:val="none"/>
        </w:rPr>
      </w:pPr>
    </w:p>
    <w:p w14:paraId="6BA21F6A">
      <w:pPr>
        <w:shd w:val="clear"/>
        <w:kinsoku/>
        <w:overflowPunct/>
        <w:bidi w:val="0"/>
        <w:spacing w:line="400" w:lineRule="exact"/>
        <w:ind w:left="0" w:leftChars="0" w:right="0" w:rightChars="0"/>
        <w:rPr>
          <w:b/>
          <w:color w:val="auto"/>
          <w:sz w:val="36"/>
          <w:szCs w:val="36"/>
          <w:highlight w:val="none"/>
        </w:rPr>
      </w:pPr>
    </w:p>
    <w:p w14:paraId="3D2AAF70">
      <w:pPr>
        <w:shd w:val="clear"/>
        <w:kinsoku/>
        <w:overflowPunct/>
        <w:bidi w:val="0"/>
        <w:spacing w:line="400" w:lineRule="exact"/>
        <w:ind w:left="0" w:leftChars="0" w:right="0" w:rightChars="0"/>
        <w:jc w:val="center"/>
        <w:rPr>
          <w:rFonts w:hint="eastAsia"/>
          <w:b/>
          <w:color w:val="auto"/>
          <w:sz w:val="36"/>
          <w:szCs w:val="36"/>
          <w:highlight w:val="none"/>
        </w:rPr>
      </w:pPr>
      <w:r>
        <w:rPr>
          <w:rFonts w:hint="eastAsia"/>
          <w:b/>
          <w:color w:val="auto"/>
          <w:sz w:val="36"/>
          <w:szCs w:val="36"/>
          <w:highlight w:val="none"/>
        </w:rPr>
        <w:t>目   录</w:t>
      </w:r>
    </w:p>
    <w:p w14:paraId="3A1BD600">
      <w:pPr>
        <w:shd w:val="clear"/>
        <w:kinsoku/>
        <w:overflowPunct/>
        <w:bidi w:val="0"/>
        <w:spacing w:line="400" w:lineRule="exact"/>
        <w:ind w:left="0" w:leftChars="0" w:right="0" w:rightChars="0"/>
        <w:jc w:val="center"/>
        <w:rPr>
          <w:rFonts w:hint="eastAsia"/>
          <w:b/>
          <w:color w:val="auto"/>
          <w:sz w:val="36"/>
          <w:szCs w:val="36"/>
          <w:highlight w:val="none"/>
        </w:rPr>
      </w:pPr>
    </w:p>
    <w:p w14:paraId="7248BEED">
      <w:pPr>
        <w:shd w:val="clear"/>
        <w:kinsoku/>
        <w:overflowPunct/>
        <w:bidi w:val="0"/>
        <w:adjustRightInd w:val="0"/>
        <w:snapToGrid w:val="0"/>
        <w:spacing w:line="560" w:lineRule="exact"/>
        <w:ind w:left="0" w:leftChars="0" w:right="0" w:rightChars="0"/>
        <w:rPr>
          <w:rFonts w:hint="default" w:ascii="宋体" w:hAnsi="宋体" w:cs="宋体"/>
          <w:b/>
          <w:bCs/>
          <w:color w:val="auto"/>
          <w:kern w:val="2"/>
          <w:sz w:val="21"/>
          <w:szCs w:val="21"/>
          <w:highlight w:val="none"/>
          <w:lang w:val="en-US" w:eastAsia="zh-CN" w:bidi="ar-SA"/>
        </w:rPr>
      </w:pPr>
    </w:p>
    <w:p w14:paraId="34E0FEB6">
      <w:pPr>
        <w:shd w:val="clear"/>
        <w:kinsoku/>
        <w:overflowPunct/>
        <w:bidi w:val="0"/>
        <w:adjustRightInd w:val="0"/>
        <w:snapToGrid w:val="0"/>
        <w:spacing w:line="560" w:lineRule="exact"/>
        <w:ind w:left="0" w:leftChars="0" w:right="0" w:rightChars="0"/>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7C8D4F78">
      <w:pPr>
        <w:pStyle w:val="16"/>
        <w:shd w:val="clear"/>
        <w:kinsoku/>
        <w:overflowPunct/>
        <w:bidi w:val="0"/>
        <w:ind w:left="0" w:leftChars="0" w:right="0" w:rightChars="0"/>
        <w:rPr>
          <w:color w:val="auto"/>
          <w:highlight w:val="none"/>
        </w:rPr>
      </w:pPr>
    </w:p>
    <w:p w14:paraId="4F5221CC">
      <w:pPr>
        <w:shd w:val="clear"/>
        <w:kinsoku/>
        <w:overflowPunct/>
        <w:bidi w:val="0"/>
        <w:spacing w:line="400" w:lineRule="exact"/>
        <w:ind w:left="0" w:leftChars="0" w:right="0" w:rightChars="0" w:firstLine="562" w:firstLineChars="200"/>
        <w:rPr>
          <w:b/>
          <w:color w:val="auto"/>
          <w:sz w:val="28"/>
          <w:szCs w:val="28"/>
          <w:highlight w:val="none"/>
        </w:rPr>
      </w:pPr>
    </w:p>
    <w:p w14:paraId="063167E8">
      <w:pPr>
        <w:shd w:val="clear"/>
        <w:kinsoku/>
        <w:overflowPunct/>
        <w:bidi w:val="0"/>
        <w:spacing w:line="400" w:lineRule="exact"/>
        <w:ind w:left="0" w:leftChars="0" w:right="0" w:rightChars="0" w:firstLine="562" w:firstLineChars="200"/>
        <w:rPr>
          <w:b/>
          <w:color w:val="auto"/>
          <w:sz w:val="28"/>
          <w:szCs w:val="28"/>
          <w:highlight w:val="none"/>
        </w:rPr>
      </w:pPr>
    </w:p>
    <w:p w14:paraId="65CC32BF">
      <w:pPr>
        <w:shd w:val="clear"/>
        <w:kinsoku/>
        <w:overflowPunct/>
        <w:bidi w:val="0"/>
        <w:spacing w:line="400" w:lineRule="exact"/>
        <w:ind w:left="0" w:leftChars="0" w:right="0" w:rightChars="0" w:firstLine="562" w:firstLineChars="200"/>
        <w:rPr>
          <w:b/>
          <w:color w:val="auto"/>
          <w:sz w:val="28"/>
          <w:szCs w:val="28"/>
          <w:highlight w:val="none"/>
        </w:rPr>
      </w:pPr>
    </w:p>
    <w:p w14:paraId="4709A7CA">
      <w:pPr>
        <w:shd w:val="clear"/>
        <w:kinsoku/>
        <w:overflowPunct/>
        <w:bidi w:val="0"/>
        <w:spacing w:line="480" w:lineRule="auto"/>
        <w:ind w:left="0" w:leftChars="0" w:right="0" w:rightChars="0"/>
        <w:rPr>
          <w:b/>
          <w:color w:val="auto"/>
          <w:sz w:val="28"/>
          <w:szCs w:val="28"/>
          <w:highlight w:val="none"/>
        </w:rPr>
      </w:pPr>
      <w:r>
        <w:rPr>
          <w:rFonts w:hint="eastAsia"/>
          <w:b/>
          <w:color w:val="auto"/>
          <w:sz w:val="28"/>
          <w:szCs w:val="28"/>
          <w:highlight w:val="none"/>
        </w:rPr>
        <w:br w:type="page"/>
      </w:r>
    </w:p>
    <w:p w14:paraId="782CFC0E">
      <w:pPr>
        <w:shd w:val="clear"/>
        <w:kinsoku/>
        <w:overflowPunct/>
        <w:bidi w:val="0"/>
        <w:spacing w:line="300" w:lineRule="exact"/>
        <w:ind w:left="0" w:leftChars="0" w:right="0" w:rightChars="0"/>
        <w:rPr>
          <w:rFonts w:ascii="宋体"/>
          <w:color w:val="auto"/>
          <w:sz w:val="24"/>
          <w:highlight w:val="none"/>
          <w:u w:val="single"/>
        </w:rPr>
      </w:pPr>
      <w:r>
        <w:rPr>
          <w:rFonts w:hint="eastAsia" w:ascii="宋体"/>
          <w:color w:val="auto"/>
          <w:sz w:val="24"/>
          <w:highlight w:val="none"/>
          <w:u w:val="single"/>
        </w:rPr>
        <w:t xml:space="preserve">      </w:t>
      </w:r>
    </w:p>
    <w:p w14:paraId="730D5E1F">
      <w:pPr>
        <w:shd w:val="clear"/>
        <w:kinsoku/>
        <w:overflowPunct/>
        <w:bidi w:val="0"/>
        <w:ind w:left="0" w:leftChars="0" w:right="0" w:rightChars="0"/>
        <w:jc w:val="center"/>
        <w:rPr>
          <w:rFonts w:ascii="宋体"/>
          <w:color w:val="auto"/>
          <w:sz w:val="24"/>
          <w:highlight w:val="none"/>
        </w:rPr>
      </w:pPr>
      <w:r>
        <w:rPr>
          <w:rFonts w:hint="eastAsia" w:ascii="宋体" w:hAnsi="宋体"/>
          <w:b/>
          <w:color w:val="auto"/>
          <w:sz w:val="28"/>
          <w:szCs w:val="28"/>
          <w:highlight w:val="none"/>
        </w:rPr>
        <w:t>三、商务标格式文件</w:t>
      </w:r>
    </w:p>
    <w:p w14:paraId="30893947">
      <w:pPr>
        <w:shd w:val="clear"/>
        <w:kinsoku/>
        <w:overflowPunct/>
        <w:bidi w:val="0"/>
        <w:ind w:left="0" w:leftChars="0" w:right="0" w:rightChars="0"/>
        <w:jc w:val="center"/>
        <w:rPr>
          <w:rFonts w:eastAsia="黑体"/>
          <w:color w:val="auto"/>
          <w:sz w:val="20"/>
          <w:highlight w:val="none"/>
        </w:rPr>
      </w:pPr>
    </w:p>
    <w:p w14:paraId="49ED6611">
      <w:pPr>
        <w:shd w:val="clear"/>
        <w:kinsoku/>
        <w:overflowPunct/>
        <w:bidi w:val="0"/>
        <w:ind w:left="0" w:leftChars="0" w:right="0" w:rightChars="0"/>
        <w:rPr>
          <w:rFonts w:ascii="宋体"/>
          <w:color w:val="auto"/>
          <w:sz w:val="20"/>
          <w:highlight w:val="none"/>
        </w:rPr>
      </w:pPr>
    </w:p>
    <w:p w14:paraId="4001AD57">
      <w:pPr>
        <w:pStyle w:val="36"/>
        <w:shd w:val="clear"/>
        <w:kinsoku/>
        <w:overflowPunct/>
        <w:bidi w:val="0"/>
        <w:ind w:left="0" w:leftChars="0" w:right="0" w:rightChars="0" w:firstLine="400"/>
        <w:rPr>
          <w:color w:val="auto"/>
          <w:highlight w:val="none"/>
        </w:rPr>
      </w:pPr>
    </w:p>
    <w:p w14:paraId="02216963">
      <w:pPr>
        <w:shd w:val="clear"/>
        <w:kinsoku/>
        <w:overflowPunct/>
        <w:bidi w:val="0"/>
        <w:ind w:left="0" w:leftChars="0" w:right="0" w:rightChars="0"/>
        <w:jc w:val="center"/>
        <w:rPr>
          <w:rFonts w:ascii="宋体"/>
          <w:b/>
          <w:color w:val="auto"/>
          <w:sz w:val="44"/>
          <w:szCs w:val="44"/>
          <w:highlight w:val="none"/>
        </w:rPr>
      </w:pPr>
      <w:bookmarkStart w:id="197" w:name="_Toc449028954"/>
      <w:r>
        <w:rPr>
          <w:rFonts w:hint="eastAsia" w:ascii="宋体"/>
          <w:b/>
          <w:color w:val="auto"/>
          <w:sz w:val="44"/>
          <w:szCs w:val="44"/>
          <w:highlight w:val="none"/>
        </w:rPr>
        <w:t>商务标</w:t>
      </w:r>
      <w:bookmarkEnd w:id="197"/>
    </w:p>
    <w:p w14:paraId="7C451471">
      <w:pPr>
        <w:shd w:val="clear"/>
        <w:kinsoku/>
        <w:overflowPunct/>
        <w:bidi w:val="0"/>
        <w:ind w:left="0" w:leftChars="0" w:right="0" w:rightChars="0"/>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B86A495">
      <w:pPr>
        <w:shd w:val="clear"/>
        <w:kinsoku/>
        <w:overflowPunct/>
        <w:bidi w:val="0"/>
        <w:ind w:left="0" w:leftChars="0" w:right="0" w:rightChars="0"/>
        <w:jc w:val="center"/>
        <w:rPr>
          <w:rFonts w:ascii="宋体"/>
          <w:color w:val="auto"/>
          <w:sz w:val="36"/>
          <w:szCs w:val="36"/>
          <w:highlight w:val="none"/>
        </w:rPr>
      </w:pPr>
    </w:p>
    <w:p w14:paraId="34FF8A4E">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E8006DA">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BDE60BF">
      <w:pPr>
        <w:shd w:val="clear"/>
        <w:kinsoku/>
        <w:overflowPunct/>
        <w:bidi w:val="0"/>
        <w:ind w:left="0" w:leftChars="0" w:right="0" w:rightChars="0"/>
        <w:rPr>
          <w:rFonts w:ascii="宋体"/>
          <w:color w:val="auto"/>
          <w:sz w:val="28"/>
          <w:szCs w:val="28"/>
          <w:highlight w:val="none"/>
        </w:rPr>
      </w:pPr>
    </w:p>
    <w:p w14:paraId="38998AA8">
      <w:pPr>
        <w:shd w:val="clear"/>
        <w:kinsoku/>
        <w:overflowPunct/>
        <w:bidi w:val="0"/>
        <w:ind w:left="0" w:leftChars="0" w:right="0" w:rightChars="0"/>
        <w:rPr>
          <w:rFonts w:ascii="宋体"/>
          <w:color w:val="auto"/>
          <w:sz w:val="28"/>
          <w:szCs w:val="28"/>
          <w:highlight w:val="none"/>
        </w:rPr>
      </w:pPr>
    </w:p>
    <w:p w14:paraId="02098B3B">
      <w:pPr>
        <w:shd w:val="clear"/>
        <w:kinsoku/>
        <w:overflowPunct/>
        <w:bidi w:val="0"/>
        <w:ind w:left="0" w:leftChars="0" w:right="0" w:rightChars="0"/>
        <w:rPr>
          <w:rFonts w:ascii="宋体"/>
          <w:color w:val="auto"/>
          <w:sz w:val="28"/>
          <w:szCs w:val="28"/>
          <w:highlight w:val="none"/>
        </w:rPr>
      </w:pPr>
    </w:p>
    <w:p w14:paraId="06BDB167">
      <w:pPr>
        <w:shd w:val="clear"/>
        <w:kinsoku/>
        <w:overflowPunct/>
        <w:bidi w:val="0"/>
        <w:ind w:left="0" w:leftChars="0" w:right="0" w:rightChars="0"/>
        <w:rPr>
          <w:rFonts w:ascii="宋体"/>
          <w:color w:val="auto"/>
          <w:sz w:val="28"/>
          <w:szCs w:val="28"/>
          <w:highlight w:val="none"/>
        </w:rPr>
      </w:pPr>
    </w:p>
    <w:p w14:paraId="2CA01845">
      <w:pPr>
        <w:shd w:val="clear"/>
        <w:kinsoku/>
        <w:overflowPunct/>
        <w:bidi w:val="0"/>
        <w:ind w:left="0" w:leftChars="0" w:right="0" w:rightChars="0"/>
        <w:rPr>
          <w:rFonts w:ascii="宋体"/>
          <w:color w:val="auto"/>
          <w:sz w:val="28"/>
          <w:szCs w:val="28"/>
          <w:highlight w:val="none"/>
        </w:rPr>
      </w:pPr>
    </w:p>
    <w:p w14:paraId="21A2A976">
      <w:pPr>
        <w:shd w:val="clear"/>
        <w:kinsoku/>
        <w:overflowPunct/>
        <w:bidi w:val="0"/>
        <w:ind w:left="0" w:leftChars="0" w:right="0" w:rightChars="0"/>
        <w:rPr>
          <w:rFonts w:ascii="宋体"/>
          <w:color w:val="auto"/>
          <w:sz w:val="28"/>
          <w:szCs w:val="28"/>
          <w:highlight w:val="none"/>
        </w:rPr>
      </w:pPr>
    </w:p>
    <w:p w14:paraId="2768955C">
      <w:pPr>
        <w:shd w:val="clear"/>
        <w:kinsoku/>
        <w:overflowPunct/>
        <w:bidi w:val="0"/>
        <w:ind w:left="0" w:leftChars="0" w:right="0" w:rightChars="0"/>
        <w:rPr>
          <w:rFonts w:ascii="宋体"/>
          <w:color w:val="auto"/>
          <w:sz w:val="28"/>
          <w:szCs w:val="28"/>
          <w:highlight w:val="none"/>
        </w:rPr>
      </w:pPr>
    </w:p>
    <w:p w14:paraId="2FBB93E3">
      <w:pPr>
        <w:shd w:val="clear"/>
        <w:kinsoku/>
        <w:overflowPunct/>
        <w:bidi w:val="0"/>
        <w:ind w:left="0" w:leftChars="0" w:right="0" w:rightChars="0"/>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0EA5F81A">
      <w:pPr>
        <w:shd w:val="clear"/>
        <w:kinsoku/>
        <w:overflowPunct/>
        <w:bidi w:val="0"/>
        <w:ind w:left="0" w:leftChars="0" w:right="0" w:rightChars="0"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621588F3">
      <w:pPr>
        <w:shd w:val="clear"/>
        <w:kinsoku/>
        <w:overflowPunct/>
        <w:bidi w:val="0"/>
        <w:ind w:left="0" w:leftChars="0" w:right="0" w:rightChars="0"/>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7322A62">
      <w:pPr>
        <w:shd w:val="clear"/>
        <w:kinsoku/>
        <w:overflowPunct/>
        <w:bidi w:val="0"/>
        <w:spacing w:line="720" w:lineRule="auto"/>
        <w:ind w:left="0" w:leftChars="0" w:right="0" w:rightChars="0"/>
        <w:jc w:val="center"/>
        <w:rPr>
          <w:rFonts w:ascii="宋体"/>
          <w:b/>
          <w:color w:val="auto"/>
          <w:sz w:val="36"/>
          <w:szCs w:val="36"/>
          <w:highlight w:val="none"/>
        </w:rPr>
      </w:pPr>
    </w:p>
    <w:p w14:paraId="25AB4E95">
      <w:pPr>
        <w:shd w:val="clear"/>
        <w:kinsoku/>
        <w:overflowPunct/>
        <w:bidi w:val="0"/>
        <w:spacing w:line="400" w:lineRule="exact"/>
        <w:ind w:left="0" w:leftChars="0" w:right="0" w:rightChars="0" w:firstLine="562" w:firstLineChars="200"/>
        <w:rPr>
          <w:b/>
          <w:color w:val="auto"/>
          <w:sz w:val="28"/>
          <w:szCs w:val="28"/>
          <w:highlight w:val="none"/>
        </w:rPr>
      </w:pPr>
    </w:p>
    <w:p w14:paraId="24392C6B">
      <w:pPr>
        <w:shd w:val="clear"/>
        <w:kinsoku/>
        <w:overflowPunct/>
        <w:bidi w:val="0"/>
        <w:spacing w:line="400" w:lineRule="exact"/>
        <w:ind w:left="0" w:leftChars="0" w:right="0" w:rightChars="0"/>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3BBDA5FB">
      <w:pPr>
        <w:shd w:val="clear"/>
        <w:kinsoku/>
        <w:overflowPunct/>
        <w:bidi w:val="0"/>
        <w:spacing w:line="400" w:lineRule="exact"/>
        <w:ind w:left="0" w:leftChars="0" w:right="0" w:rightChars="0" w:firstLine="4130" w:firstLineChars="935"/>
        <w:rPr>
          <w:b/>
          <w:color w:val="auto"/>
          <w:sz w:val="44"/>
          <w:szCs w:val="44"/>
          <w:highlight w:val="none"/>
        </w:rPr>
      </w:pPr>
    </w:p>
    <w:p w14:paraId="756F35BA">
      <w:pPr>
        <w:shd w:val="clear"/>
        <w:kinsoku/>
        <w:overflowPunct/>
        <w:bidi w:val="0"/>
        <w:spacing w:line="440" w:lineRule="exact"/>
        <w:ind w:left="0" w:leftChars="0" w:right="0" w:rightChars="0"/>
        <w:jc w:val="left"/>
        <w:rPr>
          <w:rFonts w:ascii="宋体"/>
          <w:color w:val="auto"/>
          <w:szCs w:val="21"/>
          <w:highlight w:val="none"/>
        </w:rPr>
      </w:pPr>
      <w:r>
        <w:rPr>
          <w:rFonts w:hint="eastAsia" w:ascii="宋体"/>
          <w:color w:val="auto"/>
          <w:szCs w:val="21"/>
          <w:highlight w:val="none"/>
        </w:rPr>
        <w:t>（1）开标一览表（格式见附件）；</w:t>
      </w:r>
    </w:p>
    <w:p w14:paraId="02319F7F">
      <w:pPr>
        <w:shd w:val="clear"/>
        <w:kinsoku/>
        <w:overflowPunct/>
        <w:bidi w:val="0"/>
        <w:spacing w:line="440" w:lineRule="exact"/>
        <w:ind w:left="0" w:leftChars="0" w:right="0" w:rightChars="0"/>
        <w:jc w:val="left"/>
        <w:rPr>
          <w:rFonts w:ascii="宋体"/>
          <w:color w:val="auto"/>
          <w:szCs w:val="21"/>
          <w:highlight w:val="none"/>
        </w:rPr>
      </w:pPr>
      <w:r>
        <w:rPr>
          <w:rFonts w:hint="eastAsia" w:ascii="宋体"/>
          <w:color w:val="auto"/>
          <w:szCs w:val="21"/>
          <w:highlight w:val="none"/>
        </w:rPr>
        <w:t>（2）投标函（格式见附件）；</w:t>
      </w:r>
    </w:p>
    <w:p w14:paraId="47E23BC6">
      <w:pPr>
        <w:shd w:val="clear"/>
        <w:kinsoku/>
        <w:overflowPunct/>
        <w:bidi w:val="0"/>
        <w:spacing w:line="440" w:lineRule="exact"/>
        <w:ind w:right="0" w:rightChars="0"/>
        <w:jc w:val="left"/>
        <w:rPr>
          <w:rFonts w:ascii="宋体"/>
          <w:color w:val="auto"/>
          <w:szCs w:val="21"/>
          <w:highlight w:val="none"/>
        </w:rPr>
      </w:pPr>
      <w:r>
        <w:rPr>
          <w:rFonts w:hint="eastAsia" w:ascii="宋体"/>
          <w:color w:val="auto"/>
          <w:szCs w:val="21"/>
          <w:highlight w:val="none"/>
        </w:rPr>
        <w:t>（3）投标人认为需要提供的其他材料。</w:t>
      </w:r>
    </w:p>
    <w:p w14:paraId="7BBBABF9">
      <w:pPr>
        <w:shd w:val="clear"/>
        <w:kinsoku/>
        <w:overflowPunct/>
        <w:bidi w:val="0"/>
        <w:ind w:left="0" w:leftChars="0" w:right="0" w:rightChars="0"/>
        <w:jc w:val="center"/>
        <w:rPr>
          <w:rFonts w:ascii="宋体"/>
          <w:b/>
          <w:color w:val="auto"/>
          <w:sz w:val="28"/>
          <w:szCs w:val="28"/>
          <w:highlight w:val="none"/>
        </w:rPr>
      </w:pPr>
    </w:p>
    <w:p w14:paraId="704EAA34">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5E510441">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26D594A5">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7B91D013">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3ACE19E7">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0BD61DDA">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6C3475E4">
      <w:pPr>
        <w:shd w:val="clear"/>
        <w:kinsoku/>
        <w:overflowPunct/>
        <w:bidi w:val="0"/>
        <w:spacing w:line="360" w:lineRule="exact"/>
        <w:ind w:left="0" w:leftChars="0" w:right="0" w:rightChars="0"/>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32ABA013">
      <w:pPr>
        <w:shd w:val="clear"/>
        <w:kinsoku/>
        <w:overflowPunct/>
        <w:bidi w:val="0"/>
        <w:spacing w:line="360" w:lineRule="exact"/>
        <w:ind w:left="0" w:leftChars="0" w:right="0" w:rightChars="0" w:firstLine="472" w:firstLineChars="147"/>
        <w:jc w:val="center"/>
        <w:rPr>
          <w:rFonts w:ascii="宋体"/>
          <w:b/>
          <w:color w:val="auto"/>
          <w:sz w:val="32"/>
          <w:szCs w:val="32"/>
          <w:highlight w:val="none"/>
        </w:rPr>
      </w:pPr>
    </w:p>
    <w:p w14:paraId="4806CB44">
      <w:pPr>
        <w:shd w:val="clear"/>
        <w:kinsoku/>
        <w:overflowPunct/>
        <w:bidi w:val="0"/>
        <w:spacing w:line="360" w:lineRule="exact"/>
        <w:ind w:left="0" w:leftChars="0" w:right="0" w:rightChars="0"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46D6596">
      <w:pPr>
        <w:shd w:val="clear"/>
        <w:kinsoku/>
        <w:overflowPunct/>
        <w:bidi w:val="0"/>
        <w:spacing w:line="360" w:lineRule="exact"/>
        <w:ind w:left="0" w:leftChars="0" w:right="0" w:rightChars="0" w:firstLine="354" w:firstLineChars="147"/>
        <w:rPr>
          <w:rFonts w:ascii="宋体"/>
          <w:b/>
          <w:color w:val="auto"/>
          <w:sz w:val="24"/>
          <w:highlight w:val="none"/>
        </w:rPr>
      </w:pPr>
    </w:p>
    <w:tbl>
      <w:tblPr>
        <w:tblStyle w:val="3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654"/>
      </w:tblGrid>
      <w:tr w14:paraId="0E7F2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79D24B5F">
            <w:pPr>
              <w:shd w:val="clear"/>
              <w:kinsoku/>
              <w:overflowPunct/>
              <w:bidi w:val="0"/>
              <w:spacing w:line="700" w:lineRule="exact"/>
              <w:ind w:left="0" w:leftChars="0" w:right="0" w:rightChars="0"/>
              <w:jc w:val="center"/>
              <w:rPr>
                <w:rFonts w:ascii="宋体"/>
                <w:color w:val="auto"/>
                <w:sz w:val="24"/>
                <w:highlight w:val="none"/>
              </w:rPr>
            </w:pPr>
            <w:r>
              <w:rPr>
                <w:rFonts w:hint="eastAsia" w:ascii="宋体"/>
                <w:color w:val="auto"/>
                <w:sz w:val="24"/>
                <w:highlight w:val="none"/>
              </w:rPr>
              <w:t>项目名称</w:t>
            </w:r>
          </w:p>
        </w:tc>
        <w:tc>
          <w:tcPr>
            <w:tcW w:w="7654" w:type="dxa"/>
            <w:tcBorders>
              <w:top w:val="single" w:color="auto" w:sz="12" w:space="0"/>
              <w:left w:val="single" w:color="auto" w:sz="12" w:space="0"/>
              <w:bottom w:val="single" w:color="auto" w:sz="12" w:space="0"/>
            </w:tcBorders>
            <w:vAlign w:val="center"/>
          </w:tcPr>
          <w:p w14:paraId="0063642D">
            <w:pPr>
              <w:shd w:val="clear"/>
              <w:kinsoku/>
              <w:overflowPunct/>
              <w:bidi w:val="0"/>
              <w:spacing w:line="700" w:lineRule="exact"/>
              <w:ind w:left="0" w:leftChars="0" w:right="0" w:rightChars="0"/>
              <w:jc w:val="left"/>
              <w:rPr>
                <w:color w:val="auto"/>
                <w:sz w:val="24"/>
                <w:highlight w:val="none"/>
              </w:rPr>
            </w:pPr>
            <w:r>
              <w:rPr>
                <w:rFonts w:hint="eastAsia"/>
                <w:color w:val="auto"/>
                <w:sz w:val="24"/>
                <w:highlight w:val="none"/>
              </w:rPr>
              <w:t xml:space="preserve">         </w:t>
            </w:r>
          </w:p>
        </w:tc>
      </w:tr>
      <w:tr w14:paraId="401A1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4679C99B">
            <w:pPr>
              <w:shd w:val="clear"/>
              <w:kinsoku/>
              <w:overflowPunct/>
              <w:bidi w:val="0"/>
              <w:spacing w:line="700" w:lineRule="exact"/>
              <w:ind w:left="0" w:leftChars="0" w:right="0" w:rightChars="0"/>
              <w:jc w:val="center"/>
              <w:rPr>
                <w:rFonts w:ascii="宋体"/>
                <w:color w:val="auto"/>
                <w:sz w:val="24"/>
                <w:highlight w:val="none"/>
              </w:rPr>
            </w:pPr>
            <w:r>
              <w:rPr>
                <w:rFonts w:hint="eastAsia" w:ascii="宋体"/>
                <w:color w:val="auto"/>
                <w:sz w:val="24"/>
                <w:highlight w:val="none"/>
              </w:rPr>
              <w:t>项目编号</w:t>
            </w:r>
          </w:p>
        </w:tc>
        <w:tc>
          <w:tcPr>
            <w:tcW w:w="7654" w:type="dxa"/>
            <w:tcBorders>
              <w:top w:val="single" w:color="auto" w:sz="12" w:space="0"/>
              <w:left w:val="single" w:color="auto" w:sz="12" w:space="0"/>
            </w:tcBorders>
            <w:vAlign w:val="center"/>
          </w:tcPr>
          <w:p w14:paraId="6B935D53">
            <w:pPr>
              <w:shd w:val="clear"/>
              <w:kinsoku/>
              <w:overflowPunct/>
              <w:bidi w:val="0"/>
              <w:spacing w:line="700" w:lineRule="exact"/>
              <w:ind w:left="0" w:leftChars="0" w:right="0" w:rightChars="0"/>
              <w:rPr>
                <w:rFonts w:ascii="宋体"/>
                <w:color w:val="auto"/>
                <w:sz w:val="24"/>
                <w:highlight w:val="none"/>
              </w:rPr>
            </w:pPr>
          </w:p>
        </w:tc>
      </w:tr>
      <w:tr w14:paraId="57903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334ADC01">
            <w:pPr>
              <w:shd w:val="clear"/>
              <w:kinsoku/>
              <w:overflowPunct/>
              <w:bidi w:val="0"/>
              <w:spacing w:line="700" w:lineRule="exact"/>
              <w:ind w:left="0" w:leftChars="0" w:right="0" w:rightChars="0" w:firstLine="120" w:firstLineChars="50"/>
              <w:rPr>
                <w:rFonts w:ascii="宋体"/>
                <w:color w:val="auto"/>
                <w:sz w:val="24"/>
                <w:highlight w:val="none"/>
              </w:rPr>
            </w:pPr>
            <w:r>
              <w:rPr>
                <w:rFonts w:hint="eastAsia" w:ascii="宋体"/>
                <w:color w:val="auto"/>
                <w:sz w:val="24"/>
                <w:highlight w:val="none"/>
              </w:rPr>
              <w:t>投标人名称</w:t>
            </w:r>
          </w:p>
        </w:tc>
        <w:tc>
          <w:tcPr>
            <w:tcW w:w="7654" w:type="dxa"/>
            <w:tcBorders>
              <w:left w:val="single" w:color="auto" w:sz="12" w:space="0"/>
            </w:tcBorders>
          </w:tcPr>
          <w:p w14:paraId="52DC698D">
            <w:pPr>
              <w:pStyle w:val="21"/>
              <w:shd w:val="clear"/>
              <w:kinsoku/>
              <w:overflowPunct/>
              <w:bidi w:val="0"/>
              <w:spacing w:line="700" w:lineRule="exact"/>
              <w:ind w:left="0" w:leftChars="0" w:right="0" w:rightChars="0"/>
              <w:rPr>
                <w:rFonts w:ascii="宋体" w:eastAsia="宋体"/>
                <w:color w:val="auto"/>
                <w:sz w:val="24"/>
                <w:szCs w:val="24"/>
                <w:highlight w:val="none"/>
              </w:rPr>
            </w:pPr>
          </w:p>
        </w:tc>
      </w:tr>
      <w:tr w14:paraId="5AE17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2D3DFAC0">
            <w:pPr>
              <w:shd w:val="clear"/>
              <w:kinsoku/>
              <w:overflowPunct/>
              <w:bidi w:val="0"/>
              <w:spacing w:line="360" w:lineRule="auto"/>
              <w:ind w:left="0" w:leftChars="0" w:right="0" w:rightChars="0"/>
              <w:jc w:val="center"/>
              <w:rPr>
                <w:rFonts w:ascii="宋体"/>
                <w:color w:val="auto"/>
                <w:sz w:val="24"/>
                <w:highlight w:val="none"/>
              </w:rPr>
            </w:pPr>
            <w:r>
              <w:rPr>
                <w:rFonts w:hint="eastAsia" w:ascii="宋体" w:hAnsi="宋体"/>
                <w:color w:val="auto"/>
                <w:sz w:val="24"/>
                <w:highlight w:val="none"/>
              </w:rPr>
              <w:t>投标报价\合同履行期限</w:t>
            </w:r>
          </w:p>
        </w:tc>
        <w:tc>
          <w:tcPr>
            <w:tcW w:w="7654" w:type="dxa"/>
            <w:tcBorders>
              <w:left w:val="single" w:color="auto" w:sz="12" w:space="0"/>
            </w:tcBorders>
            <w:vAlign w:val="center"/>
          </w:tcPr>
          <w:p w14:paraId="2C722C33">
            <w:pPr>
              <w:shd w:val="clear"/>
              <w:kinsoku/>
              <w:overflowPunct/>
              <w:bidi w:val="0"/>
              <w:spacing w:line="360" w:lineRule="auto"/>
              <w:ind w:left="0" w:leftChars="0" w:right="0" w:rightChars="0"/>
              <w:jc w:val="left"/>
              <w:rPr>
                <w:rFonts w:ascii="宋体" w:hAnsi="宋体"/>
                <w:color w:val="auto"/>
                <w:sz w:val="24"/>
                <w:szCs w:val="24"/>
                <w:highlight w:val="none"/>
              </w:rPr>
            </w:pPr>
            <w:r>
              <w:rPr>
                <w:rFonts w:hint="eastAsia" w:ascii="宋体" w:hAnsi="宋体"/>
                <w:color w:val="auto"/>
                <w:sz w:val="24"/>
                <w:highlight w:val="none"/>
              </w:rPr>
              <w:t>投标报价 ：（大写）：</w:t>
            </w:r>
            <w:r>
              <w:rPr>
                <w:rFonts w:hint="eastAsia" w:ascii="宋体" w:hAnsi="宋体"/>
                <w:color w:val="auto"/>
                <w:sz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77BCA01B">
            <w:pPr>
              <w:shd w:val="clear"/>
              <w:kinsoku/>
              <w:overflowPunct/>
              <w:bidi w:val="0"/>
              <w:spacing w:line="360" w:lineRule="auto"/>
              <w:ind w:left="0" w:leftChars="0" w:right="0" w:rightChars="0"/>
              <w:jc w:val="left"/>
              <w:rPr>
                <w:rFonts w:ascii="宋体" w:hAnsi="宋体"/>
                <w:color w:val="auto"/>
                <w:sz w:val="24"/>
                <w:highlight w:val="none"/>
              </w:rPr>
            </w:pPr>
            <w:r>
              <w:rPr>
                <w:rFonts w:hint="eastAsia" w:ascii="宋体" w:hAnsi="宋体"/>
                <w:color w:val="auto"/>
                <w:sz w:val="24"/>
                <w:szCs w:val="24"/>
                <w:highlight w:val="none"/>
              </w:rPr>
              <w:t>(小写)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AC74723">
            <w:pPr>
              <w:shd w:val="clear"/>
              <w:kinsoku/>
              <w:overflowPunct/>
              <w:bidi w:val="0"/>
              <w:spacing w:line="360" w:lineRule="auto"/>
              <w:ind w:left="0" w:leftChars="0" w:right="0" w:rightChars="0"/>
              <w:rPr>
                <w:color w:val="auto"/>
                <w:sz w:val="24"/>
                <w:highlight w:val="none"/>
              </w:rPr>
            </w:pPr>
            <w:r>
              <w:rPr>
                <w:rFonts w:hint="eastAsia"/>
                <w:color w:val="auto"/>
                <w:sz w:val="24"/>
                <w:highlight w:val="none"/>
              </w:rPr>
              <w:t>合同履行期限：</w:t>
            </w:r>
            <w:r>
              <w:rPr>
                <w:rFonts w:hint="eastAsia"/>
                <w:color w:val="auto"/>
                <w:sz w:val="24"/>
                <w:highlight w:val="none"/>
                <w:u w:val="single"/>
                <w:lang w:val="en-US" w:eastAsia="zh-CN"/>
              </w:rPr>
              <w:t xml:space="preserve">                            </w:t>
            </w:r>
            <w:r>
              <w:rPr>
                <w:rFonts w:hint="eastAsia"/>
                <w:color w:val="auto"/>
                <w:sz w:val="24"/>
                <w:highlight w:val="none"/>
              </w:rPr>
              <w:t xml:space="preserve">。 </w:t>
            </w:r>
          </w:p>
        </w:tc>
      </w:tr>
    </w:tbl>
    <w:p w14:paraId="3EDF1605">
      <w:pPr>
        <w:shd w:val="clear"/>
        <w:kinsoku/>
        <w:overflowPunct/>
        <w:bidi w:val="0"/>
        <w:snapToGrid w:val="0"/>
        <w:spacing w:line="460" w:lineRule="exact"/>
        <w:ind w:left="0" w:leftChars="0" w:right="0" w:rightChars="0" w:firstLine="723" w:firstLineChars="300"/>
        <w:rPr>
          <w:rFonts w:ascii="宋体"/>
          <w:b/>
          <w:color w:val="auto"/>
          <w:sz w:val="24"/>
          <w:highlight w:val="none"/>
        </w:rPr>
      </w:pPr>
    </w:p>
    <w:p w14:paraId="150ECB1F">
      <w:pPr>
        <w:shd w:val="clear"/>
        <w:kinsoku/>
        <w:overflowPunct/>
        <w:bidi w:val="0"/>
        <w:ind w:left="0" w:leftChars="0" w:right="0" w:rightChars="0"/>
        <w:rPr>
          <w:rFonts w:ascii="宋体"/>
          <w:color w:val="auto"/>
          <w:sz w:val="24"/>
          <w:highlight w:val="none"/>
        </w:rPr>
      </w:pPr>
      <w:r>
        <w:rPr>
          <w:rFonts w:hint="eastAsia" w:ascii="宋体"/>
          <w:color w:val="auto"/>
          <w:sz w:val="24"/>
          <w:highlight w:val="none"/>
        </w:rPr>
        <w:t>法定代表人（签章）：         投标人（盖单位章）：</w:t>
      </w:r>
    </w:p>
    <w:p w14:paraId="2CFC1675">
      <w:pPr>
        <w:shd w:val="clear"/>
        <w:kinsoku/>
        <w:overflowPunct/>
        <w:bidi w:val="0"/>
        <w:snapToGrid w:val="0"/>
        <w:spacing w:beforeLines="100" w:afterLines="100" w:line="360" w:lineRule="auto"/>
        <w:ind w:left="0" w:leftChars="0" w:right="0" w:rightChars="0"/>
        <w:jc w:val="center"/>
        <w:rPr>
          <w:rFonts w:cs="Arial"/>
          <w:b/>
          <w:bCs/>
          <w:color w:val="auto"/>
          <w:sz w:val="30"/>
          <w:szCs w:val="30"/>
          <w:highlight w:val="none"/>
        </w:rPr>
        <w:sectPr>
          <w:pgSz w:w="11906" w:h="16838"/>
          <w:pgMar w:top="1440" w:right="1247" w:bottom="1417" w:left="1247" w:header="851" w:footer="992" w:gutter="0"/>
          <w:pgNumType w:fmt="numberInDash"/>
          <w:cols w:space="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48BDFE8E">
      <w:pPr>
        <w:shd w:val="clear"/>
        <w:kinsoku/>
        <w:overflowPunct/>
        <w:bidi w:val="0"/>
        <w:spacing w:line="360" w:lineRule="exact"/>
        <w:ind w:left="0" w:leftChars="0" w:right="0" w:rightChars="0"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1CD6A3FA">
      <w:pPr>
        <w:shd w:val="clear"/>
        <w:kinsoku/>
        <w:overflowPunct/>
        <w:bidi w:val="0"/>
        <w:spacing w:line="360" w:lineRule="exact"/>
        <w:ind w:left="0" w:leftChars="0" w:right="0" w:rightChars="0"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7C80AD6C">
      <w:pPr>
        <w:shd w:val="clear"/>
        <w:kinsoku/>
        <w:overflowPunct/>
        <w:bidi w:val="0"/>
        <w:spacing w:line="440" w:lineRule="exact"/>
        <w:ind w:left="0" w:leftChars="0" w:right="0" w:rightChars="0"/>
        <w:rPr>
          <w:rFonts w:ascii="宋体"/>
          <w:color w:val="auto"/>
          <w:sz w:val="24"/>
          <w:highlight w:val="none"/>
        </w:rPr>
      </w:pPr>
    </w:p>
    <w:p w14:paraId="5ECB6D4B">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11BE0C6D">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2773578A">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85BFC9">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20D0D60A">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4、若我方中标，愿意为本项目提交的纸质投标文件一式三份，其中正本一份、副本二份。</w:t>
      </w:r>
    </w:p>
    <w:p w14:paraId="024E7348">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3E1AA4C1">
      <w:pPr>
        <w:pStyle w:val="36"/>
        <w:shd w:val="clear"/>
        <w:kinsoku/>
        <w:overflowPunct/>
        <w:bidi w:val="0"/>
        <w:spacing w:after="0" w:line="500" w:lineRule="exact"/>
        <w:ind w:left="0" w:leftChars="0" w:right="0" w:righ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586D5837">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21452CF9">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 </w:t>
      </w:r>
    </w:p>
    <w:p w14:paraId="338009D4">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A5468C4">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2F5BB195">
      <w:pPr>
        <w:shd w:val="clear"/>
        <w:kinsoku/>
        <w:overflowPunct/>
        <w:bidi w:val="0"/>
        <w:spacing w:line="500" w:lineRule="exact"/>
        <w:ind w:left="0" w:leftChars="0" w:right="0" w:rightChars="0"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3D8B150">
      <w:pPr>
        <w:shd w:val="clear"/>
        <w:kinsoku/>
        <w:overflowPunct/>
        <w:bidi w:val="0"/>
        <w:spacing w:line="500" w:lineRule="exact"/>
        <w:ind w:left="0" w:leftChars="0" w:right="0" w:rightChars="0"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25BCA962">
      <w:pPr>
        <w:shd w:val="clear"/>
        <w:kinsoku/>
        <w:overflowPunct/>
        <w:bidi w:val="0"/>
        <w:spacing w:line="500" w:lineRule="exact"/>
        <w:ind w:left="0" w:leftChars="0" w:right="0" w:rightChars="0"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49E37CF2">
      <w:pPr>
        <w:shd w:val="clear"/>
        <w:kinsoku/>
        <w:overflowPunct/>
        <w:bidi w:val="0"/>
        <w:spacing w:line="500" w:lineRule="exact"/>
        <w:ind w:left="0" w:leftChars="0" w:right="0" w:rightChars="0"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744AB99F">
      <w:pPr>
        <w:shd w:val="clear"/>
        <w:kinsoku/>
        <w:overflowPunct/>
        <w:bidi w:val="0"/>
        <w:ind w:left="0" w:leftChars="0" w:right="0" w:rightChars="0"/>
        <w:rPr>
          <w:rFonts w:ascii="宋体" w:hAnsi="宋体"/>
          <w:b/>
          <w:color w:val="auto"/>
          <w:sz w:val="30"/>
          <w:szCs w:val="30"/>
          <w:highlight w:val="none"/>
        </w:rPr>
      </w:pPr>
    </w:p>
    <w:p w14:paraId="3DDF22A4">
      <w:pPr>
        <w:shd w:val="clear"/>
        <w:kinsoku/>
        <w:overflowPunct/>
        <w:bidi w:val="0"/>
        <w:ind w:left="0" w:leftChars="0" w:right="0" w:rightChars="0"/>
        <w:jc w:val="center"/>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lang w:val="en-US" w:eastAsia="zh-CN"/>
        </w:rPr>
        <w:t>系统生成报价与本投标函不一致的，以本投标函报价为准。</w:t>
      </w:r>
    </w:p>
    <w:p w14:paraId="7DC4F6F7">
      <w:pPr>
        <w:shd w:val="clear"/>
        <w:kinsoku/>
        <w:overflowPunct/>
        <w:bidi w:val="0"/>
        <w:spacing w:line="380" w:lineRule="exact"/>
        <w:ind w:left="0" w:leftChars="0" w:right="0" w:rightChars="0"/>
        <w:rPr>
          <w:rFonts w:hint="eastAsia" w:ascii="宋体" w:hAnsi="宋体"/>
          <w:b/>
          <w:color w:val="auto"/>
          <w:sz w:val="30"/>
          <w:szCs w:val="30"/>
          <w:highlight w:val="none"/>
        </w:rPr>
      </w:pPr>
    </w:p>
    <w:p w14:paraId="5C0F6C63">
      <w:pPr>
        <w:shd w:val="clear"/>
        <w:kinsoku/>
        <w:overflowPunct/>
        <w:bidi w:val="0"/>
        <w:spacing w:line="380" w:lineRule="exact"/>
        <w:ind w:left="0" w:leftChars="0" w:right="0" w:rightChars="0"/>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72DADAFB">
      <w:pPr>
        <w:shd w:val="clear"/>
        <w:kinsoku/>
        <w:overflowPunct/>
        <w:bidi w:val="0"/>
        <w:spacing w:line="380" w:lineRule="exact"/>
        <w:ind w:left="0" w:leftChars="0" w:right="0" w:rightChars="0"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投标人认为需要提供的其他材料（如有）。</w:t>
      </w:r>
    </w:p>
    <w:p w14:paraId="67FDF55E">
      <w:pPr>
        <w:shd w:val="clear"/>
        <w:kinsoku/>
        <w:overflowPunct/>
        <w:bidi w:val="0"/>
        <w:spacing w:line="380" w:lineRule="exact"/>
        <w:ind w:left="0" w:leftChars="0" w:right="0" w:rightChars="0" w:firstLine="568" w:firstLineChars="202"/>
        <w:rPr>
          <w:rFonts w:hint="eastAsia" w:ascii="宋体" w:hAnsi="宋体" w:eastAsia="宋体" w:cs="宋体"/>
          <w:b/>
          <w:bCs/>
          <w:color w:val="auto"/>
          <w:sz w:val="28"/>
          <w:szCs w:val="28"/>
          <w:highlight w:val="none"/>
          <w:lang w:eastAsia="zh-CN"/>
        </w:rPr>
      </w:pPr>
    </w:p>
    <w:p w14:paraId="55091195">
      <w:pPr>
        <w:rPr>
          <w:rFonts w:ascii="宋体" w:hAnsi="宋体" w:eastAsia="宋体" w:cs="宋体"/>
          <w:color w:val="auto"/>
          <w:sz w:val="28"/>
          <w:szCs w:val="28"/>
          <w:highlight w:val="none"/>
        </w:rPr>
      </w:pPr>
      <w:r>
        <w:rPr>
          <w:rFonts w:hint="eastAsia"/>
          <w:color w:val="auto"/>
          <w:highlight w:val="none"/>
        </w:rPr>
        <w:br w:type="page"/>
      </w: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52A123C9">
      <w:pPr>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关于联合惩戒失信行为加强信用查询管理的通知</w:t>
      </w:r>
    </w:p>
    <w:p w14:paraId="3802548C">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590FA2B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01AE6E5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05148D3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198" w:name="OLE_LINK103"/>
      <w:bookmarkStart w:id="199" w:name="OLE_LINK93"/>
      <w:bookmarkStart w:id="200" w:name="OLE_LINK91"/>
      <w:bookmarkStart w:id="201" w:name="OLE_LINK92"/>
      <w:r>
        <w:rPr>
          <w:rFonts w:hint="eastAsia" w:ascii="宋体" w:hAnsi="宋体" w:eastAsia="宋体" w:cs="宋体"/>
          <w:color w:val="auto"/>
          <w:sz w:val="24"/>
          <w:szCs w:val="24"/>
          <w:highlight w:val="none"/>
        </w:rPr>
        <w:t>投标人、法定代表人及其项目经理(建造师)</w:t>
      </w:r>
      <w:bookmarkEnd w:id="198"/>
      <w:bookmarkEnd w:id="199"/>
      <w:bookmarkEnd w:id="200"/>
      <w:bookmarkEnd w:id="201"/>
      <w:r>
        <w:rPr>
          <w:rFonts w:hint="eastAsia" w:ascii="宋体" w:hAnsi="宋体" w:eastAsia="宋体" w:cs="宋体"/>
          <w:color w:val="auto"/>
          <w:sz w:val="24"/>
          <w:szCs w:val="24"/>
          <w:highlight w:val="none"/>
        </w:rPr>
        <w:t>以下失信行为：</w:t>
      </w:r>
    </w:p>
    <w:p w14:paraId="527EE4BB">
      <w:pPr>
        <w:adjustRightInd w:val="0"/>
        <w:snapToGrid w:val="0"/>
        <w:spacing w:line="560" w:lineRule="exact"/>
        <w:ind w:firstLine="480" w:firstLineChars="200"/>
        <w:rPr>
          <w:rFonts w:hint="eastAsia" w:ascii="宋体" w:hAnsi="宋体" w:eastAsia="宋体" w:cs="宋体"/>
          <w:color w:val="auto"/>
          <w:sz w:val="24"/>
          <w:szCs w:val="24"/>
          <w:highlight w:val="none"/>
          <w:lang w:eastAsia="zh-CN"/>
        </w:rPr>
      </w:pPr>
      <w:bookmarkStart w:id="202" w:name="OLE_LINK87"/>
      <w:bookmarkStart w:id="203" w:name="OLE_LINK94"/>
      <w:bookmarkStart w:id="204" w:name="OLE_LINK86"/>
      <w:bookmarkStart w:id="205" w:name="OLE_LINK3"/>
      <w:bookmarkStart w:id="206" w:name="OLE_LINK119"/>
      <w:r>
        <w:rPr>
          <w:rFonts w:hint="eastAsia" w:ascii="宋体" w:hAnsi="宋体" w:eastAsia="宋体" w:cs="宋体"/>
          <w:color w:val="auto"/>
          <w:sz w:val="24"/>
          <w:szCs w:val="24"/>
          <w:highlight w:val="none"/>
        </w:rPr>
        <w:t>①被列入“失信被执行人”的</w:t>
      </w:r>
      <w:r>
        <w:rPr>
          <w:rFonts w:hint="eastAsia" w:ascii="宋体" w:hAnsi="宋体" w:eastAsia="宋体" w:cs="宋体"/>
          <w:color w:val="auto"/>
          <w:sz w:val="24"/>
          <w:szCs w:val="24"/>
          <w:highlight w:val="none"/>
          <w:lang w:eastAsia="zh-CN"/>
        </w:rPr>
        <w:t>；</w:t>
      </w:r>
    </w:p>
    <w:p w14:paraId="2D2969B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207" w:name="OLE_LINK117"/>
      <w:bookmarkStart w:id="208" w:name="OLE_LINK116"/>
      <w:bookmarkStart w:id="209" w:name="OLE_LINK115"/>
      <w:bookmarkStart w:id="210" w:name="OLE_LINK118"/>
      <w:r>
        <w:rPr>
          <w:rFonts w:hint="eastAsia" w:ascii="宋体" w:hAnsi="宋体" w:eastAsia="宋体" w:cs="宋体"/>
          <w:color w:val="auto"/>
          <w:sz w:val="24"/>
          <w:szCs w:val="24"/>
          <w:highlight w:val="none"/>
        </w:rPr>
        <w:t>“重大税收违法失信主体”</w:t>
      </w:r>
      <w:bookmarkEnd w:id="207"/>
      <w:bookmarkEnd w:id="208"/>
      <w:bookmarkEnd w:id="209"/>
      <w:bookmarkEnd w:id="210"/>
      <w:r>
        <w:rPr>
          <w:rFonts w:hint="eastAsia" w:ascii="宋体" w:hAnsi="宋体" w:eastAsia="宋体" w:cs="宋体"/>
          <w:color w:val="auto"/>
          <w:sz w:val="24"/>
          <w:szCs w:val="24"/>
          <w:highlight w:val="none"/>
        </w:rPr>
        <w:t>的；</w:t>
      </w:r>
    </w:p>
    <w:p w14:paraId="6AFF845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③被列入“拖欠</w:t>
      </w:r>
      <w:bookmarkStart w:id="211" w:name="OLE_LINK84"/>
      <w:bookmarkStart w:id="212" w:name="OLE_LINK85"/>
      <w:r>
        <w:rPr>
          <w:rFonts w:hint="eastAsia" w:ascii="宋体" w:hAnsi="宋体" w:eastAsia="宋体" w:cs="宋体"/>
          <w:color w:val="auto"/>
          <w:sz w:val="24"/>
          <w:szCs w:val="24"/>
          <w:highlight w:val="none"/>
        </w:rPr>
        <w:t>农民工工资失信联合惩戒对象</w:t>
      </w:r>
      <w:bookmarkEnd w:id="211"/>
      <w:bookmarkEnd w:id="212"/>
      <w:r>
        <w:rPr>
          <w:rFonts w:hint="eastAsia" w:ascii="宋体" w:hAnsi="宋体" w:eastAsia="宋体" w:cs="宋体"/>
          <w:color w:val="auto"/>
          <w:sz w:val="24"/>
          <w:szCs w:val="24"/>
          <w:highlight w:val="none"/>
        </w:rPr>
        <w:t>名单”的；</w:t>
      </w:r>
    </w:p>
    <w:p w14:paraId="188D349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539D900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202"/>
    <w:bookmarkEnd w:id="203"/>
    <w:bookmarkEnd w:id="204"/>
    <w:bookmarkEnd w:id="205"/>
    <w:bookmarkEnd w:id="206"/>
    <w:p w14:paraId="5C62BC4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13" w:name="OLE_LINK130"/>
      <w:r>
        <w:rPr>
          <w:rFonts w:hint="eastAsia" w:ascii="宋体" w:hAnsi="宋体" w:eastAsia="宋体" w:cs="宋体"/>
          <w:color w:val="auto"/>
          <w:sz w:val="24"/>
          <w:szCs w:val="24"/>
          <w:highlight w:val="none"/>
        </w:rPr>
        <w:t>国家企业信用信息公示系统网站</w:t>
      </w:r>
      <w:bookmarkEnd w:id="21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214" w:name="OLE_LINK90"/>
      <w:bookmarkStart w:id="215" w:name="OLE_LINK89"/>
      <w:r>
        <w:rPr>
          <w:rStyle w:val="48"/>
          <w:rFonts w:hint="eastAsia" w:ascii="宋体" w:hAnsi="宋体" w:eastAsia="宋体" w:cs="宋体"/>
          <w:color w:val="auto"/>
          <w:sz w:val="24"/>
          <w:szCs w:val="24"/>
          <w:highlight w:val="none"/>
        </w:rPr>
        <w:t>www.gsxt.gov.cn</w:t>
      </w:r>
      <w:bookmarkEnd w:id="214"/>
      <w:bookmarkEnd w:id="215"/>
      <w:r>
        <w:rPr>
          <w:rStyle w:val="48"/>
          <w:rFonts w:hint="eastAsia" w:ascii="宋体" w:hAnsi="宋体" w:eastAsia="宋体" w:cs="宋体"/>
          <w:color w:val="auto"/>
          <w:sz w:val="24"/>
          <w:szCs w:val="24"/>
          <w:highlight w:val="none"/>
        </w:rPr>
        <w:t>）</w:t>
      </w:r>
      <w:r>
        <w:rPr>
          <w:rStyle w:val="48"/>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31155CBB">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16" w:name="OLE_LINK121"/>
      <w:bookmarkStart w:id="217" w:name="OLE_LINK120"/>
      <w:bookmarkStart w:id="218" w:name="OLE_LINK122"/>
      <w:r>
        <w:rPr>
          <w:rFonts w:hint="eastAsia" w:ascii="宋体" w:hAnsi="宋体" w:eastAsia="宋体" w:cs="宋体"/>
          <w:color w:val="auto"/>
          <w:sz w:val="24"/>
          <w:szCs w:val="24"/>
          <w:highlight w:val="none"/>
        </w:rPr>
        <w:t>①</w:t>
      </w:r>
      <w:bookmarkStart w:id="219" w:name="OLE_LINK114"/>
      <w:bookmarkStart w:id="220" w:name="OLE_LINK113"/>
      <w:r>
        <w:rPr>
          <w:rFonts w:hint="eastAsia" w:ascii="宋体" w:hAnsi="宋体" w:eastAsia="宋体" w:cs="宋体"/>
          <w:color w:val="auto"/>
          <w:sz w:val="24"/>
          <w:szCs w:val="24"/>
          <w:highlight w:val="none"/>
        </w:rPr>
        <w:t>被列入“经营异常名录”或者“严重违法失信名单”的</w:t>
      </w:r>
      <w:bookmarkEnd w:id="219"/>
      <w:bookmarkEnd w:id="220"/>
      <w:r>
        <w:rPr>
          <w:rFonts w:hint="eastAsia" w:ascii="宋体" w:hAnsi="宋体" w:eastAsia="宋体" w:cs="宋体"/>
          <w:color w:val="auto"/>
          <w:sz w:val="24"/>
          <w:szCs w:val="24"/>
          <w:highlight w:val="none"/>
        </w:rPr>
        <w:t>。</w:t>
      </w:r>
      <w:bookmarkEnd w:id="216"/>
      <w:bookmarkEnd w:id="217"/>
      <w:bookmarkEnd w:id="218"/>
    </w:p>
    <w:p w14:paraId="2C185E3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0E26E0EA">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21" w:name="OLE_LINK124"/>
      <w:bookmarkStart w:id="222" w:name="OLE_LINK123"/>
      <w:r>
        <w:rPr>
          <w:rFonts w:hint="eastAsia" w:ascii="宋体" w:hAnsi="宋体" w:eastAsia="宋体" w:cs="宋体"/>
          <w:color w:val="auto"/>
          <w:sz w:val="24"/>
          <w:szCs w:val="24"/>
          <w:highlight w:val="none"/>
        </w:rPr>
        <w:t>①前三年有行贿犯罪行为的单位和个人；</w:t>
      </w:r>
    </w:p>
    <w:p w14:paraId="08E5DC6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62B28BB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09E7800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223" w:name="OLE_LINK107"/>
      <w:bookmarkStart w:id="224" w:name="OLE_LINK108"/>
      <w:r>
        <w:rPr>
          <w:rFonts w:hint="eastAsia" w:ascii="宋体" w:hAnsi="宋体" w:eastAsia="宋体" w:cs="宋体"/>
          <w:color w:val="auto"/>
          <w:sz w:val="24"/>
          <w:szCs w:val="24"/>
          <w:highlight w:val="none"/>
        </w:rPr>
        <w:t>县级及以上有关行政主管部门限制投标资格且在限制期限内的</w:t>
      </w:r>
      <w:bookmarkEnd w:id="223"/>
      <w:bookmarkEnd w:id="224"/>
      <w:r>
        <w:rPr>
          <w:rFonts w:hint="eastAsia" w:ascii="宋体" w:hAnsi="宋体" w:eastAsia="宋体" w:cs="宋体"/>
          <w:color w:val="auto"/>
          <w:sz w:val="24"/>
          <w:szCs w:val="24"/>
          <w:highlight w:val="none"/>
        </w:rPr>
        <w:t>；</w:t>
      </w:r>
    </w:p>
    <w:p w14:paraId="5851B25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21"/>
    <w:bookmarkEnd w:id="222"/>
    <w:p w14:paraId="53F626A8">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782E335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48"/>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0F6E515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054EB89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532A4D6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 “严重失信主体名单”的；</w:t>
      </w:r>
    </w:p>
    <w:p w14:paraId="453DC98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3AE0294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41B6857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25" w:name="OLE_LINK102"/>
      <w:bookmarkStart w:id="226" w:name="OLE_LINK100"/>
      <w:bookmarkStart w:id="227" w:name="OLE_LINK101"/>
      <w:r>
        <w:rPr>
          <w:rFonts w:hint="eastAsia" w:ascii="宋体" w:hAnsi="宋体" w:eastAsia="宋体" w:cs="宋体"/>
          <w:color w:val="auto"/>
          <w:sz w:val="24"/>
          <w:szCs w:val="24"/>
          <w:highlight w:val="none"/>
        </w:rPr>
        <w:t>被列入“经营异常名录”或者“严重违法失信名单”的</w:t>
      </w:r>
      <w:bookmarkEnd w:id="225"/>
      <w:bookmarkEnd w:id="226"/>
      <w:bookmarkEnd w:id="227"/>
      <w:r>
        <w:rPr>
          <w:rFonts w:hint="eastAsia" w:ascii="宋体" w:hAnsi="宋体" w:eastAsia="宋体" w:cs="宋体"/>
          <w:color w:val="auto"/>
          <w:sz w:val="24"/>
          <w:szCs w:val="24"/>
          <w:highlight w:val="none"/>
        </w:rPr>
        <w:t>。</w:t>
      </w:r>
    </w:p>
    <w:p w14:paraId="38A401E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228" w:name="OLE_LINK95"/>
      <w:bookmarkStart w:id="229" w:name="OLE_LINK9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228"/>
      <w:bookmarkEnd w:id="229"/>
      <w:r>
        <w:rPr>
          <w:rFonts w:hint="eastAsia" w:ascii="宋体" w:hAnsi="宋体" w:eastAsia="宋体" w:cs="宋体"/>
          <w:color w:val="auto"/>
          <w:sz w:val="24"/>
          <w:szCs w:val="24"/>
          <w:highlight w:val="none"/>
        </w:rPr>
        <w:t>）查询以下失信行为：</w:t>
      </w:r>
    </w:p>
    <w:p w14:paraId="0BEB788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30" w:name="OLE_LINK106"/>
      <w:bookmarkStart w:id="231" w:name="OLE_LINK105"/>
      <w:bookmarkStart w:id="232" w:name="OLE_LINK104"/>
      <w:r>
        <w:rPr>
          <w:rFonts w:hint="eastAsia" w:ascii="宋体" w:hAnsi="宋体" w:eastAsia="宋体" w:cs="宋体"/>
          <w:color w:val="auto"/>
          <w:sz w:val="24"/>
          <w:szCs w:val="24"/>
          <w:highlight w:val="none"/>
        </w:rPr>
        <w:t>被列入“政府采购严重违法失信行为信息记录”的</w:t>
      </w:r>
      <w:bookmarkEnd w:id="230"/>
      <w:bookmarkEnd w:id="231"/>
      <w:bookmarkEnd w:id="232"/>
      <w:r>
        <w:rPr>
          <w:rFonts w:hint="eastAsia" w:ascii="宋体" w:hAnsi="宋体" w:eastAsia="宋体" w:cs="宋体"/>
          <w:color w:val="auto"/>
          <w:sz w:val="24"/>
          <w:szCs w:val="24"/>
          <w:highlight w:val="none"/>
        </w:rPr>
        <w:t>。</w:t>
      </w:r>
    </w:p>
    <w:p w14:paraId="4E0557A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1C53C43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546F051A">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314080F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0FE5B0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0DB2BE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769017EE">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08065E2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DDF7E7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222065A">
      <w:pPr>
        <w:wordWrap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F394597">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0EB47281">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color w:val="auto"/>
          <w:sz w:val="24"/>
          <w:szCs w:val="24"/>
          <w:highlight w:val="none"/>
          <w:lang w:bidi="ar"/>
        </w:rPr>
        <w:t xml:space="preserve"> </w:t>
      </w:r>
    </w:p>
    <w:p w14:paraId="1D6D94E7">
      <w:pPr>
        <w:pStyle w:val="36"/>
        <w:ind w:firstLine="420"/>
        <w:rPr>
          <w:color w:val="auto"/>
          <w:highlight w:val="none"/>
        </w:rPr>
      </w:pPr>
      <w:r>
        <w:rPr>
          <w:rFonts w:hint="eastAsia"/>
          <w:color w:val="auto"/>
          <w:highlight w:val="none"/>
        </w:rPr>
        <w:t xml:space="preserve"> </w:t>
      </w:r>
    </w:p>
    <w:p w14:paraId="1CE38DB0">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7AB23CAF">
      <w:pPr>
        <w:adjustRightInd w:val="0"/>
        <w:snapToGrid w:val="0"/>
        <w:spacing w:line="560" w:lineRule="exact"/>
        <w:ind w:firstLine="645"/>
        <w:jc w:val="center"/>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“信用中国”查询的严重失信行为类别及判定依据</w:t>
      </w:r>
    </w:p>
    <w:p w14:paraId="6DC98DB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258A7FD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3C073E8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40934F0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320E0A3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5A4454D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37A278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43D6975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4F5B1B4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393CE7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04D42A0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4465DF2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59BD74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5E60777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0023F88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688590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31E8CE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32C9D7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3BE96B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1ABDAB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42AFBC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2A8BD9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444BBB9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578959F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0A22EE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1FE28A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253F65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379C27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3CC0F7F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30ABD42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33" w:name="OLE_LINK9"/>
      <w:bookmarkStart w:id="234" w:name="OLE_LINK10"/>
      <w:bookmarkStart w:id="235" w:name="OLE_LINK8"/>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233"/>
      <w:bookmarkEnd w:id="234"/>
      <w:bookmarkEnd w:id="235"/>
      <w:r>
        <w:rPr>
          <w:rFonts w:hint="eastAsia" w:ascii="宋体" w:hAnsi="宋体" w:eastAsia="宋体" w:cs="宋体"/>
          <w:b/>
          <w:color w:val="auto"/>
          <w:sz w:val="24"/>
          <w:szCs w:val="24"/>
          <w:highlight w:val="none"/>
        </w:rPr>
        <w:t>》、《</w:t>
      </w:r>
      <w:bookmarkStart w:id="236" w:name="OLE_LINK11"/>
      <w:bookmarkStart w:id="237" w:name="OLE_LINK12"/>
      <w:r>
        <w:rPr>
          <w:rFonts w:hint="eastAsia" w:ascii="宋体" w:hAnsi="宋体" w:eastAsia="宋体" w:cs="宋体"/>
          <w:b/>
          <w:color w:val="auto"/>
          <w:sz w:val="24"/>
          <w:szCs w:val="24"/>
          <w:highlight w:val="none"/>
        </w:rPr>
        <w:t>企业环境信用评价办法（试行）</w:t>
      </w:r>
      <w:bookmarkEnd w:id="236"/>
      <w:bookmarkEnd w:id="237"/>
      <w:r>
        <w:rPr>
          <w:rFonts w:hint="eastAsia" w:ascii="宋体" w:hAnsi="宋体" w:eastAsia="宋体" w:cs="宋体"/>
          <w:b/>
          <w:color w:val="auto"/>
          <w:sz w:val="24"/>
          <w:szCs w:val="24"/>
          <w:highlight w:val="none"/>
        </w:rPr>
        <w:t>》（环发〔2013〕150号）</w:t>
      </w:r>
    </w:p>
    <w:p w14:paraId="09EC669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3AB6E20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3234A13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5BD803D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463ADD4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008046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208BDC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2CF08A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60AB822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B7E1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2C86D7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D55DB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35E10B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6C90BD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1A1C8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D12B5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129F2E6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（十六）采购人、采购代理机构违反法律规定隐匿、销毁应当保存的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或者伪造、变造</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的； </w:t>
      </w:r>
    </w:p>
    <w:p w14:paraId="2AA6F4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2F598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3D2EF1E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6B574EBF">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38" w:name="OLE_LINK14"/>
      <w:bookmarkStart w:id="239" w:name="OLE_LINK13"/>
      <w:r>
        <w:rPr>
          <w:rFonts w:hint="eastAsia" w:ascii="宋体" w:hAnsi="宋体" w:eastAsia="宋体" w:cs="宋体"/>
          <w:b/>
          <w:color w:val="auto"/>
          <w:sz w:val="24"/>
          <w:szCs w:val="24"/>
          <w:highlight w:val="none"/>
        </w:rPr>
        <w:t>关于对公共资源交易领域严重失信主体开展联合惩戒的备忘录</w:t>
      </w:r>
      <w:bookmarkEnd w:id="238"/>
      <w:bookmarkEnd w:id="239"/>
      <w:r>
        <w:rPr>
          <w:rFonts w:hint="eastAsia" w:ascii="宋体" w:hAnsi="宋体" w:eastAsia="宋体" w:cs="宋体"/>
          <w:b/>
          <w:color w:val="auto"/>
          <w:sz w:val="24"/>
          <w:szCs w:val="24"/>
          <w:highlight w:val="none"/>
        </w:rPr>
        <w:t>》（发改法规〔2018〕457号）</w:t>
      </w:r>
    </w:p>
    <w:p w14:paraId="61E71E1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05F8C69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5BBDFBE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56CFFE5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5A9A20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（四）隐匿、转移、侵占、挪用社会保险费款、基金或者违规投资运营的；</w:t>
      </w:r>
    </w:p>
    <w:p w14:paraId="331BB9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3172713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5DCA69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5016F92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3BF63C6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52647385">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40" w:name="OLE_LINK16"/>
      <w:bookmarkStart w:id="241" w:name="OLE_LINK15"/>
      <w:r>
        <w:rPr>
          <w:rFonts w:hint="eastAsia" w:ascii="宋体" w:hAnsi="宋体" w:eastAsia="宋体" w:cs="宋体"/>
          <w:b/>
          <w:color w:val="auto"/>
          <w:sz w:val="24"/>
          <w:szCs w:val="24"/>
          <w:highlight w:val="none"/>
        </w:rPr>
        <w:t>关于对社会保险领域严重失信企业及其有关人员实施联合惩戒的合作备忘录</w:t>
      </w:r>
      <w:bookmarkEnd w:id="240"/>
      <w:bookmarkEnd w:id="241"/>
      <w:r>
        <w:rPr>
          <w:rFonts w:hint="eastAsia" w:ascii="宋体" w:hAnsi="宋体" w:eastAsia="宋体" w:cs="宋体"/>
          <w:b/>
          <w:color w:val="auto"/>
          <w:sz w:val="24"/>
          <w:szCs w:val="24"/>
          <w:highlight w:val="none"/>
        </w:rPr>
        <w:t>》（发改财金〔2018〕1704号）</w:t>
      </w:r>
    </w:p>
    <w:p w14:paraId="6BEB742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2CA88F9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4D6ED1C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39BB46C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64C045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25BF99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415DDA7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42" w:name="OLE_LINK17"/>
      <w:bookmarkStart w:id="243" w:name="OLE_LINK18"/>
      <w:r>
        <w:rPr>
          <w:rFonts w:hint="eastAsia" w:ascii="宋体" w:hAnsi="宋体" w:eastAsia="宋体" w:cs="宋体"/>
          <w:b/>
          <w:color w:val="auto"/>
          <w:sz w:val="24"/>
          <w:szCs w:val="24"/>
          <w:highlight w:val="none"/>
        </w:rPr>
        <w:t>建筑市场信用管理暂行办法</w:t>
      </w:r>
      <w:bookmarkEnd w:id="242"/>
      <w:bookmarkEnd w:id="243"/>
      <w:r>
        <w:rPr>
          <w:rFonts w:hint="eastAsia" w:ascii="宋体" w:hAnsi="宋体" w:eastAsia="宋体" w:cs="宋体"/>
          <w:b/>
          <w:color w:val="auto"/>
          <w:sz w:val="24"/>
          <w:szCs w:val="24"/>
          <w:highlight w:val="none"/>
        </w:rPr>
        <w:t>》（建市〔2017〕241号）</w:t>
      </w:r>
    </w:p>
    <w:p w14:paraId="2B0146D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244" w:name="OLE_LINK20"/>
      <w:bookmarkStart w:id="245" w:name="OLE_LINK19"/>
      <w:r>
        <w:rPr>
          <w:rFonts w:hint="eastAsia" w:ascii="宋体" w:hAnsi="宋体" w:eastAsia="宋体" w:cs="宋体"/>
          <w:b/>
          <w:color w:val="auto"/>
          <w:sz w:val="24"/>
          <w:szCs w:val="24"/>
          <w:highlight w:val="none"/>
        </w:rPr>
        <w:t>政府采购严重失信行为</w:t>
      </w:r>
      <w:bookmarkEnd w:id="244"/>
      <w:bookmarkEnd w:id="245"/>
    </w:p>
    <w:p w14:paraId="51742D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1C0A32C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06BBEBAB">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ascii="宋体" w:hAnsi="宋体" w:cs="宋体"/>
          <w:b/>
          <w:color w:val="auto"/>
          <w:szCs w:val="21"/>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rPr>
        <w:t>。</w:t>
      </w:r>
    </w:p>
    <w:p w14:paraId="7689797A">
      <w:pPr>
        <w:pStyle w:val="2"/>
        <w:shd w:val="clear"/>
        <w:kinsoku/>
        <w:overflowPunct/>
        <w:bidi w:val="0"/>
        <w:ind w:left="0" w:leftChars="0" w:right="0" w:rightChars="0"/>
        <w:rPr>
          <w:rFonts w:ascii="宋体"/>
          <w:b w:val="0"/>
          <w:color w:val="auto"/>
          <w:szCs w:val="32"/>
          <w:highlight w:val="none"/>
        </w:rPr>
      </w:pPr>
      <w:bookmarkStart w:id="246" w:name="_Toc449028957"/>
      <w:r>
        <w:rPr>
          <w:rFonts w:ascii="宋体"/>
          <w:b w:val="0"/>
          <w:color w:val="auto"/>
          <w:szCs w:val="32"/>
          <w:highlight w:val="none"/>
        </w:rPr>
        <w:br w:type="page"/>
      </w:r>
      <w:bookmarkStart w:id="247" w:name="_Toc58430333"/>
      <w:bookmarkStart w:id="248"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246"/>
      <w:bookmarkEnd w:id="247"/>
      <w:bookmarkEnd w:id="248"/>
    </w:p>
    <w:p w14:paraId="0C99BDF2">
      <w:pPr>
        <w:shd w:val="clear"/>
        <w:kinsoku/>
        <w:overflowPunct/>
        <w:bidi w:val="0"/>
        <w:spacing w:line="440" w:lineRule="exact"/>
        <w:ind w:left="0" w:leftChars="0" w:right="0" w:rightChars="0"/>
        <w:rPr>
          <w:rFonts w:ascii="宋体"/>
          <w:color w:val="auto"/>
          <w:sz w:val="24"/>
          <w:highlight w:val="none"/>
          <w:u w:val="single"/>
        </w:rPr>
      </w:pPr>
    </w:p>
    <w:bookmarkEnd w:id="0"/>
    <w:tbl>
      <w:tblPr>
        <w:tblStyle w:val="37"/>
        <w:tblW w:w="0" w:type="auto"/>
        <w:jc w:val="center"/>
        <w:tblLayout w:type="fixed"/>
        <w:tblCellMar>
          <w:top w:w="0" w:type="dxa"/>
          <w:left w:w="108" w:type="dxa"/>
          <w:bottom w:w="0" w:type="dxa"/>
          <w:right w:w="108" w:type="dxa"/>
        </w:tblCellMar>
      </w:tblPr>
      <w:tblGrid>
        <w:gridCol w:w="9460"/>
      </w:tblGrid>
      <w:tr w14:paraId="671EB698">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41BA4DFF">
            <w:pPr>
              <w:shd w:val="clear"/>
              <w:kinsoku/>
              <w:overflowPunct/>
              <w:bidi w:val="0"/>
              <w:spacing w:line="440" w:lineRule="exact"/>
              <w:ind w:left="0" w:leftChars="0" w:right="0" w:rightChars="0" w:firstLine="560" w:firstLineChars="200"/>
              <w:rPr>
                <w:rFonts w:ascii="宋体" w:cs="宋体"/>
                <w:color w:val="auto"/>
                <w:sz w:val="28"/>
                <w:szCs w:val="28"/>
                <w:highlight w:val="none"/>
              </w:rPr>
            </w:pPr>
          </w:p>
          <w:p w14:paraId="71AD0014">
            <w:pPr>
              <w:shd w:val="clear"/>
              <w:kinsoku/>
              <w:overflowPunct/>
              <w:bidi w:val="0"/>
              <w:spacing w:afterLines="50"/>
              <w:ind w:left="0" w:leftChars="0" w:right="0" w:rightChars="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滁州市评标准备AI智能体建设项目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2B39A730">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 xml:space="preserve">滁州市兴融控股有限公司 </w:t>
            </w:r>
          </w:p>
          <w:p w14:paraId="6F442B47">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 xml:space="preserve">彭经理 </w:t>
            </w:r>
          </w:p>
          <w:p w14:paraId="6654FBA7">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val="en-US" w:eastAsia="zh-CN"/>
              </w:rPr>
              <w:t xml:space="preserve">0550-3018637 </w:t>
            </w:r>
          </w:p>
          <w:p w14:paraId="4EE91111">
            <w:pPr>
              <w:shd w:val="clear"/>
              <w:kinsoku/>
              <w:overflowPunct/>
              <w:bidi w:val="0"/>
              <w:spacing w:line="540" w:lineRule="exact"/>
              <w:ind w:left="0" w:leftChars="0" w:right="0" w:rightChars="0" w:firstLine="7140" w:firstLineChars="2550"/>
              <w:rPr>
                <w:rFonts w:ascii="宋体" w:cs="宋体"/>
                <w:color w:val="auto"/>
                <w:sz w:val="28"/>
                <w:szCs w:val="28"/>
                <w:highlight w:val="none"/>
              </w:rPr>
            </w:pPr>
          </w:p>
          <w:p w14:paraId="374A06F5">
            <w:pPr>
              <w:shd w:val="clear"/>
              <w:kinsoku/>
              <w:overflowPunct/>
              <w:bidi w:val="0"/>
              <w:spacing w:line="540" w:lineRule="exact"/>
              <w:ind w:left="0" w:leftChars="0" w:right="0" w:rightChars="0"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1544CE89">
            <w:pPr>
              <w:shd w:val="clear"/>
              <w:kinsoku/>
              <w:overflowPunct/>
              <w:bidi w:val="0"/>
              <w:spacing w:line="540" w:lineRule="exact"/>
              <w:ind w:left="0" w:leftChars="0" w:right="0" w:rightChars="0"/>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tr w14:paraId="56B1CB51">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428CD198">
            <w:pPr>
              <w:shd w:val="clear"/>
              <w:kinsoku/>
              <w:overflowPunct/>
              <w:bidi w:val="0"/>
              <w:spacing w:line="440" w:lineRule="exact"/>
              <w:ind w:left="0" w:leftChars="0" w:right="0" w:rightChars="0"/>
              <w:rPr>
                <w:rFonts w:ascii="宋体" w:cs="宋体"/>
                <w:color w:val="auto"/>
                <w:sz w:val="28"/>
                <w:szCs w:val="28"/>
                <w:highlight w:val="none"/>
              </w:rPr>
            </w:pPr>
          </w:p>
          <w:p w14:paraId="7C7EE2BA">
            <w:pPr>
              <w:shd w:val="clear"/>
              <w:kinsoku/>
              <w:overflowPunct/>
              <w:bidi w:val="0"/>
              <w:spacing w:line="520" w:lineRule="exact"/>
              <w:ind w:left="0" w:leftChars="0" w:right="0" w:rightChars="0"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FEF567E">
            <w:pPr>
              <w:shd w:val="clear"/>
              <w:kinsoku/>
              <w:overflowPunct/>
              <w:bidi w:val="0"/>
              <w:spacing w:line="52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val="en-US" w:eastAsia="zh-CN"/>
              </w:rPr>
              <w:t>关勤勤</w:t>
            </w:r>
          </w:p>
          <w:p w14:paraId="0A0FF70C">
            <w:pPr>
              <w:shd w:val="clear"/>
              <w:kinsoku/>
              <w:overflowPunct/>
              <w:bidi w:val="0"/>
              <w:spacing w:line="520" w:lineRule="exact"/>
              <w:ind w:left="0" w:leftChars="0" w:right="0" w:rightChars="0"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电  话：0550-3519590、</w:t>
            </w:r>
            <w:r>
              <w:rPr>
                <w:rFonts w:hint="eastAsia" w:ascii="宋体" w:cs="宋体"/>
                <w:color w:val="auto"/>
                <w:sz w:val="28"/>
                <w:szCs w:val="28"/>
                <w:highlight w:val="none"/>
                <w:lang w:val="en-US" w:eastAsia="zh-CN"/>
              </w:rPr>
              <w:t>18909605753</w:t>
            </w:r>
          </w:p>
          <w:p w14:paraId="0675C185">
            <w:pPr>
              <w:shd w:val="clear"/>
              <w:kinsoku/>
              <w:overflowPunct/>
              <w:bidi w:val="0"/>
              <w:spacing w:line="520" w:lineRule="exact"/>
              <w:ind w:left="0" w:leftChars="0" w:right="0" w:rightChars="0" w:firstLine="6300" w:firstLineChars="2250"/>
              <w:rPr>
                <w:rFonts w:ascii="宋体" w:cs="宋体"/>
                <w:color w:val="auto"/>
                <w:sz w:val="28"/>
                <w:szCs w:val="28"/>
                <w:highlight w:val="none"/>
              </w:rPr>
            </w:pPr>
          </w:p>
          <w:p w14:paraId="35D3AC65">
            <w:pPr>
              <w:pStyle w:val="36"/>
              <w:shd w:val="clear"/>
              <w:kinsoku/>
              <w:overflowPunct/>
              <w:bidi w:val="0"/>
              <w:ind w:left="0" w:leftChars="0" w:right="0" w:rightChars="0"/>
              <w:rPr>
                <w:color w:val="auto"/>
                <w:kern w:val="2"/>
                <w:sz w:val="21"/>
                <w:szCs w:val="24"/>
                <w:highlight w:val="none"/>
              </w:rPr>
            </w:pPr>
          </w:p>
          <w:p w14:paraId="6CBA4020">
            <w:pPr>
              <w:shd w:val="clear"/>
              <w:kinsoku/>
              <w:overflowPunct/>
              <w:bidi w:val="0"/>
              <w:spacing w:line="520" w:lineRule="exact"/>
              <w:ind w:left="0" w:leftChars="0" w:right="0" w:rightChars="0" w:firstLine="6580" w:firstLineChars="2350"/>
              <w:rPr>
                <w:rFonts w:ascii="宋体" w:cs="宋体"/>
                <w:color w:val="auto"/>
                <w:sz w:val="28"/>
                <w:szCs w:val="28"/>
                <w:highlight w:val="none"/>
              </w:rPr>
            </w:pPr>
          </w:p>
          <w:p w14:paraId="15947740">
            <w:pPr>
              <w:shd w:val="clear"/>
              <w:kinsoku/>
              <w:overflowPunct/>
              <w:bidi w:val="0"/>
              <w:spacing w:line="520" w:lineRule="exact"/>
              <w:ind w:left="0" w:leftChars="0" w:right="0" w:rightChars="0"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05D32B17">
            <w:pPr>
              <w:shd w:val="clear"/>
              <w:kinsoku/>
              <w:overflowPunct/>
              <w:bidi w:val="0"/>
              <w:spacing w:line="540" w:lineRule="exact"/>
              <w:ind w:left="0" w:leftChars="0" w:right="0" w:rightChars="0"/>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tbl>
    <w:p w14:paraId="245BEC10">
      <w:pPr>
        <w:shd w:val="clear"/>
        <w:kinsoku/>
        <w:overflowPunct/>
        <w:bidi w:val="0"/>
        <w:ind w:left="0" w:leftChars="0" w:right="0" w:rightChars="0"/>
        <w:rPr>
          <w:color w:val="auto"/>
          <w:highlight w:val="none"/>
        </w:rPr>
      </w:pPr>
    </w:p>
    <w:sectPr>
      <w:pgSz w:w="11906" w:h="16838"/>
      <w:pgMar w:top="1440" w:right="1247" w:bottom="1417"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20B05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9A6A">
    <w:pPr>
      <w:pStyle w:val="2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2D3A">
    <w:pPr>
      <w:pStyle w:val="2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DFEC4">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2DBDFEC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D8BA4">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AA30">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E8BD5"/>
    <w:multiLevelType w:val="singleLevel"/>
    <w:tmpl w:val="9D4E8BD5"/>
    <w:lvl w:ilvl="0" w:tentative="0">
      <w:start w:val="1"/>
      <w:numFmt w:val="decimal"/>
      <w:suff w:val="nothing"/>
      <w:lvlText w:val="%1、"/>
      <w:lvlJc w:val="left"/>
    </w:lvl>
  </w:abstractNum>
  <w:abstractNum w:abstractNumId="1">
    <w:nsid w:val="EDA20FC7"/>
    <w:multiLevelType w:val="singleLevel"/>
    <w:tmpl w:val="EDA20FC7"/>
    <w:lvl w:ilvl="0" w:tentative="0">
      <w:start w:val="2"/>
      <w:numFmt w:val="decimal"/>
      <w:suff w:val="nothing"/>
      <w:lvlText w:val="（%1）"/>
      <w:lvlJc w:val="left"/>
    </w:lvl>
  </w:abstractNum>
  <w:abstractNum w:abstractNumId="2">
    <w:nsid w:val="00000005"/>
    <w:multiLevelType w:val="multilevel"/>
    <w:tmpl w:val="00000005"/>
    <w:lvl w:ilvl="0" w:tentative="0">
      <w:start w:val="1"/>
      <w:numFmt w:val="chineseCountingThousand"/>
      <w:pStyle w:val="104"/>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
    <w:nsid w:val="00000007"/>
    <w:multiLevelType w:val="multilevel"/>
    <w:tmpl w:val="00000007"/>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decimal"/>
      <w:pStyle w:val="97"/>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10"/>
    <w:multiLevelType w:val="multilevel"/>
    <w:tmpl w:val="00000010"/>
    <w:lvl w:ilvl="0" w:tentative="0">
      <w:start w:val="1"/>
      <w:numFmt w:val="decimal"/>
      <w:pStyle w:val="11"/>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2"/>
    <w:multiLevelType w:val="multilevel"/>
    <w:tmpl w:val="00000012"/>
    <w:lvl w:ilvl="0" w:tentative="0">
      <w:start w:val="1"/>
      <w:numFmt w:val="chineseCountingThousand"/>
      <w:pStyle w:val="12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8">
    <w:nsid w:val="00000014"/>
    <w:multiLevelType w:val="multilevel"/>
    <w:tmpl w:val="00000014"/>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786B230"/>
    <w:multiLevelType w:val="singleLevel"/>
    <w:tmpl w:val="2786B230"/>
    <w:lvl w:ilvl="0" w:tentative="0">
      <w:start w:val="2"/>
      <w:numFmt w:val="decimal"/>
      <w:suff w:val="nothing"/>
      <w:lvlText w:val="（%1）"/>
      <w:lvlJc w:val="left"/>
    </w:lvl>
  </w:abstractNum>
  <w:abstractNum w:abstractNumId="10">
    <w:nsid w:val="388BBE9B"/>
    <w:multiLevelType w:val="singleLevel"/>
    <w:tmpl w:val="388BBE9B"/>
    <w:lvl w:ilvl="0" w:tentative="0">
      <w:start w:val="2"/>
      <w:numFmt w:val="decimal"/>
      <w:suff w:val="nothing"/>
      <w:lvlText w:val="（%1）"/>
      <w:lvlJc w:val="left"/>
    </w:lvl>
  </w:abstractNum>
  <w:abstractNum w:abstractNumId="11">
    <w:nsid w:val="41644F99"/>
    <w:multiLevelType w:val="singleLevel"/>
    <w:tmpl w:val="41644F99"/>
    <w:lvl w:ilvl="0" w:tentative="0">
      <w:start w:val="5"/>
      <w:numFmt w:val="decimal"/>
      <w:suff w:val="nothing"/>
      <w:lvlText w:val="（%1）"/>
      <w:lvlJc w:val="left"/>
    </w:lvl>
  </w:abstractNum>
  <w:abstractNum w:abstractNumId="12">
    <w:nsid w:val="7BB70CBB"/>
    <w:multiLevelType w:val="singleLevel"/>
    <w:tmpl w:val="7BB70CBB"/>
    <w:lvl w:ilvl="0" w:tentative="0">
      <w:start w:val="2"/>
      <w:numFmt w:val="decimal"/>
      <w:suff w:val="nothing"/>
      <w:lvlText w:val="（%1）"/>
      <w:lvlJc w:val="left"/>
    </w:lvl>
  </w:abstractNum>
  <w:num w:numId="1">
    <w:abstractNumId w:val="5"/>
  </w:num>
  <w:num w:numId="2">
    <w:abstractNumId w:val="6"/>
  </w:num>
  <w:num w:numId="3">
    <w:abstractNumId w:val="8"/>
  </w:num>
  <w:num w:numId="4">
    <w:abstractNumId w:val="3"/>
  </w:num>
  <w:num w:numId="5">
    <w:abstractNumId w:val="4"/>
  </w:num>
  <w:num w:numId="6">
    <w:abstractNumId w:val="2"/>
  </w:num>
  <w:num w:numId="7">
    <w:abstractNumId w:val="7"/>
  </w:num>
  <w:num w:numId="8">
    <w:abstractNumId w:val="0"/>
  </w:num>
  <w:num w:numId="9">
    <w:abstractNumId w:val="11"/>
  </w:num>
  <w:num w:numId="10">
    <w:abstractNumId w:val="12"/>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MDg4MDUzNmIyYTdkNTNkMmFkNGIwMDY2OWVhZjI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77F31"/>
    <w:rsid w:val="0069368B"/>
    <w:rsid w:val="0074554D"/>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C5855"/>
    <w:rsid w:val="00AF40A6"/>
    <w:rsid w:val="00AF43B5"/>
    <w:rsid w:val="00B41BDC"/>
    <w:rsid w:val="00B45701"/>
    <w:rsid w:val="00B502D3"/>
    <w:rsid w:val="00B627A9"/>
    <w:rsid w:val="00B77363"/>
    <w:rsid w:val="00B84EF4"/>
    <w:rsid w:val="00B8500A"/>
    <w:rsid w:val="00BF0751"/>
    <w:rsid w:val="00C069E8"/>
    <w:rsid w:val="00C24AE6"/>
    <w:rsid w:val="00C2723E"/>
    <w:rsid w:val="00C57688"/>
    <w:rsid w:val="00C9047B"/>
    <w:rsid w:val="00CD391E"/>
    <w:rsid w:val="00CD4DF4"/>
    <w:rsid w:val="00CF1FFF"/>
    <w:rsid w:val="00D24FF0"/>
    <w:rsid w:val="00D25ACB"/>
    <w:rsid w:val="00D46C3D"/>
    <w:rsid w:val="00D50329"/>
    <w:rsid w:val="00D651BA"/>
    <w:rsid w:val="00DD6A62"/>
    <w:rsid w:val="00DD75A2"/>
    <w:rsid w:val="00E4156B"/>
    <w:rsid w:val="00E6284A"/>
    <w:rsid w:val="00E700A9"/>
    <w:rsid w:val="00E70847"/>
    <w:rsid w:val="00E87AA3"/>
    <w:rsid w:val="00F13E63"/>
    <w:rsid w:val="00F21540"/>
    <w:rsid w:val="00F768E1"/>
    <w:rsid w:val="00FC3E1B"/>
    <w:rsid w:val="00FF16F3"/>
    <w:rsid w:val="016947F9"/>
    <w:rsid w:val="016E2F6B"/>
    <w:rsid w:val="01826A17"/>
    <w:rsid w:val="01CB7DA6"/>
    <w:rsid w:val="01D9415D"/>
    <w:rsid w:val="01DA5E9C"/>
    <w:rsid w:val="01DB6127"/>
    <w:rsid w:val="01DE01EE"/>
    <w:rsid w:val="01F0374C"/>
    <w:rsid w:val="0219028B"/>
    <w:rsid w:val="022E6257"/>
    <w:rsid w:val="023850C1"/>
    <w:rsid w:val="02477318"/>
    <w:rsid w:val="0255285E"/>
    <w:rsid w:val="026B1259"/>
    <w:rsid w:val="02827B99"/>
    <w:rsid w:val="029F2E1F"/>
    <w:rsid w:val="02BC3AEB"/>
    <w:rsid w:val="02D079EE"/>
    <w:rsid w:val="02E1227E"/>
    <w:rsid w:val="02E54D69"/>
    <w:rsid w:val="02EB239A"/>
    <w:rsid w:val="02F254D6"/>
    <w:rsid w:val="02F53218"/>
    <w:rsid w:val="030355FF"/>
    <w:rsid w:val="03280EF8"/>
    <w:rsid w:val="0341645D"/>
    <w:rsid w:val="035241C7"/>
    <w:rsid w:val="037E320E"/>
    <w:rsid w:val="038A570F"/>
    <w:rsid w:val="039C407F"/>
    <w:rsid w:val="039E11BA"/>
    <w:rsid w:val="03A2514E"/>
    <w:rsid w:val="03B409DD"/>
    <w:rsid w:val="03C03826"/>
    <w:rsid w:val="03C30C20"/>
    <w:rsid w:val="03D1158F"/>
    <w:rsid w:val="03D96696"/>
    <w:rsid w:val="03DB41BC"/>
    <w:rsid w:val="03EF7C67"/>
    <w:rsid w:val="03FE7EAB"/>
    <w:rsid w:val="041C543C"/>
    <w:rsid w:val="04221DEB"/>
    <w:rsid w:val="04435676"/>
    <w:rsid w:val="044E498E"/>
    <w:rsid w:val="04651CD8"/>
    <w:rsid w:val="046A5576"/>
    <w:rsid w:val="04754611"/>
    <w:rsid w:val="048760F2"/>
    <w:rsid w:val="04A942BA"/>
    <w:rsid w:val="04AB3862"/>
    <w:rsid w:val="04BF3332"/>
    <w:rsid w:val="04ED2C18"/>
    <w:rsid w:val="04F01EE9"/>
    <w:rsid w:val="04F76DD4"/>
    <w:rsid w:val="05085485"/>
    <w:rsid w:val="050B6D23"/>
    <w:rsid w:val="053242B0"/>
    <w:rsid w:val="05373674"/>
    <w:rsid w:val="053E4A03"/>
    <w:rsid w:val="05455577"/>
    <w:rsid w:val="05465FAD"/>
    <w:rsid w:val="054B0F4A"/>
    <w:rsid w:val="05790131"/>
    <w:rsid w:val="058F1702"/>
    <w:rsid w:val="05A351AD"/>
    <w:rsid w:val="05DE3CE5"/>
    <w:rsid w:val="05E82BC0"/>
    <w:rsid w:val="05F477B7"/>
    <w:rsid w:val="061816F7"/>
    <w:rsid w:val="062278D0"/>
    <w:rsid w:val="06370ACC"/>
    <w:rsid w:val="063D5DC0"/>
    <w:rsid w:val="06624721"/>
    <w:rsid w:val="06632AA3"/>
    <w:rsid w:val="067A13EB"/>
    <w:rsid w:val="06836B5F"/>
    <w:rsid w:val="069D1BFD"/>
    <w:rsid w:val="06A55ADF"/>
    <w:rsid w:val="06A64F55"/>
    <w:rsid w:val="06C453DB"/>
    <w:rsid w:val="06D82C35"/>
    <w:rsid w:val="06DA075B"/>
    <w:rsid w:val="06F224DF"/>
    <w:rsid w:val="06F9554A"/>
    <w:rsid w:val="070659F4"/>
    <w:rsid w:val="0721282E"/>
    <w:rsid w:val="07371FAF"/>
    <w:rsid w:val="075239E7"/>
    <w:rsid w:val="07750484"/>
    <w:rsid w:val="07794418"/>
    <w:rsid w:val="0788465B"/>
    <w:rsid w:val="07950B26"/>
    <w:rsid w:val="07AD2313"/>
    <w:rsid w:val="07B611C8"/>
    <w:rsid w:val="07B76CEE"/>
    <w:rsid w:val="07E0529D"/>
    <w:rsid w:val="07ED2710"/>
    <w:rsid w:val="07F613C5"/>
    <w:rsid w:val="08140B8B"/>
    <w:rsid w:val="08143A40"/>
    <w:rsid w:val="081E6D6D"/>
    <w:rsid w:val="082779ED"/>
    <w:rsid w:val="08293B60"/>
    <w:rsid w:val="082C4FE6"/>
    <w:rsid w:val="08362309"/>
    <w:rsid w:val="08395955"/>
    <w:rsid w:val="084A1910"/>
    <w:rsid w:val="084F5934"/>
    <w:rsid w:val="085D1644"/>
    <w:rsid w:val="08607386"/>
    <w:rsid w:val="08713341"/>
    <w:rsid w:val="0873089C"/>
    <w:rsid w:val="088A4403"/>
    <w:rsid w:val="088A5A8D"/>
    <w:rsid w:val="08A13C26"/>
    <w:rsid w:val="08BF40AC"/>
    <w:rsid w:val="08C07429"/>
    <w:rsid w:val="08D35DAA"/>
    <w:rsid w:val="08D51B22"/>
    <w:rsid w:val="08E27D9B"/>
    <w:rsid w:val="08E92ED7"/>
    <w:rsid w:val="08EE00FD"/>
    <w:rsid w:val="08FA50E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9F317FA"/>
    <w:rsid w:val="0A03621B"/>
    <w:rsid w:val="0A2D3F49"/>
    <w:rsid w:val="0A4708C9"/>
    <w:rsid w:val="0A522CFE"/>
    <w:rsid w:val="0A6E5D8A"/>
    <w:rsid w:val="0A8455AD"/>
    <w:rsid w:val="0A8712AB"/>
    <w:rsid w:val="0AA04DDE"/>
    <w:rsid w:val="0AB12DCE"/>
    <w:rsid w:val="0AB45767"/>
    <w:rsid w:val="0AC43BFC"/>
    <w:rsid w:val="0ACB0FCD"/>
    <w:rsid w:val="0AD16319"/>
    <w:rsid w:val="0AD96F7B"/>
    <w:rsid w:val="0AEC4F01"/>
    <w:rsid w:val="0AF3628F"/>
    <w:rsid w:val="0B343101"/>
    <w:rsid w:val="0B4B60CB"/>
    <w:rsid w:val="0B626DE8"/>
    <w:rsid w:val="0B627EDA"/>
    <w:rsid w:val="0B704808"/>
    <w:rsid w:val="0B8127C6"/>
    <w:rsid w:val="0B982B0E"/>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75583"/>
    <w:rsid w:val="0CAD06C0"/>
    <w:rsid w:val="0CC52EA8"/>
    <w:rsid w:val="0CC53C5B"/>
    <w:rsid w:val="0CDB7B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46735F"/>
    <w:rsid w:val="0E4969BD"/>
    <w:rsid w:val="0E5928AD"/>
    <w:rsid w:val="0E5B4877"/>
    <w:rsid w:val="0E707BF7"/>
    <w:rsid w:val="0E7D0D45"/>
    <w:rsid w:val="0E8611C8"/>
    <w:rsid w:val="0E975183"/>
    <w:rsid w:val="0EA32999"/>
    <w:rsid w:val="0EAD1661"/>
    <w:rsid w:val="0EBE21D3"/>
    <w:rsid w:val="0EBF7B36"/>
    <w:rsid w:val="0EC50C35"/>
    <w:rsid w:val="0EC51CF1"/>
    <w:rsid w:val="0ECC307F"/>
    <w:rsid w:val="0ED62150"/>
    <w:rsid w:val="0F0C791F"/>
    <w:rsid w:val="0F1A6FD6"/>
    <w:rsid w:val="0F495220"/>
    <w:rsid w:val="0F4E1CE6"/>
    <w:rsid w:val="0F4E7F38"/>
    <w:rsid w:val="0F706100"/>
    <w:rsid w:val="0F891446"/>
    <w:rsid w:val="0F9A13CF"/>
    <w:rsid w:val="0F9B000F"/>
    <w:rsid w:val="0F9D2C6D"/>
    <w:rsid w:val="0FB747DD"/>
    <w:rsid w:val="0FC91CB4"/>
    <w:rsid w:val="0FD10D03"/>
    <w:rsid w:val="0FD710A5"/>
    <w:rsid w:val="0FD77F2D"/>
    <w:rsid w:val="0FD83CA6"/>
    <w:rsid w:val="10131364"/>
    <w:rsid w:val="101822F4"/>
    <w:rsid w:val="10262C63"/>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3F7E2B"/>
    <w:rsid w:val="116E6670"/>
    <w:rsid w:val="117A3C75"/>
    <w:rsid w:val="11826A7D"/>
    <w:rsid w:val="118616F9"/>
    <w:rsid w:val="11904838"/>
    <w:rsid w:val="11A16A45"/>
    <w:rsid w:val="11A6405B"/>
    <w:rsid w:val="11B35173"/>
    <w:rsid w:val="11B83956"/>
    <w:rsid w:val="11C40985"/>
    <w:rsid w:val="11CC786A"/>
    <w:rsid w:val="11D54499"/>
    <w:rsid w:val="11E93F48"/>
    <w:rsid w:val="11EC68FB"/>
    <w:rsid w:val="11F03528"/>
    <w:rsid w:val="12046FD4"/>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3F016AA"/>
    <w:rsid w:val="140B464A"/>
    <w:rsid w:val="140C4736"/>
    <w:rsid w:val="140D6614"/>
    <w:rsid w:val="14172FEE"/>
    <w:rsid w:val="14364B2C"/>
    <w:rsid w:val="1438503B"/>
    <w:rsid w:val="144933C4"/>
    <w:rsid w:val="145F3F52"/>
    <w:rsid w:val="14694230"/>
    <w:rsid w:val="14720C0D"/>
    <w:rsid w:val="14740D4F"/>
    <w:rsid w:val="147D0BDA"/>
    <w:rsid w:val="14860A3B"/>
    <w:rsid w:val="14926B19"/>
    <w:rsid w:val="14972381"/>
    <w:rsid w:val="14AA2FD3"/>
    <w:rsid w:val="14B06F9F"/>
    <w:rsid w:val="14B52807"/>
    <w:rsid w:val="14B62AB7"/>
    <w:rsid w:val="14BA1BCC"/>
    <w:rsid w:val="14C724CE"/>
    <w:rsid w:val="14CA5427"/>
    <w:rsid w:val="14DA6A78"/>
    <w:rsid w:val="14DD669C"/>
    <w:rsid w:val="14DE1D5E"/>
    <w:rsid w:val="14E07884"/>
    <w:rsid w:val="14E16407"/>
    <w:rsid w:val="14EA0703"/>
    <w:rsid w:val="150572EB"/>
    <w:rsid w:val="150A448F"/>
    <w:rsid w:val="150C68CB"/>
    <w:rsid w:val="151D6780"/>
    <w:rsid w:val="152229F1"/>
    <w:rsid w:val="152A1607"/>
    <w:rsid w:val="154461CC"/>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86822"/>
    <w:rsid w:val="16CF7F44"/>
    <w:rsid w:val="16F94C2D"/>
    <w:rsid w:val="16FE3FF2"/>
    <w:rsid w:val="171323AA"/>
    <w:rsid w:val="17236AFE"/>
    <w:rsid w:val="173B5246"/>
    <w:rsid w:val="17B63456"/>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72169"/>
    <w:rsid w:val="1AAC1FB7"/>
    <w:rsid w:val="1AAE61FB"/>
    <w:rsid w:val="1AB01AA7"/>
    <w:rsid w:val="1AB23324"/>
    <w:rsid w:val="1ABA0B77"/>
    <w:rsid w:val="1ADF554D"/>
    <w:rsid w:val="1AED13C7"/>
    <w:rsid w:val="1B1069E9"/>
    <w:rsid w:val="1B193AF0"/>
    <w:rsid w:val="1B2D30F7"/>
    <w:rsid w:val="1B7747F3"/>
    <w:rsid w:val="1B79254B"/>
    <w:rsid w:val="1B7935FD"/>
    <w:rsid w:val="1B972C67"/>
    <w:rsid w:val="1BA55384"/>
    <w:rsid w:val="1BD619E1"/>
    <w:rsid w:val="1BD712B5"/>
    <w:rsid w:val="1BDD4B1E"/>
    <w:rsid w:val="1BE76F28"/>
    <w:rsid w:val="1C177904"/>
    <w:rsid w:val="1C284B16"/>
    <w:rsid w:val="1C4133A8"/>
    <w:rsid w:val="1C5A26D3"/>
    <w:rsid w:val="1C5A49E0"/>
    <w:rsid w:val="1C5D0DA4"/>
    <w:rsid w:val="1C5F6917"/>
    <w:rsid w:val="1C6F5742"/>
    <w:rsid w:val="1C76287C"/>
    <w:rsid w:val="1C872925"/>
    <w:rsid w:val="1C9E0082"/>
    <w:rsid w:val="1CA613B3"/>
    <w:rsid w:val="1CAA693B"/>
    <w:rsid w:val="1CB14442"/>
    <w:rsid w:val="1CC66428"/>
    <w:rsid w:val="1CC80B99"/>
    <w:rsid w:val="1CCB0E1A"/>
    <w:rsid w:val="1D0113C9"/>
    <w:rsid w:val="1D0A2DA7"/>
    <w:rsid w:val="1D1140B4"/>
    <w:rsid w:val="1D2B18B9"/>
    <w:rsid w:val="1D3E783E"/>
    <w:rsid w:val="1D61177E"/>
    <w:rsid w:val="1D630F86"/>
    <w:rsid w:val="1D7019C1"/>
    <w:rsid w:val="1D752B34"/>
    <w:rsid w:val="1D7E5E8C"/>
    <w:rsid w:val="1D836591"/>
    <w:rsid w:val="1DB55626"/>
    <w:rsid w:val="1DB7314C"/>
    <w:rsid w:val="1DC15D79"/>
    <w:rsid w:val="1DC53ABB"/>
    <w:rsid w:val="1DC835AB"/>
    <w:rsid w:val="1DC85AE6"/>
    <w:rsid w:val="1DDB503E"/>
    <w:rsid w:val="1DE84D03"/>
    <w:rsid w:val="1DE85A9D"/>
    <w:rsid w:val="1DF13B3B"/>
    <w:rsid w:val="1E0E2B0B"/>
    <w:rsid w:val="1E1660C5"/>
    <w:rsid w:val="1E205195"/>
    <w:rsid w:val="1E276322"/>
    <w:rsid w:val="1E5170FD"/>
    <w:rsid w:val="1E5F2F8D"/>
    <w:rsid w:val="1E650DFA"/>
    <w:rsid w:val="1E982F7E"/>
    <w:rsid w:val="1EAC45D3"/>
    <w:rsid w:val="1EC71AB5"/>
    <w:rsid w:val="1ECF4FD3"/>
    <w:rsid w:val="1ED0096A"/>
    <w:rsid w:val="1ED7455A"/>
    <w:rsid w:val="1EDB6610"/>
    <w:rsid w:val="1EF34658"/>
    <w:rsid w:val="1F02489B"/>
    <w:rsid w:val="1F095D51"/>
    <w:rsid w:val="1F0E1553"/>
    <w:rsid w:val="1F132604"/>
    <w:rsid w:val="1F242A63"/>
    <w:rsid w:val="1F2627EB"/>
    <w:rsid w:val="1F294332"/>
    <w:rsid w:val="1F2A62AD"/>
    <w:rsid w:val="1F2E62F0"/>
    <w:rsid w:val="1F3233D2"/>
    <w:rsid w:val="1F4804CC"/>
    <w:rsid w:val="1F63358C"/>
    <w:rsid w:val="1F6B68E4"/>
    <w:rsid w:val="1F7F4F88"/>
    <w:rsid w:val="1FB61E22"/>
    <w:rsid w:val="1FEB1DE0"/>
    <w:rsid w:val="1FEF6DB8"/>
    <w:rsid w:val="1FF64400"/>
    <w:rsid w:val="200D799B"/>
    <w:rsid w:val="201E4F4F"/>
    <w:rsid w:val="2024414B"/>
    <w:rsid w:val="20256A93"/>
    <w:rsid w:val="20384A18"/>
    <w:rsid w:val="20390790"/>
    <w:rsid w:val="203F5E7C"/>
    <w:rsid w:val="204A474C"/>
    <w:rsid w:val="205055EF"/>
    <w:rsid w:val="20546C12"/>
    <w:rsid w:val="20583FFA"/>
    <w:rsid w:val="206C46C2"/>
    <w:rsid w:val="20976AB4"/>
    <w:rsid w:val="20A81514"/>
    <w:rsid w:val="20AB6760"/>
    <w:rsid w:val="20B16579"/>
    <w:rsid w:val="20C95670"/>
    <w:rsid w:val="20D358CD"/>
    <w:rsid w:val="20D65FDF"/>
    <w:rsid w:val="20E85D1A"/>
    <w:rsid w:val="210055F8"/>
    <w:rsid w:val="21052421"/>
    <w:rsid w:val="21086364"/>
    <w:rsid w:val="211508B6"/>
    <w:rsid w:val="2126121F"/>
    <w:rsid w:val="216B1A91"/>
    <w:rsid w:val="217B0F40"/>
    <w:rsid w:val="218A192D"/>
    <w:rsid w:val="21A972E1"/>
    <w:rsid w:val="21BF0821"/>
    <w:rsid w:val="21DE60F4"/>
    <w:rsid w:val="21E464DA"/>
    <w:rsid w:val="21F816C1"/>
    <w:rsid w:val="221C5C74"/>
    <w:rsid w:val="222B0959"/>
    <w:rsid w:val="222F1E4B"/>
    <w:rsid w:val="2240564F"/>
    <w:rsid w:val="224F6049"/>
    <w:rsid w:val="22575E31"/>
    <w:rsid w:val="22816594"/>
    <w:rsid w:val="22A00653"/>
    <w:rsid w:val="22A52EFA"/>
    <w:rsid w:val="22A567AC"/>
    <w:rsid w:val="22A77054"/>
    <w:rsid w:val="22AA3280"/>
    <w:rsid w:val="22BD2FB3"/>
    <w:rsid w:val="22C04851"/>
    <w:rsid w:val="22CB1F7F"/>
    <w:rsid w:val="22CC31F6"/>
    <w:rsid w:val="22D43C96"/>
    <w:rsid w:val="22DB5B2F"/>
    <w:rsid w:val="22EC6903"/>
    <w:rsid w:val="22FB3ADB"/>
    <w:rsid w:val="23076924"/>
    <w:rsid w:val="2318468D"/>
    <w:rsid w:val="23214B81"/>
    <w:rsid w:val="23250B58"/>
    <w:rsid w:val="23287A3B"/>
    <w:rsid w:val="23377209"/>
    <w:rsid w:val="234C2589"/>
    <w:rsid w:val="234E0C74"/>
    <w:rsid w:val="235D595F"/>
    <w:rsid w:val="2366667A"/>
    <w:rsid w:val="236773C3"/>
    <w:rsid w:val="236B1B92"/>
    <w:rsid w:val="23725A46"/>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0D7AF6"/>
    <w:rsid w:val="25423C43"/>
    <w:rsid w:val="256B13EC"/>
    <w:rsid w:val="256B3734"/>
    <w:rsid w:val="25924268"/>
    <w:rsid w:val="2593449F"/>
    <w:rsid w:val="25E67FEE"/>
    <w:rsid w:val="25F3318F"/>
    <w:rsid w:val="260D33F7"/>
    <w:rsid w:val="2629095F"/>
    <w:rsid w:val="26355556"/>
    <w:rsid w:val="263B7010"/>
    <w:rsid w:val="263C7979"/>
    <w:rsid w:val="264B2FCC"/>
    <w:rsid w:val="264E5249"/>
    <w:rsid w:val="2650413E"/>
    <w:rsid w:val="26521B8A"/>
    <w:rsid w:val="265359DC"/>
    <w:rsid w:val="26551754"/>
    <w:rsid w:val="26712A32"/>
    <w:rsid w:val="26834513"/>
    <w:rsid w:val="26A10E3D"/>
    <w:rsid w:val="26AC3A6A"/>
    <w:rsid w:val="26B96187"/>
    <w:rsid w:val="26BE763B"/>
    <w:rsid w:val="26C64400"/>
    <w:rsid w:val="26E730BC"/>
    <w:rsid w:val="270135A4"/>
    <w:rsid w:val="27090EBD"/>
    <w:rsid w:val="271635D9"/>
    <w:rsid w:val="27356490"/>
    <w:rsid w:val="27383645"/>
    <w:rsid w:val="2751016E"/>
    <w:rsid w:val="27764078"/>
    <w:rsid w:val="279F3713"/>
    <w:rsid w:val="27B84691"/>
    <w:rsid w:val="27BD1CA7"/>
    <w:rsid w:val="27C923FA"/>
    <w:rsid w:val="27CA464D"/>
    <w:rsid w:val="27CB7F20"/>
    <w:rsid w:val="27DF13AD"/>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8F205C1"/>
    <w:rsid w:val="29441132"/>
    <w:rsid w:val="29565F0F"/>
    <w:rsid w:val="296C128F"/>
    <w:rsid w:val="29890753"/>
    <w:rsid w:val="298962E5"/>
    <w:rsid w:val="29934A6D"/>
    <w:rsid w:val="29B50E88"/>
    <w:rsid w:val="29B72649"/>
    <w:rsid w:val="29BC1AE3"/>
    <w:rsid w:val="29CD1E2A"/>
    <w:rsid w:val="29CF7F37"/>
    <w:rsid w:val="2A0C29B8"/>
    <w:rsid w:val="2A0E5104"/>
    <w:rsid w:val="2A131C98"/>
    <w:rsid w:val="2A1F09F7"/>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982ECD"/>
    <w:rsid w:val="2BA07916"/>
    <w:rsid w:val="2BB175E5"/>
    <w:rsid w:val="2BEC2B5B"/>
    <w:rsid w:val="2BFF63EA"/>
    <w:rsid w:val="2C002162"/>
    <w:rsid w:val="2C063C1D"/>
    <w:rsid w:val="2C246995"/>
    <w:rsid w:val="2C3562B0"/>
    <w:rsid w:val="2C385DA0"/>
    <w:rsid w:val="2C4944EB"/>
    <w:rsid w:val="2C4B162F"/>
    <w:rsid w:val="2C5D1363"/>
    <w:rsid w:val="2C5F50DB"/>
    <w:rsid w:val="2C792640"/>
    <w:rsid w:val="2C8B4122"/>
    <w:rsid w:val="2C9C1E8B"/>
    <w:rsid w:val="2CA24D2A"/>
    <w:rsid w:val="2CA91FCE"/>
    <w:rsid w:val="2CB847EB"/>
    <w:rsid w:val="2CC633AC"/>
    <w:rsid w:val="2CD72C54"/>
    <w:rsid w:val="2CEA709A"/>
    <w:rsid w:val="2D022235"/>
    <w:rsid w:val="2D031F0A"/>
    <w:rsid w:val="2D0F08AF"/>
    <w:rsid w:val="2D1C7470"/>
    <w:rsid w:val="2D2125B0"/>
    <w:rsid w:val="2D2C76B3"/>
    <w:rsid w:val="2D371BB4"/>
    <w:rsid w:val="2D3B78F6"/>
    <w:rsid w:val="2D7C1CBC"/>
    <w:rsid w:val="2D8017AD"/>
    <w:rsid w:val="2D8868B3"/>
    <w:rsid w:val="2DAC4350"/>
    <w:rsid w:val="2DFB251B"/>
    <w:rsid w:val="2E0F1AF1"/>
    <w:rsid w:val="2E1755ED"/>
    <w:rsid w:val="2E3A7BAD"/>
    <w:rsid w:val="2E56250D"/>
    <w:rsid w:val="2E623354"/>
    <w:rsid w:val="2E6A4E27"/>
    <w:rsid w:val="2E7806D6"/>
    <w:rsid w:val="2E876B6B"/>
    <w:rsid w:val="2E9B12B3"/>
    <w:rsid w:val="2EC709E4"/>
    <w:rsid w:val="2ED33B5E"/>
    <w:rsid w:val="2EDA313F"/>
    <w:rsid w:val="2EE53D89"/>
    <w:rsid w:val="2EEC10D1"/>
    <w:rsid w:val="2EFA733D"/>
    <w:rsid w:val="2F030EDA"/>
    <w:rsid w:val="2F0412C1"/>
    <w:rsid w:val="2F171C9D"/>
    <w:rsid w:val="2F202F46"/>
    <w:rsid w:val="2F2E6FE6"/>
    <w:rsid w:val="2F43007A"/>
    <w:rsid w:val="2F47268D"/>
    <w:rsid w:val="2F484F80"/>
    <w:rsid w:val="2F692829"/>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E12562"/>
    <w:rsid w:val="30E84AF7"/>
    <w:rsid w:val="31103BE8"/>
    <w:rsid w:val="3140197F"/>
    <w:rsid w:val="31490108"/>
    <w:rsid w:val="315736D8"/>
    <w:rsid w:val="3166515D"/>
    <w:rsid w:val="31684A32"/>
    <w:rsid w:val="317403C7"/>
    <w:rsid w:val="3179559F"/>
    <w:rsid w:val="317E6003"/>
    <w:rsid w:val="319B6BB5"/>
    <w:rsid w:val="31A1154D"/>
    <w:rsid w:val="31A17F44"/>
    <w:rsid w:val="31AD053C"/>
    <w:rsid w:val="31CB6D6E"/>
    <w:rsid w:val="31D64091"/>
    <w:rsid w:val="31DE2F46"/>
    <w:rsid w:val="31E340B8"/>
    <w:rsid w:val="32056724"/>
    <w:rsid w:val="3206571E"/>
    <w:rsid w:val="320B1E88"/>
    <w:rsid w:val="3220530C"/>
    <w:rsid w:val="325B29A2"/>
    <w:rsid w:val="3268280F"/>
    <w:rsid w:val="32690A61"/>
    <w:rsid w:val="326D226F"/>
    <w:rsid w:val="32755BEE"/>
    <w:rsid w:val="32774ADB"/>
    <w:rsid w:val="32785148"/>
    <w:rsid w:val="327B2543"/>
    <w:rsid w:val="327E342C"/>
    <w:rsid w:val="328533C1"/>
    <w:rsid w:val="3296503C"/>
    <w:rsid w:val="32A4546A"/>
    <w:rsid w:val="32B31CDC"/>
    <w:rsid w:val="32ED1980"/>
    <w:rsid w:val="32F1304C"/>
    <w:rsid w:val="32F50547"/>
    <w:rsid w:val="33094881"/>
    <w:rsid w:val="333F3794"/>
    <w:rsid w:val="335A57BD"/>
    <w:rsid w:val="339E5D33"/>
    <w:rsid w:val="33E03C5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B26409"/>
    <w:rsid w:val="34E16FD5"/>
    <w:rsid w:val="34E94961"/>
    <w:rsid w:val="34EA39B0"/>
    <w:rsid w:val="35171719"/>
    <w:rsid w:val="352E7D40"/>
    <w:rsid w:val="354B26A0"/>
    <w:rsid w:val="355F614C"/>
    <w:rsid w:val="357243F8"/>
    <w:rsid w:val="35853917"/>
    <w:rsid w:val="35906305"/>
    <w:rsid w:val="359C73A0"/>
    <w:rsid w:val="35A10512"/>
    <w:rsid w:val="35A26038"/>
    <w:rsid w:val="35AA3A3A"/>
    <w:rsid w:val="35AA4722"/>
    <w:rsid w:val="35CF507F"/>
    <w:rsid w:val="360B340E"/>
    <w:rsid w:val="362D5CD2"/>
    <w:rsid w:val="365E28A7"/>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00442"/>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0C2146"/>
    <w:rsid w:val="392C0A3B"/>
    <w:rsid w:val="39400042"/>
    <w:rsid w:val="39490357"/>
    <w:rsid w:val="395932B5"/>
    <w:rsid w:val="397877DC"/>
    <w:rsid w:val="3980288F"/>
    <w:rsid w:val="3999678C"/>
    <w:rsid w:val="39A6259B"/>
    <w:rsid w:val="39D377DB"/>
    <w:rsid w:val="3A016C56"/>
    <w:rsid w:val="3A223DCB"/>
    <w:rsid w:val="3A3462BA"/>
    <w:rsid w:val="3A58475F"/>
    <w:rsid w:val="3A5E7E93"/>
    <w:rsid w:val="3A6E6C87"/>
    <w:rsid w:val="3AB46F3A"/>
    <w:rsid w:val="3AD13648"/>
    <w:rsid w:val="3AE0388B"/>
    <w:rsid w:val="3B1C0596"/>
    <w:rsid w:val="3B2319C9"/>
    <w:rsid w:val="3B4938D4"/>
    <w:rsid w:val="3B5B1163"/>
    <w:rsid w:val="3B84063D"/>
    <w:rsid w:val="3B8701AA"/>
    <w:rsid w:val="3B8875E3"/>
    <w:rsid w:val="3B955700"/>
    <w:rsid w:val="3BC27434"/>
    <w:rsid w:val="3BC95C98"/>
    <w:rsid w:val="3BCB453B"/>
    <w:rsid w:val="3BD75940"/>
    <w:rsid w:val="3BDD7DCA"/>
    <w:rsid w:val="3BF42260"/>
    <w:rsid w:val="3C265C15"/>
    <w:rsid w:val="3C284C49"/>
    <w:rsid w:val="3C4F1C1F"/>
    <w:rsid w:val="3C522566"/>
    <w:rsid w:val="3C541BC5"/>
    <w:rsid w:val="3C65673D"/>
    <w:rsid w:val="3C722C08"/>
    <w:rsid w:val="3C7C5F7D"/>
    <w:rsid w:val="3C9506A5"/>
    <w:rsid w:val="3C9C7C85"/>
    <w:rsid w:val="3C9E3DCB"/>
    <w:rsid w:val="3CA31014"/>
    <w:rsid w:val="3CB123E6"/>
    <w:rsid w:val="3CDB6174"/>
    <w:rsid w:val="3D050477"/>
    <w:rsid w:val="3D14341C"/>
    <w:rsid w:val="3D3D4FC4"/>
    <w:rsid w:val="3D404852"/>
    <w:rsid w:val="3D477BF1"/>
    <w:rsid w:val="3D4A76E1"/>
    <w:rsid w:val="3D5D5666"/>
    <w:rsid w:val="3D611ECB"/>
    <w:rsid w:val="3DB668C6"/>
    <w:rsid w:val="3DEB4A20"/>
    <w:rsid w:val="3DF062BF"/>
    <w:rsid w:val="3E0618F6"/>
    <w:rsid w:val="3E0869AC"/>
    <w:rsid w:val="3E246184"/>
    <w:rsid w:val="3E2C6DE7"/>
    <w:rsid w:val="3E3068D7"/>
    <w:rsid w:val="3E32264F"/>
    <w:rsid w:val="3E3E1A04"/>
    <w:rsid w:val="3E53454B"/>
    <w:rsid w:val="3E6F204E"/>
    <w:rsid w:val="3E815973"/>
    <w:rsid w:val="3E88151A"/>
    <w:rsid w:val="3E894239"/>
    <w:rsid w:val="3E8D3D29"/>
    <w:rsid w:val="3E9450B8"/>
    <w:rsid w:val="3EC62D97"/>
    <w:rsid w:val="3F0D6C18"/>
    <w:rsid w:val="3F1735F3"/>
    <w:rsid w:val="3F364D39"/>
    <w:rsid w:val="3F4F7231"/>
    <w:rsid w:val="3F505A98"/>
    <w:rsid w:val="3F6207BA"/>
    <w:rsid w:val="3F7B1DD4"/>
    <w:rsid w:val="3F810615"/>
    <w:rsid w:val="3F843560"/>
    <w:rsid w:val="3F8C5D8F"/>
    <w:rsid w:val="3F8E7D59"/>
    <w:rsid w:val="3F984C13"/>
    <w:rsid w:val="3FA72BC9"/>
    <w:rsid w:val="3FBD063E"/>
    <w:rsid w:val="3FC90D91"/>
    <w:rsid w:val="3FCF3ECE"/>
    <w:rsid w:val="3FD919BA"/>
    <w:rsid w:val="3FDC2B4A"/>
    <w:rsid w:val="3FE756BB"/>
    <w:rsid w:val="3FFD010D"/>
    <w:rsid w:val="3FFF6CAB"/>
    <w:rsid w:val="400A40D9"/>
    <w:rsid w:val="40132A12"/>
    <w:rsid w:val="401A783F"/>
    <w:rsid w:val="401F452F"/>
    <w:rsid w:val="40330901"/>
    <w:rsid w:val="40515724"/>
    <w:rsid w:val="405F16F6"/>
    <w:rsid w:val="408B38B3"/>
    <w:rsid w:val="40B27A77"/>
    <w:rsid w:val="40D338F0"/>
    <w:rsid w:val="40D40AAB"/>
    <w:rsid w:val="40D77011"/>
    <w:rsid w:val="40E90FBF"/>
    <w:rsid w:val="40F40090"/>
    <w:rsid w:val="40FB76BC"/>
    <w:rsid w:val="41036525"/>
    <w:rsid w:val="41072D28"/>
    <w:rsid w:val="41173D7E"/>
    <w:rsid w:val="411E335F"/>
    <w:rsid w:val="412344D1"/>
    <w:rsid w:val="4125450E"/>
    <w:rsid w:val="412973EA"/>
    <w:rsid w:val="417F4A52"/>
    <w:rsid w:val="41AA69A0"/>
    <w:rsid w:val="41AC44C7"/>
    <w:rsid w:val="41B45A71"/>
    <w:rsid w:val="41CE08E1"/>
    <w:rsid w:val="41F71B81"/>
    <w:rsid w:val="42010DBE"/>
    <w:rsid w:val="42044303"/>
    <w:rsid w:val="42075BA1"/>
    <w:rsid w:val="42424E2B"/>
    <w:rsid w:val="426B25D4"/>
    <w:rsid w:val="4278084D"/>
    <w:rsid w:val="428611BC"/>
    <w:rsid w:val="42927B60"/>
    <w:rsid w:val="42BD2703"/>
    <w:rsid w:val="42C27D1A"/>
    <w:rsid w:val="42C777D4"/>
    <w:rsid w:val="42E04834"/>
    <w:rsid w:val="430E3980"/>
    <w:rsid w:val="43140A2D"/>
    <w:rsid w:val="43301127"/>
    <w:rsid w:val="43364990"/>
    <w:rsid w:val="434150E2"/>
    <w:rsid w:val="4355293C"/>
    <w:rsid w:val="4359067E"/>
    <w:rsid w:val="436117D4"/>
    <w:rsid w:val="437049F2"/>
    <w:rsid w:val="43842246"/>
    <w:rsid w:val="43A7763B"/>
    <w:rsid w:val="43B76861"/>
    <w:rsid w:val="43B92ECB"/>
    <w:rsid w:val="43BE0166"/>
    <w:rsid w:val="43DD305D"/>
    <w:rsid w:val="440E3217"/>
    <w:rsid w:val="440F0504"/>
    <w:rsid w:val="4421185F"/>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67C21"/>
    <w:rsid w:val="454B3FF6"/>
    <w:rsid w:val="45682DFA"/>
    <w:rsid w:val="456C5AB9"/>
    <w:rsid w:val="4577128F"/>
    <w:rsid w:val="457C68A6"/>
    <w:rsid w:val="45952817"/>
    <w:rsid w:val="45A863B8"/>
    <w:rsid w:val="45AE3E4B"/>
    <w:rsid w:val="45B063D0"/>
    <w:rsid w:val="45BB6D3C"/>
    <w:rsid w:val="45F91CA4"/>
    <w:rsid w:val="46011342"/>
    <w:rsid w:val="46017508"/>
    <w:rsid w:val="460A2104"/>
    <w:rsid w:val="460F14C8"/>
    <w:rsid w:val="46130FB8"/>
    <w:rsid w:val="46132D66"/>
    <w:rsid w:val="46342CDD"/>
    <w:rsid w:val="463B22BD"/>
    <w:rsid w:val="46431B1A"/>
    <w:rsid w:val="464E1FF0"/>
    <w:rsid w:val="466366B9"/>
    <w:rsid w:val="46955E71"/>
    <w:rsid w:val="469C7200"/>
    <w:rsid w:val="46C10A14"/>
    <w:rsid w:val="46D67F86"/>
    <w:rsid w:val="46F448C2"/>
    <w:rsid w:val="47060D7D"/>
    <w:rsid w:val="473F67A2"/>
    <w:rsid w:val="474536E0"/>
    <w:rsid w:val="47463365"/>
    <w:rsid w:val="47596E9F"/>
    <w:rsid w:val="476B55F6"/>
    <w:rsid w:val="47777325"/>
    <w:rsid w:val="477E4B57"/>
    <w:rsid w:val="47863A0C"/>
    <w:rsid w:val="47925F0D"/>
    <w:rsid w:val="47A876DF"/>
    <w:rsid w:val="47AA76FA"/>
    <w:rsid w:val="47B370C9"/>
    <w:rsid w:val="47D4052E"/>
    <w:rsid w:val="48001EFA"/>
    <w:rsid w:val="48027536"/>
    <w:rsid w:val="48042FA6"/>
    <w:rsid w:val="481C57BF"/>
    <w:rsid w:val="48240342"/>
    <w:rsid w:val="48343468"/>
    <w:rsid w:val="485578E8"/>
    <w:rsid w:val="48680CE3"/>
    <w:rsid w:val="486A0C38"/>
    <w:rsid w:val="487516C9"/>
    <w:rsid w:val="487A430E"/>
    <w:rsid w:val="4891671A"/>
    <w:rsid w:val="48A147B6"/>
    <w:rsid w:val="48A73C3A"/>
    <w:rsid w:val="48A856E3"/>
    <w:rsid w:val="48D367DD"/>
    <w:rsid w:val="48E82D4D"/>
    <w:rsid w:val="48F007F6"/>
    <w:rsid w:val="48F14EB5"/>
    <w:rsid w:val="490966A2"/>
    <w:rsid w:val="491D5CAA"/>
    <w:rsid w:val="49537DE0"/>
    <w:rsid w:val="495518E8"/>
    <w:rsid w:val="49584F34"/>
    <w:rsid w:val="4977360C"/>
    <w:rsid w:val="498703ED"/>
    <w:rsid w:val="49C425C9"/>
    <w:rsid w:val="49C72B69"/>
    <w:rsid w:val="49E62540"/>
    <w:rsid w:val="4A070E34"/>
    <w:rsid w:val="4A0E6954"/>
    <w:rsid w:val="4A1A47F4"/>
    <w:rsid w:val="4A275032"/>
    <w:rsid w:val="4A275F90"/>
    <w:rsid w:val="4A280DAA"/>
    <w:rsid w:val="4A29760D"/>
    <w:rsid w:val="4A2D4613"/>
    <w:rsid w:val="4A392FB7"/>
    <w:rsid w:val="4A5248DB"/>
    <w:rsid w:val="4A64191B"/>
    <w:rsid w:val="4A722025"/>
    <w:rsid w:val="4A745F18"/>
    <w:rsid w:val="4A8B3EC0"/>
    <w:rsid w:val="4AAC4A05"/>
    <w:rsid w:val="4AB112AD"/>
    <w:rsid w:val="4AB918F6"/>
    <w:rsid w:val="4AD14F9E"/>
    <w:rsid w:val="4AD1500F"/>
    <w:rsid w:val="4AD93E52"/>
    <w:rsid w:val="4AEB42B2"/>
    <w:rsid w:val="4AF403AA"/>
    <w:rsid w:val="4AFD616C"/>
    <w:rsid w:val="4B0B04B0"/>
    <w:rsid w:val="4B1C39B5"/>
    <w:rsid w:val="4B3E2640"/>
    <w:rsid w:val="4B447AD4"/>
    <w:rsid w:val="4B7050AD"/>
    <w:rsid w:val="4B717B63"/>
    <w:rsid w:val="4B857781"/>
    <w:rsid w:val="4B8B7843"/>
    <w:rsid w:val="4BA30828"/>
    <w:rsid w:val="4BA93D64"/>
    <w:rsid w:val="4BBE0554"/>
    <w:rsid w:val="4BBF20A9"/>
    <w:rsid w:val="4BCB40E3"/>
    <w:rsid w:val="4BD20FCE"/>
    <w:rsid w:val="4BD74836"/>
    <w:rsid w:val="4BED5E07"/>
    <w:rsid w:val="4BF70A34"/>
    <w:rsid w:val="4BFD1393"/>
    <w:rsid w:val="4C1056A3"/>
    <w:rsid w:val="4C150E22"/>
    <w:rsid w:val="4C194E4E"/>
    <w:rsid w:val="4C1C26CD"/>
    <w:rsid w:val="4C1E7B16"/>
    <w:rsid w:val="4C2555A1"/>
    <w:rsid w:val="4C2C2DD4"/>
    <w:rsid w:val="4C3F1BAE"/>
    <w:rsid w:val="4C5C4D3B"/>
    <w:rsid w:val="4C5D5CA7"/>
    <w:rsid w:val="4C76404F"/>
    <w:rsid w:val="4C8147A2"/>
    <w:rsid w:val="4CB26A62"/>
    <w:rsid w:val="4CCA7AE1"/>
    <w:rsid w:val="4CDA2830"/>
    <w:rsid w:val="4CE216E4"/>
    <w:rsid w:val="4CEE0366"/>
    <w:rsid w:val="4CF569B5"/>
    <w:rsid w:val="4CFB4947"/>
    <w:rsid w:val="4D04165B"/>
    <w:rsid w:val="4D11448E"/>
    <w:rsid w:val="4D267823"/>
    <w:rsid w:val="4D275D07"/>
    <w:rsid w:val="4D3A507C"/>
    <w:rsid w:val="4D5325E2"/>
    <w:rsid w:val="4D6848C0"/>
    <w:rsid w:val="4D8602C2"/>
    <w:rsid w:val="4D9E5143"/>
    <w:rsid w:val="4D9F75D5"/>
    <w:rsid w:val="4DAE03C1"/>
    <w:rsid w:val="4DBC0580"/>
    <w:rsid w:val="4DC97603"/>
    <w:rsid w:val="4DE163BF"/>
    <w:rsid w:val="4DF72F6D"/>
    <w:rsid w:val="4DFE10C7"/>
    <w:rsid w:val="4E086F29"/>
    <w:rsid w:val="4E140B6A"/>
    <w:rsid w:val="4E156F34"/>
    <w:rsid w:val="4E1B739A"/>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3B50DC"/>
    <w:rsid w:val="4F5D5052"/>
    <w:rsid w:val="4F691C49"/>
    <w:rsid w:val="4F813436"/>
    <w:rsid w:val="4FB619EF"/>
    <w:rsid w:val="4FBD1F95"/>
    <w:rsid w:val="4FC861DA"/>
    <w:rsid w:val="4FF130BF"/>
    <w:rsid w:val="4FFB544B"/>
    <w:rsid w:val="500A342C"/>
    <w:rsid w:val="500D6A78"/>
    <w:rsid w:val="500F69BB"/>
    <w:rsid w:val="50406E4E"/>
    <w:rsid w:val="50416722"/>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937451"/>
    <w:rsid w:val="51A46F68"/>
    <w:rsid w:val="51A96C75"/>
    <w:rsid w:val="51B13335"/>
    <w:rsid w:val="51D75590"/>
    <w:rsid w:val="521340EE"/>
    <w:rsid w:val="521D3CB5"/>
    <w:rsid w:val="523302EC"/>
    <w:rsid w:val="52426781"/>
    <w:rsid w:val="52454FAD"/>
    <w:rsid w:val="524B15B3"/>
    <w:rsid w:val="528374C6"/>
    <w:rsid w:val="528B1ED6"/>
    <w:rsid w:val="529C2335"/>
    <w:rsid w:val="52A70D2C"/>
    <w:rsid w:val="52BE405A"/>
    <w:rsid w:val="52E361B6"/>
    <w:rsid w:val="531210C9"/>
    <w:rsid w:val="532742F5"/>
    <w:rsid w:val="53607807"/>
    <w:rsid w:val="538434F5"/>
    <w:rsid w:val="538A03E0"/>
    <w:rsid w:val="539835FD"/>
    <w:rsid w:val="53A2397B"/>
    <w:rsid w:val="53B92A73"/>
    <w:rsid w:val="53BB67EB"/>
    <w:rsid w:val="53BF5748"/>
    <w:rsid w:val="53C10329"/>
    <w:rsid w:val="53C71634"/>
    <w:rsid w:val="53D224B3"/>
    <w:rsid w:val="53EB1FF8"/>
    <w:rsid w:val="53EC2E48"/>
    <w:rsid w:val="53F45760"/>
    <w:rsid w:val="53F64B56"/>
    <w:rsid w:val="5406215C"/>
    <w:rsid w:val="546B6463"/>
    <w:rsid w:val="546E73A6"/>
    <w:rsid w:val="54716857"/>
    <w:rsid w:val="547C41CC"/>
    <w:rsid w:val="5488491F"/>
    <w:rsid w:val="54A379AB"/>
    <w:rsid w:val="54B27BEE"/>
    <w:rsid w:val="54BD0C40"/>
    <w:rsid w:val="54D659D2"/>
    <w:rsid w:val="54F75F49"/>
    <w:rsid w:val="54FB3FAE"/>
    <w:rsid w:val="54FC355F"/>
    <w:rsid w:val="551655E5"/>
    <w:rsid w:val="552705DC"/>
    <w:rsid w:val="55284354"/>
    <w:rsid w:val="552C5BF2"/>
    <w:rsid w:val="55432F3C"/>
    <w:rsid w:val="554A42CB"/>
    <w:rsid w:val="5560589C"/>
    <w:rsid w:val="556C4241"/>
    <w:rsid w:val="5579695E"/>
    <w:rsid w:val="558C043F"/>
    <w:rsid w:val="559807C9"/>
    <w:rsid w:val="559A3FB2"/>
    <w:rsid w:val="55A133E3"/>
    <w:rsid w:val="55B87486"/>
    <w:rsid w:val="55C404FA"/>
    <w:rsid w:val="55C45E2B"/>
    <w:rsid w:val="55CC345F"/>
    <w:rsid w:val="55EE2EA8"/>
    <w:rsid w:val="55F04E72"/>
    <w:rsid w:val="56203207"/>
    <w:rsid w:val="562A2C28"/>
    <w:rsid w:val="562C2ED7"/>
    <w:rsid w:val="564D4072"/>
    <w:rsid w:val="56610227"/>
    <w:rsid w:val="566E223B"/>
    <w:rsid w:val="567B54EE"/>
    <w:rsid w:val="567C4958"/>
    <w:rsid w:val="567C5D71"/>
    <w:rsid w:val="56846C29"/>
    <w:rsid w:val="5689497F"/>
    <w:rsid w:val="56917593"/>
    <w:rsid w:val="56A703F5"/>
    <w:rsid w:val="56C97471"/>
    <w:rsid w:val="56CB72F5"/>
    <w:rsid w:val="56D64EB7"/>
    <w:rsid w:val="56E314E0"/>
    <w:rsid w:val="57282705"/>
    <w:rsid w:val="573479FC"/>
    <w:rsid w:val="574C75A3"/>
    <w:rsid w:val="574D2F08"/>
    <w:rsid w:val="576A6DAC"/>
    <w:rsid w:val="5774562F"/>
    <w:rsid w:val="57754BF2"/>
    <w:rsid w:val="579B39BB"/>
    <w:rsid w:val="57BD6FD6"/>
    <w:rsid w:val="57CA16F3"/>
    <w:rsid w:val="57CA3880"/>
    <w:rsid w:val="57E417E0"/>
    <w:rsid w:val="57EE53E1"/>
    <w:rsid w:val="57F32A52"/>
    <w:rsid w:val="57FE50EE"/>
    <w:rsid w:val="580411DF"/>
    <w:rsid w:val="58073B8C"/>
    <w:rsid w:val="580E7831"/>
    <w:rsid w:val="58256929"/>
    <w:rsid w:val="583F3E8F"/>
    <w:rsid w:val="58670CF0"/>
    <w:rsid w:val="58A40196"/>
    <w:rsid w:val="58BF0B2C"/>
    <w:rsid w:val="58D67320"/>
    <w:rsid w:val="58F534B4"/>
    <w:rsid w:val="593432C8"/>
    <w:rsid w:val="593E026C"/>
    <w:rsid w:val="593E5EF4"/>
    <w:rsid w:val="593F3A1A"/>
    <w:rsid w:val="5945664C"/>
    <w:rsid w:val="594828CF"/>
    <w:rsid w:val="594D6137"/>
    <w:rsid w:val="5989503C"/>
    <w:rsid w:val="59977C6E"/>
    <w:rsid w:val="599B50F5"/>
    <w:rsid w:val="59A25D4A"/>
    <w:rsid w:val="59AA17DC"/>
    <w:rsid w:val="59B14918"/>
    <w:rsid w:val="59B15C2B"/>
    <w:rsid w:val="59B25F2D"/>
    <w:rsid w:val="59D86349"/>
    <w:rsid w:val="59DD0C04"/>
    <w:rsid w:val="59E00D5A"/>
    <w:rsid w:val="59EC76FE"/>
    <w:rsid w:val="59F37092"/>
    <w:rsid w:val="5A034978"/>
    <w:rsid w:val="5A040EEC"/>
    <w:rsid w:val="5A16280E"/>
    <w:rsid w:val="5A1B5A10"/>
    <w:rsid w:val="5A1D0200"/>
    <w:rsid w:val="5A250E62"/>
    <w:rsid w:val="5A266807"/>
    <w:rsid w:val="5A2C21F1"/>
    <w:rsid w:val="5A48327B"/>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5B46DE"/>
    <w:rsid w:val="5B773CF2"/>
    <w:rsid w:val="5B841DD7"/>
    <w:rsid w:val="5B953DC6"/>
    <w:rsid w:val="5B9B5880"/>
    <w:rsid w:val="5BAF6C35"/>
    <w:rsid w:val="5BB7600F"/>
    <w:rsid w:val="5BCD355F"/>
    <w:rsid w:val="5BF037E6"/>
    <w:rsid w:val="5BFD3E45"/>
    <w:rsid w:val="5C0F2714"/>
    <w:rsid w:val="5C2A09B2"/>
    <w:rsid w:val="5C355D9D"/>
    <w:rsid w:val="5C3A263A"/>
    <w:rsid w:val="5C531CB7"/>
    <w:rsid w:val="5C814A76"/>
    <w:rsid w:val="5C91451D"/>
    <w:rsid w:val="5CAE513F"/>
    <w:rsid w:val="5CAF25EE"/>
    <w:rsid w:val="5CAF7F16"/>
    <w:rsid w:val="5CBE74EA"/>
    <w:rsid w:val="5CC56713"/>
    <w:rsid w:val="5CC71DD8"/>
    <w:rsid w:val="5CCE3A33"/>
    <w:rsid w:val="5CD66444"/>
    <w:rsid w:val="5CF82EF2"/>
    <w:rsid w:val="5CF9414D"/>
    <w:rsid w:val="5CF9552F"/>
    <w:rsid w:val="5D0631CD"/>
    <w:rsid w:val="5D070A87"/>
    <w:rsid w:val="5D0B433F"/>
    <w:rsid w:val="5D17501F"/>
    <w:rsid w:val="5D213B63"/>
    <w:rsid w:val="5D2E44D2"/>
    <w:rsid w:val="5D3C6BEF"/>
    <w:rsid w:val="5D431D2B"/>
    <w:rsid w:val="5D4569AE"/>
    <w:rsid w:val="5D5E0913"/>
    <w:rsid w:val="5D6F2B20"/>
    <w:rsid w:val="5D7C6FEB"/>
    <w:rsid w:val="5D883BE2"/>
    <w:rsid w:val="5D9B5E1F"/>
    <w:rsid w:val="5DA36C6E"/>
    <w:rsid w:val="5DAF116F"/>
    <w:rsid w:val="5DB426F2"/>
    <w:rsid w:val="5DF11787"/>
    <w:rsid w:val="5E0771FD"/>
    <w:rsid w:val="5E2733FB"/>
    <w:rsid w:val="5E59732C"/>
    <w:rsid w:val="5E647215"/>
    <w:rsid w:val="5E6F6B70"/>
    <w:rsid w:val="5E7128C8"/>
    <w:rsid w:val="5E785A05"/>
    <w:rsid w:val="5E7E5BC7"/>
    <w:rsid w:val="5E884C78"/>
    <w:rsid w:val="5EA467FA"/>
    <w:rsid w:val="5EAC5CC5"/>
    <w:rsid w:val="5EBB3B43"/>
    <w:rsid w:val="5EC24ED2"/>
    <w:rsid w:val="5ECF669A"/>
    <w:rsid w:val="5EF64B7B"/>
    <w:rsid w:val="5F131BD1"/>
    <w:rsid w:val="5F133331"/>
    <w:rsid w:val="5F1C68EB"/>
    <w:rsid w:val="5F223BC2"/>
    <w:rsid w:val="5F304531"/>
    <w:rsid w:val="5F3A658F"/>
    <w:rsid w:val="5F4B6DF9"/>
    <w:rsid w:val="5F5244A8"/>
    <w:rsid w:val="5F5E109E"/>
    <w:rsid w:val="5F675CE8"/>
    <w:rsid w:val="5F6D7533"/>
    <w:rsid w:val="5F904FD0"/>
    <w:rsid w:val="5F9E101E"/>
    <w:rsid w:val="5FD80582"/>
    <w:rsid w:val="5FE377F5"/>
    <w:rsid w:val="60150DC2"/>
    <w:rsid w:val="60326087"/>
    <w:rsid w:val="603E7754"/>
    <w:rsid w:val="604D407A"/>
    <w:rsid w:val="605E0C2A"/>
    <w:rsid w:val="6061582C"/>
    <w:rsid w:val="60787F3E"/>
    <w:rsid w:val="609113EE"/>
    <w:rsid w:val="60940AF0"/>
    <w:rsid w:val="609D64AA"/>
    <w:rsid w:val="60A27B32"/>
    <w:rsid w:val="60BE5D83"/>
    <w:rsid w:val="60DD3A26"/>
    <w:rsid w:val="60E51508"/>
    <w:rsid w:val="60E6759D"/>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5456E"/>
    <w:rsid w:val="623B7475"/>
    <w:rsid w:val="62405FC3"/>
    <w:rsid w:val="62482F7C"/>
    <w:rsid w:val="62677DAD"/>
    <w:rsid w:val="6281113E"/>
    <w:rsid w:val="62854B94"/>
    <w:rsid w:val="628A0E0C"/>
    <w:rsid w:val="62935219"/>
    <w:rsid w:val="62CD6AEC"/>
    <w:rsid w:val="62D81569"/>
    <w:rsid w:val="62D94595"/>
    <w:rsid w:val="63103C43"/>
    <w:rsid w:val="631E6C0A"/>
    <w:rsid w:val="633B34A5"/>
    <w:rsid w:val="6347009B"/>
    <w:rsid w:val="63566066"/>
    <w:rsid w:val="63901A42"/>
    <w:rsid w:val="63972DD1"/>
    <w:rsid w:val="63C45248"/>
    <w:rsid w:val="63C60FC0"/>
    <w:rsid w:val="63CB65D6"/>
    <w:rsid w:val="63D41366"/>
    <w:rsid w:val="640E2967"/>
    <w:rsid w:val="64153CF6"/>
    <w:rsid w:val="6419594B"/>
    <w:rsid w:val="64264155"/>
    <w:rsid w:val="644904C4"/>
    <w:rsid w:val="644C769A"/>
    <w:rsid w:val="64520AA6"/>
    <w:rsid w:val="64664551"/>
    <w:rsid w:val="647153D0"/>
    <w:rsid w:val="64805613"/>
    <w:rsid w:val="6486074F"/>
    <w:rsid w:val="64BB2AEF"/>
    <w:rsid w:val="64CB26DD"/>
    <w:rsid w:val="650171EE"/>
    <w:rsid w:val="65055B18"/>
    <w:rsid w:val="65433804"/>
    <w:rsid w:val="65556AA0"/>
    <w:rsid w:val="65684D07"/>
    <w:rsid w:val="657D2B9C"/>
    <w:rsid w:val="6593581A"/>
    <w:rsid w:val="65946B18"/>
    <w:rsid w:val="65956E9C"/>
    <w:rsid w:val="65A215B9"/>
    <w:rsid w:val="65BD63F3"/>
    <w:rsid w:val="65D406EA"/>
    <w:rsid w:val="65F20792"/>
    <w:rsid w:val="66542B2C"/>
    <w:rsid w:val="665723A3"/>
    <w:rsid w:val="667B0788"/>
    <w:rsid w:val="667B400E"/>
    <w:rsid w:val="66911D59"/>
    <w:rsid w:val="66B261DF"/>
    <w:rsid w:val="66E005EB"/>
    <w:rsid w:val="66E53E53"/>
    <w:rsid w:val="66E55C01"/>
    <w:rsid w:val="66EA7812"/>
    <w:rsid w:val="6704527C"/>
    <w:rsid w:val="6710264E"/>
    <w:rsid w:val="673F1F3F"/>
    <w:rsid w:val="673F79B4"/>
    <w:rsid w:val="67442824"/>
    <w:rsid w:val="674A1F08"/>
    <w:rsid w:val="67643F87"/>
    <w:rsid w:val="67795693"/>
    <w:rsid w:val="677A0A3F"/>
    <w:rsid w:val="67987117"/>
    <w:rsid w:val="67A23AF2"/>
    <w:rsid w:val="67A43BE0"/>
    <w:rsid w:val="67AB6E4B"/>
    <w:rsid w:val="67B37F71"/>
    <w:rsid w:val="67CE6C86"/>
    <w:rsid w:val="67D31319"/>
    <w:rsid w:val="67D72D6F"/>
    <w:rsid w:val="67DC5114"/>
    <w:rsid w:val="67DC6D5A"/>
    <w:rsid w:val="67E206D5"/>
    <w:rsid w:val="683E4D48"/>
    <w:rsid w:val="685A261F"/>
    <w:rsid w:val="6865349E"/>
    <w:rsid w:val="68655F18"/>
    <w:rsid w:val="68701E42"/>
    <w:rsid w:val="68AD6BF3"/>
    <w:rsid w:val="68B00491"/>
    <w:rsid w:val="68C14BF3"/>
    <w:rsid w:val="68FA309F"/>
    <w:rsid w:val="68FB170C"/>
    <w:rsid w:val="68FE0507"/>
    <w:rsid w:val="69034A64"/>
    <w:rsid w:val="690F3409"/>
    <w:rsid w:val="69272501"/>
    <w:rsid w:val="692C5D69"/>
    <w:rsid w:val="692E7D33"/>
    <w:rsid w:val="692F7608"/>
    <w:rsid w:val="69401815"/>
    <w:rsid w:val="694806C9"/>
    <w:rsid w:val="694A487B"/>
    <w:rsid w:val="694D6631"/>
    <w:rsid w:val="695025CA"/>
    <w:rsid w:val="6958090C"/>
    <w:rsid w:val="695928D6"/>
    <w:rsid w:val="69765236"/>
    <w:rsid w:val="698E07D2"/>
    <w:rsid w:val="69AB0D0D"/>
    <w:rsid w:val="69B27B43"/>
    <w:rsid w:val="69BE0005"/>
    <w:rsid w:val="69DF2DDC"/>
    <w:rsid w:val="69EA352F"/>
    <w:rsid w:val="69EB2192"/>
    <w:rsid w:val="6A3C0286"/>
    <w:rsid w:val="6A570136"/>
    <w:rsid w:val="6A695DCD"/>
    <w:rsid w:val="6A731776"/>
    <w:rsid w:val="6A753740"/>
    <w:rsid w:val="6A7A6FA8"/>
    <w:rsid w:val="6A7E2C0A"/>
    <w:rsid w:val="6A802F8E"/>
    <w:rsid w:val="6A8B4D12"/>
    <w:rsid w:val="6AAD4C88"/>
    <w:rsid w:val="6AB73D58"/>
    <w:rsid w:val="6ABA55F7"/>
    <w:rsid w:val="6AC10733"/>
    <w:rsid w:val="6ACD7255"/>
    <w:rsid w:val="6AD2649C"/>
    <w:rsid w:val="6AE17565"/>
    <w:rsid w:val="6AFE3735"/>
    <w:rsid w:val="6B2111D2"/>
    <w:rsid w:val="6B361E7E"/>
    <w:rsid w:val="6B3C7DBA"/>
    <w:rsid w:val="6B3D4EC2"/>
    <w:rsid w:val="6B43383E"/>
    <w:rsid w:val="6B5477F9"/>
    <w:rsid w:val="6B6F63E1"/>
    <w:rsid w:val="6B8071BE"/>
    <w:rsid w:val="6BAA605B"/>
    <w:rsid w:val="6BB16221"/>
    <w:rsid w:val="6BE40B7D"/>
    <w:rsid w:val="6BE45953"/>
    <w:rsid w:val="6BE94F3A"/>
    <w:rsid w:val="6BF40694"/>
    <w:rsid w:val="6C007EA2"/>
    <w:rsid w:val="6C061F17"/>
    <w:rsid w:val="6C0E5BFA"/>
    <w:rsid w:val="6C150D37"/>
    <w:rsid w:val="6C1F57AD"/>
    <w:rsid w:val="6C2F1E55"/>
    <w:rsid w:val="6C376EFF"/>
    <w:rsid w:val="6C661592"/>
    <w:rsid w:val="6C741E4F"/>
    <w:rsid w:val="6C787517"/>
    <w:rsid w:val="6C8833F5"/>
    <w:rsid w:val="6C914D27"/>
    <w:rsid w:val="6C931E58"/>
    <w:rsid w:val="6CAA6CFE"/>
    <w:rsid w:val="6CC369E5"/>
    <w:rsid w:val="6CD7419C"/>
    <w:rsid w:val="6CDC7AA6"/>
    <w:rsid w:val="6D013FEB"/>
    <w:rsid w:val="6D1930EC"/>
    <w:rsid w:val="6D2F407A"/>
    <w:rsid w:val="6D371181"/>
    <w:rsid w:val="6D437B25"/>
    <w:rsid w:val="6D877A12"/>
    <w:rsid w:val="6DA71186"/>
    <w:rsid w:val="6DB30918"/>
    <w:rsid w:val="6DB620A5"/>
    <w:rsid w:val="6DBD5E52"/>
    <w:rsid w:val="6DC42A14"/>
    <w:rsid w:val="6DCF4F15"/>
    <w:rsid w:val="6DD036A3"/>
    <w:rsid w:val="6DE81D0F"/>
    <w:rsid w:val="6DE85FD7"/>
    <w:rsid w:val="6DF76B0A"/>
    <w:rsid w:val="6E054DB3"/>
    <w:rsid w:val="6E0D5EB7"/>
    <w:rsid w:val="6E1A0994"/>
    <w:rsid w:val="6E6277A1"/>
    <w:rsid w:val="6E7004A6"/>
    <w:rsid w:val="6E9E14B7"/>
    <w:rsid w:val="6EA54226"/>
    <w:rsid w:val="6EBD3E7A"/>
    <w:rsid w:val="6EBD700A"/>
    <w:rsid w:val="6EC72090"/>
    <w:rsid w:val="6ED53771"/>
    <w:rsid w:val="6EFD2502"/>
    <w:rsid w:val="6F062BB9"/>
    <w:rsid w:val="6F082DD5"/>
    <w:rsid w:val="6F09580C"/>
    <w:rsid w:val="6F1352D6"/>
    <w:rsid w:val="6F5E1724"/>
    <w:rsid w:val="6F6618A9"/>
    <w:rsid w:val="6F71097A"/>
    <w:rsid w:val="6F743FC6"/>
    <w:rsid w:val="6F783707"/>
    <w:rsid w:val="6F7D7049"/>
    <w:rsid w:val="6F963F3C"/>
    <w:rsid w:val="6FB87B4B"/>
    <w:rsid w:val="6FE1043B"/>
    <w:rsid w:val="6FF670D1"/>
    <w:rsid w:val="700B760E"/>
    <w:rsid w:val="700D7F77"/>
    <w:rsid w:val="703B4AE4"/>
    <w:rsid w:val="705160B5"/>
    <w:rsid w:val="706E310B"/>
    <w:rsid w:val="70794B97"/>
    <w:rsid w:val="70860455"/>
    <w:rsid w:val="70860D62"/>
    <w:rsid w:val="70891C83"/>
    <w:rsid w:val="708C17E3"/>
    <w:rsid w:val="70981F36"/>
    <w:rsid w:val="70CD6084"/>
    <w:rsid w:val="70D016D0"/>
    <w:rsid w:val="70F35BF8"/>
    <w:rsid w:val="71160F53"/>
    <w:rsid w:val="711A0B9D"/>
    <w:rsid w:val="713C4FB8"/>
    <w:rsid w:val="71491244"/>
    <w:rsid w:val="714B51FB"/>
    <w:rsid w:val="71582A07"/>
    <w:rsid w:val="717943B6"/>
    <w:rsid w:val="71916F49"/>
    <w:rsid w:val="71A33B87"/>
    <w:rsid w:val="71A72871"/>
    <w:rsid w:val="71AB63BC"/>
    <w:rsid w:val="71AE4713"/>
    <w:rsid w:val="71B27028"/>
    <w:rsid w:val="71C57590"/>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A566B"/>
    <w:rsid w:val="739B4217"/>
    <w:rsid w:val="73AD5CF9"/>
    <w:rsid w:val="73D94D40"/>
    <w:rsid w:val="740D2C3B"/>
    <w:rsid w:val="740F6A0B"/>
    <w:rsid w:val="742E508B"/>
    <w:rsid w:val="744877CF"/>
    <w:rsid w:val="74692D8A"/>
    <w:rsid w:val="74716D26"/>
    <w:rsid w:val="74933140"/>
    <w:rsid w:val="74AB66DC"/>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ED275C"/>
    <w:rsid w:val="75F75951"/>
    <w:rsid w:val="75FC4D15"/>
    <w:rsid w:val="75FE0A8D"/>
    <w:rsid w:val="76097029"/>
    <w:rsid w:val="76133C04"/>
    <w:rsid w:val="76292962"/>
    <w:rsid w:val="763165BA"/>
    <w:rsid w:val="764A4CEF"/>
    <w:rsid w:val="766C1E9B"/>
    <w:rsid w:val="76880357"/>
    <w:rsid w:val="769D2054"/>
    <w:rsid w:val="76AA4771"/>
    <w:rsid w:val="76CC0B8C"/>
    <w:rsid w:val="76E13170"/>
    <w:rsid w:val="76E311A3"/>
    <w:rsid w:val="76F52206"/>
    <w:rsid w:val="77120CFE"/>
    <w:rsid w:val="772938E8"/>
    <w:rsid w:val="7734344E"/>
    <w:rsid w:val="774424D0"/>
    <w:rsid w:val="77813724"/>
    <w:rsid w:val="77972F48"/>
    <w:rsid w:val="77980A6E"/>
    <w:rsid w:val="7798554B"/>
    <w:rsid w:val="77A2369A"/>
    <w:rsid w:val="77B561D9"/>
    <w:rsid w:val="77CB0E43"/>
    <w:rsid w:val="77E141C3"/>
    <w:rsid w:val="77F008AA"/>
    <w:rsid w:val="78054355"/>
    <w:rsid w:val="781C344D"/>
    <w:rsid w:val="78202F3D"/>
    <w:rsid w:val="782347DB"/>
    <w:rsid w:val="78300CA6"/>
    <w:rsid w:val="783267CC"/>
    <w:rsid w:val="783951EC"/>
    <w:rsid w:val="783C3AEF"/>
    <w:rsid w:val="783E1615"/>
    <w:rsid w:val="78484242"/>
    <w:rsid w:val="78485FF0"/>
    <w:rsid w:val="786646C8"/>
    <w:rsid w:val="786C4C30"/>
    <w:rsid w:val="7874661E"/>
    <w:rsid w:val="7880578A"/>
    <w:rsid w:val="78827754"/>
    <w:rsid w:val="78B00FB2"/>
    <w:rsid w:val="78B91B03"/>
    <w:rsid w:val="78BE2756"/>
    <w:rsid w:val="78C42320"/>
    <w:rsid w:val="78D12489"/>
    <w:rsid w:val="78EA354B"/>
    <w:rsid w:val="78FB5E6F"/>
    <w:rsid w:val="79711576"/>
    <w:rsid w:val="7973634F"/>
    <w:rsid w:val="797F0066"/>
    <w:rsid w:val="79862855"/>
    <w:rsid w:val="79AB7B9C"/>
    <w:rsid w:val="79C36276"/>
    <w:rsid w:val="79D33BD7"/>
    <w:rsid w:val="79E56BF4"/>
    <w:rsid w:val="79E65AC0"/>
    <w:rsid w:val="7A0712A8"/>
    <w:rsid w:val="7A1A5F3C"/>
    <w:rsid w:val="7A293BFF"/>
    <w:rsid w:val="7A2E3F8E"/>
    <w:rsid w:val="7A340F22"/>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A7832"/>
    <w:rsid w:val="7AEC455F"/>
    <w:rsid w:val="7AF3231D"/>
    <w:rsid w:val="7B05466C"/>
    <w:rsid w:val="7B0703E4"/>
    <w:rsid w:val="7B197943"/>
    <w:rsid w:val="7B4D1357"/>
    <w:rsid w:val="7B590514"/>
    <w:rsid w:val="7B641393"/>
    <w:rsid w:val="7B6E2F9B"/>
    <w:rsid w:val="7B89704B"/>
    <w:rsid w:val="7B98702C"/>
    <w:rsid w:val="7BB24B8C"/>
    <w:rsid w:val="7BB345F3"/>
    <w:rsid w:val="7BC71922"/>
    <w:rsid w:val="7BC77B74"/>
    <w:rsid w:val="7BD04C7A"/>
    <w:rsid w:val="7BD57CCF"/>
    <w:rsid w:val="7C022E76"/>
    <w:rsid w:val="7C055D6D"/>
    <w:rsid w:val="7C213B75"/>
    <w:rsid w:val="7C305719"/>
    <w:rsid w:val="7C3163FF"/>
    <w:rsid w:val="7C473CA7"/>
    <w:rsid w:val="7C896BD7"/>
    <w:rsid w:val="7C8B6DF3"/>
    <w:rsid w:val="7C8D6749"/>
    <w:rsid w:val="7CA61385"/>
    <w:rsid w:val="7CB718F6"/>
    <w:rsid w:val="7CCC0C02"/>
    <w:rsid w:val="7CE22208"/>
    <w:rsid w:val="7CE24C65"/>
    <w:rsid w:val="7CE64C01"/>
    <w:rsid w:val="7CF95B0B"/>
    <w:rsid w:val="7CFB7AD5"/>
    <w:rsid w:val="7D07647A"/>
    <w:rsid w:val="7D0E5A5A"/>
    <w:rsid w:val="7D123C1F"/>
    <w:rsid w:val="7D1467DB"/>
    <w:rsid w:val="7D2C7C8E"/>
    <w:rsid w:val="7D625DA6"/>
    <w:rsid w:val="7D871368"/>
    <w:rsid w:val="7D8B70AB"/>
    <w:rsid w:val="7D931348"/>
    <w:rsid w:val="7DC12ACC"/>
    <w:rsid w:val="7DD32800"/>
    <w:rsid w:val="7DF14781"/>
    <w:rsid w:val="7DFA2E1C"/>
    <w:rsid w:val="7E0D3978"/>
    <w:rsid w:val="7E1C5F55"/>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6A2CF0"/>
    <w:rsid w:val="7F841BB1"/>
    <w:rsid w:val="7F8C2C66"/>
    <w:rsid w:val="7FAC155A"/>
    <w:rsid w:val="7FCF1996"/>
    <w:rsid w:val="7FD17D13"/>
    <w:rsid w:val="7FD7406F"/>
    <w:rsid w:val="7FDF106F"/>
    <w:rsid w:val="7FF1074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6"/>
    <w:link w:val="59"/>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7">
    <w:name w:val="heading 5"/>
    <w:basedOn w:val="1"/>
    <w:next w:val="1"/>
    <w:link w:val="60"/>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1"/>
    <w:autoRedefine/>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62"/>
    <w:autoRedefine/>
    <w:qFormat/>
    <w:uiPriority w:val="0"/>
    <w:pPr>
      <w:keepNext/>
      <w:keepLines/>
      <w:spacing w:before="240" w:after="64" w:line="320" w:lineRule="auto"/>
      <w:outlineLvl w:val="6"/>
    </w:pPr>
    <w:rPr>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6">
    <w:name w:val="正文2"/>
    <w:qFormat/>
    <w:uiPriority w:val="0"/>
    <w:pPr>
      <w:widowControl w:val="0"/>
      <w:spacing w:line="360" w:lineRule="auto"/>
      <w:ind w:firstLine="420" w:firstLineChars="200"/>
      <w:jc w:val="both"/>
    </w:pPr>
    <w:rPr>
      <w:rFonts w:ascii="仿宋" w:hAnsi="仿宋" w:eastAsia="仿宋" w:cs="Times New Roman"/>
      <w:kern w:val="2"/>
      <w:sz w:val="28"/>
      <w:szCs w:val="22"/>
      <w:lang w:val="en-US" w:eastAsia="zh-CN" w:bidi="ar-SA"/>
    </w:rPr>
  </w:style>
  <w:style w:type="paragraph" w:styleId="10">
    <w:name w:val="toc 7"/>
    <w:basedOn w:val="1"/>
    <w:next w:val="1"/>
    <w:autoRedefine/>
    <w:qFormat/>
    <w:uiPriority w:val="39"/>
    <w:pPr>
      <w:ind w:left="1260"/>
      <w:jc w:val="left"/>
    </w:pPr>
    <w:rPr>
      <w:sz w:val="18"/>
      <w:szCs w:val="18"/>
    </w:rPr>
  </w:style>
  <w:style w:type="paragraph" w:styleId="11">
    <w:name w:val="List Number 2"/>
    <w:basedOn w:val="1"/>
    <w:autoRedefine/>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2">
    <w:name w:val="table of authorities"/>
    <w:basedOn w:val="1"/>
    <w:next w:val="1"/>
    <w:semiHidden/>
    <w:unhideWhenUsed/>
    <w:qFormat/>
    <w:uiPriority w:val="99"/>
    <w:pPr>
      <w:ind w:left="420" w:leftChars="200"/>
    </w:pPr>
  </w:style>
  <w:style w:type="paragraph" w:styleId="13">
    <w:name w:val="Normal Indent"/>
    <w:basedOn w:val="1"/>
    <w:autoRedefine/>
    <w:qFormat/>
    <w:uiPriority w:val="0"/>
    <w:pPr>
      <w:adjustRightInd w:val="0"/>
      <w:spacing w:line="360" w:lineRule="atLeast"/>
      <w:ind w:firstLine="482"/>
      <w:textAlignment w:val="baseline"/>
    </w:pPr>
    <w:rPr>
      <w:kern w:val="0"/>
      <w:sz w:val="24"/>
      <w:szCs w:val="20"/>
    </w:rPr>
  </w:style>
  <w:style w:type="paragraph" w:styleId="14">
    <w:name w:val="Document Map"/>
    <w:basedOn w:val="1"/>
    <w:next w:val="1"/>
    <w:autoRedefine/>
    <w:qFormat/>
    <w:uiPriority w:val="0"/>
    <w:pPr>
      <w:widowControl/>
      <w:shd w:val="clear" w:color="000000" w:fill="000080"/>
      <w:spacing w:line="357" w:lineRule="atLeast"/>
    </w:pPr>
    <w:rPr>
      <w:color w:val="000000"/>
    </w:rPr>
  </w:style>
  <w:style w:type="paragraph" w:styleId="15">
    <w:name w:val="annotation text"/>
    <w:basedOn w:val="1"/>
    <w:link w:val="63"/>
    <w:autoRedefine/>
    <w:qFormat/>
    <w:uiPriority w:val="0"/>
    <w:pPr>
      <w:jc w:val="left"/>
    </w:pPr>
  </w:style>
  <w:style w:type="paragraph" w:styleId="16">
    <w:name w:val="Body Text"/>
    <w:basedOn w:val="1"/>
    <w:next w:val="1"/>
    <w:autoRedefine/>
    <w:qFormat/>
    <w:uiPriority w:val="0"/>
    <w:pPr>
      <w:spacing w:after="120"/>
    </w:pPr>
  </w:style>
  <w:style w:type="paragraph" w:styleId="17">
    <w:name w:val="Body Text Indent"/>
    <w:basedOn w:val="1"/>
    <w:next w:val="18"/>
    <w:link w:val="56"/>
    <w:autoRedefine/>
    <w:qFormat/>
    <w:uiPriority w:val="0"/>
    <w:pPr>
      <w:spacing w:after="120"/>
      <w:ind w:left="200" w:leftChars="200"/>
    </w:pPr>
  </w:style>
  <w:style w:type="paragraph" w:styleId="18">
    <w:name w:val="envelope return"/>
    <w:basedOn w:val="1"/>
    <w:next w:val="10"/>
    <w:autoRedefine/>
    <w:qFormat/>
    <w:uiPriority w:val="0"/>
    <w:pPr>
      <w:snapToGrid w:val="0"/>
    </w:pPr>
    <w:rPr>
      <w:rFonts w:ascii="Arial" w:hAnsi="Arial"/>
    </w:rPr>
  </w:style>
  <w:style w:type="paragraph" w:styleId="19">
    <w:name w:val="toc 3"/>
    <w:basedOn w:val="1"/>
    <w:next w:val="1"/>
    <w:autoRedefine/>
    <w:qFormat/>
    <w:uiPriority w:val="0"/>
    <w:pPr>
      <w:tabs>
        <w:tab w:val="right" w:leader="dot" w:pos="9288"/>
      </w:tabs>
      <w:ind w:left="400" w:leftChars="400"/>
    </w:pPr>
    <w:rPr>
      <w:rFonts w:ascii="宋体"/>
    </w:rPr>
  </w:style>
  <w:style w:type="paragraph" w:styleId="20">
    <w:name w:val="Plain Text"/>
    <w:basedOn w:val="1"/>
    <w:link w:val="64"/>
    <w:autoRedefine/>
    <w:qFormat/>
    <w:uiPriority w:val="0"/>
    <w:rPr>
      <w:rFonts w:ascii="宋体"/>
      <w:color w:val="000000"/>
      <w:szCs w:val="20"/>
      <w:u w:color="000000"/>
    </w:rPr>
  </w:style>
  <w:style w:type="paragraph" w:styleId="21">
    <w:name w:val="Date"/>
    <w:basedOn w:val="1"/>
    <w:next w:val="1"/>
    <w:link w:val="65"/>
    <w:autoRedefine/>
    <w:qFormat/>
    <w:uiPriority w:val="0"/>
    <w:rPr>
      <w:rFonts w:ascii="Arial" w:hAnsi="Arial" w:eastAsia="仿宋_GB2312"/>
      <w:color w:val="000000"/>
      <w:sz w:val="32"/>
      <w:szCs w:val="20"/>
      <w:u w:color="000000"/>
    </w:r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67"/>
    <w:autoRedefine/>
    <w:qFormat/>
    <w:uiPriority w:val="0"/>
    <w:rPr>
      <w:sz w:val="18"/>
      <w:szCs w:val="18"/>
    </w:rPr>
  </w:style>
  <w:style w:type="paragraph" w:styleId="24">
    <w:name w:val="footer"/>
    <w:basedOn w:val="1"/>
    <w:link w:val="68"/>
    <w:autoRedefine/>
    <w:qFormat/>
    <w:uiPriority w:val="0"/>
    <w:pPr>
      <w:tabs>
        <w:tab w:val="center" w:pos="4153"/>
        <w:tab w:val="right" w:pos="8306"/>
      </w:tabs>
      <w:snapToGrid w:val="0"/>
      <w:jc w:val="left"/>
    </w:pPr>
    <w:rPr>
      <w:sz w:val="18"/>
      <w:szCs w:val="18"/>
    </w:rPr>
  </w:style>
  <w:style w:type="paragraph" w:styleId="25">
    <w:name w:val="header"/>
    <w:basedOn w:val="1"/>
    <w:link w:val="69"/>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8">
    <w:name w:val="List"/>
    <w:basedOn w:val="1"/>
    <w:autoRedefine/>
    <w:qFormat/>
    <w:uiPriority w:val="0"/>
    <w:pPr>
      <w:ind w:left="420" w:hanging="420"/>
    </w:pPr>
    <w:rPr>
      <w:rFonts w:ascii="Arial" w:hAnsi="Arial" w:eastAsia="楷体_GB2312"/>
      <w:sz w:val="28"/>
    </w:rPr>
  </w:style>
  <w:style w:type="paragraph" w:styleId="29">
    <w:name w:val="toc 6"/>
    <w:basedOn w:val="1"/>
    <w:next w:val="1"/>
    <w:autoRedefine/>
    <w:qFormat/>
    <w:uiPriority w:val="0"/>
    <w:pPr>
      <w:autoSpaceDE w:val="0"/>
      <w:autoSpaceDN w:val="0"/>
      <w:ind w:left="1700"/>
      <w:jc w:val="left"/>
      <w:textAlignment w:val="baseline"/>
    </w:pPr>
    <w:rPr>
      <w:kern w:val="0"/>
      <w:sz w:val="18"/>
      <w:szCs w:val="18"/>
    </w:rPr>
  </w:style>
  <w:style w:type="paragraph" w:styleId="30">
    <w:name w:val="toc 2"/>
    <w:basedOn w:val="1"/>
    <w:next w:val="1"/>
    <w:autoRedefine/>
    <w:qFormat/>
    <w:uiPriority w:val="0"/>
    <w:pPr>
      <w:ind w:left="200" w:leftChars="200"/>
    </w:p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autoRedefine/>
    <w:qFormat/>
    <w:uiPriority w:val="0"/>
    <w:pPr>
      <w:numPr>
        <w:ilvl w:val="0"/>
        <w:numId w:val="4"/>
      </w:numPr>
      <w:spacing w:line="360" w:lineRule="auto"/>
      <w:jc w:val="left"/>
      <w:outlineLvl w:val="0"/>
    </w:pPr>
    <w:rPr>
      <w:rFonts w:ascii="Cambria" w:hAnsi="Cambria"/>
      <w:b/>
      <w:bCs/>
      <w:sz w:val="28"/>
      <w:szCs w:val="32"/>
    </w:rPr>
  </w:style>
  <w:style w:type="paragraph" w:styleId="34">
    <w:name w:val="annotation subject"/>
    <w:basedOn w:val="15"/>
    <w:next w:val="15"/>
    <w:link w:val="70"/>
    <w:autoRedefine/>
    <w:qFormat/>
    <w:uiPriority w:val="0"/>
    <w:rPr>
      <w:b/>
      <w:bCs/>
    </w:rPr>
  </w:style>
  <w:style w:type="paragraph" w:styleId="35">
    <w:name w:val="Body Text First Indent"/>
    <w:basedOn w:val="16"/>
    <w:autoRedefine/>
    <w:qFormat/>
    <w:uiPriority w:val="0"/>
    <w:pPr>
      <w:ind w:firstLine="420" w:firstLineChars="100"/>
    </w:pPr>
  </w:style>
  <w:style w:type="paragraph" w:styleId="36">
    <w:name w:val="Body Text First Indent 2"/>
    <w:basedOn w:val="17"/>
    <w:next w:val="1"/>
    <w:link w:val="57"/>
    <w:autoRedefine/>
    <w:qFormat/>
    <w:uiPriority w:val="0"/>
    <w:pPr>
      <w:ind w:left="420" w:firstLine="420" w:firstLineChars="200"/>
    </w:pPr>
    <w:rPr>
      <w:kern w:val="0"/>
      <w:sz w:val="20"/>
      <w:szCs w:val="2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0"/>
    <w:rPr>
      <w:rFonts w:ascii="Times New Roman" w:hAnsi="Times New Roman" w:eastAsia="宋体" w:cs="Times New Roman"/>
      <w:b/>
    </w:rPr>
  </w:style>
  <w:style w:type="character" w:styleId="41">
    <w:name w:val="page number"/>
    <w:autoRedefine/>
    <w:qFormat/>
    <w:uiPriority w:val="0"/>
    <w:rPr>
      <w:rFonts w:ascii="Times New Roman" w:hAnsi="Times New Roman" w:eastAsia="宋体" w:cs="Times New Roman"/>
    </w:rPr>
  </w:style>
  <w:style w:type="character" w:styleId="42">
    <w:name w:val="FollowedHyperlink"/>
    <w:autoRedefine/>
    <w:qFormat/>
    <w:uiPriority w:val="0"/>
    <w:rPr>
      <w:rFonts w:ascii="Times New Roman" w:hAnsi="Times New Roman" w:eastAsia="宋体" w:cs="Times New Roman"/>
      <w:color w:val="333333"/>
      <w:u w:val="none"/>
    </w:rPr>
  </w:style>
  <w:style w:type="character" w:styleId="43">
    <w:name w:val="Emphasis"/>
    <w:autoRedefine/>
    <w:qFormat/>
    <w:uiPriority w:val="0"/>
    <w:rPr>
      <w:rFonts w:ascii="Times New Roman" w:hAnsi="Times New Roman" w:eastAsia="宋体" w:cs="Times New Roman"/>
      <w:i/>
      <w:iCs/>
    </w:rPr>
  </w:style>
  <w:style w:type="character" w:styleId="44">
    <w:name w:val="HTML Definition"/>
    <w:autoRedefine/>
    <w:qFormat/>
    <w:uiPriority w:val="0"/>
    <w:rPr>
      <w:rFonts w:ascii="Times New Roman" w:hAnsi="Times New Roman" w:eastAsia="宋体" w:cs="Times New Roman"/>
    </w:rPr>
  </w:style>
  <w:style w:type="character" w:styleId="45">
    <w:name w:val="HTML Typewriter"/>
    <w:autoRedefine/>
    <w:qFormat/>
    <w:uiPriority w:val="0"/>
    <w:rPr>
      <w:rFonts w:hint="default" w:ascii="monospace" w:hAnsi="monospace" w:eastAsia="monospace" w:cs="monospace"/>
      <w:sz w:val="20"/>
    </w:rPr>
  </w:style>
  <w:style w:type="character" w:styleId="46">
    <w:name w:val="HTML Acronym"/>
    <w:autoRedefine/>
    <w:qFormat/>
    <w:uiPriority w:val="0"/>
    <w:rPr>
      <w:rFonts w:ascii="Times New Roman" w:hAnsi="Times New Roman" w:eastAsia="宋体" w:cs="Times New Roman"/>
    </w:rPr>
  </w:style>
  <w:style w:type="character" w:styleId="47">
    <w:name w:val="HTML Variable"/>
    <w:autoRedefine/>
    <w:qFormat/>
    <w:uiPriority w:val="0"/>
    <w:rPr>
      <w:rFonts w:ascii="Times New Roman" w:hAnsi="Times New Roman" w:eastAsia="宋体" w:cs="Times New Roman"/>
    </w:rPr>
  </w:style>
  <w:style w:type="character" w:styleId="48">
    <w:name w:val="Hyperlink"/>
    <w:basedOn w:val="39"/>
    <w:autoRedefine/>
    <w:qFormat/>
    <w:uiPriority w:val="0"/>
    <w:rPr>
      <w:rFonts w:ascii="Times New Roman" w:hAnsi="Times New Roman" w:eastAsia="宋体" w:cs="Times New Roman"/>
      <w:color w:val="333333"/>
      <w:u w:val="none"/>
    </w:rPr>
  </w:style>
  <w:style w:type="character" w:styleId="49">
    <w:name w:val="HTML Code"/>
    <w:autoRedefine/>
    <w:qFormat/>
    <w:uiPriority w:val="0"/>
    <w:rPr>
      <w:rFonts w:hint="default" w:ascii="monospace" w:hAnsi="monospace" w:eastAsia="monospace" w:cs="monospace"/>
      <w:sz w:val="20"/>
    </w:rPr>
  </w:style>
  <w:style w:type="character" w:styleId="50">
    <w:name w:val="annotation reference"/>
    <w:autoRedefine/>
    <w:qFormat/>
    <w:uiPriority w:val="0"/>
    <w:rPr>
      <w:rFonts w:ascii="Times New Roman" w:hAnsi="Times New Roman" w:eastAsia="宋体" w:cs="Times New Roman"/>
      <w:sz w:val="21"/>
      <w:szCs w:val="21"/>
    </w:rPr>
  </w:style>
  <w:style w:type="character" w:styleId="51">
    <w:name w:val="HTML Cite"/>
    <w:autoRedefine/>
    <w:qFormat/>
    <w:uiPriority w:val="0"/>
    <w:rPr>
      <w:rFonts w:ascii="Times New Roman" w:hAnsi="Times New Roman" w:eastAsia="宋体" w:cs="Times New Roman"/>
    </w:rPr>
  </w:style>
  <w:style w:type="character" w:styleId="52">
    <w:name w:val="HTML Keyboard"/>
    <w:autoRedefine/>
    <w:qFormat/>
    <w:uiPriority w:val="0"/>
    <w:rPr>
      <w:rFonts w:hint="default" w:ascii="monospace" w:hAnsi="monospace" w:eastAsia="monospace" w:cs="monospace"/>
      <w:sz w:val="20"/>
    </w:rPr>
  </w:style>
  <w:style w:type="character" w:styleId="53">
    <w:name w:val="HTML Sample"/>
    <w:autoRedefine/>
    <w:qFormat/>
    <w:uiPriority w:val="0"/>
    <w:rPr>
      <w:rFonts w:ascii="monospace" w:hAnsi="monospace" w:eastAsia="monospace" w:cs="monospace"/>
    </w:rPr>
  </w:style>
  <w:style w:type="paragraph" w:customStyle="1" w:styleId="54">
    <w:name w:val="正文1"/>
    <w:basedOn w:val="1"/>
    <w:next w:val="1"/>
    <w:autoRedefine/>
    <w:qFormat/>
    <w:uiPriority w:val="0"/>
    <w:pPr>
      <w:widowControl w:val="0"/>
      <w:spacing w:before="120" w:line="360" w:lineRule="auto"/>
      <w:ind w:left="420" w:firstLine="527"/>
      <w:jc w:val="both"/>
    </w:pPr>
    <w:rPr>
      <w:rFonts w:ascii="宋体" w:hAnsi="宋体"/>
      <w:kern w:val="2"/>
    </w:rPr>
  </w:style>
  <w:style w:type="paragraph" w:customStyle="1" w:styleId="5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6">
    <w:name w:val="正文文本缩进 Char"/>
    <w:link w:val="17"/>
    <w:autoRedefine/>
    <w:qFormat/>
    <w:uiPriority w:val="0"/>
    <w:rPr>
      <w:rFonts w:ascii="Times New Roman" w:hAnsi="Times New Roman" w:eastAsia="宋体" w:cs="Times New Roman"/>
      <w:kern w:val="2"/>
      <w:sz w:val="21"/>
      <w:szCs w:val="24"/>
    </w:rPr>
  </w:style>
  <w:style w:type="character" w:customStyle="1" w:styleId="57">
    <w:name w:val="正文首行缩进 2 Char"/>
    <w:link w:val="36"/>
    <w:autoRedefine/>
    <w:qFormat/>
    <w:uiPriority w:val="0"/>
    <w:rPr>
      <w:rFonts w:ascii="Times New Roman" w:hAnsi="Times New Roman" w:eastAsia="宋体" w:cs="Times New Roman"/>
    </w:rPr>
  </w:style>
  <w:style w:type="character" w:customStyle="1" w:styleId="58">
    <w:name w:val="标题 1 Char"/>
    <w:link w:val="2"/>
    <w:autoRedefine/>
    <w:qFormat/>
    <w:uiPriority w:val="0"/>
    <w:rPr>
      <w:rFonts w:ascii="Times New Roman" w:hAnsi="Times New Roman" w:eastAsia="宋体" w:cs="Times New Roman"/>
      <w:b/>
      <w:bCs/>
      <w:kern w:val="44"/>
      <w:sz w:val="32"/>
      <w:szCs w:val="44"/>
    </w:rPr>
  </w:style>
  <w:style w:type="character" w:customStyle="1" w:styleId="59">
    <w:name w:val="标题 4 Char"/>
    <w:link w:val="5"/>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60">
    <w:name w:val="标题 5 Char"/>
    <w:link w:val="7"/>
    <w:autoRedefine/>
    <w:qFormat/>
    <w:uiPriority w:val="0"/>
    <w:rPr>
      <w:rFonts w:ascii="Times New Roman" w:hAnsi="Times New Roman" w:eastAsia="宋体" w:cs="Times New Roman"/>
      <w:b/>
      <w:bCs/>
      <w:kern w:val="2"/>
      <w:sz w:val="28"/>
      <w:szCs w:val="28"/>
    </w:rPr>
  </w:style>
  <w:style w:type="character" w:customStyle="1" w:styleId="61">
    <w:name w:val="标题 6 Char"/>
    <w:link w:val="8"/>
    <w:autoRedefine/>
    <w:qFormat/>
    <w:uiPriority w:val="0"/>
    <w:rPr>
      <w:rFonts w:ascii="Cambria" w:hAnsi="Cambria" w:eastAsia="宋体" w:cs="Times New Roman"/>
      <w:b/>
      <w:bCs/>
      <w:kern w:val="2"/>
      <w:sz w:val="24"/>
      <w:szCs w:val="24"/>
    </w:rPr>
  </w:style>
  <w:style w:type="character" w:customStyle="1" w:styleId="62">
    <w:name w:val="标题 7 Char"/>
    <w:link w:val="9"/>
    <w:autoRedefine/>
    <w:qFormat/>
    <w:uiPriority w:val="0"/>
    <w:rPr>
      <w:rFonts w:ascii="Times New Roman" w:hAnsi="Times New Roman" w:eastAsia="宋体" w:cs="Times New Roman"/>
      <w:b/>
      <w:bCs/>
      <w:kern w:val="2"/>
      <w:sz w:val="24"/>
      <w:szCs w:val="24"/>
    </w:rPr>
  </w:style>
  <w:style w:type="character" w:customStyle="1" w:styleId="63">
    <w:name w:val="批注文字 Char"/>
    <w:link w:val="15"/>
    <w:autoRedefine/>
    <w:qFormat/>
    <w:uiPriority w:val="0"/>
    <w:rPr>
      <w:rFonts w:ascii="Times New Roman" w:hAnsi="Times New Roman" w:eastAsia="宋体" w:cs="Times New Roman"/>
      <w:kern w:val="2"/>
      <w:sz w:val="21"/>
      <w:szCs w:val="24"/>
    </w:rPr>
  </w:style>
  <w:style w:type="character" w:customStyle="1" w:styleId="64">
    <w:name w:val="纯文本 Char"/>
    <w:link w:val="20"/>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5">
    <w:name w:val="日期 Char"/>
    <w:link w:val="21"/>
    <w:autoRedefine/>
    <w:qFormat/>
    <w:uiPriority w:val="0"/>
    <w:rPr>
      <w:rFonts w:ascii="Arial" w:hAnsi="Arial" w:eastAsia="仿宋_GB2312" w:cs="Times New Roman"/>
      <w:color w:val="000000"/>
      <w:kern w:val="2"/>
      <w:sz w:val="32"/>
      <w:u w:val="none" w:color="000000"/>
    </w:rPr>
  </w:style>
  <w:style w:type="character" w:customStyle="1" w:styleId="66">
    <w:name w:val="正文文本缩进 2 Char"/>
    <w:link w:val="22"/>
    <w:autoRedefine/>
    <w:qFormat/>
    <w:uiPriority w:val="0"/>
    <w:rPr>
      <w:rFonts w:ascii="Times New Roman" w:hAnsi="Times New Roman" w:eastAsia="宋体" w:cs="Times New Roman"/>
      <w:kern w:val="2"/>
      <w:sz w:val="21"/>
      <w:szCs w:val="24"/>
    </w:rPr>
  </w:style>
  <w:style w:type="character" w:customStyle="1" w:styleId="67">
    <w:name w:val="批注框文本 Char"/>
    <w:link w:val="23"/>
    <w:autoRedefine/>
    <w:qFormat/>
    <w:uiPriority w:val="0"/>
    <w:rPr>
      <w:rFonts w:ascii="Times New Roman" w:hAnsi="Times New Roman" w:eastAsia="宋体" w:cs="Times New Roman"/>
      <w:kern w:val="2"/>
      <w:sz w:val="18"/>
      <w:szCs w:val="18"/>
    </w:rPr>
  </w:style>
  <w:style w:type="character" w:customStyle="1" w:styleId="68">
    <w:name w:val="页脚 Char"/>
    <w:link w:val="24"/>
    <w:autoRedefine/>
    <w:qFormat/>
    <w:uiPriority w:val="0"/>
    <w:rPr>
      <w:rFonts w:ascii="Times New Roman" w:hAnsi="Times New Roman" w:eastAsia="宋体" w:cs="Times New Roman"/>
      <w:kern w:val="2"/>
      <w:sz w:val="18"/>
      <w:szCs w:val="18"/>
    </w:rPr>
  </w:style>
  <w:style w:type="character" w:customStyle="1" w:styleId="69">
    <w:name w:val="页眉 Char"/>
    <w:link w:val="25"/>
    <w:autoRedefine/>
    <w:qFormat/>
    <w:uiPriority w:val="0"/>
    <w:rPr>
      <w:rFonts w:ascii="Times New Roman" w:hAnsi="Times New Roman" w:eastAsia="宋体" w:cs="Times New Roman"/>
      <w:kern w:val="2"/>
      <w:sz w:val="18"/>
      <w:szCs w:val="18"/>
    </w:rPr>
  </w:style>
  <w:style w:type="character" w:customStyle="1" w:styleId="70">
    <w:name w:val="批注主题 Char"/>
    <w:link w:val="34"/>
    <w:autoRedefine/>
    <w:qFormat/>
    <w:uiPriority w:val="0"/>
    <w:rPr>
      <w:rFonts w:ascii="Times New Roman" w:hAnsi="Times New Roman" w:eastAsia="宋体" w:cs="Times New Roman"/>
      <w:b/>
      <w:bCs/>
      <w:kern w:val="2"/>
      <w:sz w:val="21"/>
      <w:szCs w:val="24"/>
    </w:rPr>
  </w:style>
  <w:style w:type="character" w:customStyle="1" w:styleId="71">
    <w:name w:val="图表 Char Char"/>
    <w:link w:val="72"/>
    <w:autoRedefine/>
    <w:qFormat/>
    <w:uiPriority w:val="0"/>
    <w:rPr>
      <w:rFonts w:ascii="Times New Roman" w:hAnsi="Times New Roman" w:eastAsia="宋体" w:cs="Times New Roman"/>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正文】 Char Char"/>
    <w:link w:val="74"/>
    <w:autoRedefine/>
    <w:qFormat/>
    <w:uiPriority w:val="0"/>
    <w:rPr>
      <w:rFonts w:ascii="Times New Roman" w:hAnsi="Times New Roman" w:eastAsia="宋体" w:cs="DokChampa"/>
      <w:kern w:val="2"/>
      <w:sz w:val="24"/>
      <w:szCs w:val="22"/>
    </w:rPr>
  </w:style>
  <w:style w:type="paragraph" w:customStyle="1" w:styleId="74">
    <w:name w:val="【正文】"/>
    <w:basedOn w:val="1"/>
    <w:link w:val="73"/>
    <w:autoRedefine/>
    <w:qFormat/>
    <w:uiPriority w:val="0"/>
    <w:pPr>
      <w:spacing w:line="360" w:lineRule="auto"/>
      <w:ind w:firstLine="480" w:firstLineChars="200"/>
    </w:pPr>
    <w:rPr>
      <w:sz w:val="24"/>
      <w:szCs w:val="22"/>
    </w:rPr>
  </w:style>
  <w:style w:type="character" w:customStyle="1" w:styleId="75">
    <w:name w:val="selected"/>
    <w:autoRedefine/>
    <w:qFormat/>
    <w:uiPriority w:val="0"/>
    <w:rPr>
      <w:rFonts w:ascii="Times New Roman" w:hAnsi="Times New Roman" w:eastAsia="宋体" w:cs="Times New Roman"/>
      <w:shd w:val="clear" w:color="auto" w:fill="B00006"/>
    </w:rPr>
  </w:style>
  <w:style w:type="character" w:customStyle="1" w:styleId="76">
    <w:name w:val="font21"/>
    <w:basedOn w:val="39"/>
    <w:autoRedefine/>
    <w:qFormat/>
    <w:uiPriority w:val="0"/>
    <w:rPr>
      <w:rFonts w:hint="eastAsia" w:ascii="宋体" w:hAnsi="宋体" w:eastAsia="宋体" w:cs="宋体"/>
      <w:color w:val="000000"/>
      <w:sz w:val="18"/>
      <w:szCs w:val="18"/>
      <w:u w:val="none"/>
    </w:rPr>
  </w:style>
  <w:style w:type="character" w:customStyle="1" w:styleId="77">
    <w:name w:val="bds_nopic"/>
    <w:autoRedefine/>
    <w:qFormat/>
    <w:uiPriority w:val="0"/>
    <w:rPr>
      <w:rFonts w:ascii="Times New Roman" w:hAnsi="Times New Roman" w:eastAsia="宋体" w:cs="Times New Roman"/>
    </w:rPr>
  </w:style>
  <w:style w:type="character" w:customStyle="1" w:styleId="78">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9">
    <w:name w:val="gpa"/>
    <w:autoRedefine/>
    <w:qFormat/>
    <w:uiPriority w:val="0"/>
    <w:rPr>
      <w:rFonts w:ascii="Arial" w:hAnsi="Arial" w:eastAsia="宋体" w:cs="Arial"/>
      <w:sz w:val="15"/>
      <w:szCs w:val="15"/>
    </w:rPr>
  </w:style>
  <w:style w:type="character" w:customStyle="1" w:styleId="80">
    <w:name w:val="正文首行缩进 2 Char1"/>
    <w:autoRedefine/>
    <w:qFormat/>
    <w:uiPriority w:val="0"/>
    <w:rPr>
      <w:rFonts w:ascii="Times New Roman" w:hAnsi="Times New Roman" w:eastAsia="宋体" w:cs="Times New Roman"/>
    </w:rPr>
  </w:style>
  <w:style w:type="character" w:customStyle="1" w:styleId="81">
    <w:name w:val="列出段落 Char"/>
    <w:link w:val="82"/>
    <w:autoRedefine/>
    <w:qFormat/>
    <w:uiPriority w:val="0"/>
    <w:rPr>
      <w:rFonts w:ascii="Calibri" w:hAnsi="Calibri" w:eastAsia="宋体" w:cs="Times New Roman"/>
      <w:kern w:val="2"/>
      <w:sz w:val="21"/>
      <w:szCs w:val="22"/>
      <w:lang w:val="en-US" w:eastAsia="zh-CN" w:bidi="ar-SA"/>
    </w:rPr>
  </w:style>
  <w:style w:type="paragraph" w:customStyle="1" w:styleId="82">
    <w:name w:val="List Paragraph1"/>
    <w:basedOn w:val="1"/>
    <w:link w:val="81"/>
    <w:autoRedefine/>
    <w:qFormat/>
    <w:uiPriority w:val="0"/>
    <w:pPr>
      <w:spacing w:line="312" w:lineRule="auto"/>
      <w:ind w:firstLine="420" w:firstLineChars="200"/>
    </w:pPr>
    <w:rPr>
      <w:rFonts w:ascii="Calibri" w:hAnsi="Calibri"/>
      <w:szCs w:val="22"/>
    </w:rPr>
  </w:style>
  <w:style w:type="character" w:customStyle="1" w:styleId="83">
    <w:name w:val="bds_nopic2"/>
    <w:autoRedefine/>
    <w:qFormat/>
    <w:uiPriority w:val="0"/>
    <w:rPr>
      <w:rFonts w:ascii="Times New Roman" w:hAnsi="Times New Roman" w:eastAsia="宋体" w:cs="Times New Roman"/>
    </w:rPr>
  </w:style>
  <w:style w:type="character" w:customStyle="1" w:styleId="84">
    <w:name w:val="font61"/>
    <w:autoRedefine/>
    <w:qFormat/>
    <w:uiPriority w:val="0"/>
    <w:rPr>
      <w:rFonts w:hint="default" w:ascii="MS Sans Serif" w:hAnsi="MS Sans Serif" w:eastAsia="MS Sans Serif" w:cs="MS Sans Serif"/>
      <w:color w:val="000000"/>
      <w:sz w:val="18"/>
      <w:szCs w:val="18"/>
      <w:u w:val="none"/>
    </w:rPr>
  </w:style>
  <w:style w:type="character" w:customStyle="1" w:styleId="85">
    <w:name w:val="bds_more1"/>
    <w:autoRedefine/>
    <w:qFormat/>
    <w:uiPriority w:val="0"/>
    <w:rPr>
      <w:rFonts w:ascii="Times New Roman" w:hAnsi="Times New Roman" w:eastAsia="宋体" w:cs="Times New Roman"/>
    </w:rPr>
  </w:style>
  <w:style w:type="character" w:customStyle="1" w:styleId="86">
    <w:name w:val="font71"/>
    <w:autoRedefine/>
    <w:qFormat/>
    <w:uiPriority w:val="0"/>
    <w:rPr>
      <w:rFonts w:hint="default" w:ascii="MS Sans Serif" w:hAnsi="MS Sans Serif" w:eastAsia="MS Sans Serif" w:cs="MS Sans Serif"/>
      <w:color w:val="000000"/>
      <w:sz w:val="18"/>
      <w:szCs w:val="18"/>
      <w:u w:val="none"/>
    </w:rPr>
  </w:style>
  <w:style w:type="character" w:customStyle="1" w:styleId="87">
    <w:name w:val="first-child"/>
    <w:autoRedefine/>
    <w:qFormat/>
    <w:uiPriority w:val="0"/>
    <w:rPr>
      <w:rFonts w:ascii="Times New Roman" w:hAnsi="Times New Roman" w:eastAsia="宋体" w:cs="Times New Roman"/>
    </w:rPr>
  </w:style>
  <w:style w:type="character" w:customStyle="1" w:styleId="88">
    <w:name w:val="bds_nopic1"/>
    <w:autoRedefine/>
    <w:qFormat/>
    <w:uiPriority w:val="0"/>
    <w:rPr>
      <w:rFonts w:ascii="Times New Roman" w:hAnsi="Times New Roman" w:eastAsia="宋体" w:cs="Times New Roman"/>
    </w:rPr>
  </w:style>
  <w:style w:type="character" w:customStyle="1" w:styleId="89">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90">
    <w:name w:val="font81"/>
    <w:autoRedefine/>
    <w:qFormat/>
    <w:uiPriority w:val="0"/>
    <w:rPr>
      <w:rFonts w:ascii="Arial Unicode MS" w:hAnsi="Arial Unicode MS" w:eastAsia="Arial Unicode MS" w:cs="Arial Unicode MS"/>
      <w:color w:val="000000"/>
      <w:sz w:val="18"/>
      <w:szCs w:val="18"/>
      <w:u w:val="none"/>
    </w:rPr>
  </w:style>
  <w:style w:type="character" w:customStyle="1" w:styleId="91">
    <w:name w:val="apple-converted-space"/>
    <w:autoRedefine/>
    <w:qFormat/>
    <w:uiPriority w:val="0"/>
    <w:rPr>
      <w:rFonts w:ascii="Times New Roman" w:hAnsi="Times New Roman" w:eastAsia="宋体" w:cs="Times New Roman"/>
    </w:rPr>
  </w:style>
  <w:style w:type="character" w:customStyle="1" w:styleId="92">
    <w:name w:val="displayarti"/>
    <w:autoRedefine/>
    <w:qFormat/>
    <w:uiPriority w:val="0"/>
    <w:rPr>
      <w:rFonts w:ascii="Times New Roman" w:hAnsi="Times New Roman" w:eastAsia="宋体" w:cs="Times New Roman"/>
      <w:color w:val="FFFFFF"/>
      <w:shd w:val="clear" w:color="auto" w:fill="A00000"/>
    </w:rPr>
  </w:style>
  <w:style w:type="character" w:customStyle="1" w:styleId="93">
    <w:name w:val="font131"/>
    <w:autoRedefine/>
    <w:qFormat/>
    <w:uiPriority w:val="0"/>
    <w:rPr>
      <w:rFonts w:hint="eastAsia" w:ascii="宋体" w:hAnsi="宋体" w:eastAsia="宋体" w:cs="宋体"/>
      <w:b/>
      <w:bCs/>
      <w:color w:val="000000"/>
      <w:sz w:val="20"/>
      <w:szCs w:val="20"/>
      <w:u w:val="none"/>
    </w:rPr>
  </w:style>
  <w:style w:type="character" w:customStyle="1" w:styleId="94">
    <w:name w:val="bds_more2"/>
    <w:autoRedefine/>
    <w:qFormat/>
    <w:uiPriority w:val="0"/>
    <w:rPr>
      <w:rFonts w:ascii="Times New Roman" w:hAnsi="Times New Roman" w:eastAsia="宋体" w:cs="Times New Roman"/>
    </w:rPr>
  </w:style>
  <w:style w:type="character" w:customStyle="1" w:styleId="95">
    <w:name w:val="bds_more"/>
    <w:autoRedefine/>
    <w:qFormat/>
    <w:uiPriority w:val="0"/>
    <w:rPr>
      <w:rFonts w:hint="eastAsia" w:ascii="宋体" w:hAnsi="宋体" w:eastAsia="宋体" w:cs="宋体"/>
    </w:rPr>
  </w:style>
  <w:style w:type="paragraph" w:customStyle="1" w:styleId="96">
    <w:name w:val="Char Char Char Char"/>
    <w:basedOn w:val="1"/>
    <w:autoRedefine/>
    <w:qFormat/>
    <w:uiPriority w:val="0"/>
    <w:rPr>
      <w:rFonts w:ascii="Tahoma" w:hAnsi="Tahoma"/>
      <w:sz w:val="24"/>
      <w:szCs w:val="20"/>
    </w:rPr>
  </w:style>
  <w:style w:type="paragraph" w:customStyle="1" w:styleId="97">
    <w:name w:val="标题4"/>
    <w:basedOn w:val="1"/>
    <w:autoRedefine/>
    <w:qFormat/>
    <w:uiPriority w:val="0"/>
    <w:pPr>
      <w:numPr>
        <w:ilvl w:val="0"/>
        <w:numId w:val="5"/>
      </w:numPr>
      <w:spacing w:line="360" w:lineRule="auto"/>
      <w:ind w:left="720" w:leftChars="300"/>
      <w:jc w:val="left"/>
    </w:pPr>
    <w:rPr>
      <w:rFonts w:ascii="宋体" w:hAnsi="宋体"/>
      <w:sz w:val="18"/>
      <w:szCs w:val="18"/>
    </w:rPr>
  </w:style>
  <w:style w:type="paragraph" w:customStyle="1" w:styleId="98">
    <w:name w:val="Table Paragraph"/>
    <w:basedOn w:val="1"/>
    <w:autoRedefine/>
    <w:qFormat/>
    <w:uiPriority w:val="0"/>
    <w:rPr>
      <w:rFonts w:ascii="宋体" w:hAnsi="宋体" w:cs="宋体"/>
      <w:lang w:val="zh-CN" w:bidi="zh-CN"/>
    </w:rPr>
  </w:style>
  <w:style w:type="paragraph" w:customStyle="1" w:styleId="99">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00">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01">
    <w:name w:val="正文缩进1"/>
    <w:basedOn w:val="1"/>
    <w:next w:val="14"/>
    <w:autoRedefine/>
    <w:qFormat/>
    <w:uiPriority w:val="0"/>
    <w:pPr>
      <w:spacing w:line="360" w:lineRule="atLeast"/>
      <w:ind w:firstLine="482"/>
    </w:pPr>
    <w:rPr>
      <w:sz w:val="24"/>
    </w:rPr>
  </w:style>
  <w:style w:type="paragraph" w:customStyle="1" w:styleId="102">
    <w:name w:val="Char Char Char Char Char Char Char1 Char"/>
    <w:basedOn w:val="1"/>
    <w:autoRedefine/>
    <w:qFormat/>
    <w:uiPriority w:val="0"/>
    <w:rPr>
      <w:rFonts w:ascii="Tahoma" w:hAnsi="Tahoma"/>
      <w:sz w:val="24"/>
      <w:szCs w:val="20"/>
    </w:rPr>
  </w:style>
  <w:style w:type="paragraph" w:customStyle="1" w:styleId="103">
    <w:name w:val="Char"/>
    <w:basedOn w:val="1"/>
    <w:autoRedefine/>
    <w:qFormat/>
    <w:uiPriority w:val="0"/>
  </w:style>
  <w:style w:type="paragraph" w:customStyle="1" w:styleId="104">
    <w:name w:val="（无样式）"/>
    <w:basedOn w:val="1"/>
    <w:autoRedefine/>
    <w:qFormat/>
    <w:uiPriority w:val="0"/>
    <w:pPr>
      <w:widowControl/>
      <w:numPr>
        <w:ilvl w:val="0"/>
        <w:numId w:val="6"/>
      </w:numPr>
      <w:spacing w:line="360" w:lineRule="auto"/>
      <w:ind w:firstLine="0"/>
    </w:pPr>
    <w:rPr>
      <w:sz w:val="24"/>
      <w:szCs w:val="20"/>
    </w:rPr>
  </w:style>
  <w:style w:type="paragraph" w:customStyle="1" w:styleId="10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6">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07">
    <w:name w:val="_Style 102"/>
    <w:autoRedefine/>
    <w:qFormat/>
    <w:uiPriority w:val="0"/>
    <w:rPr>
      <w:rFonts w:ascii="Times New Roman" w:hAnsi="Times New Roman" w:eastAsia="宋体" w:cs="Times New Roman"/>
      <w:kern w:val="2"/>
      <w:sz w:val="21"/>
      <w:szCs w:val="24"/>
      <w:lang w:val="en-US" w:eastAsia="zh-CN" w:bidi="ar-SA"/>
    </w:rPr>
  </w:style>
  <w:style w:type="paragraph" w:customStyle="1" w:styleId="108">
    <w:name w:val="Char1"/>
    <w:basedOn w:val="1"/>
    <w:next w:val="1"/>
    <w:autoRedefine/>
    <w:qFormat/>
    <w:uiPriority w:val="0"/>
    <w:pPr>
      <w:widowControl/>
      <w:spacing w:line="360" w:lineRule="auto"/>
      <w:jc w:val="left"/>
    </w:pPr>
    <w:rPr>
      <w:kern w:val="0"/>
      <w:szCs w:val="20"/>
      <w:lang w:eastAsia="en-US"/>
    </w:rPr>
  </w:style>
  <w:style w:type="paragraph" w:customStyle="1" w:styleId="109">
    <w:name w:val="_Style 2"/>
    <w:basedOn w:val="1"/>
    <w:autoRedefine/>
    <w:qFormat/>
    <w:uiPriority w:val="0"/>
  </w:style>
  <w:style w:type="paragraph" w:customStyle="1" w:styleId="110">
    <w:name w:val="列出段落2"/>
    <w:basedOn w:val="1"/>
    <w:autoRedefine/>
    <w:qFormat/>
    <w:uiPriority w:val="0"/>
    <w:pPr>
      <w:ind w:firstLine="420" w:firstLineChars="200"/>
    </w:pPr>
    <w:rPr>
      <w:rFonts w:ascii="Calibri" w:hAnsi="Calibri"/>
      <w:szCs w:val="22"/>
    </w:rPr>
  </w:style>
  <w:style w:type="paragraph" w:customStyle="1" w:styleId="111">
    <w:name w:val="*正文"/>
    <w:basedOn w:val="1"/>
    <w:autoRedefine/>
    <w:qFormat/>
    <w:uiPriority w:val="0"/>
    <w:pPr>
      <w:widowControl/>
      <w:snapToGrid w:val="0"/>
      <w:ind w:firstLine="560"/>
      <w:jc w:val="left"/>
    </w:pPr>
    <w:rPr>
      <w:rFonts w:ascii="仿宋_GB2312"/>
      <w:color w:val="191919"/>
      <w:sz w:val="28"/>
      <w:szCs w:val="28"/>
    </w:rPr>
  </w:style>
  <w:style w:type="paragraph" w:customStyle="1" w:styleId="112">
    <w:name w:val="列出段落1"/>
    <w:basedOn w:val="1"/>
    <w:autoRedefine/>
    <w:qFormat/>
    <w:uiPriority w:val="0"/>
    <w:pPr>
      <w:ind w:firstLine="420" w:firstLineChars="200"/>
    </w:pPr>
  </w:style>
  <w:style w:type="paragraph" w:customStyle="1" w:styleId="113">
    <w:name w:val="HtmlNormal"/>
    <w:basedOn w:val="1"/>
    <w:autoRedefine/>
    <w:qFormat/>
    <w:uiPriority w:val="0"/>
    <w:pPr>
      <w:widowControl/>
      <w:spacing w:before="100" w:beforeAutospacing="1" w:after="100" w:afterAutospacing="1"/>
      <w:jc w:val="left"/>
    </w:pPr>
    <w:rPr>
      <w:rFonts w:ascii="宋体" w:hAnsi="宋体"/>
      <w:kern w:val="0"/>
      <w:sz w:val="24"/>
    </w:rPr>
  </w:style>
  <w:style w:type="paragraph" w:styleId="114">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5">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6">
    <w:name w:val="_Style 4"/>
    <w:basedOn w:val="1"/>
    <w:autoRedefine/>
    <w:qFormat/>
    <w:uiPriority w:val="0"/>
    <w:pPr>
      <w:adjustRightInd w:val="0"/>
      <w:ind w:firstLine="420" w:firstLineChars="200"/>
      <w:jc w:val="left"/>
      <w:textAlignment w:val="baseline"/>
    </w:pPr>
    <w:rPr>
      <w:kern w:val="0"/>
      <w:szCs w:val="20"/>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正文文字 8"/>
    <w:basedOn w:val="1"/>
    <w:next w:val="1"/>
    <w:autoRedefine/>
    <w:qFormat/>
    <w:uiPriority w:val="0"/>
    <w:pPr>
      <w:ind w:left="240"/>
    </w:pPr>
    <w:rPr>
      <w:sz w:val="16"/>
    </w:rPr>
  </w:style>
  <w:style w:type="paragraph" w:customStyle="1" w:styleId="119">
    <w:name w:val="样式1"/>
    <w:basedOn w:val="1"/>
    <w:autoRedefine/>
    <w:qFormat/>
    <w:uiPriority w:val="0"/>
    <w:pPr>
      <w:spacing w:line="360" w:lineRule="auto"/>
      <w:jc w:val="center"/>
    </w:pPr>
    <w:rPr>
      <w:b/>
      <w:sz w:val="30"/>
      <w:szCs w:val="30"/>
    </w:rPr>
  </w:style>
  <w:style w:type="paragraph" w:customStyle="1" w:styleId="120">
    <w:name w:val="列表2"/>
    <w:basedOn w:val="1"/>
    <w:next w:val="1"/>
    <w:autoRedefine/>
    <w:qFormat/>
    <w:uiPriority w:val="0"/>
    <w:pPr>
      <w:numPr>
        <w:ilvl w:val="0"/>
        <w:numId w:val="7"/>
      </w:numPr>
      <w:spacing w:line="200" w:lineRule="atLeast"/>
    </w:pPr>
    <w:rPr>
      <w:rFonts w:eastAsia="仿宋"/>
      <w:sz w:val="28"/>
    </w:rPr>
  </w:style>
  <w:style w:type="paragraph" w:customStyle="1" w:styleId="121">
    <w:name w:val="标题3-副本"/>
    <w:basedOn w:val="27"/>
    <w:autoRedefine/>
    <w:qFormat/>
    <w:uiPriority w:val="0"/>
    <w:pPr>
      <w:numPr>
        <w:ilvl w:val="0"/>
        <w:numId w:val="0"/>
      </w:numPr>
      <w:ind w:left="840"/>
    </w:pPr>
    <w:rPr>
      <w:rFonts w:ascii="Times New Roman" w:hAnsi="Times New Roman"/>
    </w:rPr>
  </w:style>
  <w:style w:type="paragraph" w:customStyle="1" w:styleId="122">
    <w:name w:val="_Style 117"/>
    <w:basedOn w:val="1"/>
    <w:next w:val="1"/>
    <w:autoRedefine/>
    <w:qFormat/>
    <w:uiPriority w:val="0"/>
    <w:pPr>
      <w:pBdr>
        <w:bottom w:val="single" w:color="auto" w:sz="6" w:space="1"/>
      </w:pBdr>
      <w:jc w:val="center"/>
    </w:pPr>
    <w:rPr>
      <w:rFonts w:ascii="Arial"/>
      <w:vanish/>
      <w:sz w:val="16"/>
    </w:rPr>
  </w:style>
  <w:style w:type="paragraph" w:customStyle="1" w:styleId="123">
    <w:name w:val="_Style 118"/>
    <w:basedOn w:val="1"/>
    <w:next w:val="1"/>
    <w:autoRedefine/>
    <w:qFormat/>
    <w:uiPriority w:val="0"/>
    <w:pPr>
      <w:pBdr>
        <w:top w:val="single" w:color="auto" w:sz="6" w:space="1"/>
      </w:pBdr>
      <w:jc w:val="center"/>
    </w:pPr>
    <w:rPr>
      <w:rFonts w:ascii="Arial"/>
      <w:vanish/>
      <w:sz w:val="16"/>
    </w:rPr>
  </w:style>
  <w:style w:type="paragraph" w:customStyle="1" w:styleId="124">
    <w:name w:val="无间隔1"/>
    <w:basedOn w:val="1"/>
    <w:autoRedefine/>
    <w:qFormat/>
    <w:uiPriority w:val="0"/>
    <w:pPr>
      <w:widowControl/>
      <w:adjustRightInd w:val="0"/>
      <w:snapToGrid w:val="0"/>
      <w:jc w:val="left"/>
    </w:pPr>
    <w:rPr>
      <w:rFonts w:ascii="Tahoma" w:hAnsi="Tahoma" w:eastAsia="微软雅黑"/>
      <w:kern w:val="0"/>
      <w:sz w:val="24"/>
      <w:szCs w:val="22"/>
    </w:rPr>
  </w:style>
  <w:style w:type="paragraph" w:customStyle="1" w:styleId="125">
    <w:name w:val="text-tag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6">
    <w:name w:val="font11"/>
    <w:autoRedefine/>
    <w:qFormat/>
    <w:uiPriority w:val="0"/>
    <w:rPr>
      <w:rFonts w:hint="eastAsia" w:ascii="宋体" w:hAnsi="宋体" w:eastAsia="宋体" w:cs="宋体"/>
      <w:color w:val="000000"/>
      <w:sz w:val="16"/>
      <w:szCs w:val="16"/>
      <w:u w:val="none"/>
    </w:rPr>
  </w:style>
  <w:style w:type="character" w:customStyle="1" w:styleId="127">
    <w:name w:val="font31"/>
    <w:basedOn w:val="39"/>
    <w:autoRedefine/>
    <w:qFormat/>
    <w:uiPriority w:val="0"/>
    <w:rPr>
      <w:rFonts w:ascii="宋体" w:hAnsi="宋体" w:eastAsia="宋体" w:cs="宋体"/>
      <w:color w:val="000000"/>
      <w:sz w:val="16"/>
      <w:szCs w:val="16"/>
      <w:u w:val="none"/>
    </w:rPr>
  </w:style>
  <w:style w:type="character" w:customStyle="1" w:styleId="128">
    <w:name w:val="font41"/>
    <w:basedOn w:val="39"/>
    <w:autoRedefine/>
    <w:qFormat/>
    <w:uiPriority w:val="0"/>
    <w:rPr>
      <w:rFonts w:hint="eastAsia" w:ascii="宋体" w:hAnsi="宋体" w:eastAsia="宋体" w:cs="宋体"/>
      <w:color w:val="000000"/>
      <w:sz w:val="21"/>
      <w:szCs w:val="21"/>
      <w:u w:val="none"/>
    </w:rPr>
  </w:style>
  <w:style w:type="character" w:customStyle="1" w:styleId="129">
    <w:name w:val="hover"/>
    <w:basedOn w:val="39"/>
    <w:autoRedefine/>
    <w:qFormat/>
    <w:uiPriority w:val="0"/>
  </w:style>
  <w:style w:type="character" w:customStyle="1" w:styleId="130">
    <w:name w:val="hover1"/>
    <w:basedOn w:val="39"/>
    <w:autoRedefine/>
    <w:qFormat/>
    <w:uiPriority w:val="0"/>
    <w:rPr>
      <w:color w:val="2590EB"/>
    </w:rPr>
  </w:style>
  <w:style w:type="character" w:customStyle="1" w:styleId="131">
    <w:name w:val="hover2"/>
    <w:basedOn w:val="39"/>
    <w:autoRedefine/>
    <w:qFormat/>
    <w:uiPriority w:val="0"/>
    <w:rPr>
      <w:color w:val="2590EB"/>
    </w:rPr>
  </w:style>
  <w:style w:type="character" w:customStyle="1" w:styleId="132">
    <w:name w:val="hover3"/>
    <w:basedOn w:val="39"/>
    <w:autoRedefine/>
    <w:qFormat/>
    <w:uiPriority w:val="0"/>
    <w:rPr>
      <w:color w:val="2590EB"/>
      <w:shd w:val="clear" w:color="auto" w:fill="E9F4FD"/>
    </w:rPr>
  </w:style>
  <w:style w:type="table" w:customStyle="1" w:styleId="133">
    <w:name w:val="Table Normal"/>
    <w:autoRedefine/>
    <w:semiHidden/>
    <w:unhideWhenUsed/>
    <w:qFormat/>
    <w:uiPriority w:val="0"/>
    <w:tblPr>
      <w:tblCellMar>
        <w:top w:w="0" w:type="dxa"/>
        <w:left w:w="0" w:type="dxa"/>
        <w:bottom w:w="0" w:type="dxa"/>
        <w:right w:w="0" w:type="dxa"/>
      </w:tblCellMar>
    </w:tblPr>
  </w:style>
  <w:style w:type="paragraph" w:customStyle="1" w:styleId="134">
    <w:name w:val="Table Text"/>
    <w:basedOn w:val="1"/>
    <w:autoRedefine/>
    <w:semiHidden/>
    <w:qFormat/>
    <w:uiPriority w:val="0"/>
    <w:rPr>
      <w:rFonts w:ascii="宋体" w:hAnsi="宋体" w:eastAsia="宋体" w:cs="宋体"/>
      <w:sz w:val="20"/>
      <w:szCs w:val="20"/>
      <w:lang w:val="en-US" w:eastAsia="en-US" w:bidi="ar-SA"/>
    </w:rPr>
  </w:style>
  <w:style w:type="character" w:customStyle="1" w:styleId="135">
    <w:name w:val="fontstyle01"/>
    <w:basedOn w:val="39"/>
    <w:autoRedefine/>
    <w:qFormat/>
    <w:uiPriority w:val="0"/>
    <w:rPr>
      <w:rFonts w:ascii="宋体" w:hAnsi="宋体" w:eastAsia="宋体" w:cs="宋体"/>
      <w:color w:val="000000"/>
      <w:sz w:val="32"/>
      <w:szCs w:val="32"/>
    </w:rPr>
  </w:style>
  <w:style w:type="character" w:customStyle="1" w:styleId="136">
    <w:name w:val="fontstyle21"/>
    <w:basedOn w:val="39"/>
    <w:autoRedefine/>
    <w:qFormat/>
    <w:uiPriority w:val="0"/>
    <w:rPr>
      <w:rFonts w:ascii="TimesNewRomanPSMT" w:hAnsi="TimesNewRomanPSMT" w:eastAsia="TimesNewRomanPSMT" w:cs="TimesNewRomanPSMT"/>
      <w:color w:val="000000"/>
      <w:sz w:val="18"/>
      <w:szCs w:val="18"/>
    </w:rPr>
  </w:style>
  <w:style w:type="character" w:customStyle="1" w:styleId="137">
    <w:name w:val="font01"/>
    <w:basedOn w:val="39"/>
    <w:autoRedefine/>
    <w:qFormat/>
    <w:uiPriority w:val="0"/>
    <w:rPr>
      <w:rFonts w:hint="eastAsia" w:ascii="宋体" w:hAnsi="宋体" w:eastAsia="宋体" w:cs="宋体"/>
      <w:color w:val="FF0000"/>
      <w:sz w:val="20"/>
      <w:szCs w:val="20"/>
      <w:u w:val="none"/>
    </w:rPr>
  </w:style>
  <w:style w:type="character" w:customStyle="1" w:styleId="138">
    <w:name w:val="hover4"/>
    <w:basedOn w:val="39"/>
    <w:qFormat/>
    <w:uiPriority w:val="0"/>
    <w:rPr>
      <w:color w:val="2590EB"/>
      <w:shd w:val="clear" w:fill="E9F4FD"/>
    </w:rPr>
  </w:style>
  <w:style w:type="character" w:customStyle="1" w:styleId="139">
    <w:name w:val="mini-outputtext1"/>
    <w:basedOn w:val="39"/>
    <w:qFormat/>
    <w:uiPriority w:val="0"/>
  </w:style>
  <w:style w:type="paragraph" w:customStyle="1" w:styleId="140">
    <w:name w:val="my正文"/>
    <w:basedOn w:val="1"/>
    <w:qFormat/>
    <w:uiPriority w:val="0"/>
    <w:pPr>
      <w:ind w:firstLine="480"/>
    </w:pPr>
    <w:rPr>
      <w:rFonts w:asciiTheme="minorHAnsi" w:hAnsiTheme="minorHAnsi" w:eastAsiaTheme="minorEastAsia" w:cstheme="minorBidi"/>
      <w:kern w:val="0"/>
      <w:sz w:val="24"/>
      <w:szCs w:val="24"/>
    </w:rPr>
  </w:style>
  <w:style w:type="paragraph" w:customStyle="1" w:styleId="141">
    <w:name w:val="Body Text First Indent 21"/>
    <w:basedOn w:val="142"/>
    <w:next w:val="28"/>
    <w:unhideWhenUsed/>
    <w:qFormat/>
    <w:uiPriority w:val="0"/>
    <w:pPr>
      <w:spacing w:beforeLines="0" w:after="0" w:line="360" w:lineRule="auto"/>
      <w:ind w:left="0" w:leftChars="0" w:firstLine="200" w:firstLineChars="200"/>
    </w:pPr>
    <w:rPr>
      <w:rFonts w:hint="default" w:ascii="宋体" w:eastAsia="宋体"/>
      <w:sz w:val="21"/>
      <w:szCs w:val="20"/>
    </w:rPr>
  </w:style>
  <w:style w:type="paragraph" w:customStyle="1" w:styleId="142">
    <w:name w:val="Body Text Indent1"/>
    <w:basedOn w:val="1"/>
    <w:unhideWhenUsed/>
    <w:qFormat/>
    <w:uiPriority w:val="0"/>
    <w:pPr>
      <w:spacing w:beforeLines="0" w:after="120"/>
      <w:ind w:left="420" w:leftChars="200"/>
    </w:pPr>
    <w:rPr>
      <w:rFonts w:hint="eastAsia" w:ascii="Times New Roman" w:hAnsi="Times New Roman" w:eastAsia="Times New Roman"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84</Pages>
  <Words>15023</Words>
  <Characters>16649</Characters>
  <Lines>334</Lines>
  <Paragraphs>94</Paragraphs>
  <TotalTime>0</TotalTime>
  <ScaleCrop>false</ScaleCrop>
  <LinksUpToDate>false</LinksUpToDate>
  <CharactersWithSpaces>17065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2025-08-21T01:45:00Z</dcterms:created>
  <dc:creator>陈倩倩</dc:creator>
  <cp:lastModifiedBy>代理</cp:lastModifiedBy>
  <cp:lastPrinted>2025-10-17T01:27:00Z</cp:lastPrinted>
  <dcterms:modified xsi:type="dcterms:W3CDTF">2026-06-08T10:07:26Z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B4545658DCC64D8EB1B35011DFF00DA8_13</vt:lpwstr>
  </property>
  <property fmtid="{D5CDD505-2E9C-101B-9397-08002B2CF9AE}" pid="4" name="KSOTemplateDocerSaveRecord">
    <vt:lpwstr>eyJoZGlkIjoiOTc5MDNjMmIyODczM2YwMGZkZTNjYWY1NjIxZTY5YjciLCJ1c2VySWQiOiI1MDM3MjkwOTMifQ==</vt:lpwstr>
  </property>
</Properties>
</file>