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4153C">
      <w:pPr>
        <w:tabs>
          <w:tab w:val="left" w:pos="315"/>
          <w:tab w:val="left" w:pos="8820"/>
        </w:tabs>
        <w:spacing w:before="240" w:beforeLines="100" w:after="120" w:afterLines="50" w:line="500" w:lineRule="exact"/>
        <w:ind w:right="254" w:rightChars="127"/>
        <w:jc w:val="center"/>
        <w:rPr>
          <w:b/>
          <w:bCs/>
          <w:color w:val="auto"/>
          <w:sz w:val="52"/>
          <w:szCs w:val="52"/>
          <w:highlight w:val="none"/>
          <w:vertAlign w:val="superscript"/>
        </w:rPr>
      </w:pPr>
    </w:p>
    <w:p w14:paraId="60BBE7F3">
      <w:pPr>
        <w:jc w:val="center"/>
        <w:rPr>
          <w:rFonts w:hint="eastAsia" w:hAnsi="宋体" w:cs="宋体"/>
          <w:b/>
          <w:color w:val="auto"/>
          <w:kern w:val="0"/>
          <w:sz w:val="56"/>
          <w:szCs w:val="56"/>
          <w:highlight w:val="none"/>
          <w:lang w:eastAsia="zh-CN"/>
        </w:rPr>
      </w:pPr>
      <w:r>
        <w:rPr>
          <w:rFonts w:hint="eastAsia" w:hAnsi="宋体" w:cs="宋体"/>
          <w:b/>
          <w:color w:val="auto"/>
          <w:kern w:val="0"/>
          <w:sz w:val="56"/>
          <w:szCs w:val="56"/>
          <w:highlight w:val="none"/>
          <w:lang w:eastAsia="zh-CN"/>
        </w:rPr>
        <w:t>琅琊区环湖路路灯项目</w:t>
      </w:r>
    </w:p>
    <w:p w14:paraId="5F699F35">
      <w:pPr>
        <w:pStyle w:val="54"/>
        <w:ind w:left="0" w:leftChars="0" w:firstLine="0" w:firstLineChars="0"/>
        <w:rPr>
          <w:rFonts w:hint="eastAsia" w:hAnsi="宋体" w:cs="宋体"/>
          <w:b/>
          <w:color w:val="auto"/>
          <w:kern w:val="0"/>
          <w:sz w:val="56"/>
          <w:szCs w:val="56"/>
          <w:highlight w:val="none"/>
          <w:lang w:eastAsia="zh-CN"/>
        </w:rPr>
      </w:pPr>
    </w:p>
    <w:p w14:paraId="0A99CD2A">
      <w:pPr>
        <w:rPr>
          <w:rFonts w:hint="eastAsia"/>
          <w:color w:val="auto"/>
          <w:highlight w:val="none"/>
        </w:rPr>
      </w:pPr>
    </w:p>
    <w:p w14:paraId="29F464D6">
      <w:pPr>
        <w:jc w:val="both"/>
        <w:rPr>
          <w:rFonts w:hint="eastAsia" w:ascii="宋体" w:hAnsi="宋体" w:cs="宋体"/>
          <w:b/>
          <w:color w:val="auto"/>
          <w:sz w:val="72"/>
          <w:szCs w:val="72"/>
          <w:highlight w:val="none"/>
        </w:rPr>
      </w:pPr>
    </w:p>
    <w:p w14:paraId="78C3F65C">
      <w:pPr>
        <w:jc w:val="center"/>
        <w:rPr>
          <w:rFonts w:hint="eastAsia" w:ascii="宋体" w:hAnsi="宋体" w:cs="宋体"/>
          <w:b/>
          <w:color w:val="auto"/>
          <w:sz w:val="72"/>
          <w:szCs w:val="72"/>
          <w:highlight w:val="none"/>
        </w:rPr>
      </w:pPr>
    </w:p>
    <w:p w14:paraId="6342EC3C">
      <w:pPr>
        <w:pStyle w:val="54"/>
        <w:rPr>
          <w:rFonts w:hint="eastAsia"/>
          <w:color w:val="auto"/>
          <w:highlight w:val="none"/>
        </w:rPr>
      </w:pPr>
    </w:p>
    <w:p w14:paraId="167C5F64">
      <w:pPr>
        <w:jc w:val="center"/>
        <w:rPr>
          <w:rFonts w:hint="eastAsia" w:ascii="宋体" w:hAnsi="宋体" w:cs="宋体"/>
          <w:b/>
          <w:color w:val="auto"/>
          <w:sz w:val="84"/>
          <w:szCs w:val="84"/>
          <w:highlight w:val="none"/>
        </w:rPr>
      </w:pPr>
      <w:r>
        <w:rPr>
          <w:rFonts w:hint="eastAsia" w:ascii="宋体" w:hAnsi="宋体" w:cs="宋体"/>
          <w:b/>
          <w:color w:val="auto"/>
          <w:sz w:val="84"/>
          <w:szCs w:val="84"/>
          <w:highlight w:val="none"/>
        </w:rPr>
        <w:t>竞争性</w:t>
      </w:r>
      <w:r>
        <w:rPr>
          <w:rFonts w:hint="eastAsia" w:ascii="宋体" w:hAnsi="宋体" w:cs="宋体"/>
          <w:b/>
          <w:color w:val="auto"/>
          <w:sz w:val="84"/>
          <w:szCs w:val="84"/>
          <w:highlight w:val="none"/>
          <w:lang w:val="en-US" w:eastAsia="zh-CN"/>
        </w:rPr>
        <w:t>谈判</w:t>
      </w:r>
      <w:r>
        <w:rPr>
          <w:rFonts w:hint="eastAsia" w:ascii="宋体" w:hAnsi="宋体" w:cs="宋体"/>
          <w:b/>
          <w:color w:val="auto"/>
          <w:sz w:val="84"/>
          <w:szCs w:val="84"/>
          <w:highlight w:val="none"/>
        </w:rPr>
        <w:t>文件</w:t>
      </w:r>
    </w:p>
    <w:p w14:paraId="6FEB5B7A">
      <w:pPr>
        <w:widowControl/>
        <w:spacing w:line="360" w:lineRule="auto"/>
        <w:jc w:val="center"/>
        <w:rPr>
          <w:rFonts w:hint="eastAsia" w:ascii="宋体" w:hAnsi="宋体" w:cs="宋体"/>
          <w:b w:val="0"/>
          <w:bCs/>
          <w:color w:val="auto"/>
          <w:sz w:val="28"/>
          <w:szCs w:val="28"/>
          <w:highlight w:val="none"/>
          <w:lang w:val="en-US" w:eastAsia="zh-CN"/>
        </w:rPr>
      </w:pPr>
    </w:p>
    <w:p w14:paraId="179DB784">
      <w:pPr>
        <w:spacing w:after="156" w:afterLines="50"/>
        <w:ind w:left="-810" w:leftChars="-405" w:right="-625"/>
        <w:jc w:val="center"/>
        <w:rPr>
          <w:rFonts w:hint="eastAsia" w:ascii="宋体" w:hAnsi="宋体"/>
          <w:color w:val="auto"/>
          <w:sz w:val="40"/>
          <w:szCs w:val="36"/>
          <w:highlight w:val="none"/>
        </w:rPr>
      </w:pPr>
      <w:r>
        <w:rPr>
          <w:rFonts w:hint="eastAsia" w:ascii="宋体" w:hAnsi="宋体"/>
          <w:color w:val="auto"/>
          <w:sz w:val="40"/>
          <w:szCs w:val="36"/>
          <w:highlight w:val="none"/>
        </w:rPr>
        <w:t>（电子招标投标）</w:t>
      </w:r>
    </w:p>
    <w:p w14:paraId="6A412B5A">
      <w:pPr>
        <w:spacing w:after="156" w:afterLines="50"/>
        <w:ind w:left="-810" w:leftChars="-405" w:right="-625"/>
        <w:jc w:val="center"/>
        <w:rPr>
          <w:rFonts w:hint="eastAsia" w:ascii="宋体" w:hAnsi="宋体" w:cs="宋体"/>
          <w:b/>
          <w:color w:val="auto"/>
          <w:sz w:val="24"/>
          <w:szCs w:val="24"/>
          <w:highlight w:val="none"/>
        </w:rPr>
      </w:pPr>
      <w:r>
        <w:rPr>
          <w:rFonts w:hint="eastAsia" w:ascii="宋体" w:hAnsi="宋体" w:cs="宋体"/>
          <w:color w:val="auto"/>
          <w:sz w:val="28"/>
          <w:szCs w:val="28"/>
          <w:highlight w:val="none"/>
        </w:rPr>
        <w:t>招标项目编</w:t>
      </w:r>
      <w:r>
        <w:rPr>
          <w:rFonts w:hint="eastAsia" w:ascii="宋体" w:hAnsi="宋体" w:eastAsia="宋体" w:cs="宋体"/>
          <w:color w:val="auto"/>
          <w:sz w:val="28"/>
          <w:szCs w:val="28"/>
          <w:highlight w:val="none"/>
        </w:rPr>
        <w:t>号：HXJY1110001064065001</w:t>
      </w:r>
    </w:p>
    <w:p w14:paraId="3809CE2F">
      <w:pPr>
        <w:widowControl/>
        <w:wordWrap w:val="0"/>
        <w:ind w:firstLine="2200" w:firstLineChars="1100"/>
        <w:rPr>
          <w:rFonts w:hint="eastAsia" w:ascii="宋体" w:hAnsi="宋体" w:cs="宋体"/>
          <w:color w:val="auto"/>
          <w:szCs w:val="21"/>
          <w:highlight w:val="none"/>
        </w:rPr>
      </w:pPr>
    </w:p>
    <w:p w14:paraId="6F72E014">
      <w:pPr>
        <w:widowControl/>
        <w:spacing w:line="360" w:lineRule="auto"/>
        <w:ind w:firstLine="1968" w:firstLineChars="700"/>
        <w:rPr>
          <w:rFonts w:hint="eastAsia" w:ascii="宋体" w:hAnsi="宋体" w:cs="宋体"/>
          <w:b/>
          <w:color w:val="auto"/>
          <w:sz w:val="28"/>
          <w:szCs w:val="28"/>
          <w:highlight w:val="none"/>
        </w:rPr>
      </w:pPr>
    </w:p>
    <w:p w14:paraId="662FDA11">
      <w:pPr>
        <w:pStyle w:val="278"/>
        <w:rPr>
          <w:rFonts w:hint="eastAsia" w:ascii="宋体" w:hAnsi="宋体"/>
          <w:color w:val="auto"/>
          <w:highlight w:val="none"/>
        </w:rPr>
      </w:pPr>
    </w:p>
    <w:p w14:paraId="5B54AE8C">
      <w:pPr>
        <w:pStyle w:val="278"/>
        <w:rPr>
          <w:rFonts w:hint="eastAsia" w:ascii="宋体" w:hAnsi="宋体"/>
          <w:color w:val="auto"/>
          <w:highlight w:val="none"/>
        </w:rPr>
      </w:pPr>
    </w:p>
    <w:p w14:paraId="59F343B0">
      <w:pPr>
        <w:pStyle w:val="278"/>
        <w:rPr>
          <w:rFonts w:hint="eastAsia" w:ascii="宋体" w:hAnsi="宋体"/>
          <w:color w:val="auto"/>
          <w:highlight w:val="none"/>
        </w:rPr>
      </w:pPr>
    </w:p>
    <w:p w14:paraId="39B71F6E">
      <w:pPr>
        <w:pStyle w:val="278"/>
        <w:rPr>
          <w:rFonts w:hint="eastAsia" w:ascii="宋体" w:hAnsi="宋体"/>
          <w:color w:val="auto"/>
          <w:highlight w:val="none"/>
        </w:rPr>
      </w:pPr>
    </w:p>
    <w:p w14:paraId="1155F28F">
      <w:pPr>
        <w:rPr>
          <w:rFonts w:hint="eastAsia" w:ascii="宋体" w:hAnsi="宋体" w:cs="宋体"/>
          <w:b/>
          <w:color w:val="auto"/>
          <w:sz w:val="30"/>
          <w:szCs w:val="30"/>
          <w:highlight w:val="none"/>
        </w:rPr>
      </w:pPr>
    </w:p>
    <w:p w14:paraId="4BFB3644">
      <w:pPr>
        <w:rPr>
          <w:rFonts w:hint="eastAsia" w:ascii="宋体" w:hAnsi="宋体" w:cs="宋体"/>
          <w:b/>
          <w:color w:val="auto"/>
          <w:sz w:val="30"/>
          <w:szCs w:val="30"/>
          <w:highlight w:val="none"/>
        </w:rPr>
      </w:pPr>
    </w:p>
    <w:p w14:paraId="21BCADBB">
      <w:pPr>
        <w:spacing w:line="600" w:lineRule="auto"/>
        <w:ind w:firstLine="321" w:firstLineChars="100"/>
        <w:jc w:val="both"/>
        <w:rPr>
          <w:rFonts w:hint="eastAsia" w:ascii="宋体" w:hAnsi="宋体" w:eastAsia="宋体" w:cs="宋体"/>
          <w:b/>
          <w:color w:val="auto"/>
          <w:sz w:val="32"/>
          <w:szCs w:val="28"/>
          <w:highlight w:val="none"/>
        </w:rPr>
      </w:pPr>
      <w:r>
        <w:rPr>
          <w:rFonts w:hint="eastAsia" w:ascii="宋体" w:hAnsi="宋体" w:eastAsia="宋体" w:cs="宋体"/>
          <w:b/>
          <w:color w:val="auto"/>
          <w:sz w:val="32"/>
          <w:szCs w:val="28"/>
          <w:highlight w:val="none"/>
        </w:rPr>
        <w:t>采</w:t>
      </w:r>
      <w:r>
        <w:rPr>
          <w:rFonts w:hint="eastAsia" w:ascii="宋体" w:hAnsi="宋体" w:eastAsia="宋体" w:cs="宋体"/>
          <w:b/>
          <w:color w:val="auto"/>
          <w:sz w:val="32"/>
          <w:szCs w:val="28"/>
          <w:highlight w:val="none"/>
          <w:lang w:val="en-US" w:eastAsia="zh-CN"/>
        </w:rPr>
        <w:t xml:space="preserve">   </w:t>
      </w:r>
      <w:r>
        <w:rPr>
          <w:rFonts w:hint="eastAsia" w:ascii="宋体" w:hAnsi="宋体" w:eastAsia="宋体" w:cs="宋体"/>
          <w:b/>
          <w:color w:val="auto"/>
          <w:sz w:val="32"/>
          <w:szCs w:val="28"/>
          <w:highlight w:val="none"/>
        </w:rPr>
        <w:t>购</w:t>
      </w:r>
      <w:r>
        <w:rPr>
          <w:rFonts w:hint="eastAsia" w:ascii="宋体" w:hAnsi="宋体" w:eastAsia="宋体" w:cs="宋体"/>
          <w:b/>
          <w:color w:val="auto"/>
          <w:sz w:val="32"/>
          <w:szCs w:val="28"/>
          <w:highlight w:val="none"/>
          <w:lang w:val="en-US" w:eastAsia="zh-CN"/>
        </w:rPr>
        <w:t xml:space="preserve">   </w:t>
      </w:r>
      <w:r>
        <w:rPr>
          <w:rFonts w:hint="eastAsia" w:ascii="宋体" w:hAnsi="宋体" w:eastAsia="宋体" w:cs="宋体"/>
          <w:b/>
          <w:color w:val="auto"/>
          <w:sz w:val="32"/>
          <w:szCs w:val="28"/>
          <w:highlight w:val="none"/>
        </w:rPr>
        <w:t>人：</w:t>
      </w:r>
      <w:r>
        <w:rPr>
          <w:rFonts w:hint="eastAsia" w:ascii="宋体" w:hAnsi="宋体" w:eastAsia="宋体" w:cs="宋体"/>
          <w:b/>
          <w:color w:val="auto"/>
          <w:sz w:val="32"/>
          <w:szCs w:val="28"/>
          <w:highlight w:val="none"/>
          <w:u w:val="single"/>
          <w:lang w:val="en-US" w:eastAsia="zh-CN"/>
        </w:rPr>
        <w:t>滁州市琅琊区重点工程建设管理处（</w:t>
      </w:r>
      <w:r>
        <w:rPr>
          <w:rFonts w:hint="eastAsia" w:ascii="宋体" w:hAnsi="宋体" w:eastAsia="宋体" w:cs="宋体"/>
          <w:b/>
          <w:color w:val="auto"/>
          <w:sz w:val="32"/>
          <w:szCs w:val="28"/>
          <w:highlight w:val="none"/>
          <w:u w:val="single"/>
        </w:rPr>
        <w:t>盖章）</w:t>
      </w:r>
    </w:p>
    <w:p w14:paraId="5C3A846E">
      <w:pPr>
        <w:spacing w:line="600" w:lineRule="auto"/>
        <w:ind w:firstLine="321" w:firstLineChars="100"/>
        <w:jc w:val="both"/>
        <w:rPr>
          <w:rFonts w:hint="eastAsia" w:ascii="宋体" w:hAnsi="宋体" w:eastAsia="宋体" w:cs="宋体"/>
          <w:b/>
          <w:color w:val="auto"/>
          <w:sz w:val="28"/>
          <w:szCs w:val="28"/>
          <w:highlight w:val="none"/>
        </w:rPr>
      </w:pPr>
      <w:r>
        <w:rPr>
          <w:rFonts w:hint="eastAsia" w:ascii="宋体" w:hAnsi="宋体" w:eastAsia="宋体" w:cs="宋体"/>
          <w:b/>
          <w:color w:val="auto"/>
          <w:sz w:val="32"/>
          <w:szCs w:val="28"/>
          <w:highlight w:val="none"/>
        </w:rPr>
        <w:t>采购代理机构：</w:t>
      </w:r>
      <w:r>
        <w:rPr>
          <w:rFonts w:hint="eastAsia" w:ascii="宋体" w:hAnsi="宋体" w:eastAsia="宋体" w:cs="宋体"/>
          <w:b/>
          <w:color w:val="auto"/>
          <w:sz w:val="32"/>
          <w:szCs w:val="28"/>
          <w:highlight w:val="none"/>
          <w:u w:val="single"/>
          <w:lang w:val="en-US" w:eastAsia="zh-CN"/>
        </w:rPr>
        <w:t>滁州市城投工程咨询管理有限公司</w:t>
      </w:r>
      <w:r>
        <w:rPr>
          <w:rFonts w:hint="eastAsia" w:ascii="宋体" w:hAnsi="宋体" w:eastAsia="宋体" w:cs="宋体"/>
          <w:b/>
          <w:color w:val="auto"/>
          <w:sz w:val="32"/>
          <w:szCs w:val="28"/>
          <w:highlight w:val="none"/>
          <w:u w:val="single"/>
        </w:rPr>
        <w:t>（盖章）</w:t>
      </w:r>
    </w:p>
    <w:p w14:paraId="39E693CD">
      <w:pPr>
        <w:spacing w:line="600" w:lineRule="auto"/>
        <w:jc w:val="center"/>
        <w:rPr>
          <w:rFonts w:hint="eastAsia" w:ascii="宋体" w:hAnsi="宋体" w:eastAsia="宋体" w:cs="宋体"/>
          <w:b/>
          <w:color w:val="auto"/>
          <w:sz w:val="32"/>
          <w:szCs w:val="28"/>
          <w:highlight w:val="none"/>
          <w:u w:val="single"/>
          <w:lang w:val="en-US" w:eastAsia="zh-CN"/>
        </w:rPr>
      </w:pPr>
      <w:r>
        <w:rPr>
          <w:rFonts w:hint="eastAsia" w:ascii="宋体" w:hAnsi="宋体" w:eastAsia="宋体" w:cs="宋体"/>
          <w:b/>
          <w:color w:val="auto"/>
          <w:sz w:val="32"/>
          <w:szCs w:val="28"/>
          <w:highlight w:val="none"/>
          <w:u w:val="single"/>
          <w:lang w:val="en-US" w:eastAsia="zh-CN"/>
        </w:rPr>
        <w:t>2026年9月</w:t>
      </w:r>
    </w:p>
    <w:p w14:paraId="03AA45EE">
      <w:pPr>
        <w:tabs>
          <w:tab w:val="left" w:pos="2410"/>
        </w:tabs>
        <w:autoSpaceDE w:val="0"/>
        <w:autoSpaceDN w:val="0"/>
        <w:adjustRightInd w:val="0"/>
        <w:snapToGrid w:val="0"/>
        <w:spacing w:line="360" w:lineRule="auto"/>
        <w:jc w:val="center"/>
        <w:rPr>
          <w:b/>
          <w:color w:val="auto"/>
          <w:sz w:val="28"/>
          <w:highlight w:val="none"/>
        </w:rPr>
      </w:pPr>
      <w:r>
        <w:rPr>
          <w:rFonts w:hint="eastAsia"/>
          <w:b/>
          <w:color w:val="auto"/>
          <w:sz w:val="28"/>
          <w:highlight w:val="none"/>
        </w:rPr>
        <w:t>目  录</w:t>
      </w:r>
    </w:p>
    <w:p w14:paraId="3B1E3C6E">
      <w:pPr>
        <w:tabs>
          <w:tab w:val="left" w:pos="2410"/>
        </w:tabs>
        <w:autoSpaceDE w:val="0"/>
        <w:autoSpaceDN w:val="0"/>
        <w:adjustRightInd w:val="0"/>
        <w:snapToGrid w:val="0"/>
        <w:spacing w:line="360" w:lineRule="auto"/>
        <w:jc w:val="center"/>
        <w:rPr>
          <w:b/>
          <w:color w:val="auto"/>
          <w:sz w:val="28"/>
          <w:highlight w:val="none"/>
        </w:rPr>
      </w:pPr>
    </w:p>
    <w:p w14:paraId="53A0B8B2">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TOC \o "1-2" \h \z \u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_Toc12523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第一章  谈判邀请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_Toc12523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254DE9AA">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_Toc32399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_Toc32399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4C169DC6">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_Toc6146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_Toc6146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0314B464">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_Toc28266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第四章  评审方法和标准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_Toc28266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24</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18755E1F">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_Toc32646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第五章  政府采购合同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_Toc32646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30</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7E6B8483">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_Toc16770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第六章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_Toc16770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82</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6BC60794">
      <w:pPr>
        <w:pStyle w:val="35"/>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_Toc25478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bCs/>
          <w:color w:val="auto"/>
          <w:sz w:val="24"/>
          <w:szCs w:val="24"/>
          <w:highlight w:val="none"/>
        </w:rPr>
        <w:t>第</w:t>
      </w:r>
      <w:r>
        <w:rPr>
          <w:rFonts w:hint="eastAsia" w:ascii="宋体" w:hAnsi="宋体" w:eastAsia="宋体" w:cs="宋体"/>
          <w:bCs/>
          <w:color w:val="auto"/>
          <w:sz w:val="24"/>
          <w:szCs w:val="24"/>
          <w:highlight w:val="none"/>
          <w:lang w:val="en-US" w:eastAsia="zh-CN"/>
        </w:rPr>
        <w:t>七</w:t>
      </w:r>
      <w:r>
        <w:rPr>
          <w:rFonts w:hint="eastAsia" w:ascii="宋体" w:hAnsi="宋体" w:eastAsia="宋体" w:cs="宋体"/>
          <w:bCs/>
          <w:color w:val="auto"/>
          <w:sz w:val="24"/>
          <w:szCs w:val="24"/>
          <w:highlight w:val="none"/>
        </w:rPr>
        <w:t>章  政府采购</w:t>
      </w:r>
      <w:r>
        <w:rPr>
          <w:rFonts w:hint="eastAsia" w:ascii="宋体" w:hAnsi="宋体" w:eastAsia="宋体" w:cs="宋体"/>
          <w:color w:val="auto"/>
          <w:sz w:val="24"/>
          <w:szCs w:val="24"/>
          <w:highlight w:val="none"/>
        </w:rPr>
        <w:t>供应</w:t>
      </w:r>
      <w:r>
        <w:rPr>
          <w:rFonts w:hint="eastAsia" w:ascii="宋体" w:hAnsi="宋体" w:eastAsia="宋体" w:cs="宋体"/>
          <w:bCs/>
          <w:color w:val="auto"/>
          <w:sz w:val="24"/>
          <w:szCs w:val="24"/>
          <w:highlight w:val="none"/>
        </w:rPr>
        <w:t>商询问函和质疑函范本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_Toc25478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98</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4968A42E">
      <w:pPr>
        <w:pStyle w:val="45"/>
        <w:tabs>
          <w:tab w:val="right" w:leader="dot" w:pos="8296"/>
        </w:tabs>
        <w:rPr>
          <w:rFonts w:asciiTheme="minorEastAsia" w:hAnsiTheme="minorEastAsia"/>
          <w:b/>
          <w:color w:val="auto"/>
          <w:sz w:val="32"/>
          <w:highlight w:val="none"/>
        </w:rPr>
      </w:pPr>
      <w:r>
        <w:rPr>
          <w:rFonts w:hint="eastAsia" w:ascii="宋体" w:hAnsi="宋体" w:eastAsia="宋体" w:cs="宋体"/>
          <w:bCs/>
          <w:color w:val="auto"/>
          <w:sz w:val="24"/>
          <w:szCs w:val="24"/>
          <w:highlight w:val="none"/>
        </w:rPr>
        <w:fldChar w:fldCharType="end"/>
      </w:r>
    </w:p>
    <w:p w14:paraId="3E2E4AD6">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7" w:h="16840"/>
          <w:pgMar w:top="1474" w:right="1814" w:bottom="1474" w:left="1814" w:header="851" w:footer="992" w:gutter="0"/>
          <w:cols w:space="720" w:num="1"/>
          <w:docGrid w:linePitch="462" w:charSpace="0"/>
        </w:sectPr>
      </w:pPr>
    </w:p>
    <w:p w14:paraId="29845134">
      <w:pPr>
        <w:spacing w:line="360" w:lineRule="auto"/>
        <w:jc w:val="center"/>
        <w:outlineLvl w:val="0"/>
        <w:rPr>
          <w:rFonts w:asciiTheme="minorEastAsia" w:hAnsiTheme="minorEastAsia" w:eastAsiaTheme="minorEastAsia"/>
          <w:b/>
          <w:color w:val="auto"/>
          <w:sz w:val="28"/>
          <w:highlight w:val="none"/>
        </w:rPr>
      </w:pPr>
      <w:bookmarkStart w:id="0" w:name="_Toc12523"/>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谈判邀请</w:t>
      </w:r>
      <w:bookmarkEnd w:id="0"/>
    </w:p>
    <w:p w14:paraId="64E08145">
      <w:pPr>
        <w:spacing w:line="360" w:lineRule="auto"/>
        <w:ind w:firstLine="435"/>
        <w:rPr>
          <w:rFonts w:hint="eastAsia" w:asciiTheme="minorEastAsia" w:hAnsiTheme="minorEastAsia" w:eastAsiaTheme="minorEastAsia"/>
          <w:color w:val="auto"/>
          <w:sz w:val="24"/>
          <w:highlight w:val="none"/>
        </w:rPr>
      </w:pPr>
      <w:bookmarkStart w:id="1" w:name="_Toc8980"/>
      <w:bookmarkStart w:id="2" w:name="_Toc29179"/>
      <w:r>
        <w:rPr>
          <w:rFonts w:hint="eastAsia" w:asciiTheme="minorEastAsia" w:hAnsiTheme="minorEastAsia" w:eastAsiaTheme="minorEastAsia"/>
          <w:color w:val="auto"/>
          <w:sz w:val="24"/>
          <w:highlight w:val="none"/>
        </w:rPr>
        <w:t>项目概况</w:t>
      </w:r>
    </w:p>
    <w:p w14:paraId="452C5EFB">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u w:val="none"/>
          <w:lang w:eastAsia="zh-CN"/>
        </w:rPr>
        <w:t>琅琊区环湖路路灯项目</w:t>
      </w:r>
      <w:r>
        <w:rPr>
          <w:rFonts w:hint="eastAsia" w:asciiTheme="minorEastAsia" w:hAnsiTheme="minorEastAsia" w:eastAsiaTheme="minorEastAsia"/>
          <w:color w:val="auto"/>
          <w:sz w:val="24"/>
          <w:highlight w:val="none"/>
        </w:rPr>
        <w:t>的潜在供应商在</w:t>
      </w:r>
      <w:r>
        <w:rPr>
          <w:rFonts w:hint="eastAsia" w:asciiTheme="minorEastAsia" w:hAnsiTheme="minorEastAsia" w:eastAsiaTheme="minorEastAsia"/>
          <w:color w:val="auto"/>
          <w:sz w:val="24"/>
          <w:highlight w:val="none"/>
          <w:u w:val="none"/>
          <w:lang w:eastAsia="zh-CN"/>
        </w:rPr>
        <w:t>滁州市琅琊区人民政府（https://www.lyq.gov.cn/）、滁州市城投工程咨询管理有限公司（ https://www.czctgczx.com/）</w:t>
      </w:r>
      <w:r>
        <w:rPr>
          <w:rFonts w:hint="eastAsia" w:asciiTheme="minorEastAsia" w:hAnsiTheme="minorEastAsia" w:eastAsiaTheme="minorEastAsia"/>
          <w:color w:val="auto"/>
          <w:sz w:val="24"/>
          <w:highlight w:val="none"/>
          <w:u w:val="none"/>
        </w:rPr>
        <w:t>网站获</w:t>
      </w:r>
      <w:r>
        <w:rPr>
          <w:rFonts w:hint="eastAsia" w:asciiTheme="minorEastAsia" w:hAnsiTheme="minorEastAsia" w:eastAsiaTheme="minorEastAsia"/>
          <w:color w:val="auto"/>
          <w:sz w:val="24"/>
          <w:highlight w:val="none"/>
        </w:rPr>
        <w:t>取采购文件，并于2026年</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rPr>
        <w:t>日0</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时</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0分（北京时间）前递交响应文件。</w:t>
      </w:r>
    </w:p>
    <w:p w14:paraId="46DC12B2">
      <w:pPr>
        <w:spacing w:line="360" w:lineRule="auto"/>
        <w:ind w:firstLine="435"/>
        <w:outlineLvl w:val="1"/>
        <w:rPr>
          <w:b/>
          <w:bCs/>
          <w:color w:val="auto"/>
          <w:sz w:val="24"/>
          <w:szCs w:val="18"/>
          <w:highlight w:val="none"/>
        </w:rPr>
      </w:pPr>
      <w:r>
        <w:rPr>
          <w:rFonts w:hint="eastAsia"/>
          <w:b/>
          <w:bCs/>
          <w:color w:val="auto"/>
          <w:sz w:val="24"/>
          <w:szCs w:val="18"/>
          <w:highlight w:val="none"/>
        </w:rPr>
        <w:t>一、</w:t>
      </w:r>
      <w:bookmarkEnd w:id="1"/>
      <w:bookmarkEnd w:id="2"/>
      <w:r>
        <w:rPr>
          <w:rFonts w:hint="eastAsia"/>
          <w:b/>
          <w:bCs/>
          <w:color w:val="auto"/>
          <w:sz w:val="24"/>
          <w:szCs w:val="18"/>
          <w:highlight w:val="none"/>
        </w:rPr>
        <w:t>项目基本情况</w:t>
      </w:r>
    </w:p>
    <w:p w14:paraId="14564E6D">
      <w:pPr>
        <w:spacing w:line="360" w:lineRule="auto"/>
        <w:ind w:firstLine="435"/>
        <w:rPr>
          <w:rFonts w:hint="eastAsia" w:asciiTheme="minorEastAsia" w:hAnsiTheme="minorEastAsia" w:eastAsiaTheme="minorEastAsia"/>
          <w:color w:val="auto"/>
          <w:sz w:val="24"/>
          <w:highlight w:val="none"/>
        </w:rPr>
      </w:pPr>
      <w:bookmarkStart w:id="3" w:name="_Toc20729"/>
      <w:r>
        <w:rPr>
          <w:rFonts w:hint="eastAsia" w:asciiTheme="minorEastAsia" w:hAnsiTheme="minorEastAsia" w:eastAsiaTheme="minorEastAsia"/>
          <w:color w:val="auto"/>
          <w:sz w:val="24"/>
          <w:highlight w:val="none"/>
        </w:rPr>
        <w:t>项目编号：HXJY1110001064065001</w:t>
      </w:r>
    </w:p>
    <w:p w14:paraId="7CBBBA07">
      <w:pPr>
        <w:spacing w:line="360" w:lineRule="auto"/>
        <w:ind w:firstLine="435"/>
        <w:rPr>
          <w:rFonts w:hint="eastAsia" w:asciiTheme="minorEastAsia" w:hAnsiTheme="minorEastAsia" w:eastAsiaTheme="minorEastAsia"/>
          <w:color w:val="auto"/>
          <w:sz w:val="24"/>
          <w:highlight w:val="none"/>
          <w:u w:val="none"/>
          <w:lang w:eastAsia="zh-CN"/>
        </w:rPr>
      </w:pPr>
      <w:r>
        <w:rPr>
          <w:rFonts w:hint="eastAsia" w:asciiTheme="minorEastAsia" w:hAnsiTheme="minorEastAsia" w:eastAsiaTheme="minorEastAsia"/>
          <w:color w:val="auto"/>
          <w:sz w:val="24"/>
          <w:highlight w:val="none"/>
          <w:u w:val="none"/>
        </w:rPr>
        <w:t>项目名称：</w:t>
      </w:r>
      <w:r>
        <w:rPr>
          <w:rFonts w:hint="eastAsia"/>
          <w:color w:val="auto"/>
          <w:sz w:val="24"/>
          <w:szCs w:val="18"/>
          <w:highlight w:val="none"/>
          <w:u w:val="none"/>
          <w:lang w:eastAsia="zh-CN"/>
        </w:rPr>
        <w:t>琅琊区环湖路路灯项目</w:t>
      </w:r>
    </w:p>
    <w:p w14:paraId="4BF6FBC4">
      <w:pPr>
        <w:spacing w:line="360" w:lineRule="auto"/>
        <w:ind w:firstLine="435"/>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采购方式：竞争性谈判</w:t>
      </w:r>
    </w:p>
    <w:p w14:paraId="205FF49C">
      <w:pPr>
        <w:spacing w:line="360" w:lineRule="auto"/>
        <w:ind w:firstLine="435"/>
        <w:rPr>
          <w:rFonts w:hint="eastAsia" w:asciiTheme="minorEastAsia" w:hAnsiTheme="minorEastAsia" w:eastAsiaTheme="minorEastAsia"/>
          <w:color w:val="auto"/>
          <w:sz w:val="24"/>
          <w:highlight w:val="none"/>
          <w:u w:val="none"/>
        </w:rPr>
      </w:pPr>
      <w:bookmarkStart w:id="707" w:name="_GoBack"/>
      <w:r>
        <w:rPr>
          <w:rFonts w:hint="eastAsia" w:asciiTheme="minorEastAsia" w:hAnsiTheme="minorEastAsia" w:eastAsiaTheme="minorEastAsia"/>
          <w:color w:val="auto"/>
          <w:sz w:val="24"/>
          <w:highlight w:val="none"/>
          <w:u w:val="none"/>
        </w:rPr>
        <w:t>预算金额：</w:t>
      </w:r>
      <w:r>
        <w:rPr>
          <w:rFonts w:hint="eastAsia"/>
          <w:color w:val="auto"/>
          <w:sz w:val="24"/>
          <w:szCs w:val="18"/>
          <w:highlight w:val="none"/>
          <w:u w:val="none"/>
          <w:lang w:val="en-US" w:eastAsia="zh-CN"/>
        </w:rPr>
        <w:t>约30.00万元</w:t>
      </w:r>
      <w:r>
        <w:rPr>
          <w:rFonts w:ascii="宋体" w:hAnsi="宋体" w:eastAsia="宋体"/>
          <w:color w:val="auto"/>
          <w:sz w:val="24"/>
          <w:szCs w:val="18"/>
          <w:highlight w:val="none"/>
          <w:u w:val="none"/>
        </w:rPr>
        <w:t xml:space="preserve"> </w:t>
      </w:r>
    </w:p>
    <w:p w14:paraId="3EC8BE71">
      <w:pPr>
        <w:spacing w:line="360" w:lineRule="auto"/>
        <w:ind w:firstLine="435"/>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最高限价：</w:t>
      </w:r>
      <w:r>
        <w:rPr>
          <w:rFonts w:hint="eastAsia"/>
          <w:color w:val="auto"/>
          <w:sz w:val="24"/>
          <w:szCs w:val="18"/>
          <w:highlight w:val="none"/>
          <w:u w:val="none"/>
          <w:lang w:eastAsia="zh-CN"/>
        </w:rPr>
        <w:t>299991.41元</w:t>
      </w:r>
      <w:r>
        <w:rPr>
          <w:rFonts w:hint="eastAsia"/>
          <w:color w:val="auto"/>
          <w:sz w:val="24"/>
          <w:szCs w:val="18"/>
          <w:highlight w:val="none"/>
          <w:u w:val="none"/>
          <w:lang w:val="en-US" w:eastAsia="zh-CN"/>
        </w:rPr>
        <w:t>，响应报价不得高于最高限价，否则按无效响应处理</w:t>
      </w:r>
    </w:p>
    <w:bookmarkEnd w:id="707"/>
    <w:p w14:paraId="5F6F4DB6">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采购需求：本项目为环湖路路灯项目，在环湖路（西涧路-蓄能电站）增设太阳能路灯，道路单侧布置太阳能路灯，主要布设在转弯处与其他道路交口处。具体内容详见工程量清单</w:t>
      </w:r>
      <w:r>
        <w:rPr>
          <w:rFonts w:hint="eastAsia" w:asciiTheme="minorEastAsia" w:hAnsiTheme="minorEastAsia" w:eastAsiaTheme="minorEastAsia"/>
          <w:color w:val="auto"/>
          <w:sz w:val="24"/>
          <w:highlight w:val="none"/>
          <w:lang w:eastAsia="zh-CN"/>
        </w:rPr>
        <w:t>。</w:t>
      </w:r>
    </w:p>
    <w:p w14:paraId="01C5499E">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合同履行期限：</w:t>
      </w:r>
      <w:r>
        <w:rPr>
          <w:rFonts w:hint="eastAsia"/>
          <w:color w:val="auto"/>
          <w:sz w:val="24"/>
          <w:szCs w:val="18"/>
          <w:highlight w:val="none"/>
          <w:u w:val="none"/>
          <w:lang w:eastAsia="zh-CN"/>
        </w:rPr>
        <w:t>合同签订后不高于25个日历天内完工</w:t>
      </w:r>
    </w:p>
    <w:p w14:paraId="3EE96F6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w:t>
      </w:r>
    </w:p>
    <w:bookmarkEnd w:id="3"/>
    <w:p w14:paraId="418B5452">
      <w:pPr>
        <w:spacing w:line="360" w:lineRule="auto"/>
        <w:ind w:firstLine="435"/>
        <w:outlineLvl w:val="1"/>
        <w:rPr>
          <w:rFonts w:hint="eastAsia" w:eastAsia="宋体"/>
          <w:b/>
          <w:bCs/>
          <w:color w:val="auto"/>
          <w:sz w:val="24"/>
          <w:szCs w:val="18"/>
          <w:highlight w:val="none"/>
          <w:lang w:val="en-US" w:eastAsia="zh-CN"/>
        </w:rPr>
      </w:pPr>
      <w:bookmarkStart w:id="4" w:name="_Toc28946"/>
      <w:bookmarkStart w:id="5" w:name="_Toc8411"/>
      <w:r>
        <w:rPr>
          <w:rFonts w:hint="eastAsia"/>
          <w:b/>
          <w:bCs/>
          <w:color w:val="auto"/>
          <w:sz w:val="24"/>
          <w:szCs w:val="18"/>
          <w:highlight w:val="none"/>
        </w:rPr>
        <w:t>二</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申请人的</w:t>
      </w:r>
      <w:r>
        <w:rPr>
          <w:rFonts w:hint="eastAsia"/>
          <w:b/>
          <w:bCs/>
          <w:color w:val="auto"/>
          <w:sz w:val="24"/>
          <w:szCs w:val="18"/>
          <w:highlight w:val="none"/>
        </w:rPr>
        <w:t>资格</w:t>
      </w:r>
      <w:r>
        <w:rPr>
          <w:rFonts w:hint="eastAsia"/>
          <w:b/>
          <w:bCs/>
          <w:color w:val="auto"/>
          <w:sz w:val="24"/>
          <w:szCs w:val="18"/>
          <w:highlight w:val="none"/>
          <w:lang w:val="en-US" w:eastAsia="zh-CN"/>
        </w:rPr>
        <w:t>要求</w:t>
      </w:r>
      <w:bookmarkEnd w:id="4"/>
    </w:p>
    <w:p w14:paraId="0E4C88AD">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3AA3C7D3">
      <w:pPr>
        <w:spacing w:line="420" w:lineRule="exact"/>
        <w:ind w:firstLine="435"/>
        <w:jc w:val="left"/>
        <w:rPr>
          <w:rFonts w:hint="eastAsia" w:ascii="宋体" w:hAnsi="宋体" w:eastAsia="宋体" w:cs="宋体"/>
          <w:color w:val="auto"/>
          <w:kern w:val="2"/>
          <w:sz w:val="24"/>
          <w:szCs w:val="24"/>
          <w:highlight w:val="none"/>
          <w:lang w:val="en-US" w:eastAsia="zh-CN" w:bidi="ar"/>
        </w:rPr>
      </w:pPr>
      <w:r>
        <w:rPr>
          <w:rFonts w:hint="eastAsia" w:asciiTheme="minorEastAsia" w:hAnsiTheme="minorEastAsia" w:eastAsiaTheme="minorEastAsia"/>
          <w:color w:val="auto"/>
          <w:sz w:val="24"/>
          <w:highlight w:val="none"/>
        </w:rPr>
        <w:t>2.</w:t>
      </w:r>
      <w:r>
        <w:rPr>
          <w:rFonts w:hint="eastAsia" w:ascii="宋体" w:hAnsi="宋体" w:eastAsia="宋体" w:cs="宋体"/>
          <w:color w:val="auto"/>
          <w:kern w:val="2"/>
          <w:sz w:val="24"/>
          <w:szCs w:val="24"/>
          <w:highlight w:val="none"/>
          <w:lang w:val="en-US" w:eastAsia="zh-CN" w:bidi="ar"/>
        </w:rPr>
        <w:t>落实政府采购政策需满足的资格要求：按照财政部、工业和信息化部制定的《政府采购促进中小企业发展管理办法》第六条第二款（因确需使用不可替代的专利、专有技术，基础设施限制，或者提供特定公共服务等原因，只能从中小企业之外的供应商处采购的）之规定，本项目为非专门面向中小企业采购项目。</w:t>
      </w:r>
    </w:p>
    <w:p w14:paraId="452FEA98">
      <w:pPr>
        <w:spacing w:line="420" w:lineRule="exact"/>
        <w:jc w:val="left"/>
        <w:rPr>
          <w:rFonts w:hint="eastAsia"/>
          <w:color w:val="auto"/>
          <w:highlight w:val="none"/>
          <w:lang w:eastAsia="zh-CN"/>
        </w:rPr>
      </w:pPr>
      <w:r>
        <w:rPr>
          <w:rFonts w:hint="eastAsia" w:ascii="宋体" w:hAnsi="宋体" w:eastAsia="宋体" w:cs="宋体"/>
          <w:color w:val="auto"/>
          <w:sz w:val="24"/>
          <w:highlight w:val="none"/>
        </w:rPr>
        <w:t>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5F8F2A4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3.本项目的特定资格要求：①</w:t>
      </w:r>
      <w:r>
        <w:rPr>
          <w:rFonts w:hint="eastAsia" w:asciiTheme="minorEastAsia" w:hAnsiTheme="minorEastAsia" w:eastAsiaTheme="minorEastAsia"/>
          <w:color w:val="auto"/>
          <w:sz w:val="24"/>
          <w:highlight w:val="none"/>
          <w:lang w:eastAsia="zh-CN"/>
        </w:rPr>
        <w:t>供应商须</w:t>
      </w:r>
      <w:r>
        <w:rPr>
          <w:rFonts w:hint="eastAsia" w:asciiTheme="minorEastAsia" w:hAnsiTheme="minorEastAsia" w:eastAsiaTheme="minorEastAsia"/>
          <w:color w:val="auto"/>
          <w:sz w:val="24"/>
          <w:highlight w:val="none"/>
        </w:rPr>
        <w:t>具有建设行政主管部门颁发的城市及道路照明工程专业承包三级（或以上）资质和有效的安全生产许可证；</w:t>
      </w:r>
    </w:p>
    <w:p w14:paraId="1916C494">
      <w:pPr>
        <w:spacing w:line="360" w:lineRule="auto"/>
        <w:ind w:firstLine="435"/>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②项目负责人</w:t>
      </w:r>
      <w:r>
        <w:rPr>
          <w:rFonts w:hint="eastAsia" w:asciiTheme="minorEastAsia" w:hAnsiTheme="minorEastAsia" w:eastAsiaTheme="minorEastAsia"/>
          <w:color w:val="auto"/>
          <w:sz w:val="24"/>
          <w:highlight w:val="none"/>
          <w:lang w:eastAsia="zh-CN"/>
        </w:rPr>
        <w:t>须</w:t>
      </w:r>
      <w:r>
        <w:rPr>
          <w:rFonts w:hint="eastAsia" w:asciiTheme="minorEastAsia" w:hAnsiTheme="minorEastAsia" w:eastAsiaTheme="minorEastAsia"/>
          <w:color w:val="auto"/>
          <w:sz w:val="24"/>
          <w:highlight w:val="none"/>
        </w:rPr>
        <w:t>具有注册在投标单位的机电工程专业二级（或以上）注册建造师资格，具备有效的安全生产考核合格(B类)证书</w:t>
      </w:r>
      <w:r>
        <w:rPr>
          <w:rFonts w:hint="eastAsia" w:asciiTheme="minorEastAsia" w:hAnsiTheme="minorEastAsia" w:eastAsiaTheme="minorEastAsia"/>
          <w:color w:val="auto"/>
          <w:sz w:val="24"/>
          <w:highlight w:val="none"/>
          <w:lang w:val="en-US" w:eastAsia="zh-CN"/>
        </w:rPr>
        <w:t>。</w:t>
      </w:r>
    </w:p>
    <w:p w14:paraId="24AD1B62">
      <w:pPr>
        <w:keepNext w:val="0"/>
        <w:keepLines w:val="0"/>
        <w:widowControl w:val="0"/>
        <w:suppressLineNumbers w:val="0"/>
        <w:spacing w:before="0" w:beforeAutospacing="0" w:after="0" w:afterAutospacing="0" w:line="360" w:lineRule="auto"/>
        <w:ind w:left="0" w:right="0" w:firstLine="435"/>
        <w:jc w:val="both"/>
        <w:rPr>
          <w:rFonts w:hint="default" w:asciiTheme="minorEastAsia" w:hAnsiTheme="minorEastAsia" w:eastAsiaTheme="minorEastAsia"/>
          <w:b/>
          <w:bCs/>
          <w:color w:val="FF0000"/>
          <w:sz w:val="28"/>
          <w:szCs w:val="21"/>
          <w:highlight w:val="none"/>
          <w:lang w:val="en-US"/>
        </w:rPr>
      </w:pPr>
      <w:r>
        <w:rPr>
          <w:rFonts w:hint="eastAsia" w:asciiTheme="minorEastAsia" w:hAnsiTheme="minorEastAsia" w:eastAsiaTheme="minorEastAsia"/>
          <w:b/>
          <w:bCs/>
          <w:color w:val="FF0000"/>
          <w:sz w:val="28"/>
          <w:szCs w:val="21"/>
          <w:highlight w:val="none"/>
          <w:lang w:val="en-US" w:eastAsia="zh-CN"/>
        </w:rPr>
        <w:t>4.</w:t>
      </w:r>
      <w:r>
        <w:rPr>
          <w:rFonts w:hint="eastAsia" w:ascii="宋体" w:hAnsi="宋体" w:eastAsia="宋体" w:cs="宋体"/>
          <w:b/>
          <w:bCs/>
          <w:color w:val="FF0000"/>
          <w:kern w:val="2"/>
          <w:sz w:val="28"/>
          <w:szCs w:val="28"/>
          <w:highlight w:val="none"/>
          <w:lang w:val="en-US" w:eastAsia="zh-CN" w:bidi="ar"/>
        </w:rPr>
        <w:t>本项目仅接受被邀请的供应商参与竞争性谈判，其余供应商参与将作无效响应处理。</w:t>
      </w:r>
    </w:p>
    <w:bookmarkEnd w:id="5"/>
    <w:p w14:paraId="7DDD1FE7">
      <w:pPr>
        <w:spacing w:line="360" w:lineRule="auto"/>
        <w:ind w:firstLine="435"/>
        <w:outlineLvl w:val="1"/>
        <w:rPr>
          <w:rFonts w:hint="eastAsia"/>
          <w:b/>
          <w:bCs/>
          <w:color w:val="auto"/>
          <w:sz w:val="24"/>
          <w:highlight w:val="none"/>
        </w:rPr>
      </w:pPr>
      <w:bookmarkStart w:id="6" w:name="_Toc32362"/>
      <w:bookmarkStart w:id="7" w:name="_Toc310"/>
      <w:r>
        <w:rPr>
          <w:rFonts w:hint="eastAsia"/>
          <w:b/>
          <w:bCs/>
          <w:color w:val="auto"/>
          <w:sz w:val="24"/>
          <w:highlight w:val="none"/>
        </w:rPr>
        <w:t>三、获取采购文件</w:t>
      </w:r>
      <w:bookmarkEnd w:id="6"/>
    </w:p>
    <w:p w14:paraId="23892888">
      <w:pPr>
        <w:spacing w:line="360" w:lineRule="auto"/>
        <w:ind w:firstLine="54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时间：2026年9月</w:t>
      </w:r>
      <w:r>
        <w:rPr>
          <w:rFonts w:hint="eastAsia" w:cs="宋体"/>
          <w:color w:val="auto"/>
          <w:sz w:val="24"/>
          <w:szCs w:val="24"/>
          <w:highlight w:val="none"/>
          <w:u w:val="none"/>
          <w:lang w:val="en-US" w:eastAsia="zh-CN"/>
        </w:rPr>
        <w:t>23</w:t>
      </w:r>
      <w:r>
        <w:rPr>
          <w:rFonts w:hint="eastAsia" w:ascii="宋体" w:hAnsi="宋体" w:eastAsia="宋体" w:cs="宋体"/>
          <w:color w:val="auto"/>
          <w:sz w:val="24"/>
          <w:szCs w:val="24"/>
          <w:highlight w:val="none"/>
          <w:u w:val="none"/>
        </w:rPr>
        <w:t>日至2026年9月</w:t>
      </w:r>
      <w:r>
        <w:rPr>
          <w:rFonts w:hint="eastAsia" w:cs="宋体"/>
          <w:color w:val="auto"/>
          <w:sz w:val="24"/>
          <w:szCs w:val="24"/>
          <w:highlight w:val="none"/>
          <w:u w:val="none"/>
          <w:lang w:val="en-US" w:eastAsia="zh-CN"/>
        </w:rPr>
        <w:t>30</w:t>
      </w:r>
      <w:r>
        <w:rPr>
          <w:rFonts w:hint="eastAsia" w:ascii="宋体" w:hAnsi="宋体" w:eastAsia="宋体" w:cs="宋体"/>
          <w:color w:val="auto"/>
          <w:sz w:val="24"/>
          <w:szCs w:val="24"/>
          <w:highlight w:val="none"/>
          <w:u w:val="none"/>
        </w:rPr>
        <w:t>日</w:t>
      </w:r>
    </w:p>
    <w:p w14:paraId="407AF36C">
      <w:pPr>
        <w:spacing w:line="360" w:lineRule="auto"/>
        <w:ind w:firstLine="54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地点：</w:t>
      </w:r>
      <w:r>
        <w:rPr>
          <w:rFonts w:hint="eastAsia"/>
          <w:color w:val="auto"/>
          <w:sz w:val="24"/>
          <w:szCs w:val="18"/>
          <w:highlight w:val="none"/>
          <w:u w:val="none"/>
          <w:lang w:eastAsia="zh-CN"/>
        </w:rPr>
        <w:t>滁州市琅琊区人民政府（https://www.lyq.gov.cn/）、滁州市城投工程咨询管理有限公司（ https://www.czctgczx.com/）</w:t>
      </w:r>
      <w:r>
        <w:rPr>
          <w:rFonts w:hint="eastAsia" w:ascii="宋体" w:hAnsi="宋体" w:eastAsia="宋体"/>
          <w:color w:val="auto"/>
          <w:sz w:val="24"/>
          <w:szCs w:val="18"/>
          <w:highlight w:val="none"/>
          <w:u w:val="none"/>
        </w:rPr>
        <w:t>网站</w:t>
      </w:r>
    </w:p>
    <w:p w14:paraId="21FF878D">
      <w:pPr>
        <w:spacing w:line="360" w:lineRule="auto"/>
        <w:ind w:firstLine="540"/>
        <w:rPr>
          <w:rFonts w:ascii="宋体" w:hAnsi="宋体" w:eastAsia="宋体"/>
          <w:color w:val="auto"/>
          <w:sz w:val="24"/>
          <w:szCs w:val="18"/>
          <w:highlight w:val="none"/>
          <w:u w:val="none"/>
        </w:rPr>
      </w:pPr>
      <w:r>
        <w:rPr>
          <w:rFonts w:hint="eastAsia" w:ascii="宋体" w:hAnsi="宋体" w:eastAsia="宋体" w:cs="宋体"/>
          <w:color w:val="auto"/>
          <w:sz w:val="24"/>
          <w:szCs w:val="24"/>
          <w:highlight w:val="none"/>
          <w:u w:val="none"/>
        </w:rPr>
        <w:t>方式：</w:t>
      </w:r>
      <w:r>
        <w:rPr>
          <w:rFonts w:hint="eastAsia" w:ascii="宋体" w:hAnsi="宋体" w:eastAsia="宋体"/>
          <w:color w:val="auto"/>
          <w:sz w:val="24"/>
          <w:szCs w:val="18"/>
          <w:highlight w:val="none"/>
          <w:u w:val="none"/>
        </w:rPr>
        <w:t xml:space="preserve"> 网上下载</w:t>
      </w:r>
    </w:p>
    <w:p w14:paraId="37BCD28A">
      <w:pPr>
        <w:spacing w:line="360" w:lineRule="auto"/>
        <w:ind w:firstLine="540"/>
        <w:rPr>
          <w:rFonts w:hint="eastAsia" w:ascii="宋体" w:hAnsi="宋体" w:eastAsia="宋体" w:cs="宋体"/>
          <w:color w:val="auto"/>
          <w:sz w:val="24"/>
          <w:szCs w:val="24"/>
          <w:highlight w:val="none"/>
          <w:u w:val="single"/>
        </w:rPr>
      </w:pPr>
      <w:r>
        <w:rPr>
          <w:rFonts w:hint="eastAsia" w:ascii="宋体" w:hAnsi="宋体" w:eastAsia="宋体"/>
          <w:color w:val="auto"/>
          <w:sz w:val="24"/>
          <w:szCs w:val="18"/>
          <w:highlight w:val="none"/>
          <w:u w:val="none"/>
        </w:rPr>
        <w:t>售价：0元</w:t>
      </w:r>
    </w:p>
    <w:bookmarkEnd w:id="7"/>
    <w:p w14:paraId="1278A287">
      <w:pPr>
        <w:spacing w:line="360" w:lineRule="auto"/>
        <w:ind w:firstLine="435"/>
        <w:outlineLvl w:val="1"/>
        <w:rPr>
          <w:rFonts w:hint="eastAsia"/>
          <w:b/>
          <w:bCs/>
          <w:color w:val="auto"/>
          <w:sz w:val="24"/>
          <w:highlight w:val="none"/>
        </w:rPr>
      </w:pPr>
      <w:bookmarkStart w:id="8" w:name="_Toc566"/>
      <w:r>
        <w:rPr>
          <w:rFonts w:hint="eastAsia"/>
          <w:b/>
          <w:bCs/>
          <w:color w:val="auto"/>
          <w:sz w:val="24"/>
          <w:highlight w:val="none"/>
        </w:rPr>
        <w:t>四、响应文件提交</w:t>
      </w:r>
      <w:bookmarkEnd w:id="8"/>
    </w:p>
    <w:p w14:paraId="77F7F8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bookmarkStart w:id="9" w:name="_Toc11944"/>
      <w:r>
        <w:rPr>
          <w:rFonts w:hint="eastAsia" w:asciiTheme="minorEastAsia" w:hAnsiTheme="minorEastAsia" w:eastAsiaTheme="minorEastAsia" w:cstheme="minorEastAsia"/>
          <w:color w:val="auto"/>
          <w:sz w:val="24"/>
          <w:szCs w:val="24"/>
          <w:highlight w:val="none"/>
        </w:rPr>
        <w:t>截止时间</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2026</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rPr>
        <w:t>年</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9</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rPr>
        <w:t>月</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30</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rPr>
        <w:t>日</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9</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lang w:val="en-US" w:eastAsia="zh-CN"/>
        </w:rPr>
        <w:t>时</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single"/>
          <w:lang w:val="en-US" w:eastAsia="zh-CN"/>
        </w:rPr>
        <w:t>00</w:t>
      </w:r>
      <w:r>
        <w:rPr>
          <w:rFonts w:hint="eastAsia" w:asciiTheme="minorEastAsia" w:hAnsiTheme="minorEastAsia" w:eastAsiaTheme="minorEastAsia" w:cstheme="minorEastAsia"/>
          <w:bCs/>
          <w:color w:val="auto"/>
          <w:sz w:val="24"/>
          <w:szCs w:val="24"/>
          <w:highlight w:val="none"/>
          <w:u w:val="single"/>
        </w:rPr>
        <w:t xml:space="preserve"> </w:t>
      </w:r>
      <w:r>
        <w:rPr>
          <w:rFonts w:hint="eastAsia" w:asciiTheme="minorEastAsia" w:hAnsiTheme="minorEastAsia" w:eastAsiaTheme="minorEastAsia" w:cstheme="minorEastAsia"/>
          <w:bCs/>
          <w:color w:val="auto"/>
          <w:sz w:val="24"/>
          <w:szCs w:val="24"/>
          <w:highlight w:val="none"/>
          <w:u w:val="none"/>
        </w:rPr>
        <w:t>分</w:t>
      </w:r>
      <w:r>
        <w:rPr>
          <w:rFonts w:hint="eastAsia" w:asciiTheme="minorEastAsia" w:hAnsiTheme="minorEastAsia" w:eastAsiaTheme="minorEastAsia" w:cstheme="minorEastAsia"/>
          <w:bCs/>
          <w:color w:val="auto"/>
          <w:sz w:val="24"/>
          <w:szCs w:val="24"/>
          <w:highlight w:val="none"/>
        </w:rPr>
        <w:t>（北京时间）</w:t>
      </w:r>
    </w:p>
    <w:p w14:paraId="555ECD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宋体" w:hAnsi="宋体" w:eastAsia="宋体"/>
          <w:color w:val="auto"/>
          <w:sz w:val="24"/>
          <w:szCs w:val="18"/>
          <w:highlight w:val="none"/>
          <w:u w:val="single"/>
        </w:rPr>
        <w:t>供应商应在响应文件提交截止时间之前，登录滁州市城投工程咨询管理有限公司新点电子交易平台【滁州专区】上传响应文件</w:t>
      </w:r>
    </w:p>
    <w:p w14:paraId="32E94956">
      <w:pPr>
        <w:spacing w:line="360" w:lineRule="auto"/>
        <w:ind w:firstLine="435"/>
        <w:outlineLvl w:val="1"/>
        <w:rPr>
          <w:rFonts w:hint="eastAsia"/>
          <w:b/>
          <w:bCs/>
          <w:color w:val="auto"/>
          <w:sz w:val="24"/>
          <w:highlight w:val="none"/>
        </w:rPr>
      </w:pPr>
      <w:bookmarkStart w:id="10" w:name="_Toc35393633"/>
      <w:bookmarkStart w:id="11" w:name="_Toc28359016"/>
      <w:bookmarkStart w:id="12" w:name="_Toc35393802"/>
      <w:bookmarkStart w:id="13" w:name="_Toc20554"/>
      <w:bookmarkStart w:id="14" w:name="_Toc28359093"/>
      <w:r>
        <w:rPr>
          <w:rFonts w:hint="eastAsia"/>
          <w:b/>
          <w:bCs/>
          <w:color w:val="auto"/>
          <w:sz w:val="24"/>
          <w:highlight w:val="none"/>
        </w:rPr>
        <w:t>五、开启</w:t>
      </w:r>
      <w:bookmarkEnd w:id="10"/>
      <w:bookmarkEnd w:id="11"/>
      <w:bookmarkEnd w:id="12"/>
      <w:bookmarkEnd w:id="13"/>
      <w:bookmarkEnd w:id="14"/>
    </w:p>
    <w:p w14:paraId="19B0B1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rPr>
        <w:t xml:space="preserve"> </w:t>
      </w:r>
      <w:r>
        <w:rPr>
          <w:rFonts w:hint="eastAsia"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none"/>
        </w:rPr>
        <w:t>年</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none"/>
        </w:rPr>
        <w:t>月</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30</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none"/>
        </w:rPr>
        <w:t>日</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none"/>
          <w:lang w:val="en-US" w:eastAsia="zh-CN"/>
        </w:rPr>
        <w:t>时</w:t>
      </w:r>
      <w:r>
        <w:rPr>
          <w:rFonts w:hint="eastAsia" w:ascii="宋体" w:hAnsi="宋体" w:eastAsia="宋体" w:cs="宋体"/>
          <w:bCs/>
          <w:color w:val="auto"/>
          <w:sz w:val="24"/>
          <w:szCs w:val="24"/>
          <w:highlight w:val="none"/>
          <w:u w:val="single"/>
        </w:rPr>
        <w:t xml:space="preserve"> </w:t>
      </w:r>
      <w:r>
        <w:rPr>
          <w:rFonts w:hint="eastAsia" w:cs="宋体"/>
          <w:bCs/>
          <w:color w:val="auto"/>
          <w:sz w:val="24"/>
          <w:szCs w:val="24"/>
          <w:highlight w:val="none"/>
          <w:u w:val="single"/>
          <w:lang w:val="en-US" w:eastAsia="zh-CN"/>
        </w:rPr>
        <w:t>00</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none"/>
        </w:rPr>
        <w:t>分</w:t>
      </w:r>
      <w:r>
        <w:rPr>
          <w:rFonts w:hint="eastAsia" w:ascii="宋体" w:hAnsi="宋体" w:eastAsia="宋体" w:cs="宋体"/>
          <w:bCs/>
          <w:color w:val="auto"/>
          <w:sz w:val="24"/>
          <w:szCs w:val="24"/>
          <w:highlight w:val="none"/>
        </w:rPr>
        <w:t>（北京时间）</w:t>
      </w:r>
    </w:p>
    <w:p w14:paraId="5E9C916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u w:val="single"/>
        </w:rPr>
        <w:t>网上开标，供应商登录滁州市城投工程咨询管理有限公司不见面开标系统参与网上开标(http://js.etrading.cn/EpointBidOpening/bidopeninghallaction/hall/login)</w:t>
      </w:r>
    </w:p>
    <w:p w14:paraId="1BC97293">
      <w:pPr>
        <w:spacing w:line="360" w:lineRule="auto"/>
        <w:ind w:firstLine="435"/>
        <w:outlineLvl w:val="1"/>
        <w:rPr>
          <w:rFonts w:hint="eastAsia"/>
          <w:b/>
          <w:bCs/>
          <w:color w:val="auto"/>
          <w:sz w:val="24"/>
          <w:highlight w:val="none"/>
        </w:rPr>
      </w:pPr>
      <w:bookmarkStart w:id="15" w:name="_Toc724"/>
      <w:r>
        <w:rPr>
          <w:rFonts w:hint="eastAsia"/>
          <w:b/>
          <w:bCs/>
          <w:color w:val="auto"/>
          <w:sz w:val="24"/>
          <w:highlight w:val="none"/>
          <w:lang w:val="en-US" w:eastAsia="zh-CN"/>
        </w:rPr>
        <w:t>六</w:t>
      </w:r>
      <w:r>
        <w:rPr>
          <w:rFonts w:hint="eastAsia"/>
          <w:b/>
          <w:bCs/>
          <w:color w:val="auto"/>
          <w:sz w:val="24"/>
          <w:highlight w:val="none"/>
        </w:rPr>
        <w:t>、</w:t>
      </w:r>
      <w:bookmarkEnd w:id="9"/>
      <w:r>
        <w:rPr>
          <w:rFonts w:hint="eastAsia"/>
          <w:b/>
          <w:bCs/>
          <w:color w:val="auto"/>
          <w:sz w:val="24"/>
          <w:highlight w:val="none"/>
        </w:rPr>
        <w:t>公告期限</w:t>
      </w:r>
      <w:bookmarkEnd w:id="15"/>
    </w:p>
    <w:p w14:paraId="7FF5D6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bookmarkStart w:id="16" w:name="_Toc7722"/>
      <w:r>
        <w:rPr>
          <w:rFonts w:hint="eastAsia" w:ascii="宋体" w:hAnsi="宋体" w:eastAsia="宋体" w:cs="宋体"/>
          <w:color w:val="auto"/>
          <w:sz w:val="24"/>
          <w:szCs w:val="24"/>
          <w:highlight w:val="none"/>
        </w:rPr>
        <w:t>自本公告发布之日起3个工作日。</w:t>
      </w:r>
    </w:p>
    <w:p w14:paraId="5F16125A">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17" w:name="_Toc22869"/>
      <w:bookmarkStart w:id="18" w:name="_Toc35393795"/>
      <w:bookmarkStart w:id="19" w:name="_Toc35393626"/>
      <w:r>
        <w:rPr>
          <w:rFonts w:hint="eastAsia"/>
          <w:b/>
          <w:bCs/>
          <w:color w:val="auto"/>
          <w:sz w:val="24"/>
          <w:szCs w:val="18"/>
          <w:highlight w:val="none"/>
          <w:lang w:val="en-US" w:eastAsia="zh-CN"/>
        </w:rPr>
        <w:t>七</w:t>
      </w:r>
      <w:r>
        <w:rPr>
          <w:rFonts w:hint="eastAsia" w:ascii="宋体" w:hAnsi="宋体" w:eastAsia="宋体"/>
          <w:b/>
          <w:bCs/>
          <w:color w:val="auto"/>
          <w:sz w:val="24"/>
          <w:szCs w:val="18"/>
          <w:highlight w:val="none"/>
        </w:rPr>
        <w:t>、其他补充事宜</w:t>
      </w:r>
      <w:bookmarkEnd w:id="17"/>
      <w:bookmarkEnd w:id="18"/>
      <w:bookmarkEnd w:id="19"/>
    </w:p>
    <w:p w14:paraId="4A04AA95">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color w:val="auto"/>
          <w:sz w:val="24"/>
          <w:szCs w:val="18"/>
          <w:highlight w:val="none"/>
          <w:lang w:val="en-US" w:eastAsia="zh-CN"/>
        </w:rPr>
        <w:t>1</w:t>
      </w:r>
      <w:r>
        <w:rPr>
          <w:rFonts w:hint="eastAsia" w:ascii="宋体" w:hAnsi="宋体" w:eastAsia="宋体"/>
          <w:color w:val="auto"/>
          <w:sz w:val="24"/>
          <w:szCs w:val="18"/>
          <w:highlight w:val="none"/>
        </w:rPr>
        <w:t>.</w:t>
      </w:r>
      <w:r>
        <w:rPr>
          <w:rFonts w:hint="eastAsia" w:ascii="宋体" w:hAnsi="宋体" w:eastAsia="宋体"/>
          <w:b w:val="0"/>
          <w:bCs w:val="0"/>
          <w:color w:val="auto"/>
          <w:sz w:val="24"/>
          <w:szCs w:val="18"/>
          <w:highlight w:val="none"/>
        </w:rPr>
        <w:t>本项目采用电子招投标方式，请供应商在“新点电子交易平台”办事指南下载“新点电子交易平台专用投标文件制作软件”，仔细阅读采购文件要求和相关操作手册，以免影响投标文件编制，因供应商未及时关注相关信息对投标造成的不利后果由其自行承担。投标软件制作工具下载：https://download.bqpoint.com/download/downloaddetail.html?SourceFrom=Ztb&amp;ZtbSoftXiaQuCode=0128&amp;ZtbSoftType=tballinclusive。</w:t>
      </w:r>
    </w:p>
    <w:p w14:paraId="6DE8D546">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2.请于公告发布之日起从滁州市城投工程咨询管理有限公司（https://www.czctgczx.com/）网站下载本项目采购文件，或从滁州市城投工程咨询管理有限公司（https://www.czctgczx.com/）网站，点击项目招标公告下方【我要投标】，登录新点电子交易平台后在【滁州专区】（https://www.etrading.cn/BREpointSSO/login/oauth2login?regioncode=DQ_ChuZhou）下载本项目采购文件。</w:t>
      </w:r>
    </w:p>
    <w:p w14:paraId="2FBA7114">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3.供应商参与</w:t>
      </w:r>
      <w:r>
        <w:rPr>
          <w:rFonts w:hint="eastAsia" w:ascii="宋体" w:hAnsi="宋体" w:eastAsia="宋体"/>
          <w:b w:val="0"/>
          <w:bCs w:val="0"/>
          <w:color w:val="auto"/>
          <w:sz w:val="24"/>
          <w:szCs w:val="18"/>
          <w:highlight w:val="none"/>
          <w:lang w:val="en-US" w:eastAsia="zh-CN"/>
        </w:rPr>
        <w:t>谈判</w:t>
      </w:r>
      <w:r>
        <w:rPr>
          <w:rFonts w:hint="eastAsia" w:ascii="宋体" w:hAnsi="宋体" w:eastAsia="宋体"/>
          <w:b w:val="0"/>
          <w:bCs w:val="0"/>
          <w:color w:val="auto"/>
          <w:sz w:val="24"/>
          <w:szCs w:val="18"/>
          <w:highlight w:val="none"/>
        </w:rPr>
        <w:t>的，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标正通使用相关问题请拨打服务电话：0512-58188013。</w:t>
      </w:r>
    </w:p>
    <w:p w14:paraId="53DA3E91">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4.供应商登录新点电子交易平台【滁州专区】获取采购文件及其它资料（含澄清和补充说明等）。如在采购文件获取过程中遇到系统问题，请拨打技术支持服务热线0512-58151515或者网站首页在线客服。供应商自行承担因未按要求获取采购文件导致无法上传电子响应文件的风险。</w:t>
      </w:r>
    </w:p>
    <w:p w14:paraId="0140C3EE">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5.本项目采用不见面开标，供应商登录滁州市城投工程咨询管理有限公司不见面开标系统参与网上开标（网址：http://js.etrading.cn/EpointBidOpening/bidopeninghallaction/hall/login）。</w:t>
      </w:r>
    </w:p>
    <w:p w14:paraId="635BA735">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6.供应商应在响应文件提交截止时间之前，登录新点电子交易平台【滁州专区】上传响应文件。供应商逾期上传响应文件的，电子系统不予受理。</w:t>
      </w:r>
    </w:p>
    <w:p w14:paraId="0E884EF4">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7.本项目开评标实行全流程电子化，在线完成开评标活动。开启时供应商无需到达开启现场，不接受现场解密，实行远程解密和在线询标。各供应商认真学习《新点电子交易平台投标人操作手册》，务必掌握远程解密方法和在线回复询标方法。</w:t>
      </w:r>
    </w:p>
    <w:p w14:paraId="79149291">
      <w:pPr>
        <w:pStyle w:val="19"/>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color w:val="auto"/>
          <w:sz w:val="24"/>
          <w:szCs w:val="18"/>
          <w:highlight w:val="none"/>
          <w:lang w:val="en-US" w:eastAsia="zh-CN"/>
        </w:rPr>
      </w:pPr>
      <w:r>
        <w:rPr>
          <w:rFonts w:hint="eastAsia" w:ascii="宋体" w:hAnsi="宋体" w:eastAsia="宋体"/>
          <w:b w:val="0"/>
          <w:bCs w:val="0"/>
          <w:color w:val="auto"/>
          <w:sz w:val="24"/>
          <w:szCs w:val="18"/>
          <w:highlight w:val="none"/>
        </w:rPr>
        <w:t>8.供应商的联系人电话(手机)、电子邮箱等通讯方式在开启过程中必须保持畅通，否则因上述原因造成的后果，责任自负</w:t>
      </w:r>
      <w:r>
        <w:rPr>
          <w:rFonts w:hint="eastAsia" w:ascii="宋体" w:hAnsi="宋体" w:eastAsia="宋体"/>
          <w:b w:val="0"/>
          <w:bCs w:val="0"/>
          <w:color w:val="auto"/>
          <w:sz w:val="24"/>
          <w:szCs w:val="18"/>
          <w:highlight w:val="none"/>
          <w:lang w:eastAsia="zh-CN"/>
        </w:rPr>
        <w:t>。</w:t>
      </w:r>
    </w:p>
    <w:p w14:paraId="6DA454EC">
      <w:pPr>
        <w:spacing w:line="360" w:lineRule="auto"/>
        <w:ind w:firstLine="437"/>
        <w:outlineLvl w:val="1"/>
        <w:rPr>
          <w:b/>
          <w:bCs/>
          <w:color w:val="auto"/>
          <w:sz w:val="24"/>
          <w:szCs w:val="18"/>
          <w:highlight w:val="none"/>
        </w:rPr>
      </w:pPr>
      <w:bookmarkStart w:id="20" w:name="_Toc32298"/>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w:t>
      </w:r>
      <w:bookmarkEnd w:id="16"/>
      <w:r>
        <w:rPr>
          <w:rFonts w:hint="eastAsia" w:ascii="宋体" w:hAnsi="宋体" w:eastAsia="宋体"/>
          <w:b/>
          <w:bCs/>
          <w:color w:val="auto"/>
          <w:sz w:val="24"/>
          <w:szCs w:val="18"/>
          <w:highlight w:val="none"/>
        </w:rPr>
        <w:t>对本次</w:t>
      </w:r>
      <w:r>
        <w:rPr>
          <w:rFonts w:hint="eastAsia"/>
          <w:b/>
          <w:bCs/>
          <w:color w:val="auto"/>
          <w:sz w:val="24"/>
          <w:szCs w:val="18"/>
          <w:highlight w:val="none"/>
          <w:lang w:val="en-US" w:eastAsia="zh-CN"/>
        </w:rPr>
        <w:t>采购</w:t>
      </w:r>
      <w:r>
        <w:rPr>
          <w:rFonts w:hint="eastAsia" w:ascii="宋体" w:hAnsi="宋体" w:eastAsia="宋体"/>
          <w:b/>
          <w:bCs/>
          <w:color w:val="auto"/>
          <w:sz w:val="24"/>
          <w:szCs w:val="18"/>
          <w:highlight w:val="none"/>
        </w:rPr>
        <w:t>提出询问，请按以下方式联系</w:t>
      </w:r>
      <w:bookmarkEnd w:id="20"/>
    </w:p>
    <w:p w14:paraId="3F522D12">
      <w:pPr>
        <w:spacing w:line="360" w:lineRule="auto"/>
        <w:ind w:firstLine="437"/>
        <w:outlineLvl w:val="2"/>
        <w:rPr>
          <w:rFonts w:hint="eastAsia" w:ascii="宋体" w:hAnsi="宋体" w:eastAsia="宋体"/>
          <w:color w:val="auto"/>
          <w:sz w:val="24"/>
          <w:szCs w:val="18"/>
          <w:highlight w:val="none"/>
          <w:lang w:val="en-US" w:eastAsia="zh-CN"/>
        </w:rPr>
      </w:pPr>
      <w:bookmarkStart w:id="21" w:name="_Toc13220"/>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18F8547D">
      <w:pPr>
        <w:spacing w:line="360" w:lineRule="auto"/>
        <w:ind w:firstLine="435"/>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color w:val="auto"/>
          <w:sz w:val="24"/>
          <w:szCs w:val="18"/>
          <w:highlight w:val="none"/>
          <w:u w:val="single"/>
          <w:lang w:eastAsia="zh-CN"/>
        </w:rPr>
        <w:t>滁州市琅琊区重点工程建设管理处</w:t>
      </w:r>
    </w:p>
    <w:p w14:paraId="5808E84A">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w:t>
      </w:r>
      <w:r>
        <w:rPr>
          <w:rFonts w:hint="eastAsia" w:ascii="宋体" w:hAnsi="宋体" w:eastAsia="宋体"/>
          <w:color w:val="auto"/>
          <w:sz w:val="24"/>
          <w:szCs w:val="18"/>
          <w:highlight w:val="none"/>
          <w:u w:val="single"/>
        </w:rPr>
        <w:t>滁州市琅琊区濠河路99号</w:t>
      </w:r>
    </w:p>
    <w:p w14:paraId="30E01B90">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w:t>
      </w:r>
      <w:r>
        <w:rPr>
          <w:rFonts w:hint="eastAsia"/>
          <w:color w:val="auto"/>
          <w:sz w:val="24"/>
          <w:szCs w:val="18"/>
          <w:highlight w:val="none"/>
          <w:u w:val="single"/>
          <w:lang w:eastAsia="zh-CN"/>
        </w:rPr>
        <w:t>黎天畅</w:t>
      </w:r>
    </w:p>
    <w:p w14:paraId="7958FEC6">
      <w:pPr>
        <w:spacing w:line="360" w:lineRule="auto"/>
        <w:ind w:firstLine="435"/>
        <w:rPr>
          <w:rFonts w:hint="eastAsia" w:ascii="宋体" w:hAnsi="宋体" w:eastAsia="宋体"/>
          <w:color w:val="auto"/>
          <w:sz w:val="24"/>
          <w:szCs w:val="18"/>
          <w:highlight w:val="none"/>
          <w:lang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color w:val="auto"/>
          <w:sz w:val="24"/>
          <w:szCs w:val="18"/>
          <w:highlight w:val="none"/>
          <w:u w:val="single"/>
          <w:lang w:eastAsia="zh-CN"/>
        </w:rPr>
        <w:t>0550-3318150</w:t>
      </w:r>
    </w:p>
    <w:p w14:paraId="52C8D433">
      <w:pPr>
        <w:spacing w:line="360" w:lineRule="auto"/>
        <w:ind w:firstLine="437"/>
        <w:outlineLvl w:val="2"/>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2588EECE">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滁州市城投工程咨询管理有限公司</w:t>
      </w:r>
    </w:p>
    <w:p w14:paraId="0775996B">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u w:val="single"/>
        </w:rPr>
        <w:t>滁州市龙蟠大道房产商务大厦6楼605室</w:t>
      </w:r>
    </w:p>
    <w:p w14:paraId="6B8D1EBF">
      <w:pPr>
        <w:spacing w:line="360" w:lineRule="auto"/>
        <w:ind w:firstLine="435"/>
        <w:rPr>
          <w:rFonts w:hint="eastAsia" w:eastAsia="宋体"/>
          <w:color w:val="auto"/>
          <w:highlight w:val="none"/>
          <w:lang w:eastAsia="zh-CN"/>
        </w:rPr>
      </w:pPr>
      <w:r>
        <w:rPr>
          <w:rFonts w:hint="eastAsia" w:ascii="宋体" w:hAnsi="宋体" w:eastAsia="宋体"/>
          <w:color w:val="auto"/>
          <w:sz w:val="24"/>
          <w:szCs w:val="18"/>
          <w:highlight w:val="none"/>
          <w:lang w:val="en-US" w:eastAsia="zh-CN"/>
        </w:rPr>
        <w:t>联系人：</w:t>
      </w:r>
      <w:r>
        <w:rPr>
          <w:rFonts w:hint="eastAsia"/>
          <w:color w:val="auto"/>
          <w:sz w:val="24"/>
          <w:szCs w:val="18"/>
          <w:highlight w:val="none"/>
          <w:u w:val="single"/>
          <w:lang w:eastAsia="zh-CN"/>
        </w:rPr>
        <w:t>周晓培</w:t>
      </w:r>
    </w:p>
    <w:p w14:paraId="3E164D1C">
      <w:pPr>
        <w:spacing w:line="360" w:lineRule="auto"/>
        <w:ind w:firstLine="435"/>
        <w:rPr>
          <w:rFonts w:hint="eastAsia" w:ascii="宋体" w:hAnsi="宋体" w:eastAsia="宋体"/>
          <w:color w:val="auto"/>
          <w:sz w:val="24"/>
          <w:szCs w:val="18"/>
          <w:highlight w:val="none"/>
          <w:lang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color w:val="auto"/>
          <w:sz w:val="24"/>
          <w:szCs w:val="18"/>
          <w:highlight w:val="none"/>
          <w:u w:val="single"/>
          <w:lang w:eastAsia="zh-CN"/>
        </w:rPr>
        <w:t>0550-3519512</w:t>
      </w:r>
      <w:r>
        <w:rPr>
          <w:rFonts w:hint="eastAsia" w:ascii="宋体" w:hAnsi="宋体" w:eastAsia="宋体"/>
          <w:color w:val="auto"/>
          <w:sz w:val="24"/>
          <w:szCs w:val="18"/>
          <w:highlight w:val="none"/>
          <w:u w:val="single"/>
        </w:rPr>
        <w:t>、</w:t>
      </w:r>
      <w:r>
        <w:rPr>
          <w:rFonts w:hint="eastAsia"/>
          <w:color w:val="auto"/>
          <w:sz w:val="24"/>
          <w:szCs w:val="18"/>
          <w:highlight w:val="none"/>
          <w:u w:val="single"/>
          <w:lang w:eastAsia="zh-CN"/>
        </w:rPr>
        <w:t>18255055896</w:t>
      </w:r>
    </w:p>
    <w:p w14:paraId="1C974CF3">
      <w:pPr>
        <w:spacing w:line="360" w:lineRule="auto"/>
        <w:ind w:firstLine="435"/>
        <w:rPr>
          <w:rFonts w:ascii="宋体" w:hAnsi="宋体" w:eastAsia="宋体"/>
          <w:color w:val="auto"/>
          <w:sz w:val="24"/>
          <w:szCs w:val="18"/>
          <w:highlight w:val="none"/>
          <w:u w:val="single"/>
        </w:rPr>
      </w:pPr>
    </w:p>
    <w:bookmarkEnd w:id="21"/>
    <w:p w14:paraId="063C5C94">
      <w:pPr>
        <w:spacing w:line="360" w:lineRule="auto"/>
        <w:ind w:firstLine="435"/>
        <w:rPr>
          <w:color w:val="auto"/>
          <w:sz w:val="24"/>
          <w:szCs w:val="18"/>
          <w:highlight w:val="none"/>
        </w:rPr>
      </w:pPr>
      <w:r>
        <w:rPr>
          <w:color w:val="auto"/>
          <w:sz w:val="24"/>
          <w:szCs w:val="18"/>
          <w:highlight w:val="none"/>
        </w:rPr>
        <w:br w:type="page"/>
      </w:r>
    </w:p>
    <w:p w14:paraId="0ADAE945">
      <w:pPr>
        <w:spacing w:line="360" w:lineRule="auto"/>
        <w:jc w:val="center"/>
        <w:outlineLvl w:val="0"/>
        <w:rPr>
          <w:rFonts w:asciiTheme="minorEastAsia" w:hAnsiTheme="minorEastAsia" w:eastAsiaTheme="minorEastAsia"/>
          <w:b/>
          <w:color w:val="auto"/>
          <w:sz w:val="28"/>
          <w:highlight w:val="none"/>
        </w:rPr>
      </w:pPr>
      <w:bookmarkStart w:id="22" w:name="_Toc323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2"/>
    </w:p>
    <w:p w14:paraId="6A6555EE">
      <w:pPr>
        <w:spacing w:line="360" w:lineRule="auto"/>
        <w:jc w:val="center"/>
        <w:outlineLvl w:val="1"/>
        <w:rPr>
          <w:rFonts w:asciiTheme="minorEastAsia" w:hAnsiTheme="minorEastAsia" w:eastAsiaTheme="minorEastAsia"/>
          <w:b/>
          <w:color w:val="auto"/>
          <w:sz w:val="24"/>
          <w:highlight w:val="none"/>
        </w:rPr>
      </w:pPr>
      <w:bookmarkStart w:id="23" w:name="_Toc14562"/>
      <w:bookmarkStart w:id="24" w:name="_Toc8634"/>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3"/>
      <w:bookmarkEnd w:id="24"/>
    </w:p>
    <w:p w14:paraId="116407B0">
      <w:pPr>
        <w:spacing w:line="360" w:lineRule="auto"/>
        <w:ind w:firstLine="435"/>
        <w:rPr>
          <w:color w:val="auto"/>
          <w:sz w:val="24"/>
          <w:szCs w:val="18"/>
          <w:highlight w:val="none"/>
        </w:rPr>
      </w:pPr>
      <w:r>
        <w:rPr>
          <w:rFonts w:hint="eastAsia"/>
          <w:b/>
          <w:bCs/>
          <w:color w:val="auto"/>
          <w:sz w:val="24"/>
          <w:szCs w:val="18"/>
          <w:highlight w:val="none"/>
        </w:rPr>
        <w:t>注：</w:t>
      </w:r>
      <w:r>
        <w:rPr>
          <w:rFonts w:hint="eastAsia"/>
          <w:color w:val="auto"/>
          <w:sz w:val="24"/>
          <w:szCs w:val="18"/>
          <w:highlight w:val="none"/>
        </w:rPr>
        <w:t>本表是本项目的具体要求，是对供应商须知的具体补充和修改，如有不一致，以本表为准。</w:t>
      </w:r>
    </w:p>
    <w:tbl>
      <w:tblPr>
        <w:tblStyle w:val="55"/>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710"/>
        <w:gridCol w:w="6230"/>
      </w:tblGrid>
      <w:tr w14:paraId="0109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9C7EBDE">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条款号</w:t>
            </w:r>
          </w:p>
        </w:tc>
        <w:tc>
          <w:tcPr>
            <w:tcW w:w="977" w:type="pct"/>
            <w:vAlign w:val="center"/>
          </w:tcPr>
          <w:p w14:paraId="0C91C4C0">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条款名称</w:t>
            </w:r>
          </w:p>
        </w:tc>
        <w:tc>
          <w:tcPr>
            <w:tcW w:w="3556" w:type="pct"/>
            <w:vAlign w:val="center"/>
          </w:tcPr>
          <w:p w14:paraId="3F211920">
            <w:pPr>
              <w:pStyle w:val="76"/>
              <w:widowControl w:val="0"/>
              <w:spacing w:before="0" w:beforeAutospacing="0" w:after="0" w:afterAutospacing="0" w:line="360" w:lineRule="auto"/>
              <w:rPr>
                <w:bCs w:val="0"/>
                <w:color w:val="auto"/>
                <w:kern w:val="2"/>
                <w:sz w:val="24"/>
                <w:szCs w:val="20"/>
                <w:highlight w:val="none"/>
              </w:rPr>
            </w:pPr>
            <w:r>
              <w:rPr>
                <w:rFonts w:hint="eastAsia"/>
                <w:bCs w:val="0"/>
                <w:color w:val="auto"/>
                <w:kern w:val="2"/>
                <w:sz w:val="24"/>
                <w:szCs w:val="20"/>
                <w:highlight w:val="none"/>
              </w:rPr>
              <w:t>内容、说明与要求</w:t>
            </w:r>
          </w:p>
        </w:tc>
      </w:tr>
      <w:tr w14:paraId="463C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748A085E">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eastAsia="zh-CN"/>
              </w:rPr>
            </w:pPr>
            <w:r>
              <w:rPr>
                <w:rFonts w:hint="eastAsia"/>
                <w:bCs/>
                <w:color w:val="auto"/>
                <w:kern w:val="2"/>
                <w:highlight w:val="none"/>
                <w:lang w:val="en-US" w:eastAsia="zh-CN"/>
              </w:rPr>
              <w:t>5</w:t>
            </w:r>
            <w:r>
              <w:rPr>
                <w:bCs/>
                <w:color w:val="auto"/>
                <w:kern w:val="2"/>
                <w:highlight w:val="none"/>
              </w:rPr>
              <w:t>.</w:t>
            </w:r>
            <w:r>
              <w:rPr>
                <w:rFonts w:hint="eastAsia"/>
                <w:bCs/>
                <w:color w:val="auto"/>
                <w:kern w:val="2"/>
                <w:highlight w:val="none"/>
                <w:lang w:val="en-US" w:eastAsia="zh-CN"/>
              </w:rPr>
              <w:t>2</w:t>
            </w:r>
          </w:p>
        </w:tc>
        <w:tc>
          <w:tcPr>
            <w:tcW w:w="977" w:type="pct"/>
            <w:vAlign w:val="center"/>
          </w:tcPr>
          <w:p w14:paraId="51F58959">
            <w:pPr>
              <w:pStyle w:val="76"/>
              <w:widowControl w:val="0"/>
              <w:spacing w:before="0" w:beforeAutospacing="0" w:after="0" w:afterAutospacing="0" w:line="360" w:lineRule="auto"/>
              <w:jc w:val="left"/>
              <w:rPr>
                <w:b w:val="0"/>
                <w:color w:val="auto"/>
                <w:sz w:val="24"/>
                <w:highlight w:val="none"/>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556" w:type="pct"/>
            <w:vAlign w:val="center"/>
          </w:tcPr>
          <w:p w14:paraId="62339049">
            <w:pPr>
              <w:spacing w:line="360" w:lineRule="auto"/>
              <w:rPr>
                <w:rFonts w:ascii="宋体" w:hAnsi="宋体" w:eastAsia="宋体"/>
                <w:bCs/>
                <w:color w:val="auto"/>
                <w:sz w:val="24"/>
                <w:highlight w:val="none"/>
              </w:rPr>
            </w:pPr>
            <w:r>
              <w:rPr>
                <w:rFonts w:hint="eastAsia"/>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67B60B1B">
            <w:pPr>
              <w:spacing w:line="360" w:lineRule="auto"/>
              <w:rPr>
                <w:rFonts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p>
          <w:p w14:paraId="7D8B3B48">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39A1A200">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hint="eastAsia"/>
                <w:bCs/>
                <w:color w:val="auto"/>
                <w:sz w:val="24"/>
                <w:highlight w:val="none"/>
                <w:u w:val="single"/>
                <w:lang w:val="en-US" w:eastAsia="zh-CN"/>
              </w:rPr>
              <w:t>/</w:t>
            </w:r>
            <w:r>
              <w:rPr>
                <w:rFonts w:ascii="宋体" w:hAnsi="宋体" w:eastAsia="宋体"/>
                <w:bCs/>
                <w:color w:val="auto"/>
                <w:sz w:val="24"/>
                <w:highlight w:val="none"/>
                <w:u w:val="single"/>
              </w:rPr>
              <w:t xml:space="preserve">                    </w:t>
            </w:r>
          </w:p>
          <w:p w14:paraId="2A0163D2">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p>
          <w:p w14:paraId="71A7C695">
            <w:pPr>
              <w:pStyle w:val="76"/>
              <w:widowControl w:val="0"/>
              <w:spacing w:before="0" w:beforeAutospacing="0" w:after="0" w:afterAutospacing="0" w:line="360" w:lineRule="auto"/>
              <w:jc w:val="both"/>
              <w:rPr>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如供应商未参加采购人统一组织的现场考察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，由此引起的一切责任由供应商自行承担。</w:t>
            </w:r>
          </w:p>
        </w:tc>
      </w:tr>
      <w:tr w14:paraId="1143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06FDED0">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6</w:t>
            </w:r>
            <w:r>
              <w:rPr>
                <w:bCs/>
                <w:color w:val="auto"/>
                <w:kern w:val="2"/>
                <w:highlight w:val="none"/>
              </w:rPr>
              <w:t>.1</w:t>
            </w:r>
          </w:p>
        </w:tc>
        <w:tc>
          <w:tcPr>
            <w:tcW w:w="977" w:type="pct"/>
            <w:vAlign w:val="center"/>
          </w:tcPr>
          <w:p w14:paraId="59C3BDCB">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网上询问截止时间</w:t>
            </w:r>
          </w:p>
        </w:tc>
        <w:tc>
          <w:tcPr>
            <w:tcW w:w="3556" w:type="pct"/>
            <w:vAlign w:val="center"/>
          </w:tcPr>
          <w:p w14:paraId="30BC76A3">
            <w:pPr>
              <w:pStyle w:val="76"/>
              <w:widowControl w:val="0"/>
              <w:spacing w:before="0" w:beforeAutospacing="0" w:after="0" w:afterAutospacing="0" w:line="360" w:lineRule="auto"/>
              <w:jc w:val="both"/>
              <w:rPr>
                <w:b w:val="0"/>
                <w:color w:val="auto"/>
                <w:sz w:val="24"/>
                <w:highlight w:val="none"/>
              </w:rPr>
            </w:pPr>
            <w:r>
              <w:rPr>
                <w:b w:val="0"/>
                <w:color w:val="auto"/>
                <w:sz w:val="24"/>
                <w:highlight w:val="none"/>
                <w:u w:val="single"/>
              </w:rPr>
              <w:t xml:space="preserve"> </w:t>
            </w:r>
            <w:r>
              <w:rPr>
                <w:rFonts w:hint="eastAsia"/>
                <w:b w:val="0"/>
                <w:color w:val="auto"/>
                <w:sz w:val="24"/>
                <w:highlight w:val="none"/>
                <w:u w:val="single"/>
                <w:lang w:val="en-US" w:eastAsia="zh-CN"/>
              </w:rPr>
              <w:t>2026</w:t>
            </w:r>
            <w:r>
              <w:rPr>
                <w:b w:val="0"/>
                <w:color w:val="auto"/>
                <w:sz w:val="24"/>
                <w:highlight w:val="none"/>
                <w:u w:val="single"/>
              </w:rPr>
              <w:t xml:space="preserve"> </w:t>
            </w:r>
            <w:r>
              <w:rPr>
                <w:b w:val="0"/>
                <w:color w:val="auto"/>
                <w:sz w:val="24"/>
                <w:highlight w:val="none"/>
              </w:rPr>
              <w:t>年</w:t>
            </w:r>
            <w:r>
              <w:rPr>
                <w:b w:val="0"/>
                <w:color w:val="auto"/>
                <w:sz w:val="24"/>
                <w:highlight w:val="none"/>
                <w:u w:val="single"/>
              </w:rPr>
              <w:t xml:space="preserve"> </w:t>
            </w:r>
            <w:r>
              <w:rPr>
                <w:rFonts w:hint="eastAsia"/>
                <w:b w:val="0"/>
                <w:color w:val="auto"/>
                <w:sz w:val="24"/>
                <w:highlight w:val="none"/>
                <w:u w:val="single"/>
                <w:lang w:val="en-US" w:eastAsia="zh-CN"/>
              </w:rPr>
              <w:t>9</w:t>
            </w:r>
            <w:r>
              <w:rPr>
                <w:b w:val="0"/>
                <w:color w:val="auto"/>
                <w:sz w:val="24"/>
                <w:highlight w:val="none"/>
                <w:u w:val="single"/>
              </w:rPr>
              <w:t xml:space="preserve"> </w:t>
            </w:r>
            <w:r>
              <w:rPr>
                <w:b w:val="0"/>
                <w:color w:val="auto"/>
                <w:sz w:val="24"/>
                <w:highlight w:val="none"/>
              </w:rPr>
              <w:t>月</w:t>
            </w:r>
            <w:r>
              <w:rPr>
                <w:b w:val="0"/>
                <w:color w:val="auto"/>
                <w:sz w:val="24"/>
                <w:highlight w:val="none"/>
                <w:u w:val="single"/>
              </w:rPr>
              <w:t xml:space="preserve"> </w:t>
            </w:r>
            <w:r>
              <w:rPr>
                <w:rFonts w:hint="eastAsia"/>
                <w:b w:val="0"/>
                <w:color w:val="auto"/>
                <w:sz w:val="24"/>
                <w:highlight w:val="none"/>
                <w:u w:val="single"/>
                <w:lang w:val="en-US" w:eastAsia="zh-CN"/>
              </w:rPr>
              <w:t>29</w:t>
            </w:r>
            <w:r>
              <w:rPr>
                <w:b w:val="0"/>
                <w:color w:val="auto"/>
                <w:sz w:val="24"/>
                <w:highlight w:val="none"/>
                <w:u w:val="single"/>
              </w:rPr>
              <w:t xml:space="preserve"> </w:t>
            </w:r>
            <w:r>
              <w:rPr>
                <w:b w:val="0"/>
                <w:color w:val="auto"/>
                <w:sz w:val="24"/>
                <w:highlight w:val="none"/>
              </w:rPr>
              <w:t>日</w:t>
            </w:r>
            <w:r>
              <w:rPr>
                <w:b w:val="0"/>
                <w:color w:val="auto"/>
                <w:sz w:val="24"/>
                <w:highlight w:val="none"/>
                <w:u w:val="single"/>
              </w:rPr>
              <w:t xml:space="preserve"> </w:t>
            </w:r>
            <w:r>
              <w:rPr>
                <w:rFonts w:hint="eastAsia"/>
                <w:b w:val="0"/>
                <w:color w:val="auto"/>
                <w:sz w:val="24"/>
                <w:highlight w:val="none"/>
                <w:u w:val="single"/>
                <w:lang w:val="en-US" w:eastAsia="zh-CN"/>
              </w:rPr>
              <w:t>17</w:t>
            </w:r>
            <w:r>
              <w:rPr>
                <w:b w:val="0"/>
                <w:color w:val="auto"/>
                <w:sz w:val="24"/>
                <w:highlight w:val="none"/>
                <w:u w:val="single"/>
              </w:rPr>
              <w:t xml:space="preserve"> </w:t>
            </w:r>
            <w:r>
              <w:rPr>
                <w:b w:val="0"/>
                <w:color w:val="auto"/>
                <w:sz w:val="24"/>
                <w:highlight w:val="none"/>
              </w:rPr>
              <w:t>时</w:t>
            </w:r>
            <w:r>
              <w:rPr>
                <w:b w:val="0"/>
                <w:color w:val="auto"/>
                <w:sz w:val="24"/>
                <w:highlight w:val="none"/>
                <w:u w:val="single"/>
              </w:rPr>
              <w:t xml:space="preserve"> </w:t>
            </w:r>
            <w:r>
              <w:rPr>
                <w:rFonts w:hint="eastAsia"/>
                <w:b w:val="0"/>
                <w:color w:val="auto"/>
                <w:sz w:val="24"/>
                <w:highlight w:val="none"/>
                <w:u w:val="single"/>
                <w:lang w:val="en-US" w:eastAsia="zh-CN"/>
              </w:rPr>
              <w:t>30</w:t>
            </w:r>
            <w:r>
              <w:rPr>
                <w:b w:val="0"/>
                <w:color w:val="auto"/>
                <w:sz w:val="24"/>
                <w:highlight w:val="none"/>
                <w:u w:val="single"/>
              </w:rPr>
              <w:t xml:space="preserve"> </w:t>
            </w:r>
            <w:r>
              <w:rPr>
                <w:rFonts w:hint="eastAsia"/>
                <w:b w:val="0"/>
                <w:color w:val="auto"/>
                <w:sz w:val="24"/>
                <w:highlight w:val="none"/>
              </w:rPr>
              <w:t>分</w:t>
            </w:r>
          </w:p>
        </w:tc>
      </w:tr>
      <w:tr w14:paraId="0AC9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465" w:type="pct"/>
            <w:vAlign w:val="center"/>
          </w:tcPr>
          <w:p w14:paraId="427C2F75">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7</w:t>
            </w:r>
            <w:r>
              <w:rPr>
                <w:bCs/>
                <w:color w:val="auto"/>
                <w:kern w:val="2"/>
                <w:highlight w:val="none"/>
              </w:rPr>
              <w:t>.1</w:t>
            </w:r>
          </w:p>
        </w:tc>
        <w:tc>
          <w:tcPr>
            <w:tcW w:w="977" w:type="pct"/>
            <w:vAlign w:val="center"/>
          </w:tcPr>
          <w:p w14:paraId="5EDA745A">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包别划分</w:t>
            </w:r>
          </w:p>
        </w:tc>
        <w:tc>
          <w:tcPr>
            <w:tcW w:w="3556" w:type="pct"/>
            <w:vAlign w:val="center"/>
          </w:tcPr>
          <w:p w14:paraId="20D81A6D">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szCs w:val="24"/>
                <w:highlight w:val="none"/>
                <w:lang w:eastAsia="zh-CN"/>
              </w:rPr>
              <w:t>☑</w:t>
            </w:r>
            <w:r>
              <w:rPr>
                <w:b w:val="0"/>
                <w:color w:val="auto"/>
                <w:sz w:val="24"/>
                <w:highlight w:val="none"/>
              </w:rPr>
              <w:t xml:space="preserve">不分包     □分为 </w:t>
            </w:r>
            <w:r>
              <w:rPr>
                <w:rFonts w:hint="eastAsia"/>
                <w:b w:val="0"/>
                <w:color w:val="auto"/>
                <w:sz w:val="24"/>
                <w:highlight w:val="none"/>
                <w:lang w:val="en-US" w:eastAsia="zh-CN"/>
              </w:rPr>
              <w:t>/</w:t>
            </w:r>
            <w:r>
              <w:rPr>
                <w:b w:val="0"/>
                <w:color w:val="auto"/>
                <w:sz w:val="24"/>
                <w:highlight w:val="none"/>
              </w:rPr>
              <w:t xml:space="preserve"> 个包</w:t>
            </w:r>
          </w:p>
          <w:p w14:paraId="5D3718AB">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szCs w:val="24"/>
                <w:highlight w:val="none"/>
              </w:rPr>
              <w:t>供应商参加多个包谈判的成交</w:t>
            </w:r>
            <w:r>
              <w:rPr>
                <w:b w:val="0"/>
                <w:bCs w:val="0"/>
                <w:color w:val="auto"/>
                <w:sz w:val="24"/>
                <w:szCs w:val="24"/>
                <w:highlight w:val="none"/>
              </w:rPr>
              <w:t>包</w:t>
            </w:r>
            <w:r>
              <w:rPr>
                <w:rFonts w:hint="eastAsia"/>
                <w:b w:val="0"/>
                <w:bCs w:val="0"/>
                <w:color w:val="auto"/>
                <w:sz w:val="24"/>
                <w:szCs w:val="24"/>
                <w:highlight w:val="none"/>
              </w:rPr>
              <w:t>数规定：</w:t>
            </w:r>
            <w:r>
              <w:rPr>
                <w:rFonts w:hint="eastAsia"/>
                <w:b w:val="0"/>
                <w:bCs w:val="0"/>
                <w:color w:val="auto"/>
                <w:sz w:val="24"/>
                <w:szCs w:val="18"/>
                <w:highlight w:val="none"/>
                <w:u w:val="single"/>
              </w:rPr>
              <w:t xml:space="preserve"> </w:t>
            </w:r>
            <w:r>
              <w:rPr>
                <w:b w:val="0"/>
                <w:bCs w:val="0"/>
                <w:color w:val="auto"/>
                <w:sz w:val="24"/>
                <w:szCs w:val="18"/>
                <w:highlight w:val="none"/>
                <w:u w:val="single"/>
              </w:rPr>
              <w:t xml:space="preserve"> </w:t>
            </w:r>
            <w:r>
              <w:rPr>
                <w:rFonts w:hint="eastAsia"/>
                <w:b w:val="0"/>
                <w:bCs w:val="0"/>
                <w:color w:val="auto"/>
                <w:sz w:val="24"/>
                <w:szCs w:val="18"/>
                <w:highlight w:val="none"/>
                <w:u w:val="single"/>
                <w:lang w:val="en-US" w:eastAsia="zh-CN"/>
              </w:rPr>
              <w:t>/</w:t>
            </w:r>
            <w:r>
              <w:rPr>
                <w:b w:val="0"/>
                <w:bCs w:val="0"/>
                <w:color w:val="auto"/>
                <w:sz w:val="24"/>
                <w:szCs w:val="18"/>
                <w:highlight w:val="none"/>
                <w:u w:val="single"/>
              </w:rPr>
              <w:t xml:space="preserve">    </w:t>
            </w:r>
          </w:p>
        </w:tc>
      </w:tr>
      <w:tr w14:paraId="51CE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65" w:type="pct"/>
            <w:vAlign w:val="center"/>
          </w:tcPr>
          <w:p w14:paraId="6E2106DC">
            <w:pPr>
              <w:pStyle w:val="77"/>
              <w:pBdr>
                <w:bottom w:val="none" w:color="auto" w:sz="0" w:space="0"/>
              </w:pBdr>
              <w:tabs>
                <w:tab w:val="clear" w:pos="4153"/>
                <w:tab w:val="clear" w:pos="8306"/>
              </w:tabs>
              <w:adjustRightInd/>
              <w:spacing w:line="24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0</w:t>
            </w:r>
            <w:r>
              <w:rPr>
                <w:bCs/>
                <w:color w:val="auto"/>
                <w:kern w:val="2"/>
                <w:highlight w:val="none"/>
              </w:rPr>
              <w:t>.1</w:t>
            </w:r>
          </w:p>
        </w:tc>
        <w:tc>
          <w:tcPr>
            <w:tcW w:w="977" w:type="pct"/>
            <w:vAlign w:val="center"/>
          </w:tcPr>
          <w:p w14:paraId="1D8125DE">
            <w:pPr>
              <w:pStyle w:val="76"/>
              <w:widowControl w:val="0"/>
              <w:spacing w:before="0" w:beforeAutospacing="0" w:after="0" w:afterAutospacing="0" w:line="360" w:lineRule="auto"/>
              <w:jc w:val="left"/>
              <w:rPr>
                <w:b w:val="0"/>
                <w:color w:val="auto"/>
                <w:sz w:val="24"/>
                <w:highlight w:val="none"/>
              </w:rPr>
            </w:pPr>
            <w:r>
              <w:rPr>
                <w:rFonts w:hint="eastAsia"/>
                <w:b w:val="0"/>
                <w:color w:val="auto"/>
                <w:sz w:val="24"/>
                <w:highlight w:val="none"/>
              </w:rPr>
              <w:t>谈判保证金</w:t>
            </w:r>
          </w:p>
        </w:tc>
        <w:tc>
          <w:tcPr>
            <w:tcW w:w="3556" w:type="pct"/>
            <w:vAlign w:val="center"/>
          </w:tcPr>
          <w:p w14:paraId="4D82D9E0">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不收取</w:t>
            </w:r>
          </w:p>
        </w:tc>
      </w:tr>
      <w:tr w14:paraId="3AB0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2749B2B8">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1</w:t>
            </w:r>
            <w:r>
              <w:rPr>
                <w:bCs/>
                <w:color w:val="auto"/>
                <w:kern w:val="2"/>
                <w:highlight w:val="none"/>
              </w:rPr>
              <w:t>.1</w:t>
            </w:r>
          </w:p>
        </w:tc>
        <w:tc>
          <w:tcPr>
            <w:tcW w:w="977" w:type="pct"/>
            <w:vAlign w:val="center"/>
          </w:tcPr>
          <w:p w14:paraId="7B17347E">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谈判有效期</w:t>
            </w:r>
          </w:p>
        </w:tc>
        <w:tc>
          <w:tcPr>
            <w:tcW w:w="3556" w:type="pct"/>
            <w:vAlign w:val="center"/>
          </w:tcPr>
          <w:p w14:paraId="3FD54C4C">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u w:val="single"/>
              </w:rPr>
              <w:t xml:space="preserve"> </w:t>
            </w:r>
            <w:r>
              <w:rPr>
                <w:rFonts w:hint="eastAsia"/>
                <w:b w:val="0"/>
                <w:color w:val="auto"/>
                <w:sz w:val="24"/>
                <w:highlight w:val="none"/>
                <w:u w:val="single"/>
                <w:lang w:val="en-US" w:eastAsia="zh-CN"/>
              </w:rPr>
              <w:t>90</w:t>
            </w:r>
            <w:r>
              <w:rPr>
                <w:rFonts w:hint="eastAsia"/>
                <w:b w:val="0"/>
                <w:color w:val="auto"/>
                <w:sz w:val="24"/>
                <w:highlight w:val="none"/>
                <w:u w:val="single"/>
              </w:rPr>
              <w:t xml:space="preserve"> </w:t>
            </w:r>
            <w:r>
              <w:rPr>
                <w:rFonts w:hint="eastAsia"/>
                <w:b w:val="0"/>
                <w:color w:val="auto"/>
                <w:sz w:val="24"/>
                <w:highlight w:val="none"/>
              </w:rPr>
              <w:t>日历日</w:t>
            </w:r>
          </w:p>
        </w:tc>
      </w:tr>
      <w:tr w14:paraId="5F9C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16B802A">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2</w:t>
            </w:r>
            <w:r>
              <w:rPr>
                <w:bCs/>
                <w:color w:val="auto"/>
                <w:kern w:val="2"/>
                <w:highlight w:val="none"/>
              </w:rPr>
              <w:t>.3</w:t>
            </w:r>
          </w:p>
        </w:tc>
        <w:tc>
          <w:tcPr>
            <w:tcW w:w="977" w:type="pct"/>
            <w:vAlign w:val="center"/>
          </w:tcPr>
          <w:p w14:paraId="60F5626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响应文件解密时间</w:t>
            </w:r>
          </w:p>
        </w:tc>
        <w:tc>
          <w:tcPr>
            <w:tcW w:w="3556" w:type="pct"/>
            <w:vAlign w:val="center"/>
          </w:tcPr>
          <w:p w14:paraId="4296DC7F">
            <w:pPr>
              <w:pStyle w:val="76"/>
              <w:widowControl w:val="0"/>
              <w:spacing w:before="0" w:beforeAutospacing="0" w:after="0" w:afterAutospacing="0" w:line="360" w:lineRule="auto"/>
              <w:jc w:val="both"/>
              <w:rPr>
                <w:rFonts w:hint="eastAsia" w:eastAsia="宋体"/>
                <w:b w:val="0"/>
                <w:color w:val="auto"/>
                <w:sz w:val="24"/>
                <w:highlight w:val="none"/>
                <w:u w:val="single"/>
                <w:lang w:val="en-US" w:eastAsia="zh-CN"/>
              </w:rPr>
            </w:pPr>
            <w:r>
              <w:rPr>
                <w:rFonts w:hint="eastAsia"/>
                <w:b w:val="0"/>
                <w:color w:val="auto"/>
                <w:sz w:val="24"/>
                <w:highlight w:val="none"/>
                <w:u w:val="none"/>
              </w:rPr>
              <w:t>响应文件提交截止时间后</w:t>
            </w:r>
            <w:r>
              <w:rPr>
                <w:rFonts w:hint="eastAsia"/>
                <w:b w:val="0"/>
                <w:color w:val="auto"/>
                <w:sz w:val="24"/>
                <w:highlight w:val="none"/>
                <w:u w:val="single"/>
                <w:lang w:val="en-US" w:eastAsia="zh-CN"/>
              </w:rPr>
              <w:t xml:space="preserve"> 30 </w:t>
            </w:r>
            <w:r>
              <w:rPr>
                <w:rFonts w:hint="eastAsia"/>
                <w:b w:val="0"/>
                <w:color w:val="auto"/>
                <w:sz w:val="24"/>
                <w:highlight w:val="none"/>
                <w:u w:val="none"/>
              </w:rPr>
              <w:t>分钟内（以本项目网上</w:t>
            </w:r>
            <w:r>
              <w:rPr>
                <w:rFonts w:hint="eastAsia"/>
                <w:b w:val="0"/>
                <w:color w:val="auto"/>
                <w:sz w:val="24"/>
                <w:highlight w:val="none"/>
                <w:u w:val="none"/>
                <w:lang w:val="en-US" w:eastAsia="zh-CN"/>
              </w:rPr>
              <w:t>电子交易平台</w:t>
            </w:r>
            <w:r>
              <w:rPr>
                <w:rFonts w:hint="eastAsia"/>
                <w:b w:val="0"/>
                <w:color w:val="auto"/>
                <w:sz w:val="24"/>
                <w:highlight w:val="none"/>
                <w:u w:val="none"/>
              </w:rPr>
              <w:t>系统解密倒计时为准）</w:t>
            </w:r>
            <w:r>
              <w:rPr>
                <w:rFonts w:hint="eastAsia"/>
                <w:b w:val="0"/>
                <w:color w:val="auto"/>
                <w:sz w:val="24"/>
                <w:highlight w:val="none"/>
                <w:u w:val="none"/>
                <w:lang w:eastAsia="zh-CN"/>
              </w:rPr>
              <w:t>。</w:t>
            </w:r>
          </w:p>
        </w:tc>
      </w:tr>
      <w:tr w14:paraId="59DB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AC551F2">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1</w:t>
            </w:r>
            <w:r>
              <w:rPr>
                <w:rFonts w:hint="eastAsia"/>
                <w:bCs/>
                <w:color w:val="auto"/>
                <w:kern w:val="2"/>
                <w:highlight w:val="none"/>
                <w:lang w:val="en-US" w:eastAsia="zh-CN"/>
              </w:rPr>
              <w:t>4</w:t>
            </w:r>
            <w:r>
              <w:rPr>
                <w:rFonts w:hint="eastAsia"/>
                <w:bCs/>
                <w:color w:val="auto"/>
                <w:kern w:val="2"/>
                <w:highlight w:val="none"/>
              </w:rPr>
              <w:t>.3</w:t>
            </w:r>
          </w:p>
        </w:tc>
        <w:tc>
          <w:tcPr>
            <w:tcW w:w="977" w:type="pct"/>
            <w:vAlign w:val="center"/>
          </w:tcPr>
          <w:p w14:paraId="0EC5B27F">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评审方法</w:t>
            </w:r>
          </w:p>
        </w:tc>
        <w:tc>
          <w:tcPr>
            <w:tcW w:w="3556" w:type="pct"/>
            <w:vAlign w:val="center"/>
          </w:tcPr>
          <w:p w14:paraId="70099C8F">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u w:val="none"/>
              </w:rPr>
              <w:t>最低评标价法</w:t>
            </w:r>
          </w:p>
        </w:tc>
      </w:tr>
      <w:tr w14:paraId="7601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3142DF76">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17</w:t>
            </w:r>
            <w:r>
              <w:rPr>
                <w:bCs/>
                <w:color w:val="auto"/>
                <w:kern w:val="2"/>
                <w:highlight w:val="none"/>
              </w:rPr>
              <w:t>.</w:t>
            </w:r>
            <w:r>
              <w:rPr>
                <w:rFonts w:hint="eastAsia"/>
                <w:bCs/>
                <w:color w:val="auto"/>
                <w:kern w:val="2"/>
                <w:highlight w:val="none"/>
              </w:rPr>
              <w:t>4</w:t>
            </w:r>
          </w:p>
        </w:tc>
        <w:tc>
          <w:tcPr>
            <w:tcW w:w="977" w:type="pct"/>
            <w:vAlign w:val="center"/>
          </w:tcPr>
          <w:p w14:paraId="79AEAA74">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最后报价扣除</w:t>
            </w:r>
          </w:p>
          <w:p w14:paraId="53283B8B">
            <w:pPr>
              <w:pStyle w:val="76"/>
              <w:widowControl w:val="0"/>
              <w:spacing w:before="0" w:beforeAutospacing="0" w:after="0" w:afterAutospacing="0" w:line="360" w:lineRule="auto"/>
              <w:jc w:val="both"/>
              <w:rPr>
                <w:b w:val="0"/>
                <w:color w:val="auto"/>
                <w:sz w:val="24"/>
                <w:highlight w:val="none"/>
              </w:rPr>
            </w:pPr>
            <w:r>
              <w:rPr>
                <w:rFonts w:hint="eastAsia"/>
                <w:b w:val="0"/>
                <w:i/>
                <w:color w:val="auto"/>
                <w:sz w:val="24"/>
                <w:highlight w:val="none"/>
              </w:rPr>
              <w:t>（非专门面向中小企业采购项目适用）</w:t>
            </w:r>
          </w:p>
        </w:tc>
        <w:tc>
          <w:tcPr>
            <w:tcW w:w="3556" w:type="pct"/>
            <w:vAlign w:val="center"/>
          </w:tcPr>
          <w:p w14:paraId="02933765">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u w:val="single"/>
              </w:rPr>
              <w:t>对小型和微型企业的价格给予10%的扣除后参与评审；其评审价=最终响应报价*（90%）</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65321CC1">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67AE0551">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7647B7DF">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w:t>
            </w:r>
            <w:r>
              <w:rPr>
                <w:rFonts w:hint="eastAsia"/>
                <w:b w:val="0"/>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4C5BC6DB">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w:t>
            </w:r>
            <w:r>
              <w:rPr>
                <w:rFonts w:hint="eastAsia"/>
                <w:b w:val="0"/>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2827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Merge w:val="restart"/>
            <w:vAlign w:val="center"/>
          </w:tcPr>
          <w:p w14:paraId="22C7B357">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19</w:t>
            </w:r>
            <w:r>
              <w:rPr>
                <w:bCs/>
                <w:color w:val="auto"/>
                <w:kern w:val="2"/>
                <w:highlight w:val="none"/>
              </w:rPr>
              <w:t>.</w:t>
            </w:r>
            <w:r>
              <w:rPr>
                <w:rFonts w:hint="eastAsia"/>
                <w:bCs/>
                <w:color w:val="auto"/>
                <w:kern w:val="2"/>
                <w:highlight w:val="none"/>
              </w:rPr>
              <w:t>1</w:t>
            </w:r>
          </w:p>
        </w:tc>
        <w:tc>
          <w:tcPr>
            <w:tcW w:w="977" w:type="pct"/>
            <w:vMerge w:val="restart"/>
            <w:vAlign w:val="center"/>
          </w:tcPr>
          <w:p w14:paraId="7B3C0CC6">
            <w:pPr>
              <w:pStyle w:val="76"/>
              <w:widowControl w:val="0"/>
              <w:spacing w:before="0" w:beforeAutospacing="0" w:after="0" w:afterAutospacing="0" w:line="360" w:lineRule="auto"/>
              <w:jc w:val="both"/>
              <w:rPr>
                <w:b w:val="0"/>
                <w:color w:val="auto"/>
                <w:sz w:val="24"/>
                <w:highlight w:val="none"/>
              </w:rPr>
            </w:pPr>
            <w:r>
              <w:rPr>
                <w:rFonts w:hint="eastAsia" w:asciiTheme="minorEastAsia" w:hAnsiTheme="minorEastAsia" w:eastAsiaTheme="minorEastAsia"/>
                <w:b w:val="0"/>
                <w:color w:val="auto"/>
                <w:sz w:val="24"/>
                <w:highlight w:val="none"/>
              </w:rPr>
              <w:t>确定成交候选供应商和成交供应商</w:t>
            </w:r>
          </w:p>
        </w:tc>
        <w:tc>
          <w:tcPr>
            <w:tcW w:w="3556" w:type="pct"/>
            <w:vAlign w:val="center"/>
          </w:tcPr>
          <w:p w14:paraId="3C75FE5D">
            <w:pPr>
              <w:pStyle w:val="76"/>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b w:val="0"/>
                <w:color w:val="auto"/>
                <w:sz w:val="24"/>
                <w:highlight w:val="none"/>
              </w:rPr>
              <w:t>谈判小组推荐成交</w:t>
            </w:r>
            <w:r>
              <w:rPr>
                <w:b w:val="0"/>
                <w:color w:val="auto"/>
                <w:sz w:val="24"/>
                <w:highlight w:val="none"/>
              </w:rPr>
              <w:t>候选</w:t>
            </w:r>
            <w:r>
              <w:rPr>
                <w:rFonts w:hint="eastAsia"/>
                <w:b w:val="0"/>
                <w:color w:val="auto"/>
                <w:sz w:val="24"/>
                <w:highlight w:val="none"/>
              </w:rPr>
              <w:t>供应商的</w:t>
            </w:r>
            <w:r>
              <w:rPr>
                <w:b w:val="0"/>
                <w:color w:val="auto"/>
                <w:sz w:val="24"/>
                <w:highlight w:val="none"/>
              </w:rPr>
              <w:t>数量</w:t>
            </w:r>
            <w:r>
              <w:rPr>
                <w:rFonts w:hint="eastAsia"/>
                <w:b w:val="0"/>
                <w:color w:val="auto"/>
                <w:sz w:val="24"/>
                <w:highlight w:val="none"/>
              </w:rPr>
              <w:t>：</w:t>
            </w:r>
            <w:r>
              <w:rPr>
                <w:rFonts w:hint="eastAsia" w:ascii="宋体" w:hAnsi="宋体" w:eastAsia="宋体"/>
                <w:b w:val="0"/>
                <w:color w:val="auto"/>
                <w:sz w:val="24"/>
                <w:highlight w:val="none"/>
              </w:rPr>
              <w:t>3家</w:t>
            </w:r>
          </w:p>
          <w:p w14:paraId="5949D84F">
            <w:pPr>
              <w:pStyle w:val="76"/>
              <w:widowControl w:val="0"/>
              <w:spacing w:before="0" w:beforeAutospacing="0" w:after="0" w:afterAutospacing="0" w:line="360" w:lineRule="auto"/>
              <w:jc w:val="both"/>
              <w:rPr>
                <w:b w:val="0"/>
                <w:color w:val="auto"/>
                <w:sz w:val="24"/>
                <w:highlight w:val="none"/>
                <w:u w:val="single"/>
              </w:rPr>
            </w:pPr>
            <w:r>
              <w:rPr>
                <w:rFonts w:hint="eastAsia" w:ascii="宋体" w:hAnsi="宋体" w:eastAsia="宋体"/>
                <w:b w:val="0"/>
                <w:color w:val="auto"/>
                <w:sz w:val="24"/>
                <w:highlight w:val="none"/>
                <w:lang w:val="en-US" w:eastAsia="zh-CN"/>
              </w:rPr>
              <w:t>注：法律、法规另有规定的，从其规定</w:t>
            </w:r>
          </w:p>
        </w:tc>
      </w:tr>
      <w:tr w14:paraId="6D4B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Merge w:val="continue"/>
            <w:vAlign w:val="center"/>
          </w:tcPr>
          <w:p w14:paraId="53C43950">
            <w:pPr>
              <w:pStyle w:val="77"/>
              <w:pBdr>
                <w:bottom w:val="none" w:color="auto" w:sz="0" w:space="0"/>
              </w:pBdr>
              <w:tabs>
                <w:tab w:val="clear" w:pos="4153"/>
                <w:tab w:val="clear" w:pos="8306"/>
              </w:tabs>
              <w:adjustRightInd/>
              <w:spacing w:line="360" w:lineRule="auto"/>
              <w:textAlignment w:val="auto"/>
              <w:rPr>
                <w:bCs/>
                <w:color w:val="auto"/>
                <w:kern w:val="2"/>
                <w:highlight w:val="none"/>
              </w:rPr>
            </w:pPr>
          </w:p>
        </w:tc>
        <w:tc>
          <w:tcPr>
            <w:tcW w:w="977" w:type="pct"/>
            <w:vMerge w:val="continue"/>
            <w:vAlign w:val="center"/>
          </w:tcPr>
          <w:p w14:paraId="0BF9055B">
            <w:pPr>
              <w:pStyle w:val="76"/>
              <w:widowControl w:val="0"/>
              <w:spacing w:before="0" w:beforeAutospacing="0" w:after="0" w:afterAutospacing="0" w:line="360" w:lineRule="auto"/>
              <w:jc w:val="both"/>
              <w:rPr>
                <w:b w:val="0"/>
                <w:color w:val="auto"/>
                <w:sz w:val="24"/>
                <w:highlight w:val="none"/>
              </w:rPr>
            </w:pPr>
          </w:p>
        </w:tc>
        <w:tc>
          <w:tcPr>
            <w:tcW w:w="3556" w:type="pct"/>
            <w:vAlign w:val="center"/>
          </w:tcPr>
          <w:p w14:paraId="4A320CC9">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确定成交供应商：</w:t>
            </w:r>
          </w:p>
          <w:p w14:paraId="264631F0">
            <w:pPr>
              <w:pStyle w:val="76"/>
              <w:widowControl w:val="0"/>
              <w:spacing w:before="0" w:beforeAutospacing="0" w:after="0" w:afterAutospacing="0" w:line="360" w:lineRule="auto"/>
              <w:jc w:val="both"/>
              <w:rPr>
                <w:b w:val="0"/>
                <w:color w:val="auto"/>
                <w:sz w:val="24"/>
                <w:highlight w:val="none"/>
              </w:rPr>
            </w:pPr>
            <w:r>
              <w:rPr>
                <w:rFonts w:hint="eastAsia" w:asciiTheme="minorEastAsia" w:hAnsiTheme="minorEastAsia"/>
                <w:color w:val="auto"/>
                <w:sz w:val="24"/>
                <w:szCs w:val="24"/>
                <w:highlight w:val="none"/>
              </w:rPr>
              <w:sym w:font="Wingdings" w:char="00A8"/>
            </w:r>
            <w:r>
              <w:rPr>
                <w:rFonts w:hint="eastAsia"/>
                <w:b w:val="0"/>
                <w:color w:val="auto"/>
                <w:sz w:val="24"/>
                <w:highlight w:val="none"/>
              </w:rPr>
              <w:t xml:space="preserve">采购人委托谈判小组确定 </w:t>
            </w:r>
            <w:r>
              <w:rPr>
                <w:b w:val="0"/>
                <w:color w:val="auto"/>
                <w:sz w:val="24"/>
                <w:highlight w:val="none"/>
              </w:rPr>
              <w:t xml:space="preserve">   </w:t>
            </w:r>
            <w:r>
              <w:rPr>
                <w:rFonts w:hint="eastAsia"/>
                <w:b w:val="0"/>
                <w:color w:val="auto"/>
                <w:sz w:val="24"/>
                <w:highlight w:val="none"/>
              </w:rPr>
              <w:t xml:space="preserve"> </w:t>
            </w:r>
            <w:r>
              <w:rPr>
                <w:rFonts w:hint="eastAsia"/>
                <w:b w:val="0"/>
                <w:color w:val="auto"/>
                <w:sz w:val="24"/>
                <w:highlight w:val="none"/>
                <w:lang w:eastAsia="zh-CN"/>
              </w:rPr>
              <w:t>☑</w:t>
            </w:r>
            <w:r>
              <w:rPr>
                <w:rFonts w:hint="eastAsia"/>
                <w:b w:val="0"/>
                <w:color w:val="auto"/>
                <w:sz w:val="24"/>
                <w:highlight w:val="none"/>
              </w:rPr>
              <w:t>采购人确定</w:t>
            </w:r>
          </w:p>
        </w:tc>
      </w:tr>
      <w:tr w14:paraId="44FC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06D5EA2">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2</w:t>
            </w:r>
            <w:r>
              <w:rPr>
                <w:rFonts w:hint="eastAsia"/>
                <w:bCs/>
                <w:color w:val="auto"/>
                <w:kern w:val="2"/>
                <w:highlight w:val="none"/>
                <w:lang w:val="en-US" w:eastAsia="zh-CN"/>
              </w:rPr>
              <w:t>2</w:t>
            </w:r>
            <w:r>
              <w:rPr>
                <w:bCs/>
                <w:color w:val="auto"/>
                <w:kern w:val="2"/>
                <w:highlight w:val="none"/>
              </w:rPr>
              <w:t>.</w:t>
            </w:r>
            <w:r>
              <w:rPr>
                <w:rFonts w:hint="eastAsia"/>
                <w:bCs/>
                <w:color w:val="auto"/>
                <w:kern w:val="2"/>
                <w:highlight w:val="none"/>
              </w:rPr>
              <w:t>2</w:t>
            </w:r>
          </w:p>
        </w:tc>
        <w:tc>
          <w:tcPr>
            <w:tcW w:w="977" w:type="pct"/>
            <w:vAlign w:val="center"/>
          </w:tcPr>
          <w:p w14:paraId="703AA66A">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随成交结果公告同时公告的内容</w:t>
            </w:r>
          </w:p>
        </w:tc>
        <w:tc>
          <w:tcPr>
            <w:tcW w:w="3556" w:type="pct"/>
            <w:vAlign w:val="center"/>
          </w:tcPr>
          <w:p w14:paraId="7D472B27">
            <w:pPr>
              <w:pStyle w:val="76"/>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i/>
                <w:iCs/>
                <w:color w:val="auto"/>
                <w:sz w:val="24"/>
                <w:highlight w:val="none"/>
                <w:u w:val="none"/>
              </w:rPr>
              <w:t>（如有）</w:t>
            </w:r>
          </w:p>
          <w:p w14:paraId="5D108ECD">
            <w:pPr>
              <w:pStyle w:val="76"/>
              <w:widowControl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iCs/>
                <w:color w:val="auto"/>
                <w:sz w:val="24"/>
                <w:highlight w:val="none"/>
                <w:u w:val="none"/>
              </w:rPr>
              <w:t>（如有）</w:t>
            </w:r>
          </w:p>
          <w:p w14:paraId="67B7DFFF">
            <w:pPr>
              <w:pStyle w:val="76"/>
              <w:widowControl w:val="0"/>
              <w:spacing w:before="0" w:beforeAutospacing="0" w:after="0" w:afterAutospacing="0" w:line="360" w:lineRule="auto"/>
              <w:jc w:val="both"/>
              <w:rPr>
                <w:rFonts w:hint="eastAsia" w:eastAsia="宋体"/>
                <w:b w:val="0"/>
                <w:bCs w:val="0"/>
                <w:color w:val="auto"/>
                <w:sz w:val="24"/>
                <w:szCs w:val="24"/>
                <w:highlight w:val="none"/>
                <w:lang w:val="en-US"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）因落实政府采购政策等原因进行价格扣除后中标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供应商的评审报价</w:t>
            </w:r>
            <w:r>
              <w:rPr>
                <w:rFonts w:hint="eastAsia"/>
                <w:b w:val="0"/>
                <w:color w:val="auto"/>
                <w:sz w:val="24"/>
                <w:highlight w:val="none"/>
                <w:u w:val="none"/>
                <w:lang w:eastAsia="zh-CN"/>
              </w:rPr>
              <w:t>。</w:t>
            </w:r>
          </w:p>
        </w:tc>
      </w:tr>
      <w:tr w14:paraId="563B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1D994CAF">
            <w:pPr>
              <w:pStyle w:val="77"/>
              <w:pBdr>
                <w:bottom w:val="none" w:color="auto" w:sz="0" w:space="0"/>
              </w:pBdr>
              <w:tabs>
                <w:tab w:val="clear" w:pos="4153"/>
                <w:tab w:val="clear" w:pos="8306"/>
              </w:tabs>
              <w:adjustRightInd/>
              <w:spacing w:line="240" w:lineRule="auto"/>
              <w:textAlignment w:val="auto"/>
              <w:rPr>
                <w:bCs/>
                <w:color w:val="auto"/>
                <w:kern w:val="2"/>
                <w:highlight w:val="none"/>
              </w:rPr>
            </w:pPr>
            <w:r>
              <w:rPr>
                <w:rFonts w:hint="eastAsia"/>
                <w:bCs/>
                <w:color w:val="auto"/>
                <w:kern w:val="2"/>
                <w:highlight w:val="none"/>
              </w:rPr>
              <w:t>2</w:t>
            </w:r>
            <w:r>
              <w:rPr>
                <w:rFonts w:hint="eastAsia"/>
                <w:bCs/>
                <w:color w:val="auto"/>
                <w:kern w:val="2"/>
                <w:highlight w:val="none"/>
                <w:lang w:val="en-US" w:eastAsia="zh-CN"/>
              </w:rPr>
              <w:t>3</w:t>
            </w:r>
            <w:r>
              <w:rPr>
                <w:bCs/>
                <w:color w:val="auto"/>
                <w:kern w:val="2"/>
                <w:highlight w:val="none"/>
              </w:rPr>
              <w:t>.1</w:t>
            </w:r>
          </w:p>
        </w:tc>
        <w:tc>
          <w:tcPr>
            <w:tcW w:w="977" w:type="pct"/>
            <w:vAlign w:val="center"/>
          </w:tcPr>
          <w:p w14:paraId="6DE63D52">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成交通知书发出的形式</w:t>
            </w:r>
          </w:p>
        </w:tc>
        <w:tc>
          <w:tcPr>
            <w:tcW w:w="3556" w:type="pct"/>
            <w:vAlign w:val="center"/>
          </w:tcPr>
          <w:p w14:paraId="67DF36F2">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 xml:space="preserve">书面 </w:t>
            </w:r>
            <w:r>
              <w:rPr>
                <w:b w:val="0"/>
                <w:color w:val="auto"/>
                <w:sz w:val="24"/>
                <w:highlight w:val="none"/>
              </w:rPr>
              <w:t xml:space="preserve">    </w:t>
            </w:r>
            <w:r>
              <w:rPr>
                <w:rFonts w:hint="eastAsia"/>
                <w:b w:val="0"/>
                <w:bCs w:val="0"/>
                <w:color w:val="auto"/>
                <w:sz w:val="24"/>
                <w:szCs w:val="24"/>
                <w:highlight w:val="none"/>
              </w:rPr>
              <w:sym w:font="Wingdings" w:char="00A8"/>
            </w:r>
            <w:r>
              <w:rPr>
                <w:rFonts w:hint="eastAsia"/>
                <w:b w:val="0"/>
                <w:color w:val="auto"/>
                <w:sz w:val="24"/>
                <w:highlight w:val="none"/>
              </w:rPr>
              <w:t>数据电文</w:t>
            </w:r>
          </w:p>
        </w:tc>
      </w:tr>
      <w:tr w14:paraId="3CC2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D879EF4">
            <w:pPr>
              <w:pStyle w:val="77"/>
              <w:pBdr>
                <w:bottom w:val="none" w:color="auto" w:sz="0" w:space="0"/>
              </w:pBdr>
              <w:tabs>
                <w:tab w:val="clear" w:pos="4153"/>
                <w:tab w:val="clear" w:pos="8306"/>
              </w:tabs>
              <w:adjustRightInd/>
              <w:spacing w:line="240" w:lineRule="auto"/>
              <w:textAlignment w:val="auto"/>
              <w:rPr>
                <w:rFonts w:hint="eastAsia" w:ascii="宋体" w:hAnsi="宋体" w:eastAsia="宋体" w:cstheme="minorBidi"/>
                <w:bCs/>
                <w:color w:val="auto"/>
                <w:kern w:val="2"/>
                <w:sz w:val="24"/>
                <w:szCs w:val="20"/>
                <w:highlight w:val="none"/>
                <w:lang w:val="en-US" w:eastAsia="zh-CN" w:bidi="ar-SA"/>
              </w:rPr>
            </w:pPr>
            <w:r>
              <w:rPr>
                <w:rFonts w:hint="eastAsia" w:ascii="宋体" w:hAnsi="宋体" w:eastAsia="宋体" w:cs="宋体"/>
                <w:b w:val="0"/>
                <w:bCs/>
                <w:color w:val="auto"/>
                <w:sz w:val="24"/>
                <w:szCs w:val="24"/>
                <w:highlight w:val="none"/>
                <w:lang w:val="en-US" w:eastAsia="zh-CN"/>
              </w:rPr>
              <w:t>2</w:t>
            </w:r>
            <w:r>
              <w:rPr>
                <w:rFonts w:hint="eastAsia"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lang w:val="en-US" w:eastAsia="zh-CN"/>
              </w:rPr>
              <w:t>.1</w:t>
            </w:r>
          </w:p>
        </w:tc>
        <w:tc>
          <w:tcPr>
            <w:tcW w:w="977" w:type="pct"/>
            <w:vAlign w:val="center"/>
          </w:tcPr>
          <w:p w14:paraId="5805A565">
            <w:pPr>
              <w:pStyle w:val="76"/>
              <w:widowControl w:val="0"/>
              <w:spacing w:before="0" w:beforeAutospacing="0" w:after="0" w:afterAutospacing="0" w:line="360" w:lineRule="auto"/>
              <w:jc w:val="both"/>
              <w:rPr>
                <w:rFonts w:hint="eastAsia" w:ascii="宋体" w:hAnsi="宋体" w:eastAsia="宋体" w:cstheme="minorBidi"/>
                <w:b w:val="0"/>
                <w:bCs/>
                <w:color w:val="auto"/>
                <w:sz w:val="24"/>
                <w:szCs w:val="28"/>
                <w:highlight w:val="none"/>
                <w:lang w:val="en-US" w:eastAsia="zh-CN" w:bidi="ar-SA"/>
              </w:rPr>
            </w:pPr>
            <w:r>
              <w:rPr>
                <w:rFonts w:hint="eastAsia" w:ascii="宋体" w:hAnsi="宋体" w:eastAsia="宋体" w:cs="宋体"/>
                <w:b w:val="0"/>
                <w:bCs/>
                <w:color w:val="auto"/>
                <w:sz w:val="24"/>
                <w:szCs w:val="24"/>
                <w:highlight w:val="none"/>
                <w:lang w:val="en-US" w:eastAsia="zh-CN"/>
              </w:rPr>
              <w:t>告知谈判结果的形式</w:t>
            </w:r>
          </w:p>
        </w:tc>
        <w:tc>
          <w:tcPr>
            <w:tcW w:w="3556" w:type="pct"/>
            <w:vAlign w:val="center"/>
          </w:tcPr>
          <w:p w14:paraId="672421D7">
            <w:pPr>
              <w:pStyle w:val="76"/>
              <w:widowControl w:val="0"/>
              <w:spacing w:before="0" w:beforeAutospacing="0" w:after="0" w:afterAutospacing="0" w:line="360" w:lineRule="auto"/>
              <w:jc w:val="both"/>
              <w:rPr>
                <w:rFonts w:hint="eastAsia" w:ascii="宋体" w:hAnsi="宋体" w:eastAsia="宋体" w:cs="宋体"/>
                <w:b w:val="0"/>
                <w:bCs/>
                <w:color w:val="auto"/>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宋体" w:hAnsi="宋体" w:eastAsia="宋体" w:cs="宋体"/>
                <w:b w:val="0"/>
                <w:bCs/>
                <w:color w:val="auto"/>
                <w:sz w:val="24"/>
                <w:szCs w:val="24"/>
                <w:highlight w:val="none"/>
                <w:lang w:val="en-US" w:eastAsia="zh-CN"/>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ascii="宋体" w:hAnsi="宋体" w:eastAsia="宋体" w:cs="宋体"/>
                <w:b w:val="0"/>
                <w:bCs/>
                <w:color w:val="auto"/>
                <w:sz w:val="24"/>
                <w:szCs w:val="24"/>
                <w:highlight w:val="none"/>
                <w:lang w:val="en-US" w:eastAsia="zh-CN"/>
              </w:rPr>
              <w:t>系统查看</w:t>
            </w:r>
          </w:p>
          <w:p w14:paraId="56FB7CFC">
            <w:pPr>
              <w:pStyle w:val="76"/>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b w:val="0"/>
                <w:color w:val="auto"/>
                <w:sz w:val="24"/>
                <w:highlight w:val="none"/>
                <w:lang w:val="en-US" w:eastAsia="zh-CN"/>
              </w:rPr>
              <w:t>谈判现场告知</w:t>
            </w:r>
          </w:p>
        </w:tc>
      </w:tr>
      <w:tr w14:paraId="386E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21FD45E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25</w:t>
            </w:r>
            <w:r>
              <w:rPr>
                <w:bCs/>
                <w:color w:val="auto"/>
                <w:kern w:val="2"/>
                <w:highlight w:val="none"/>
              </w:rPr>
              <w:t>.1</w:t>
            </w:r>
          </w:p>
        </w:tc>
        <w:tc>
          <w:tcPr>
            <w:tcW w:w="977" w:type="pct"/>
            <w:vAlign w:val="center"/>
          </w:tcPr>
          <w:p w14:paraId="6CB0998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履约保证金</w:t>
            </w:r>
          </w:p>
        </w:tc>
        <w:tc>
          <w:tcPr>
            <w:tcW w:w="3556" w:type="pct"/>
          </w:tcPr>
          <w:p w14:paraId="0FEE1612">
            <w:pPr>
              <w:spacing w:line="360" w:lineRule="auto"/>
              <w:rPr>
                <w:rFonts w:cs="@仿宋_GB2312"/>
                <w:bCs/>
                <w:color w:val="auto"/>
                <w:sz w:val="24"/>
                <w:szCs w:val="28"/>
                <w:highlight w:val="none"/>
              </w:rPr>
            </w:pPr>
            <w:r>
              <w:rPr>
                <w:rFonts w:hint="eastAsia" w:cs="@仿宋_GB2312"/>
                <w:bCs/>
                <w:color w:val="auto"/>
                <w:sz w:val="24"/>
                <w:szCs w:val="28"/>
                <w:highlight w:val="none"/>
              </w:rPr>
              <w:t>（1）金额：</w:t>
            </w:r>
          </w:p>
          <w:p w14:paraId="58099F16">
            <w:pPr>
              <w:spacing w:line="360" w:lineRule="auto"/>
              <w:rPr>
                <w:rFonts w:cs="@仿宋_GB2312"/>
                <w:bCs/>
                <w:color w:val="auto"/>
                <w:sz w:val="24"/>
                <w:szCs w:val="28"/>
                <w:highlight w:val="none"/>
              </w:rPr>
            </w:pPr>
            <w:r>
              <w:rPr>
                <w:rFonts w:hint="eastAsia" w:cs="@仿宋_GB2312"/>
                <w:bCs/>
                <w:color w:val="auto"/>
                <w:sz w:val="24"/>
                <w:szCs w:val="28"/>
                <w:highlight w:val="none"/>
                <w:lang w:eastAsia="zh-CN"/>
              </w:rPr>
              <w:t>☑</w:t>
            </w:r>
            <w:r>
              <w:rPr>
                <w:rFonts w:hint="eastAsia" w:cs="@仿宋_GB2312"/>
                <w:bCs/>
                <w:color w:val="auto"/>
                <w:sz w:val="24"/>
                <w:szCs w:val="28"/>
                <w:highlight w:val="none"/>
              </w:rPr>
              <w:t>免收</w:t>
            </w:r>
          </w:p>
          <w:p w14:paraId="251E4953">
            <w:pPr>
              <w:spacing w:line="360" w:lineRule="auto"/>
              <w:rPr>
                <w:rFonts w:cs="@仿宋_GB2312"/>
                <w:bCs/>
                <w:color w:val="auto"/>
                <w:sz w:val="24"/>
                <w:szCs w:val="28"/>
                <w:highlight w:val="none"/>
              </w:rPr>
            </w:pPr>
            <w:r>
              <w:rPr>
                <w:rFonts w:cs="@仿宋_GB2312"/>
                <w:bCs/>
                <w:color w:val="auto"/>
                <w:sz w:val="24"/>
                <w:szCs w:val="28"/>
                <w:highlight w:val="none"/>
              </w:rPr>
              <w:t>□</w:t>
            </w:r>
            <w:r>
              <w:rPr>
                <w:rFonts w:hint="eastAsia" w:cs="@仿宋_GB2312"/>
                <w:bCs/>
                <w:color w:val="auto"/>
                <w:sz w:val="24"/>
                <w:szCs w:val="28"/>
                <w:highlight w:val="none"/>
              </w:rPr>
              <w:t>合同价的</w:t>
            </w:r>
            <w:r>
              <w:rPr>
                <w:rFonts w:cs="@仿宋_GB2312"/>
                <w:bCs/>
                <w:color w:val="auto"/>
                <w:sz w:val="24"/>
                <w:szCs w:val="28"/>
                <w:highlight w:val="none"/>
                <w:u w:val="single"/>
              </w:rPr>
              <w:t xml:space="preserve"> </w:t>
            </w:r>
            <w:r>
              <w:rPr>
                <w:rFonts w:hint="eastAsia" w:cs="@仿宋_GB2312"/>
                <w:bCs/>
                <w:color w:val="auto"/>
                <w:sz w:val="24"/>
                <w:szCs w:val="28"/>
                <w:highlight w:val="none"/>
                <w:u w:val="single"/>
                <w:lang w:val="en-US" w:eastAsia="zh-CN"/>
              </w:rPr>
              <w:t>/</w:t>
            </w:r>
            <w:r>
              <w:rPr>
                <w:rFonts w:cs="@仿宋_GB2312"/>
                <w:bCs/>
                <w:color w:val="auto"/>
                <w:sz w:val="24"/>
                <w:szCs w:val="28"/>
                <w:highlight w:val="none"/>
                <w:u w:val="single"/>
              </w:rPr>
              <w:t xml:space="preserve"> </w:t>
            </w:r>
            <w:r>
              <w:rPr>
                <w:rFonts w:cs="@仿宋_GB2312"/>
                <w:bCs/>
                <w:color w:val="auto"/>
                <w:sz w:val="24"/>
                <w:szCs w:val="28"/>
                <w:highlight w:val="none"/>
              </w:rPr>
              <w:t>%</w:t>
            </w:r>
          </w:p>
          <w:p w14:paraId="411947E8">
            <w:pPr>
              <w:spacing w:line="360" w:lineRule="auto"/>
              <w:rPr>
                <w:rFonts w:cs="@仿宋_GB2312"/>
                <w:bCs/>
                <w:color w:val="auto"/>
                <w:sz w:val="24"/>
                <w:szCs w:val="28"/>
                <w:highlight w:val="none"/>
              </w:rPr>
            </w:pPr>
            <w:r>
              <w:rPr>
                <w:rFonts w:cs="@仿宋_GB2312"/>
                <w:bCs/>
                <w:color w:val="auto"/>
                <w:sz w:val="24"/>
                <w:szCs w:val="28"/>
                <w:highlight w:val="none"/>
              </w:rPr>
              <w:t>□</w:t>
            </w:r>
            <w:r>
              <w:rPr>
                <w:rFonts w:hint="eastAsia" w:cs="@仿宋_GB2312"/>
                <w:bCs/>
                <w:color w:val="auto"/>
                <w:sz w:val="24"/>
                <w:szCs w:val="28"/>
                <w:highlight w:val="none"/>
              </w:rPr>
              <w:t>定额收取：人民币</w:t>
            </w:r>
            <w:r>
              <w:rPr>
                <w:rFonts w:hint="eastAsia" w:cs="@仿宋_GB2312"/>
                <w:bCs/>
                <w:color w:val="auto"/>
                <w:sz w:val="24"/>
                <w:szCs w:val="28"/>
                <w:highlight w:val="none"/>
                <w:u w:val="single"/>
              </w:rPr>
              <w:t xml:space="preserve">     </w:t>
            </w:r>
            <w:r>
              <w:rPr>
                <w:rFonts w:hint="eastAsia" w:cs="@仿宋_GB2312"/>
                <w:bCs/>
                <w:color w:val="auto"/>
                <w:sz w:val="24"/>
                <w:szCs w:val="28"/>
                <w:highlight w:val="none"/>
                <w:u w:val="single"/>
                <w:lang w:val="en-US" w:eastAsia="zh-CN"/>
              </w:rPr>
              <w:t>/</w:t>
            </w:r>
            <w:r>
              <w:rPr>
                <w:rFonts w:hint="eastAsia" w:cs="@仿宋_GB2312"/>
                <w:bCs/>
                <w:color w:val="auto"/>
                <w:sz w:val="24"/>
                <w:szCs w:val="28"/>
                <w:highlight w:val="none"/>
                <w:u w:val="single"/>
              </w:rPr>
              <w:t xml:space="preserve">   </w:t>
            </w:r>
            <w:r>
              <w:rPr>
                <w:rFonts w:hint="eastAsia" w:cs="@仿宋_GB2312"/>
                <w:bCs/>
                <w:color w:val="auto"/>
                <w:sz w:val="24"/>
                <w:szCs w:val="28"/>
                <w:highlight w:val="none"/>
              </w:rPr>
              <w:t>元</w:t>
            </w:r>
          </w:p>
          <w:p w14:paraId="267F1048">
            <w:pPr>
              <w:spacing w:line="360" w:lineRule="auto"/>
              <w:rPr>
                <w:rFonts w:cs="@仿宋_GB2312"/>
                <w:bCs/>
                <w:color w:val="auto"/>
                <w:sz w:val="24"/>
                <w:szCs w:val="28"/>
                <w:highlight w:val="none"/>
              </w:rPr>
            </w:pPr>
            <w:r>
              <w:rPr>
                <w:rFonts w:hint="eastAsia" w:cs="@仿宋_GB2312"/>
                <w:bCs/>
                <w:color w:val="auto"/>
                <w:sz w:val="24"/>
                <w:szCs w:val="28"/>
                <w:highlight w:val="none"/>
              </w:rPr>
              <w:t>（2）支付方式：</w:t>
            </w:r>
          </w:p>
          <w:p w14:paraId="0DC9A10D">
            <w:pPr>
              <w:spacing w:line="360" w:lineRule="auto"/>
              <w:rPr>
                <w:rFonts w:cs="@仿宋_GB2312"/>
                <w:bCs/>
                <w:color w:val="auto"/>
                <w:sz w:val="24"/>
                <w:szCs w:val="28"/>
                <w:highlight w:val="none"/>
              </w:rPr>
            </w:pPr>
            <w:r>
              <w:rPr>
                <w:rFonts w:hint="eastAsia" w:cs="@仿宋_GB2312"/>
                <w:bCs/>
                <w:color w:val="auto"/>
                <w:sz w:val="24"/>
                <w:szCs w:val="28"/>
                <w:highlight w:val="none"/>
              </w:rPr>
              <w:sym w:font="Wingdings" w:char="00A8"/>
            </w:r>
            <w:r>
              <w:rPr>
                <w:rFonts w:cs="@仿宋_GB2312"/>
                <w:bCs/>
                <w:color w:val="auto"/>
                <w:sz w:val="24"/>
                <w:szCs w:val="28"/>
                <w:highlight w:val="none"/>
              </w:rPr>
              <w:t>转账/电汇</w:t>
            </w:r>
            <w:r>
              <w:rPr>
                <w:rFonts w:hint="eastAsia" w:cs="@仿宋_GB2312"/>
                <w:bCs/>
                <w:color w:val="auto"/>
                <w:sz w:val="24"/>
                <w:szCs w:val="28"/>
                <w:highlight w:val="none"/>
              </w:rPr>
              <w:t xml:space="preserve"> </w:t>
            </w:r>
            <w:r>
              <w:rPr>
                <w:rFonts w:hint="eastAsia" w:cs="@仿宋_GB2312"/>
                <w:bCs/>
                <w:color w:val="auto"/>
                <w:sz w:val="24"/>
                <w:szCs w:val="28"/>
                <w:highlight w:val="none"/>
              </w:rPr>
              <w:sym w:font="Wingdings" w:char="00A8"/>
            </w:r>
            <w:r>
              <w:rPr>
                <w:rFonts w:cs="@仿宋_GB2312"/>
                <w:bCs/>
                <w:color w:val="auto"/>
                <w:sz w:val="24"/>
                <w:szCs w:val="28"/>
                <w:highlight w:val="none"/>
              </w:rPr>
              <w:t xml:space="preserve">支票 </w:t>
            </w:r>
            <w:r>
              <w:rPr>
                <w:rFonts w:hint="eastAsia" w:cs="@仿宋_GB2312"/>
                <w:bCs/>
                <w:color w:val="auto"/>
                <w:sz w:val="24"/>
                <w:szCs w:val="28"/>
                <w:highlight w:val="none"/>
              </w:rPr>
              <w:sym w:font="Wingdings" w:char="00A8"/>
            </w:r>
            <w:r>
              <w:rPr>
                <w:rFonts w:cs="@仿宋_GB2312"/>
                <w:bCs/>
                <w:color w:val="auto"/>
                <w:sz w:val="24"/>
                <w:szCs w:val="28"/>
                <w:highlight w:val="none"/>
              </w:rPr>
              <w:t>汇票</w:t>
            </w:r>
            <w:r>
              <w:rPr>
                <w:rFonts w:hint="eastAsia" w:cs="@仿宋_GB2312"/>
                <w:bCs/>
                <w:color w:val="auto"/>
                <w:sz w:val="24"/>
                <w:szCs w:val="28"/>
                <w:highlight w:val="none"/>
              </w:rPr>
              <w:t xml:space="preserve"> </w:t>
            </w:r>
            <w:r>
              <w:rPr>
                <w:rFonts w:hint="eastAsia" w:cs="@仿宋_GB2312"/>
                <w:bCs/>
                <w:color w:val="auto"/>
                <w:sz w:val="24"/>
                <w:szCs w:val="28"/>
                <w:highlight w:val="none"/>
              </w:rPr>
              <w:sym w:font="Wingdings" w:char="00A8"/>
            </w:r>
            <w:r>
              <w:rPr>
                <w:rFonts w:hint="eastAsia" w:cs="@仿宋_GB2312"/>
                <w:bCs/>
                <w:color w:val="auto"/>
                <w:sz w:val="24"/>
                <w:szCs w:val="28"/>
                <w:highlight w:val="none"/>
              </w:rPr>
              <w:t xml:space="preserve">本票 </w:t>
            </w:r>
            <w:r>
              <w:rPr>
                <w:rFonts w:hint="eastAsia" w:cs="@仿宋_GB2312"/>
                <w:bCs/>
                <w:color w:val="auto"/>
                <w:sz w:val="24"/>
                <w:szCs w:val="28"/>
                <w:highlight w:val="none"/>
              </w:rPr>
              <w:sym w:font="Wingdings" w:char="00A8"/>
            </w:r>
            <w:r>
              <w:rPr>
                <w:rFonts w:cs="@仿宋_GB2312"/>
                <w:bCs/>
                <w:color w:val="auto"/>
                <w:sz w:val="24"/>
                <w:szCs w:val="28"/>
                <w:highlight w:val="none"/>
              </w:rPr>
              <w:t>保</w:t>
            </w:r>
            <w:r>
              <w:rPr>
                <w:rFonts w:hint="eastAsia" w:cs="@仿宋_GB2312"/>
                <w:bCs/>
                <w:color w:val="auto"/>
                <w:sz w:val="24"/>
                <w:szCs w:val="28"/>
                <w:highlight w:val="none"/>
              </w:rPr>
              <w:t xml:space="preserve">险 </w:t>
            </w:r>
            <w:r>
              <w:rPr>
                <w:rFonts w:hint="eastAsia" w:cs="@仿宋_GB2312"/>
                <w:bCs/>
                <w:color w:val="auto"/>
                <w:sz w:val="24"/>
                <w:szCs w:val="28"/>
                <w:highlight w:val="none"/>
              </w:rPr>
              <w:sym w:font="Wingdings" w:char="00A8"/>
            </w:r>
            <w:r>
              <w:rPr>
                <w:rFonts w:hint="eastAsia" w:cs="@仿宋_GB2312"/>
                <w:bCs/>
                <w:color w:val="auto"/>
                <w:sz w:val="24"/>
                <w:szCs w:val="28"/>
                <w:highlight w:val="none"/>
              </w:rPr>
              <w:t>保</w:t>
            </w:r>
            <w:r>
              <w:rPr>
                <w:rFonts w:cs="@仿宋_GB2312"/>
                <w:bCs/>
                <w:color w:val="auto"/>
                <w:sz w:val="24"/>
                <w:szCs w:val="28"/>
                <w:highlight w:val="none"/>
              </w:rPr>
              <w:t>函</w:t>
            </w:r>
          </w:p>
          <w:p w14:paraId="1D5EEB9A">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4F3466F8">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p>
          <w:p w14:paraId="71639C4C">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p>
          <w:p w14:paraId="1D5CD9C3">
            <w:pPr>
              <w:spacing w:line="360" w:lineRule="auto"/>
              <w:rPr>
                <w:rFonts w:cs="@仿宋_GB2312"/>
                <w:b/>
                <w:bCs/>
                <w:color w:val="auto"/>
                <w:sz w:val="24"/>
                <w:szCs w:val="24"/>
                <w:highlight w:val="none"/>
              </w:rPr>
            </w:pPr>
            <w:r>
              <w:rPr>
                <w:rFonts w:hint="eastAsia" w:cs="@仿宋_GB2312"/>
                <w:b/>
                <w:bCs/>
                <w:color w:val="auto"/>
                <w:sz w:val="24"/>
                <w:szCs w:val="24"/>
                <w:highlight w:val="none"/>
              </w:rPr>
              <w:t>注意事项：</w:t>
            </w:r>
          </w:p>
          <w:p w14:paraId="3684A74C">
            <w:pPr>
              <w:spacing w:line="360" w:lineRule="auto"/>
              <w:rPr>
                <w:rFonts w:cs="@仿宋_GB2312"/>
                <w:b/>
                <w:bCs/>
                <w:color w:val="auto"/>
                <w:sz w:val="24"/>
                <w:szCs w:val="24"/>
                <w:highlight w:val="none"/>
              </w:rPr>
            </w:pPr>
            <w:r>
              <w:rPr>
                <w:rFonts w:hint="eastAsia" w:cs="@仿宋_GB2312"/>
                <w:b/>
                <w:bCs/>
                <w:color w:val="auto"/>
                <w:sz w:val="24"/>
                <w:szCs w:val="24"/>
                <w:highlight w:val="none"/>
              </w:rPr>
              <w:t>（1）以上各类机构出具的以担保函、保证保险承担责任的方式均须满足无条件见索即付条件。</w:t>
            </w:r>
          </w:p>
          <w:p w14:paraId="7D3446E7">
            <w:pPr>
              <w:pStyle w:val="76"/>
              <w:widowControl w:val="0"/>
              <w:spacing w:before="0" w:beforeAutospacing="0" w:after="0" w:afterAutospacing="0" w:line="360" w:lineRule="auto"/>
              <w:jc w:val="both"/>
              <w:rPr>
                <w:color w:val="auto"/>
                <w:sz w:val="24"/>
                <w:highlight w:val="none"/>
              </w:rPr>
            </w:pPr>
            <w:r>
              <w:rPr>
                <w:rFonts w:hint="eastAsia" w:cs="@仿宋_GB2312"/>
                <w:bCs w:val="0"/>
                <w:color w:val="auto"/>
                <w:sz w:val="24"/>
                <w:szCs w:val="24"/>
                <w:highlight w:val="none"/>
              </w:rPr>
              <w:t>（2）以担保函、保证保险形式缴纳履约保证金的，受益人和收取单位须为采购人。</w:t>
            </w:r>
          </w:p>
        </w:tc>
      </w:tr>
      <w:tr w14:paraId="6611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16A21895">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lang w:val="en-US" w:eastAsia="zh-CN"/>
              </w:rPr>
              <w:t>26.1</w:t>
            </w:r>
          </w:p>
        </w:tc>
        <w:tc>
          <w:tcPr>
            <w:tcW w:w="977" w:type="pct"/>
            <w:vAlign w:val="center"/>
          </w:tcPr>
          <w:p w14:paraId="04B4F0F8">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color w:val="auto"/>
                <w:sz w:val="24"/>
                <w:highlight w:val="none"/>
                <w:lang w:val="en-US" w:eastAsia="zh-CN"/>
              </w:rPr>
              <w:t>代理费用</w:t>
            </w:r>
          </w:p>
        </w:tc>
        <w:tc>
          <w:tcPr>
            <w:tcW w:w="3556" w:type="pct"/>
            <w:vAlign w:val="center"/>
          </w:tcPr>
          <w:p w14:paraId="4BCCB96B">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t>□</w:t>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bCs/>
                <w:color w:val="auto"/>
                <w:kern w:val="0"/>
                <w:sz w:val="24"/>
                <w:szCs w:val="28"/>
                <w:highlight w:val="none"/>
                <w:lang w:eastAsia="zh-CN"/>
              </w:rPr>
              <w:t>☑</w:t>
            </w:r>
            <w:r>
              <w:rPr>
                <w:rFonts w:hint="eastAsia"/>
                <w:bCs/>
                <w:color w:val="auto"/>
                <w:kern w:val="0"/>
                <w:sz w:val="24"/>
                <w:szCs w:val="28"/>
                <w:highlight w:val="none"/>
                <w:lang w:val="en-US" w:eastAsia="zh-CN"/>
              </w:rPr>
              <w:t>成交供应商</w:t>
            </w:r>
          </w:p>
          <w:p w14:paraId="4E765F44">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color="auto"/>
              </w:rPr>
              <w:t>转账</w:t>
            </w:r>
            <w:r>
              <w:rPr>
                <w:rFonts w:hint="eastAsia" w:cs="宋体"/>
                <w:color w:val="auto"/>
                <w:sz w:val="24"/>
                <w:szCs w:val="24"/>
                <w:highlight w:val="none"/>
                <w:u w:val="single" w:color="auto"/>
                <w:lang w:eastAsia="zh-CN"/>
              </w:rPr>
              <w:t>，成交供应商在获取成交通知书时一次性支付给代理机构。</w:t>
            </w:r>
            <w:r>
              <w:rPr>
                <w:rFonts w:ascii="宋体" w:hAnsi="宋体" w:eastAsia="宋体" w:cs="宋体"/>
                <w:color w:val="auto"/>
                <w:sz w:val="24"/>
                <w:szCs w:val="24"/>
                <w:highlight w:val="none"/>
                <w:u w:val="single" w:color="auto"/>
              </w:rPr>
              <w:t xml:space="preserve"> </w:t>
            </w:r>
          </w:p>
          <w:p w14:paraId="469B97A4">
            <w:pPr>
              <w:pStyle w:val="7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bCs/>
                <w:color w:val="auto"/>
                <w:sz w:val="24"/>
                <w:szCs w:val="28"/>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bCs w:val="0"/>
                <w:color w:val="auto"/>
                <w:sz w:val="24"/>
                <w:szCs w:val="24"/>
                <w:highlight w:val="none"/>
                <w:u w:val="single" w:color="auto"/>
              </w:rPr>
              <w:t>本项目代理费为</w:t>
            </w:r>
            <w:r>
              <w:rPr>
                <w:rFonts w:hint="eastAsia" w:cs="宋体"/>
                <w:b w:val="0"/>
                <w:bCs w:val="0"/>
                <w:color w:val="auto"/>
                <w:sz w:val="24"/>
                <w:szCs w:val="24"/>
                <w:highlight w:val="none"/>
                <w:u w:val="single" w:color="auto"/>
                <w:lang w:val="en-US" w:eastAsia="zh-CN"/>
              </w:rPr>
              <w:t>3</w:t>
            </w:r>
            <w:r>
              <w:rPr>
                <w:rFonts w:hint="eastAsia" w:ascii="宋体" w:hAnsi="宋体" w:eastAsia="宋体" w:cs="宋体"/>
                <w:b w:val="0"/>
                <w:bCs w:val="0"/>
                <w:color w:val="auto"/>
                <w:sz w:val="24"/>
                <w:szCs w:val="24"/>
                <w:highlight w:val="none"/>
                <w:u w:val="single" w:color="auto"/>
              </w:rPr>
              <w:t>000元。</w:t>
            </w:r>
            <w:r>
              <w:rPr>
                <w:rFonts w:ascii="宋体" w:hAnsi="宋体" w:eastAsia="宋体" w:cs="宋体"/>
                <w:b w:val="0"/>
                <w:bCs w:val="0"/>
                <w:color w:val="auto"/>
                <w:sz w:val="24"/>
                <w:szCs w:val="24"/>
                <w:highlight w:val="none"/>
                <w:u w:val="single" w:color="auto"/>
              </w:rPr>
              <w:t xml:space="preserve"> </w:t>
            </w:r>
          </w:p>
        </w:tc>
      </w:tr>
      <w:tr w14:paraId="788D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2295D0C">
            <w:pPr>
              <w:pStyle w:val="77"/>
              <w:pBdr>
                <w:bottom w:val="none" w:color="auto" w:sz="0" w:space="0"/>
              </w:pBdr>
              <w:tabs>
                <w:tab w:val="clear" w:pos="4153"/>
                <w:tab w:val="clear" w:pos="8306"/>
              </w:tabs>
              <w:adjustRightInd/>
              <w:spacing w:line="36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bCs/>
                <w:color w:val="auto"/>
                <w:kern w:val="2"/>
                <w:highlight w:val="none"/>
                <w:lang w:val="en-US" w:eastAsia="zh-CN"/>
              </w:rPr>
              <w:t>27.1</w:t>
            </w:r>
          </w:p>
        </w:tc>
        <w:tc>
          <w:tcPr>
            <w:tcW w:w="977" w:type="pct"/>
            <w:vAlign w:val="center"/>
          </w:tcPr>
          <w:p w14:paraId="20109D72">
            <w:pPr>
              <w:pStyle w:val="76"/>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w:t>
            </w:r>
          </w:p>
        </w:tc>
        <w:tc>
          <w:tcPr>
            <w:tcW w:w="3556" w:type="pct"/>
            <w:vAlign w:val="center"/>
          </w:tcPr>
          <w:p w14:paraId="4DFFE19F">
            <w:pPr>
              <w:pStyle w:val="76"/>
              <w:widowControl w:val="0"/>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bCs/>
                <w:color w:val="auto"/>
                <w:sz w:val="24"/>
                <w:highlight w:val="none"/>
                <w:lang w:val="en-US" w:eastAsia="zh-CN"/>
              </w:rPr>
              <w:t>采购人与成交供应商应当自发出成交通知书之日起</w:t>
            </w:r>
            <w:r>
              <w:rPr>
                <w:rFonts w:hint="eastAsia"/>
                <w:b w:val="0"/>
                <w:bCs/>
                <w:color w:val="auto"/>
                <w:sz w:val="24"/>
                <w:highlight w:val="none"/>
                <w:lang w:val="en-US" w:eastAsia="zh-CN"/>
              </w:rPr>
              <w:t>30</w:t>
            </w:r>
            <w:r>
              <w:rPr>
                <w:rFonts w:hint="eastAsia" w:ascii="宋体" w:hAnsi="宋体" w:eastAsia="宋体"/>
                <w:b w:val="0"/>
                <w:bCs/>
                <w:color w:val="auto"/>
                <w:sz w:val="24"/>
                <w:highlight w:val="none"/>
                <w:lang w:val="en-US" w:eastAsia="zh-CN"/>
              </w:rPr>
              <w:t>日内签订合同。</w:t>
            </w:r>
          </w:p>
        </w:tc>
      </w:tr>
      <w:tr w14:paraId="5B78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6AED4C51">
            <w:pPr>
              <w:pStyle w:val="77"/>
              <w:pBdr>
                <w:bottom w:val="none" w:color="auto" w:sz="0" w:space="0"/>
              </w:pBdr>
              <w:tabs>
                <w:tab w:val="clear" w:pos="4153"/>
                <w:tab w:val="clear" w:pos="8306"/>
              </w:tabs>
              <w:adjustRightInd/>
              <w:spacing w:line="360" w:lineRule="auto"/>
              <w:textAlignment w:val="auto"/>
              <w:rPr>
                <w:rFonts w:hint="default" w:eastAsia="宋体"/>
                <w:bCs/>
                <w:color w:val="auto"/>
                <w:kern w:val="2"/>
                <w:highlight w:val="none"/>
                <w:lang w:val="en-US" w:eastAsia="zh-CN"/>
              </w:rPr>
            </w:pPr>
            <w:r>
              <w:rPr>
                <w:rFonts w:hint="eastAsia"/>
                <w:bCs/>
                <w:color w:val="auto"/>
                <w:kern w:val="2"/>
                <w:highlight w:val="none"/>
                <w:lang w:val="en-US" w:eastAsia="zh-CN"/>
              </w:rPr>
              <w:t>29.3</w:t>
            </w:r>
          </w:p>
        </w:tc>
        <w:tc>
          <w:tcPr>
            <w:tcW w:w="977" w:type="pct"/>
            <w:vAlign w:val="center"/>
          </w:tcPr>
          <w:p w14:paraId="4F960EC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质疑函递交方式、接收部门、联系电话和通讯地址</w:t>
            </w:r>
          </w:p>
        </w:tc>
        <w:tc>
          <w:tcPr>
            <w:tcW w:w="3556" w:type="pct"/>
            <w:vAlign w:val="center"/>
          </w:tcPr>
          <w:p w14:paraId="7EE65A50">
            <w:pPr>
              <w:pStyle w:val="76"/>
              <w:widowControl w:val="0"/>
              <w:spacing w:before="0" w:beforeAutospacing="0" w:after="0" w:afterAutospacing="0" w:line="360" w:lineRule="auto"/>
              <w:jc w:val="both"/>
              <w:rPr>
                <w:rFonts w:hint="eastAsia" w:ascii="宋体" w:hAnsi="宋体" w:eastAsia="宋体"/>
                <w:bCs/>
                <w:color w:val="auto"/>
                <w:kern w:val="0"/>
                <w:sz w:val="24"/>
                <w:szCs w:val="28"/>
                <w:highlight w:val="none"/>
                <w:u w:val="single"/>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如供应商对采购文件有质疑，依据中华人民共和国财政部令第 94 号《政府采购质疑和投诉办法》规定提出质疑；</w:t>
            </w:r>
          </w:p>
          <w:p w14:paraId="5F15ACDE">
            <w:pPr>
              <w:pStyle w:val="7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Cs/>
                <w:color w:val="auto"/>
                <w:kern w:val="0"/>
                <w:sz w:val="24"/>
                <w:szCs w:val="28"/>
                <w:highlight w:val="none"/>
                <w:u w:val="single"/>
              </w:rPr>
              <w:t>供应商可以通过书面形式提出，也可以通过登录新点电子交易平台【滁州专区】线上提出。一份质疑函只能针对一个项目提出质疑，且针对同一采购程序环节的质疑应当一次性提出。</w:t>
            </w:r>
          </w:p>
          <w:p w14:paraId="2D8B7A57">
            <w:pPr>
              <w:pStyle w:val="76"/>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bCs/>
                <w:color w:val="auto"/>
                <w:kern w:val="0"/>
                <w:sz w:val="24"/>
                <w:szCs w:val="28"/>
                <w:highlight w:val="none"/>
                <w:u w:val="single"/>
                <w:lang w:eastAsia="zh-CN"/>
              </w:rPr>
              <w:t>滁州市琅琊区重点工程建设管理处</w:t>
            </w:r>
            <w:r>
              <w:rPr>
                <w:rFonts w:hint="eastAsia" w:ascii="宋体" w:hAnsi="宋体" w:eastAsia="宋体"/>
                <w:bCs/>
                <w:color w:val="auto"/>
                <w:kern w:val="0"/>
                <w:sz w:val="24"/>
                <w:szCs w:val="28"/>
                <w:highlight w:val="none"/>
                <w:u w:val="single"/>
              </w:rPr>
              <w:t xml:space="preserve">或滁州市城投工程咨询管理有限公司 </w:t>
            </w:r>
          </w:p>
          <w:p w14:paraId="498C4940">
            <w:pPr>
              <w:pStyle w:val="76"/>
              <w:widowControl w:val="0"/>
              <w:spacing w:before="0" w:beforeAutospacing="0" w:after="0" w:afterAutospacing="0" w:line="360" w:lineRule="auto"/>
              <w:jc w:val="both"/>
              <w:rPr>
                <w:rFonts w:hint="eastAsia" w:ascii="宋体" w:hAnsi="宋体" w:eastAsia="宋体"/>
                <w:bCs/>
                <w:color w:val="auto"/>
                <w:kern w:val="0"/>
                <w:sz w:val="24"/>
                <w:szCs w:val="28"/>
                <w:highlight w:val="none"/>
                <w:u w:val="single"/>
                <w:lang w:eastAsia="zh-CN"/>
              </w:rPr>
            </w:pPr>
            <w:r>
              <w:rPr>
                <w:rFonts w:ascii="宋体" w:hAnsi="宋体" w:eastAsia="宋体"/>
                <w:b w:val="0"/>
                <w:color w:val="auto"/>
                <w:sz w:val="24"/>
                <w:highlight w:val="none"/>
              </w:rPr>
              <w:t>联系电话：</w:t>
            </w:r>
            <w:r>
              <w:rPr>
                <w:rFonts w:hint="eastAsia"/>
                <w:bCs/>
                <w:color w:val="auto"/>
                <w:kern w:val="0"/>
                <w:sz w:val="24"/>
                <w:szCs w:val="28"/>
                <w:highlight w:val="none"/>
                <w:u w:val="single"/>
                <w:lang w:eastAsia="zh-CN"/>
              </w:rPr>
              <w:t>0550-3318150、0550-3519512</w:t>
            </w:r>
            <w:r>
              <w:rPr>
                <w:rFonts w:hint="eastAsia" w:ascii="宋体" w:hAnsi="宋体" w:eastAsia="宋体"/>
                <w:bCs/>
                <w:color w:val="auto"/>
                <w:kern w:val="0"/>
                <w:sz w:val="24"/>
                <w:szCs w:val="28"/>
                <w:highlight w:val="none"/>
                <w:u w:val="single"/>
              </w:rPr>
              <w:t>、</w:t>
            </w:r>
            <w:r>
              <w:rPr>
                <w:rFonts w:hint="eastAsia"/>
                <w:bCs/>
                <w:color w:val="auto"/>
                <w:kern w:val="0"/>
                <w:sz w:val="24"/>
                <w:szCs w:val="28"/>
                <w:highlight w:val="none"/>
                <w:u w:val="single"/>
                <w:lang w:eastAsia="zh-CN"/>
              </w:rPr>
              <w:t>18255055896</w:t>
            </w:r>
          </w:p>
          <w:p w14:paraId="473995E6">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color w:val="auto"/>
                <w:sz w:val="24"/>
                <w:highlight w:val="none"/>
              </w:rPr>
              <w:t>通讯地址：</w:t>
            </w:r>
            <w:r>
              <w:rPr>
                <w:rFonts w:hint="eastAsia" w:ascii="宋体" w:hAnsi="宋体" w:eastAsia="宋体"/>
                <w:bCs/>
                <w:color w:val="auto"/>
                <w:kern w:val="0"/>
                <w:sz w:val="24"/>
                <w:szCs w:val="28"/>
                <w:highlight w:val="none"/>
                <w:u w:val="single"/>
              </w:rPr>
              <w:t>滁州市琅琊区濠河路99号</w:t>
            </w:r>
            <w:r>
              <w:rPr>
                <w:rFonts w:hint="eastAsia"/>
                <w:bCs/>
                <w:color w:val="auto"/>
                <w:kern w:val="0"/>
                <w:sz w:val="24"/>
                <w:szCs w:val="28"/>
                <w:highlight w:val="none"/>
                <w:u w:val="single"/>
                <w:lang w:eastAsia="zh-CN"/>
              </w:rPr>
              <w:t>、</w:t>
            </w:r>
            <w:r>
              <w:rPr>
                <w:rFonts w:hint="eastAsia" w:ascii="宋体" w:hAnsi="宋体" w:eastAsia="宋体"/>
                <w:bCs/>
                <w:color w:val="auto"/>
                <w:kern w:val="0"/>
                <w:sz w:val="24"/>
                <w:szCs w:val="28"/>
                <w:highlight w:val="none"/>
                <w:u w:val="single"/>
              </w:rPr>
              <w:t xml:space="preserve">滁州市龙蟠大道房产商务大厦6楼605室 </w:t>
            </w:r>
          </w:p>
        </w:tc>
      </w:tr>
      <w:tr w14:paraId="383E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1EE0AB30">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rFonts w:hint="eastAsia"/>
                <w:bCs/>
                <w:color w:val="auto"/>
                <w:kern w:val="2"/>
                <w:highlight w:val="none"/>
              </w:rPr>
              <w:t>3</w:t>
            </w:r>
            <w:r>
              <w:rPr>
                <w:rFonts w:hint="eastAsia"/>
                <w:bCs/>
                <w:color w:val="auto"/>
                <w:kern w:val="2"/>
                <w:highlight w:val="none"/>
                <w:lang w:val="en-US" w:eastAsia="zh-CN"/>
              </w:rPr>
              <w:t>0</w:t>
            </w:r>
          </w:p>
        </w:tc>
        <w:tc>
          <w:tcPr>
            <w:tcW w:w="4534" w:type="pct"/>
            <w:gridSpan w:val="2"/>
            <w:vAlign w:val="center"/>
          </w:tcPr>
          <w:p w14:paraId="77DD2C73">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其他内容</w:t>
            </w:r>
          </w:p>
        </w:tc>
      </w:tr>
      <w:tr w14:paraId="22BD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3202F17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1</w:t>
            </w:r>
          </w:p>
        </w:tc>
        <w:tc>
          <w:tcPr>
            <w:tcW w:w="977" w:type="pct"/>
            <w:vAlign w:val="center"/>
          </w:tcPr>
          <w:p w14:paraId="49AEC236">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承包方式</w:t>
            </w:r>
          </w:p>
        </w:tc>
        <w:tc>
          <w:tcPr>
            <w:tcW w:w="3556" w:type="pct"/>
            <w:vAlign w:val="center"/>
          </w:tcPr>
          <w:p w14:paraId="421F7558">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 xml:space="preserve">施工总承包  </w:t>
            </w:r>
            <w:r>
              <w:rPr>
                <w:rFonts w:hint="eastAsia"/>
                <w:b w:val="0"/>
                <w:color w:val="auto"/>
                <w:sz w:val="24"/>
                <w:highlight w:val="none"/>
                <w:lang w:eastAsia="zh-CN"/>
              </w:rPr>
              <w:t>□</w:t>
            </w:r>
            <w:r>
              <w:rPr>
                <w:rFonts w:hint="eastAsia"/>
                <w:b w:val="0"/>
                <w:color w:val="auto"/>
                <w:sz w:val="24"/>
                <w:highlight w:val="none"/>
              </w:rPr>
              <w:t>专业承包</w:t>
            </w:r>
          </w:p>
        </w:tc>
      </w:tr>
      <w:tr w14:paraId="1418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2FBCCB0">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2</w:t>
            </w:r>
          </w:p>
        </w:tc>
        <w:tc>
          <w:tcPr>
            <w:tcW w:w="977" w:type="pct"/>
            <w:vAlign w:val="center"/>
          </w:tcPr>
          <w:p w14:paraId="431E8E9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计价方式</w:t>
            </w:r>
          </w:p>
        </w:tc>
        <w:tc>
          <w:tcPr>
            <w:tcW w:w="3556" w:type="pct"/>
            <w:vAlign w:val="center"/>
          </w:tcPr>
          <w:p w14:paraId="7CD456D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lang w:eastAsia="zh-CN"/>
              </w:rPr>
              <w:t>☑</w:t>
            </w:r>
            <w:r>
              <w:rPr>
                <w:rFonts w:hint="eastAsia"/>
                <w:b w:val="0"/>
                <w:color w:val="auto"/>
                <w:sz w:val="24"/>
                <w:highlight w:val="none"/>
              </w:rPr>
              <w:t>工程量清单综合单价报价法</w:t>
            </w:r>
          </w:p>
          <w:p w14:paraId="4C925E6E">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□全费用综合单价报价法</w:t>
            </w:r>
          </w:p>
        </w:tc>
      </w:tr>
      <w:tr w14:paraId="2BC6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03E31AA">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3</w:t>
            </w:r>
          </w:p>
        </w:tc>
        <w:tc>
          <w:tcPr>
            <w:tcW w:w="977" w:type="pct"/>
            <w:vAlign w:val="center"/>
          </w:tcPr>
          <w:p w14:paraId="2AAE3E66">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计划</w:t>
            </w:r>
            <w:r>
              <w:rPr>
                <w:b w:val="0"/>
                <w:color w:val="auto"/>
                <w:sz w:val="24"/>
                <w:highlight w:val="none"/>
              </w:rPr>
              <w:t>工期</w:t>
            </w:r>
          </w:p>
        </w:tc>
        <w:tc>
          <w:tcPr>
            <w:tcW w:w="3556" w:type="pct"/>
            <w:vAlign w:val="center"/>
          </w:tcPr>
          <w:p w14:paraId="413A69C5">
            <w:pPr>
              <w:pStyle w:val="76"/>
              <w:widowControl w:val="0"/>
              <w:spacing w:before="0" w:beforeAutospacing="0" w:after="0" w:afterAutospacing="0" w:line="360" w:lineRule="auto"/>
              <w:jc w:val="both"/>
              <w:rPr>
                <w:rFonts w:hint="eastAsia" w:eastAsia="宋体"/>
                <w:b w:val="0"/>
                <w:color w:val="auto"/>
                <w:sz w:val="24"/>
                <w:highlight w:val="none"/>
                <w:lang w:eastAsia="zh-CN"/>
              </w:rPr>
            </w:pPr>
            <w:r>
              <w:rPr>
                <w:rFonts w:hint="eastAsia"/>
                <w:b w:val="0"/>
                <w:color w:val="auto"/>
                <w:sz w:val="24"/>
                <w:highlight w:val="none"/>
              </w:rPr>
              <w:t>计划</w:t>
            </w:r>
            <w:r>
              <w:rPr>
                <w:b w:val="0"/>
                <w:color w:val="auto"/>
                <w:sz w:val="24"/>
                <w:highlight w:val="none"/>
              </w:rPr>
              <w:t>工期：</w:t>
            </w:r>
            <w:r>
              <w:rPr>
                <w:rFonts w:hint="eastAsia"/>
                <w:b w:val="0"/>
                <w:color w:val="auto"/>
                <w:sz w:val="24"/>
                <w:highlight w:val="none"/>
                <w:lang w:eastAsia="zh-CN"/>
              </w:rPr>
              <w:t>合同签订后不高于25个日历天内完工</w:t>
            </w:r>
          </w:p>
          <w:p w14:paraId="03DDC0FE">
            <w:pPr>
              <w:pStyle w:val="76"/>
              <w:widowControl w:val="0"/>
              <w:spacing w:before="0" w:beforeAutospacing="0" w:after="0" w:afterAutospacing="0" w:line="360" w:lineRule="auto"/>
              <w:jc w:val="both"/>
              <w:rPr>
                <w:b w:val="0"/>
                <w:color w:val="auto"/>
                <w:sz w:val="24"/>
                <w:highlight w:val="none"/>
              </w:rPr>
            </w:pPr>
            <w:r>
              <w:rPr>
                <w:b w:val="0"/>
                <w:color w:val="auto"/>
                <w:sz w:val="24"/>
                <w:highlight w:val="none"/>
              </w:rPr>
              <w:t>计划开工日期：</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u w:val="single"/>
                <w:lang w:val="en-US" w:eastAsia="zh-CN"/>
              </w:rPr>
              <w:t>/</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u w:val="single"/>
                <w:lang w:val="en-US" w:eastAsia="zh-CN"/>
              </w:rPr>
              <w:t>/</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u w:val="single"/>
                <w:lang w:val="en-US" w:eastAsia="zh-CN"/>
              </w:rPr>
              <w:t>/</w:t>
            </w:r>
            <w:r>
              <w:rPr>
                <w:rFonts w:hint="eastAsia" w:ascii="宋体" w:hAnsi="宋体" w:eastAsia="宋体" w:cs="宋体"/>
                <w:b w:val="0"/>
                <w:color w:val="auto"/>
                <w:sz w:val="24"/>
                <w:szCs w:val="24"/>
                <w:highlight w:val="none"/>
                <w:u w:val="single"/>
              </w:rPr>
              <w:t xml:space="preserve"> </w:t>
            </w:r>
            <w:r>
              <w:rPr>
                <w:rFonts w:hint="eastAsia" w:ascii="宋体" w:hAnsi="宋体" w:eastAsia="宋体" w:cs="宋体"/>
                <w:b w:val="0"/>
                <w:color w:val="auto"/>
                <w:sz w:val="24"/>
                <w:szCs w:val="24"/>
                <w:highlight w:val="none"/>
              </w:rPr>
              <w:t>日</w:t>
            </w:r>
            <w:r>
              <w:rPr>
                <w:rFonts w:hint="eastAsia"/>
                <w:b w:val="0"/>
                <w:color w:val="auto"/>
                <w:sz w:val="24"/>
                <w:highlight w:val="none"/>
              </w:rPr>
              <w:t>，</w:t>
            </w:r>
            <w:bookmarkStart w:id="25" w:name="EB2a2e1a22d449405a860670c095486ab8"/>
            <w:r>
              <w:rPr>
                <w:rFonts w:hint="eastAsia"/>
                <w:b w:val="0"/>
                <w:color w:val="auto"/>
                <w:sz w:val="24"/>
                <w:highlight w:val="none"/>
              </w:rPr>
              <w:t>具体开工时间以开工令为准。</w:t>
            </w:r>
            <w:bookmarkEnd w:id="25"/>
          </w:p>
        </w:tc>
      </w:tr>
      <w:tr w14:paraId="3904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1E4CAC9B">
            <w:pPr>
              <w:pStyle w:val="77"/>
              <w:pBdr>
                <w:bottom w:val="none" w:color="auto" w:sz="0" w:space="0"/>
              </w:pBdr>
              <w:tabs>
                <w:tab w:val="clear" w:pos="4153"/>
                <w:tab w:val="clear" w:pos="8306"/>
              </w:tabs>
              <w:adjustRightInd/>
              <w:spacing w:line="360" w:lineRule="auto"/>
              <w:textAlignment w:val="auto"/>
              <w:rPr>
                <w:bCs/>
                <w:color w:val="auto"/>
                <w:kern w:val="2"/>
                <w:highlight w:val="none"/>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rPr>
              <w:t>4</w:t>
            </w:r>
          </w:p>
        </w:tc>
        <w:tc>
          <w:tcPr>
            <w:tcW w:w="977" w:type="pct"/>
            <w:vAlign w:val="center"/>
          </w:tcPr>
          <w:p w14:paraId="7A0900A6">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质量标准要求</w:t>
            </w:r>
          </w:p>
        </w:tc>
        <w:tc>
          <w:tcPr>
            <w:tcW w:w="3556" w:type="pct"/>
            <w:vAlign w:val="center"/>
          </w:tcPr>
          <w:p w14:paraId="3D1C0FE3">
            <w:pPr>
              <w:pStyle w:val="103"/>
              <w:tabs>
                <w:tab w:val="left" w:pos="1152"/>
              </w:tabs>
              <w:spacing w:before="0" w:beforeAutospacing="0" w:after="0" w:afterAutospacing="0" w:line="360" w:lineRule="auto"/>
              <w:rPr>
                <w:b/>
                <w:color w:val="auto"/>
                <w:highlight w:val="none"/>
              </w:rPr>
            </w:pPr>
            <w:r>
              <w:rPr>
                <w:rFonts w:hint="eastAsia" w:cs="@仿宋_GB2312"/>
                <w:bCs/>
                <w:color w:val="auto"/>
                <w:szCs w:val="28"/>
                <w:highlight w:val="none"/>
              </w:rPr>
              <w:t>质量标准：合格</w:t>
            </w:r>
          </w:p>
        </w:tc>
      </w:tr>
      <w:tr w14:paraId="09F9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45106DAD">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5</w:t>
            </w:r>
          </w:p>
        </w:tc>
        <w:tc>
          <w:tcPr>
            <w:tcW w:w="977" w:type="pct"/>
            <w:vAlign w:val="center"/>
          </w:tcPr>
          <w:p w14:paraId="75694E6D">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安全文明要求</w:t>
            </w:r>
          </w:p>
        </w:tc>
        <w:tc>
          <w:tcPr>
            <w:tcW w:w="3556" w:type="pct"/>
            <w:vAlign w:val="center"/>
          </w:tcPr>
          <w:p w14:paraId="33E2959C">
            <w:pPr>
              <w:pStyle w:val="76"/>
              <w:widowControl w:val="0"/>
              <w:spacing w:before="0" w:beforeAutospacing="0" w:after="0" w:afterAutospacing="0" w:line="360" w:lineRule="auto"/>
              <w:jc w:val="both"/>
              <w:rPr>
                <w:b w:val="0"/>
                <w:color w:val="auto"/>
                <w:sz w:val="24"/>
                <w:highlight w:val="none"/>
              </w:rPr>
            </w:pPr>
            <w:r>
              <w:rPr>
                <w:rFonts w:hint="eastAsia"/>
                <w:color w:val="auto"/>
                <w:sz w:val="24"/>
                <w:highlight w:val="none"/>
              </w:rPr>
              <w:t>必须确保安全文明施工，符合国家和项目所在地现行相关规定</w:t>
            </w:r>
          </w:p>
        </w:tc>
      </w:tr>
      <w:tr w14:paraId="5122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777045FB">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6</w:t>
            </w:r>
          </w:p>
        </w:tc>
        <w:tc>
          <w:tcPr>
            <w:tcW w:w="977" w:type="pct"/>
            <w:vAlign w:val="center"/>
          </w:tcPr>
          <w:p w14:paraId="6A6E7595">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总包及分包规定</w:t>
            </w:r>
          </w:p>
        </w:tc>
        <w:tc>
          <w:tcPr>
            <w:tcW w:w="3556" w:type="pct"/>
            <w:vAlign w:val="center"/>
          </w:tcPr>
          <w:p w14:paraId="536D5D8D">
            <w:pPr>
              <w:spacing w:line="360" w:lineRule="auto"/>
              <w:rPr>
                <w:rFonts w:ascii="Calibri" w:hAnsi="Calibri" w:cs="Times New Roman"/>
                <w:b/>
                <w:bCs/>
                <w:color w:val="auto"/>
                <w:kern w:val="2"/>
                <w:sz w:val="24"/>
                <w:szCs w:val="28"/>
                <w:highlight w:val="none"/>
              </w:rPr>
            </w:pPr>
            <w:r>
              <w:rPr>
                <w:rFonts w:hint="eastAsia" w:ascii="Calibri" w:hAnsi="Calibri" w:cs="Times New Roman"/>
                <w:b/>
                <w:bCs/>
                <w:color w:val="auto"/>
                <w:kern w:val="2"/>
                <w:sz w:val="24"/>
                <w:szCs w:val="28"/>
                <w:highlight w:val="none"/>
              </w:rPr>
              <w:t>供应商不得在成交后将工程转包给其它施工单位。</w:t>
            </w:r>
          </w:p>
          <w:p w14:paraId="441E8D4A">
            <w:pPr>
              <w:spacing w:line="360" w:lineRule="auto"/>
              <w:jc w:val="left"/>
              <w:rPr>
                <w:rFonts w:cs="Times New Roman"/>
                <w:b/>
                <w:color w:val="auto"/>
                <w:kern w:val="2"/>
                <w:sz w:val="24"/>
                <w:szCs w:val="22"/>
                <w:highlight w:val="none"/>
              </w:rPr>
            </w:pPr>
            <w:r>
              <w:rPr>
                <w:rFonts w:hint="eastAsia" w:cs="Times New Roman"/>
                <w:b/>
                <w:color w:val="auto"/>
                <w:kern w:val="2"/>
                <w:sz w:val="24"/>
                <w:szCs w:val="22"/>
                <w:highlight w:val="none"/>
              </w:rPr>
              <w:t>分包情况</w:t>
            </w:r>
          </w:p>
          <w:p w14:paraId="702ACFB1">
            <w:pPr>
              <w:spacing w:line="360" w:lineRule="auto"/>
              <w:jc w:val="left"/>
              <w:rPr>
                <w:rFonts w:cs="Times New Roman"/>
                <w:color w:val="auto"/>
                <w:kern w:val="2"/>
                <w:sz w:val="24"/>
                <w:szCs w:val="22"/>
                <w:highlight w:val="none"/>
              </w:rPr>
            </w:pPr>
            <w:r>
              <w:rPr>
                <w:rFonts w:hint="eastAsia" w:cs="Times New Roman"/>
                <w:color w:val="auto"/>
                <w:kern w:val="2"/>
                <w:sz w:val="24"/>
                <w:szCs w:val="22"/>
                <w:highlight w:val="none"/>
              </w:rPr>
              <w:t>□允许专业分包，</w:t>
            </w:r>
            <w:r>
              <w:rPr>
                <w:rFonts w:hint="eastAsia" w:ascii="Calibri" w:hAnsi="Calibri" w:cs="Times New Roman"/>
                <w:color w:val="auto"/>
                <w:kern w:val="2"/>
                <w:sz w:val="24"/>
                <w:szCs w:val="22"/>
                <w:highlight w:val="none"/>
              </w:rPr>
              <w:t>分包项目、内容及分包商须经采购人及监理单位同意和认可</w:t>
            </w:r>
          </w:p>
          <w:p w14:paraId="3A0A62D9">
            <w:pPr>
              <w:pStyle w:val="76"/>
              <w:widowControl w:val="0"/>
              <w:spacing w:before="0" w:beforeAutospacing="0" w:after="0" w:afterAutospacing="0" w:line="360" w:lineRule="auto"/>
              <w:jc w:val="both"/>
              <w:rPr>
                <w:b w:val="0"/>
                <w:color w:val="auto"/>
                <w:sz w:val="24"/>
                <w:highlight w:val="none"/>
              </w:rPr>
            </w:pPr>
            <w:r>
              <w:rPr>
                <w:rFonts w:hint="eastAsia" w:cs="Times New Roman"/>
                <w:b w:val="0"/>
                <w:bCs w:val="0"/>
                <w:color w:val="auto"/>
                <w:kern w:val="2"/>
                <w:sz w:val="24"/>
                <w:szCs w:val="22"/>
                <w:highlight w:val="none"/>
                <w:lang w:eastAsia="zh-CN"/>
              </w:rPr>
              <w:t>☑</w:t>
            </w:r>
            <w:r>
              <w:rPr>
                <w:rFonts w:hint="eastAsia" w:cs="Times New Roman"/>
                <w:b w:val="0"/>
                <w:bCs w:val="0"/>
                <w:color w:val="auto"/>
                <w:kern w:val="2"/>
                <w:sz w:val="24"/>
                <w:szCs w:val="22"/>
                <w:highlight w:val="none"/>
              </w:rPr>
              <w:t>不允许</w:t>
            </w:r>
          </w:p>
        </w:tc>
      </w:tr>
      <w:tr w14:paraId="0C4E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753E4D8E">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7</w:t>
            </w:r>
          </w:p>
        </w:tc>
        <w:tc>
          <w:tcPr>
            <w:tcW w:w="977" w:type="pct"/>
            <w:vAlign w:val="center"/>
          </w:tcPr>
          <w:p w14:paraId="0C4B1F99">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现场条件</w:t>
            </w:r>
          </w:p>
        </w:tc>
        <w:tc>
          <w:tcPr>
            <w:tcW w:w="3556" w:type="pct"/>
            <w:vAlign w:val="center"/>
          </w:tcPr>
          <w:p w14:paraId="26B910B7">
            <w:pPr>
              <w:pStyle w:val="76"/>
              <w:widowControl w:val="0"/>
              <w:spacing w:before="0" w:beforeAutospacing="0" w:after="0" w:afterAutospacing="0" w:line="360" w:lineRule="auto"/>
              <w:jc w:val="both"/>
              <w:rPr>
                <w:b w:val="0"/>
                <w:color w:val="auto"/>
                <w:sz w:val="24"/>
                <w:highlight w:val="none"/>
              </w:rPr>
            </w:pPr>
            <w:r>
              <w:rPr>
                <w:rFonts w:hint="eastAsia"/>
                <w:color w:val="auto"/>
                <w:sz w:val="24"/>
                <w:highlight w:val="none"/>
              </w:rPr>
              <w:t>具备开工条件</w:t>
            </w:r>
          </w:p>
        </w:tc>
      </w:tr>
      <w:tr w14:paraId="258B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710ACE18">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w:t>
            </w:r>
            <w:r>
              <w:rPr>
                <w:rFonts w:hint="eastAsia"/>
                <w:bCs/>
                <w:color w:val="auto"/>
                <w:kern w:val="2"/>
                <w:highlight w:val="none"/>
                <w:lang w:val="en-US" w:eastAsia="zh-CN"/>
              </w:rPr>
              <w:t>8</w:t>
            </w:r>
          </w:p>
        </w:tc>
        <w:tc>
          <w:tcPr>
            <w:tcW w:w="977" w:type="pct"/>
            <w:vAlign w:val="center"/>
          </w:tcPr>
          <w:p w14:paraId="4FFF08CE">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highlight w:val="none"/>
              </w:rPr>
              <w:t>采购人提供的资料</w:t>
            </w:r>
          </w:p>
        </w:tc>
        <w:tc>
          <w:tcPr>
            <w:tcW w:w="3556" w:type="pct"/>
            <w:vAlign w:val="center"/>
          </w:tcPr>
          <w:p w14:paraId="4960A9C6">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谈判文件</w:t>
            </w:r>
          </w:p>
          <w:p w14:paraId="57070105">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工程量清单</w:t>
            </w:r>
          </w:p>
          <w:p w14:paraId="1F62BD6C">
            <w:pPr>
              <w:adjustRightInd w:val="0"/>
              <w:snapToGrid w:val="0"/>
              <w:spacing w:line="360" w:lineRule="auto"/>
              <w:jc w:val="left"/>
              <w:rPr>
                <w:bCs/>
                <w:color w:val="auto"/>
                <w:sz w:val="24"/>
                <w:szCs w:val="28"/>
                <w:highlight w:val="none"/>
              </w:rPr>
            </w:pPr>
            <w:r>
              <w:rPr>
                <w:rFonts w:hint="eastAsia"/>
                <w:bCs/>
                <w:color w:val="auto"/>
                <w:sz w:val="24"/>
                <w:szCs w:val="28"/>
                <w:highlight w:val="none"/>
                <w:lang w:eastAsia="zh-CN"/>
              </w:rPr>
              <w:t>☑</w:t>
            </w:r>
            <w:r>
              <w:rPr>
                <w:rFonts w:hint="eastAsia"/>
                <w:bCs/>
                <w:color w:val="auto"/>
                <w:sz w:val="24"/>
                <w:szCs w:val="28"/>
                <w:highlight w:val="none"/>
              </w:rPr>
              <w:t>最高投标限价</w:t>
            </w:r>
          </w:p>
          <w:p w14:paraId="2C288B3B">
            <w:pPr>
              <w:adjustRightInd w:val="0"/>
              <w:snapToGrid w:val="0"/>
              <w:spacing w:line="360" w:lineRule="auto"/>
              <w:jc w:val="left"/>
              <w:rPr>
                <w:bCs/>
                <w:color w:val="auto"/>
                <w:sz w:val="24"/>
                <w:szCs w:val="28"/>
                <w:highlight w:val="none"/>
              </w:rPr>
            </w:pPr>
            <w:r>
              <w:rPr>
                <w:rFonts w:hint="eastAsia"/>
                <w:bCs/>
                <w:color w:val="auto"/>
                <w:sz w:val="24"/>
                <w:szCs w:val="28"/>
                <w:highlight w:val="none"/>
              </w:rPr>
              <w:t>□电子版图纸</w:t>
            </w:r>
          </w:p>
          <w:p w14:paraId="2E46A5F5">
            <w:pPr>
              <w:adjustRightInd w:val="0"/>
              <w:snapToGrid w:val="0"/>
              <w:spacing w:line="360" w:lineRule="auto"/>
              <w:jc w:val="left"/>
              <w:rPr>
                <w:bCs/>
                <w:color w:val="auto"/>
                <w:sz w:val="24"/>
                <w:szCs w:val="28"/>
                <w:highlight w:val="none"/>
              </w:rPr>
            </w:pPr>
            <w:r>
              <w:rPr>
                <w:rFonts w:hint="eastAsia"/>
                <w:bCs/>
                <w:color w:val="auto"/>
                <w:sz w:val="24"/>
                <w:szCs w:val="28"/>
                <w:highlight w:val="none"/>
              </w:rPr>
              <w:t>获得方式：</w:t>
            </w:r>
          </w:p>
          <w:p w14:paraId="0638D47D">
            <w:pPr>
              <w:pStyle w:val="76"/>
              <w:widowControl w:val="0"/>
              <w:spacing w:before="0" w:beforeAutospacing="0" w:after="0" w:afterAutospacing="0" w:line="360" w:lineRule="auto"/>
              <w:jc w:val="both"/>
              <w:rPr>
                <w:b w:val="0"/>
                <w:color w:val="auto"/>
                <w:sz w:val="24"/>
                <w:highlight w:val="none"/>
              </w:rPr>
            </w:pPr>
            <w:r>
              <w:rPr>
                <w:rFonts w:hint="eastAsia"/>
                <w:color w:val="auto"/>
                <w:sz w:val="24"/>
                <w:highlight w:val="none"/>
              </w:rPr>
              <w:t>上述资料请供应商在获取谈判文件后，自行登录电子交易系统下载本项目附件。</w:t>
            </w:r>
          </w:p>
        </w:tc>
      </w:tr>
      <w:tr w14:paraId="4360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5BBCB68F">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rFonts w:hint="eastAsia"/>
                <w:bCs/>
                <w:color w:val="auto"/>
                <w:kern w:val="2"/>
                <w:highlight w:val="none"/>
                <w:lang w:val="en-US" w:eastAsia="zh-CN"/>
              </w:rPr>
              <w:t>30</w:t>
            </w:r>
            <w:r>
              <w:rPr>
                <w:bCs/>
                <w:color w:val="auto"/>
                <w:kern w:val="2"/>
                <w:highlight w:val="none"/>
              </w:rPr>
              <w:t>.</w:t>
            </w:r>
            <w:r>
              <w:rPr>
                <w:rFonts w:hint="eastAsia"/>
                <w:bCs/>
                <w:color w:val="auto"/>
                <w:kern w:val="2"/>
                <w:highlight w:val="none"/>
                <w:lang w:val="en-US" w:eastAsia="zh-CN"/>
              </w:rPr>
              <w:t>9</w:t>
            </w:r>
          </w:p>
        </w:tc>
        <w:tc>
          <w:tcPr>
            <w:tcW w:w="977" w:type="pct"/>
            <w:vAlign w:val="center"/>
          </w:tcPr>
          <w:p w14:paraId="0712F22D">
            <w:pPr>
              <w:pStyle w:val="76"/>
              <w:widowControl w:val="0"/>
              <w:spacing w:before="0" w:beforeAutospacing="0" w:after="0" w:afterAutospacing="0" w:line="360" w:lineRule="auto"/>
              <w:jc w:val="both"/>
              <w:rPr>
                <w:b w:val="0"/>
                <w:color w:val="auto"/>
                <w:sz w:val="24"/>
                <w:highlight w:val="none"/>
              </w:rPr>
            </w:pPr>
            <w:r>
              <w:rPr>
                <w:rFonts w:hint="eastAsia"/>
                <w:b w:val="0"/>
                <w:bCs w:val="0"/>
                <w:color w:val="auto"/>
                <w:sz w:val="24"/>
                <w:highlight w:val="none"/>
              </w:rPr>
              <w:t>工程量清单和最高投标限价编制费</w:t>
            </w:r>
          </w:p>
        </w:tc>
        <w:tc>
          <w:tcPr>
            <w:tcW w:w="3556" w:type="pct"/>
            <w:vAlign w:val="center"/>
          </w:tcPr>
          <w:p w14:paraId="2F58828E">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p>
          <w:p w14:paraId="56C44BC5">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 xml:space="preserve">  </w:t>
            </w:r>
          </w:p>
          <w:p w14:paraId="19EA7261">
            <w:pPr>
              <w:pStyle w:val="76"/>
              <w:widowControl w:val="0"/>
              <w:spacing w:before="0" w:beforeAutospacing="0" w:after="0" w:afterAutospacing="0" w:line="360" w:lineRule="auto"/>
              <w:jc w:val="both"/>
              <w:rPr>
                <w:b w:val="0"/>
                <w:color w:val="auto"/>
                <w:sz w:val="24"/>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w:t>
            </w:r>
            <w:r>
              <w:rPr>
                <w:rFonts w:ascii="宋体" w:hAnsi="宋体" w:eastAsia="宋体" w:cs="宋体"/>
                <w:color w:val="auto"/>
                <w:sz w:val="24"/>
                <w:szCs w:val="24"/>
                <w:highlight w:val="none"/>
                <w:u w:val="single" w:color="auto"/>
              </w:rPr>
              <w:t xml:space="preserve">    </w:t>
            </w:r>
            <w:r>
              <w:rPr>
                <w:rFonts w:hint="eastAsia" w:cs="宋体"/>
                <w:color w:val="auto"/>
                <w:sz w:val="24"/>
                <w:szCs w:val="24"/>
                <w:highlight w:val="none"/>
                <w:u w:val="single" w:color="auto"/>
                <w:lang w:val="en-US" w:eastAsia="zh-CN"/>
              </w:rPr>
              <w:t xml:space="preserve"> </w:t>
            </w:r>
            <w:r>
              <w:rPr>
                <w:rFonts w:ascii="宋体" w:hAnsi="宋体" w:eastAsia="宋体" w:cs="宋体"/>
                <w:color w:val="auto"/>
                <w:sz w:val="24"/>
                <w:szCs w:val="24"/>
                <w:highlight w:val="none"/>
                <w:u w:val="single" w:color="auto"/>
              </w:rPr>
              <w:t xml:space="preserve">  </w:t>
            </w:r>
          </w:p>
        </w:tc>
      </w:tr>
      <w:tr w14:paraId="52D8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65" w:type="pct"/>
            <w:vAlign w:val="center"/>
          </w:tcPr>
          <w:p w14:paraId="07B7CF1E">
            <w:pPr>
              <w:pStyle w:val="77"/>
              <w:pBdr>
                <w:bottom w:val="none" w:color="auto" w:sz="0" w:space="0"/>
              </w:pBdr>
              <w:tabs>
                <w:tab w:val="clear" w:pos="4153"/>
                <w:tab w:val="clear" w:pos="8306"/>
              </w:tabs>
              <w:adjustRightInd/>
              <w:spacing w:line="360" w:lineRule="auto"/>
              <w:textAlignment w:val="auto"/>
              <w:rPr>
                <w:rFonts w:hint="eastAsia" w:eastAsia="宋体"/>
                <w:bCs/>
                <w:color w:val="auto"/>
                <w:kern w:val="2"/>
                <w:highlight w:val="none"/>
                <w:lang w:val="en-US" w:eastAsia="zh-CN"/>
              </w:rPr>
            </w:pPr>
            <w:r>
              <w:rPr>
                <w:bCs/>
                <w:color w:val="auto"/>
                <w:kern w:val="2"/>
                <w:highlight w:val="none"/>
              </w:rPr>
              <w:t>3</w:t>
            </w:r>
            <w:r>
              <w:rPr>
                <w:rFonts w:hint="eastAsia"/>
                <w:bCs/>
                <w:color w:val="auto"/>
                <w:kern w:val="2"/>
                <w:highlight w:val="none"/>
                <w:lang w:val="en-US" w:eastAsia="zh-CN"/>
              </w:rPr>
              <w:t>0</w:t>
            </w:r>
            <w:r>
              <w:rPr>
                <w:bCs/>
                <w:color w:val="auto"/>
                <w:kern w:val="2"/>
                <w:highlight w:val="none"/>
              </w:rPr>
              <w:t>.1</w:t>
            </w:r>
            <w:r>
              <w:rPr>
                <w:rFonts w:hint="eastAsia"/>
                <w:bCs/>
                <w:color w:val="auto"/>
                <w:kern w:val="2"/>
                <w:highlight w:val="none"/>
                <w:lang w:val="en-US" w:eastAsia="zh-CN"/>
              </w:rPr>
              <w:t>0</w:t>
            </w:r>
          </w:p>
        </w:tc>
        <w:tc>
          <w:tcPr>
            <w:tcW w:w="977" w:type="pct"/>
            <w:vAlign w:val="center"/>
          </w:tcPr>
          <w:p w14:paraId="623167AA">
            <w:pPr>
              <w:pStyle w:val="76"/>
              <w:widowControl w:val="0"/>
              <w:spacing w:before="0" w:beforeAutospacing="0" w:after="0" w:afterAutospacing="0" w:line="360" w:lineRule="auto"/>
              <w:jc w:val="both"/>
              <w:rPr>
                <w:b w:val="0"/>
                <w:color w:val="auto"/>
                <w:sz w:val="24"/>
                <w:highlight w:val="none"/>
              </w:rPr>
            </w:pPr>
            <w:r>
              <w:rPr>
                <w:rFonts w:hint="eastAsia"/>
                <w:b w:val="0"/>
                <w:color w:val="auto"/>
                <w:sz w:val="24"/>
                <w:highlight w:val="none"/>
              </w:rPr>
              <w:t>其他补充说明</w:t>
            </w:r>
          </w:p>
        </w:tc>
        <w:tc>
          <w:tcPr>
            <w:tcW w:w="3556" w:type="pct"/>
            <w:vAlign w:val="center"/>
          </w:tcPr>
          <w:p w14:paraId="0A43038A">
            <w:pPr>
              <w:numPr>
                <w:ilvl w:val="0"/>
                <w:numId w:val="0"/>
              </w:numPr>
              <w:spacing w:line="360" w:lineRule="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1.解释权：</w:t>
            </w:r>
          </w:p>
          <w:p w14:paraId="719D2DCE">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谈判</w:t>
            </w:r>
            <w:r>
              <w:rPr>
                <w:rFonts w:asciiTheme="minorEastAsia" w:hAnsiTheme="minorEastAsia" w:eastAsiaTheme="minorEastAsia"/>
                <w:bCs/>
                <w:color w:val="auto"/>
                <w:sz w:val="24"/>
                <w:szCs w:val="24"/>
                <w:highlight w:val="none"/>
              </w:rPr>
              <w:t>文件的各个组成文件应互为解释，互为说明；</w:t>
            </w:r>
          </w:p>
          <w:p w14:paraId="6519BDC5">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7714D7BF">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43CC208C">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谈判</w:t>
            </w:r>
            <w:r>
              <w:rPr>
                <w:rFonts w:asciiTheme="minorEastAsia" w:hAnsiTheme="minorEastAsia" w:eastAsiaTheme="minorEastAsia"/>
                <w:bCs/>
                <w:color w:val="auto"/>
                <w:sz w:val="24"/>
                <w:szCs w:val="24"/>
                <w:highlight w:val="none"/>
              </w:rPr>
              <w:t>文件中有特别规定外，仅适用于</w:t>
            </w:r>
            <w:r>
              <w:rPr>
                <w:rFonts w:hint="eastAsia" w:asciiTheme="minorEastAsia" w:hAnsiTheme="minorEastAsia" w:eastAsiaTheme="minorEastAsia"/>
                <w:bCs/>
                <w:color w:val="auto"/>
                <w:sz w:val="24"/>
                <w:szCs w:val="24"/>
                <w:highlight w:val="none"/>
              </w:rPr>
              <w:t>谈判及响应文件提交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竞争性谈判</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rPr>
              <w:t>谈判邀请、供应商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0F3DE934">
            <w:pPr>
              <w:pStyle w:val="76"/>
              <w:widowControl w:val="0"/>
              <w:spacing w:before="0" w:beforeAutospacing="0" w:after="0" w:afterAutospacing="0" w:line="360" w:lineRule="auto"/>
              <w:jc w:val="both"/>
              <w:rPr>
                <w:rFonts w:asciiTheme="minorEastAsia" w:hAnsiTheme="minorEastAsia" w:eastAsiaTheme="minorEastAsia"/>
                <w:b w:val="0"/>
                <w:color w:val="auto"/>
                <w:sz w:val="24"/>
                <w:szCs w:val="24"/>
                <w:highlight w:val="none"/>
              </w:rPr>
            </w:pPr>
            <w:r>
              <w:rPr>
                <w:rFonts w:hint="eastAsia" w:asciiTheme="minorEastAsia" w:hAnsiTheme="minorEastAsia" w:eastAsiaTheme="minorEastAsia"/>
                <w:b w:val="0"/>
                <w:color w:val="auto"/>
                <w:sz w:val="24"/>
                <w:szCs w:val="24"/>
                <w:highlight w:val="none"/>
              </w:rPr>
              <w:t>（5）</w:t>
            </w:r>
            <w:r>
              <w:rPr>
                <w:rFonts w:asciiTheme="minorEastAsia" w:hAnsiTheme="minorEastAsia" w:eastAsiaTheme="minorEastAsia"/>
                <w:b w:val="0"/>
                <w:color w:val="auto"/>
                <w:sz w:val="24"/>
                <w:szCs w:val="24"/>
                <w:highlight w:val="none"/>
              </w:rPr>
              <w:t>按本款前述规定仍不能形成结论的，由</w:t>
            </w:r>
            <w:r>
              <w:rPr>
                <w:rFonts w:hint="eastAsia" w:asciiTheme="minorEastAsia" w:hAnsiTheme="minorEastAsia" w:eastAsiaTheme="minorEastAsia"/>
                <w:b w:val="0"/>
                <w:color w:val="auto"/>
                <w:sz w:val="24"/>
                <w:szCs w:val="24"/>
                <w:highlight w:val="none"/>
              </w:rPr>
              <w:t>采购</w:t>
            </w:r>
            <w:r>
              <w:rPr>
                <w:rFonts w:asciiTheme="minorEastAsia" w:hAnsiTheme="minorEastAsia" w:eastAsiaTheme="minorEastAsia"/>
                <w:b w:val="0"/>
                <w:color w:val="auto"/>
                <w:sz w:val="24"/>
                <w:szCs w:val="24"/>
                <w:highlight w:val="none"/>
              </w:rPr>
              <w:t>人负责解释。</w:t>
            </w:r>
          </w:p>
          <w:p w14:paraId="4180A637">
            <w:pPr>
              <w:pStyle w:val="76"/>
              <w:widowControl w:val="0"/>
              <w:spacing w:before="0" w:beforeAutospacing="0" w:after="0" w:afterAutospacing="0" w:line="360" w:lineRule="auto"/>
              <w:jc w:val="both"/>
              <w:rPr>
                <w:rFonts w:hint="eastAsia"/>
                <w:b w:val="0"/>
                <w:color w:val="auto"/>
                <w:sz w:val="24"/>
                <w:highlight w:val="none"/>
              </w:rPr>
            </w:pPr>
            <w:r>
              <w:rPr>
                <w:rFonts w:hint="eastAsia"/>
                <w:b w:val="0"/>
                <w:color w:val="auto"/>
                <w:sz w:val="24"/>
                <w:highlight w:val="none"/>
                <w:lang w:val="en-US" w:eastAsia="zh-CN"/>
              </w:rPr>
              <w:t>2.</w:t>
            </w:r>
            <w:r>
              <w:rPr>
                <w:rFonts w:hint="eastAsia"/>
                <w:b w:val="0"/>
                <w:color w:val="auto"/>
                <w:sz w:val="24"/>
                <w:highlight w:val="none"/>
              </w:rPr>
              <w:t>评标过程中的澄清、说明或补正：</w:t>
            </w:r>
          </w:p>
          <w:p w14:paraId="26FB80BE">
            <w:pPr>
              <w:pStyle w:val="76"/>
              <w:widowControl w:val="0"/>
              <w:spacing w:before="0" w:beforeAutospacing="0" w:after="0" w:afterAutospacing="0" w:line="360" w:lineRule="auto"/>
              <w:jc w:val="both"/>
              <w:rPr>
                <w:rFonts w:hint="eastAsia"/>
                <w:b w:val="0"/>
                <w:color w:val="auto"/>
                <w:sz w:val="24"/>
                <w:highlight w:val="none"/>
              </w:rPr>
            </w:pPr>
            <w:r>
              <w:rPr>
                <w:rFonts w:hint="eastAsia"/>
                <w:b w:val="0"/>
                <w:color w:val="auto"/>
                <w:sz w:val="24"/>
                <w:highlight w:val="none"/>
              </w:rPr>
              <w:t>（1）谈判小组通过书面形式将需要澄清、说明或补正的内容以询标函的形式给供应商，供应商应安排专人登录网上招投标系统并保持在线状态，以便及时接收评审小组可能发出的询标函。</w:t>
            </w:r>
          </w:p>
          <w:p w14:paraId="2B9C0A47">
            <w:pPr>
              <w:pStyle w:val="76"/>
              <w:widowControl w:val="0"/>
              <w:spacing w:before="0" w:beforeAutospacing="0" w:after="0" w:afterAutospacing="0" w:line="360" w:lineRule="auto"/>
              <w:jc w:val="both"/>
              <w:rPr>
                <w:rFonts w:asciiTheme="minorEastAsia" w:hAnsiTheme="minorEastAsia" w:eastAsiaTheme="minorEastAsia"/>
                <w:b w:val="0"/>
                <w:color w:val="auto"/>
                <w:sz w:val="24"/>
                <w:szCs w:val="24"/>
                <w:highlight w:val="none"/>
              </w:rPr>
            </w:pPr>
            <w:r>
              <w:rPr>
                <w:rFonts w:hint="eastAsia"/>
                <w:b w:val="0"/>
                <w:color w:val="auto"/>
                <w:sz w:val="24"/>
                <w:highlight w:val="none"/>
              </w:rPr>
              <w:t>（2）因供应商原因导致无法及时接收询标函（远程网上询标）或未在规定时间内按谈判小组要求进行澄清、说明或补正内容的视同供应商放弃澄清、说明或补正内容的权利，谈判小组可按对供应商不利的解释进行判定。</w:t>
            </w:r>
          </w:p>
        </w:tc>
      </w:tr>
    </w:tbl>
    <w:p w14:paraId="4FBA7814">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6" w:name="_Toc32464"/>
      <w:bookmarkStart w:id="27" w:name="_Toc19323"/>
      <w:r>
        <w:rPr>
          <w:rFonts w:hint="eastAsia" w:asciiTheme="minorEastAsia" w:hAnsiTheme="minorEastAsia" w:eastAsiaTheme="minorEastAsia"/>
          <w:b/>
          <w:color w:val="auto"/>
          <w:sz w:val="24"/>
          <w:highlight w:val="none"/>
        </w:rPr>
        <w:t>二、供应商</w:t>
      </w:r>
      <w:r>
        <w:rPr>
          <w:rFonts w:asciiTheme="minorEastAsia" w:hAnsiTheme="minorEastAsia" w:eastAsiaTheme="minorEastAsia"/>
          <w:b/>
          <w:color w:val="auto"/>
          <w:sz w:val="24"/>
          <w:highlight w:val="none"/>
        </w:rPr>
        <w:t>须知</w:t>
      </w:r>
      <w:r>
        <w:rPr>
          <w:rFonts w:hint="eastAsia" w:asciiTheme="minorEastAsia" w:hAnsiTheme="minorEastAsia" w:eastAsiaTheme="minorEastAsia"/>
          <w:b/>
          <w:color w:val="auto"/>
          <w:sz w:val="24"/>
          <w:highlight w:val="none"/>
        </w:rPr>
        <w:t>正文</w:t>
      </w:r>
      <w:bookmarkEnd w:id="26"/>
      <w:bookmarkEnd w:id="27"/>
    </w:p>
    <w:p w14:paraId="2691015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7385C076">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.1采购人：是指依法开展政府采购活动的国家机关、事业单位、团体组织。</w:t>
      </w:r>
    </w:p>
    <w:p w14:paraId="07B79DE4">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.2采购代理机构：是指集中采购机构或从事采购代理业务的社会中介机构。</w:t>
      </w:r>
    </w:p>
    <w:p w14:paraId="635536E6">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.3政府采购监督管理部门：</w:t>
      </w:r>
      <w:r>
        <w:rPr>
          <w:rFonts w:hint="eastAsia"/>
          <w:color w:val="auto"/>
          <w:sz w:val="24"/>
          <w:highlight w:val="none"/>
        </w:rPr>
        <w:t>各级人民政府指定的有关部门依法履行与政府采购活动有关的监督管理职责。</w:t>
      </w:r>
    </w:p>
    <w:p w14:paraId="1058DC74">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rPr>
        <w:t>供应商</w:t>
      </w:r>
      <w:r>
        <w:rPr>
          <w:color w:val="auto"/>
          <w:sz w:val="24"/>
          <w:highlight w:val="none"/>
        </w:rPr>
        <w:t>：是指向采购人提供货物、工程或者服务的法人、</w:t>
      </w:r>
      <w:r>
        <w:rPr>
          <w:rFonts w:hint="eastAsia"/>
          <w:color w:val="auto"/>
          <w:sz w:val="24"/>
          <w:highlight w:val="none"/>
          <w:lang w:val="en-US" w:eastAsia="zh-CN"/>
        </w:rPr>
        <w:t>其他</w:t>
      </w:r>
      <w:r>
        <w:rPr>
          <w:color w:val="auto"/>
          <w:sz w:val="24"/>
          <w:highlight w:val="none"/>
        </w:rPr>
        <w:t>组织或者自然人。</w:t>
      </w:r>
      <w:r>
        <w:rPr>
          <w:rFonts w:hint="eastAsia"/>
          <w:color w:val="auto"/>
          <w:sz w:val="24"/>
          <w:highlight w:val="none"/>
        </w:rPr>
        <w:t>分支机构不得参加政府采购活动，但银行、保险、石油石化、电力、电信等特殊行业除外。</w:t>
      </w:r>
      <w:r>
        <w:rPr>
          <w:color w:val="auto"/>
          <w:sz w:val="24"/>
          <w:highlight w:val="none"/>
        </w:rPr>
        <w:t>本项目的</w:t>
      </w:r>
      <w:r>
        <w:rPr>
          <w:rFonts w:hint="eastAsia"/>
          <w:color w:val="auto"/>
          <w:sz w:val="24"/>
          <w:highlight w:val="none"/>
        </w:rPr>
        <w:t>供应商</w:t>
      </w:r>
      <w:r>
        <w:rPr>
          <w:color w:val="auto"/>
          <w:sz w:val="24"/>
          <w:highlight w:val="none"/>
        </w:rPr>
        <w:t>须满足以下条件：</w:t>
      </w:r>
    </w:p>
    <w:p w14:paraId="27D57A1E">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lang w:val="en-US" w:eastAsia="zh-CN"/>
        </w:rPr>
        <w:t>1</w:t>
      </w:r>
      <w:r>
        <w:rPr>
          <w:color w:val="auto"/>
          <w:sz w:val="24"/>
          <w:highlight w:val="none"/>
        </w:rPr>
        <w:t>具备《中华人民共和国政府采购法》第二十二条关于供应商条件的规定，遵守本项目采购人本级和上级财政部门政府采购的有关规定。</w:t>
      </w:r>
    </w:p>
    <w:p w14:paraId="1BA9BAFC">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.4.</w:t>
      </w:r>
      <w:r>
        <w:rPr>
          <w:rFonts w:hint="eastAsia"/>
          <w:color w:val="auto"/>
          <w:sz w:val="24"/>
          <w:highlight w:val="none"/>
          <w:lang w:val="en-US" w:eastAsia="zh-CN"/>
        </w:rPr>
        <w:t>2</w:t>
      </w:r>
      <w:r>
        <w:rPr>
          <w:color w:val="auto"/>
          <w:sz w:val="24"/>
          <w:highlight w:val="none"/>
        </w:rPr>
        <w:t>以采购代理机构认可的方式获得了本项目的</w:t>
      </w:r>
      <w:r>
        <w:rPr>
          <w:rFonts w:hint="eastAsia"/>
          <w:color w:val="auto"/>
          <w:sz w:val="24"/>
          <w:highlight w:val="none"/>
        </w:rPr>
        <w:t>谈判</w:t>
      </w:r>
      <w:r>
        <w:rPr>
          <w:color w:val="auto"/>
          <w:sz w:val="24"/>
          <w:highlight w:val="none"/>
        </w:rPr>
        <w:t>文件。</w:t>
      </w:r>
    </w:p>
    <w:p w14:paraId="47262D3E">
      <w:pPr>
        <w:spacing w:line="360" w:lineRule="auto"/>
        <w:ind w:firstLine="435"/>
        <w:rPr>
          <w:color w:val="auto"/>
          <w:sz w:val="24"/>
          <w:highlight w:val="none"/>
        </w:rPr>
      </w:pPr>
      <w:r>
        <w:rPr>
          <w:rFonts w:hint="eastAsia"/>
          <w:bCs/>
          <w:color w:val="auto"/>
          <w:sz w:val="24"/>
          <w:szCs w:val="28"/>
          <w:highlight w:val="none"/>
          <w:lang w:val="en-US" w:eastAsia="zh-CN"/>
        </w:rPr>
        <w:t>1</w:t>
      </w:r>
      <w:r>
        <w:rPr>
          <w:bCs/>
          <w:color w:val="auto"/>
          <w:sz w:val="24"/>
          <w:szCs w:val="28"/>
          <w:highlight w:val="none"/>
        </w:rPr>
        <w:t>.5</w:t>
      </w:r>
      <w:r>
        <w:rPr>
          <w:rFonts w:hint="eastAsia"/>
          <w:bCs/>
          <w:color w:val="auto"/>
          <w:sz w:val="24"/>
          <w:szCs w:val="28"/>
          <w:highlight w:val="none"/>
        </w:rPr>
        <w:t>若竞争性谈判公告</w:t>
      </w:r>
      <w:r>
        <w:rPr>
          <w:bCs/>
          <w:color w:val="auto"/>
          <w:sz w:val="24"/>
          <w:szCs w:val="28"/>
          <w:highlight w:val="none"/>
        </w:rPr>
        <w:t>中允许联合体</w:t>
      </w:r>
      <w:r>
        <w:rPr>
          <w:rFonts w:hint="eastAsia"/>
          <w:bCs/>
          <w:color w:val="auto"/>
          <w:sz w:val="24"/>
          <w:szCs w:val="28"/>
          <w:highlight w:val="none"/>
        </w:rPr>
        <w:t>参加谈判</w:t>
      </w:r>
      <w:r>
        <w:rPr>
          <w:bCs/>
          <w:color w:val="auto"/>
          <w:sz w:val="24"/>
          <w:szCs w:val="28"/>
          <w:highlight w:val="none"/>
        </w:rPr>
        <w:t>，对联合体规定如下：</w:t>
      </w:r>
    </w:p>
    <w:p w14:paraId="40262F0D">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.1</w:t>
      </w:r>
      <w:r>
        <w:rPr>
          <w:rFonts w:hint="eastAsia"/>
          <w:color w:val="auto"/>
          <w:sz w:val="24"/>
          <w:highlight w:val="none"/>
        </w:rPr>
        <w:t>两个以上供应商可以组成一个谈判联合体，以一个供应商的身份谈判</w:t>
      </w:r>
      <w:r>
        <w:rPr>
          <w:color w:val="auto"/>
          <w:sz w:val="24"/>
          <w:highlight w:val="none"/>
        </w:rPr>
        <w:t>。</w:t>
      </w:r>
      <w:r>
        <w:rPr>
          <w:b w:val="0"/>
          <w:color w:val="auto"/>
          <w:sz w:val="24"/>
          <w:highlight w:val="none"/>
        </w:rPr>
        <w:t>联合体参加谈判的，</w:t>
      </w:r>
      <w:r>
        <w:rPr>
          <w:rFonts w:hint="eastAsia"/>
          <w:b w:val="0"/>
          <w:color w:val="auto"/>
          <w:sz w:val="24"/>
          <w:highlight w:val="none"/>
        </w:rPr>
        <w:t>谈判文件获取</w:t>
      </w:r>
      <w:r>
        <w:rPr>
          <w:b w:val="0"/>
          <w:color w:val="auto"/>
          <w:sz w:val="24"/>
          <w:highlight w:val="none"/>
        </w:rPr>
        <w:t>手续由联合体</w:t>
      </w:r>
      <w:r>
        <w:rPr>
          <w:rFonts w:hint="eastAsia"/>
          <w:b w:val="0"/>
          <w:color w:val="auto"/>
          <w:sz w:val="24"/>
          <w:highlight w:val="none"/>
        </w:rPr>
        <w:t>中</w:t>
      </w:r>
      <w:r>
        <w:rPr>
          <w:b w:val="0"/>
          <w:color w:val="auto"/>
          <w:sz w:val="24"/>
          <w:highlight w:val="none"/>
        </w:rPr>
        <w:t>任一</w:t>
      </w:r>
      <w:r>
        <w:rPr>
          <w:rFonts w:hint="eastAsia"/>
          <w:b w:val="0"/>
          <w:color w:val="auto"/>
          <w:sz w:val="24"/>
          <w:highlight w:val="none"/>
        </w:rPr>
        <w:t>成员单位</w:t>
      </w:r>
      <w:r>
        <w:rPr>
          <w:b w:val="0"/>
          <w:color w:val="auto"/>
          <w:sz w:val="24"/>
          <w:highlight w:val="none"/>
        </w:rPr>
        <w:t>办理均可。</w:t>
      </w:r>
    </w:p>
    <w:p w14:paraId="74EA75F9">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.2联合体各方均应符合《中华人民共和国政府采购法》第二十二条规定的条件。</w:t>
      </w:r>
    </w:p>
    <w:p w14:paraId="345496E1">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.3采购人根据采购项目对</w:t>
      </w:r>
      <w:r>
        <w:rPr>
          <w:rFonts w:hint="eastAsia"/>
          <w:color w:val="auto"/>
          <w:sz w:val="24"/>
          <w:highlight w:val="none"/>
        </w:rPr>
        <w:t>供应商</w:t>
      </w:r>
      <w:r>
        <w:rPr>
          <w:color w:val="auto"/>
          <w:sz w:val="24"/>
          <w:highlight w:val="none"/>
        </w:rPr>
        <w:t>的特殊要求，联合体中至少应当有一方符合相关规定。</w:t>
      </w:r>
    </w:p>
    <w:p w14:paraId="5589AFF8">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.4联合体各方应签订</w:t>
      </w:r>
      <w:r>
        <w:rPr>
          <w:rFonts w:hint="eastAsia"/>
          <w:color w:val="auto"/>
          <w:sz w:val="24"/>
          <w:highlight w:val="none"/>
        </w:rPr>
        <w:t>联合协议</w:t>
      </w:r>
      <w:r>
        <w:rPr>
          <w:color w:val="auto"/>
          <w:sz w:val="24"/>
          <w:highlight w:val="none"/>
        </w:rPr>
        <w:t>，明确约定联合体各方承担的工作和相应的责任，并将</w:t>
      </w:r>
      <w:r>
        <w:rPr>
          <w:rFonts w:hint="eastAsia"/>
          <w:color w:val="auto"/>
          <w:sz w:val="24"/>
          <w:highlight w:val="none"/>
        </w:rPr>
        <w:t>联合协议</w:t>
      </w:r>
      <w:r>
        <w:rPr>
          <w:color w:val="auto"/>
          <w:sz w:val="24"/>
          <w:highlight w:val="none"/>
        </w:rPr>
        <w:t>作为</w:t>
      </w:r>
      <w:r>
        <w:rPr>
          <w:rFonts w:hint="eastAsia"/>
          <w:color w:val="auto"/>
          <w:sz w:val="24"/>
          <w:highlight w:val="none"/>
        </w:rPr>
        <w:t>响应</w:t>
      </w:r>
      <w:r>
        <w:rPr>
          <w:color w:val="auto"/>
          <w:sz w:val="24"/>
          <w:highlight w:val="none"/>
        </w:rPr>
        <w:t>文件</w:t>
      </w:r>
      <w:r>
        <w:rPr>
          <w:rFonts w:hint="eastAsia"/>
          <w:color w:val="auto"/>
          <w:sz w:val="24"/>
          <w:highlight w:val="none"/>
        </w:rPr>
        <w:t>的</w:t>
      </w:r>
      <w:r>
        <w:rPr>
          <w:color w:val="auto"/>
          <w:sz w:val="24"/>
          <w:highlight w:val="none"/>
        </w:rPr>
        <w:t>一部分提交。</w:t>
      </w:r>
    </w:p>
    <w:p w14:paraId="32E12BA4">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.5大中型企业、其他自然人、法人或者非法人组织与小型、微型企业组成联合体共同参加</w:t>
      </w:r>
      <w:r>
        <w:rPr>
          <w:rFonts w:hint="eastAsia"/>
          <w:color w:val="auto"/>
          <w:sz w:val="24"/>
          <w:highlight w:val="none"/>
        </w:rPr>
        <w:t>谈判</w:t>
      </w:r>
      <w:r>
        <w:rPr>
          <w:color w:val="auto"/>
          <w:sz w:val="24"/>
          <w:highlight w:val="none"/>
        </w:rPr>
        <w:t>，</w:t>
      </w:r>
      <w:r>
        <w:rPr>
          <w:rFonts w:hint="eastAsia"/>
          <w:color w:val="auto"/>
          <w:sz w:val="24"/>
          <w:highlight w:val="none"/>
        </w:rPr>
        <w:t>联合协议中</w:t>
      </w:r>
      <w:r>
        <w:rPr>
          <w:color w:val="auto"/>
          <w:sz w:val="24"/>
          <w:highlight w:val="none"/>
        </w:rPr>
        <w:t>应写明小型、微型企业的协议合同金额占到</w:t>
      </w:r>
      <w:r>
        <w:rPr>
          <w:rFonts w:hint="eastAsia"/>
          <w:color w:val="auto"/>
          <w:sz w:val="24"/>
          <w:highlight w:val="none"/>
        </w:rPr>
        <w:t>联合协议合同</w:t>
      </w:r>
      <w:r>
        <w:rPr>
          <w:color w:val="auto"/>
          <w:sz w:val="24"/>
          <w:highlight w:val="none"/>
        </w:rPr>
        <w:t>总金额的比例。</w:t>
      </w:r>
    </w:p>
    <w:p w14:paraId="1324E270">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.5.6</w:t>
      </w:r>
      <w:r>
        <w:rPr>
          <w:rFonts w:hint="eastAsia"/>
          <w:color w:val="auto"/>
          <w:sz w:val="24"/>
          <w:highlight w:val="none"/>
        </w:rPr>
        <w:t>联合体中有同类资质的供应商按照联合体分工承担相同工作的，</w:t>
      </w:r>
      <w:r>
        <w:rPr>
          <w:color w:val="auto"/>
          <w:sz w:val="24"/>
          <w:highlight w:val="none"/>
        </w:rPr>
        <w:t>应当按照</w:t>
      </w:r>
      <w:r>
        <w:rPr>
          <w:rFonts w:hint="eastAsia"/>
          <w:color w:val="auto"/>
          <w:sz w:val="24"/>
          <w:highlight w:val="none"/>
        </w:rPr>
        <w:t>资质等级较低的供应商确定资质等级。</w:t>
      </w:r>
    </w:p>
    <w:p w14:paraId="4D822167">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.7以联合体形式参加政府采购活动的，联合体各方不得再单独参加或者与其他供应商另外组成联合体参加本项目</w:t>
      </w:r>
      <w:r>
        <w:rPr>
          <w:rFonts w:hint="eastAsia"/>
          <w:color w:val="auto"/>
          <w:sz w:val="24"/>
          <w:highlight w:val="none"/>
        </w:rPr>
        <w:t>谈判</w:t>
      </w:r>
      <w:r>
        <w:rPr>
          <w:color w:val="auto"/>
          <w:sz w:val="24"/>
          <w:highlight w:val="none"/>
        </w:rPr>
        <w:t>，否则相关</w:t>
      </w:r>
      <w:r>
        <w:rPr>
          <w:rFonts w:hint="eastAsia"/>
          <w:color w:val="auto"/>
          <w:sz w:val="24"/>
          <w:highlight w:val="none"/>
        </w:rPr>
        <w:t>响应文件将被认定为</w:t>
      </w:r>
      <w:r>
        <w:rPr>
          <w:rFonts w:hint="eastAsia"/>
          <w:b/>
          <w:color w:val="auto"/>
          <w:sz w:val="24"/>
          <w:highlight w:val="none"/>
        </w:rPr>
        <w:t>响应无效</w:t>
      </w:r>
      <w:r>
        <w:rPr>
          <w:color w:val="auto"/>
          <w:sz w:val="24"/>
          <w:highlight w:val="none"/>
        </w:rPr>
        <w:t>。</w:t>
      </w:r>
    </w:p>
    <w:p w14:paraId="33138B25">
      <w:pPr>
        <w:spacing w:line="360" w:lineRule="auto"/>
        <w:ind w:firstLine="435"/>
        <w:rPr>
          <w:color w:val="auto"/>
          <w:sz w:val="24"/>
          <w:highlight w:val="none"/>
        </w:rPr>
      </w:pPr>
      <w:r>
        <w:rPr>
          <w:rFonts w:hint="eastAsia"/>
          <w:color w:val="auto"/>
          <w:sz w:val="24"/>
          <w:highlight w:val="none"/>
          <w:lang w:val="en-US" w:eastAsia="zh-CN"/>
        </w:rPr>
        <w:t>1</w:t>
      </w:r>
      <w:r>
        <w:rPr>
          <w:color w:val="auto"/>
          <w:sz w:val="24"/>
          <w:highlight w:val="none"/>
        </w:rPr>
        <w:t>.</w:t>
      </w:r>
      <w:r>
        <w:rPr>
          <w:rFonts w:hint="eastAsia"/>
          <w:color w:val="auto"/>
          <w:sz w:val="24"/>
          <w:highlight w:val="none"/>
        </w:rPr>
        <w:t>5</w:t>
      </w:r>
      <w:r>
        <w:rPr>
          <w:color w:val="auto"/>
          <w:sz w:val="24"/>
          <w:highlight w:val="none"/>
        </w:rPr>
        <w:t>.8对联合体参加谈判的其他资格要求见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color w:val="auto"/>
          <w:sz w:val="24"/>
          <w:highlight w:val="none"/>
        </w:rPr>
        <w:t>。</w:t>
      </w:r>
    </w:p>
    <w:p w14:paraId="2A682948">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4280E54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.1本项目的采购人已获得足以支付本次谈判后所签订的合同项下的资金。</w:t>
      </w:r>
    </w:p>
    <w:p w14:paraId="0BA97BE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谈判费用</w:t>
      </w:r>
    </w:p>
    <w:p w14:paraId="04B83825">
      <w:pPr>
        <w:spacing w:line="360" w:lineRule="auto"/>
        <w:ind w:firstLine="437"/>
        <w:rPr>
          <w:color w:val="auto"/>
          <w:sz w:val="24"/>
          <w:highlight w:val="none"/>
        </w:rPr>
      </w:pPr>
      <w:r>
        <w:rPr>
          <w:rFonts w:hint="eastAsia"/>
          <w:color w:val="auto"/>
          <w:sz w:val="24"/>
          <w:highlight w:val="none"/>
        </w:rPr>
        <w:t>不论谈判的结果如何，供应商应承担其所有与准备和参加谈判有关的费用。</w:t>
      </w:r>
    </w:p>
    <w:p w14:paraId="57C9096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6E16B6CD">
      <w:pPr>
        <w:spacing w:line="360" w:lineRule="auto"/>
        <w:ind w:firstLine="435"/>
        <w:rPr>
          <w:rFonts w:asciiTheme="minorEastAsia" w:hAnsiTheme="minorEastAsia" w:eastAsiaTheme="minorEastAsia"/>
          <w:color w:val="auto"/>
          <w:sz w:val="24"/>
          <w:highlight w:val="none"/>
        </w:rPr>
      </w:pPr>
      <w:r>
        <w:rPr>
          <w:rFonts w:hint="eastAsia"/>
          <w:color w:val="auto"/>
          <w:sz w:val="24"/>
          <w:highlight w:val="none"/>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7302FA8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谈判文件构成</w:t>
      </w:r>
    </w:p>
    <w:p w14:paraId="30B62AB9">
      <w:pPr>
        <w:spacing w:line="360" w:lineRule="auto"/>
        <w:ind w:firstLine="435"/>
        <w:rPr>
          <w:color w:val="auto"/>
          <w:sz w:val="24"/>
          <w:highlight w:val="none"/>
        </w:rPr>
      </w:pPr>
      <w:r>
        <w:rPr>
          <w:rFonts w:hint="eastAsia"/>
          <w:color w:val="auto"/>
          <w:sz w:val="24"/>
          <w:highlight w:val="none"/>
          <w:lang w:val="en-US" w:eastAsia="zh-CN"/>
        </w:rPr>
        <w:t>5</w:t>
      </w:r>
      <w:r>
        <w:rPr>
          <w:rFonts w:hint="eastAsia"/>
          <w:color w:val="auto"/>
          <w:sz w:val="24"/>
          <w:highlight w:val="none"/>
        </w:rPr>
        <w:t>.1谈判文件包括下列内容：</w:t>
      </w:r>
    </w:p>
    <w:p w14:paraId="105A8536">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谈判邀请</w:t>
      </w:r>
    </w:p>
    <w:p w14:paraId="0E4B2CAD">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须知</w:t>
      </w:r>
    </w:p>
    <w:p w14:paraId="6CD27D58">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0D468345">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评审方法</w:t>
      </w:r>
      <w:r>
        <w:rPr>
          <w:rFonts w:asciiTheme="minorEastAsia" w:hAnsiTheme="minorEastAsia" w:eastAsiaTheme="minorEastAsia"/>
          <w:color w:val="auto"/>
          <w:sz w:val="24"/>
          <w:highlight w:val="none"/>
        </w:rPr>
        <w:t>和标准</w:t>
      </w:r>
    </w:p>
    <w:p w14:paraId="5E716FF5">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0736864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w:t>
      </w:r>
    </w:p>
    <w:p w14:paraId="0EB873D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47EF0B9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0F8B5F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文件所有的事项、格式、条款和技术规范等。</w:t>
      </w:r>
    </w:p>
    <w:p w14:paraId="33A256C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谈判文件的澄清与修改</w:t>
      </w:r>
    </w:p>
    <w:p w14:paraId="3E7A21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1供应商</w:t>
      </w:r>
      <w:r>
        <w:rPr>
          <w:rFonts w:asciiTheme="minorEastAsia" w:hAnsiTheme="minorEastAsia" w:eastAsiaTheme="minorEastAsia"/>
          <w:color w:val="auto"/>
          <w:sz w:val="24"/>
          <w:highlight w:val="none"/>
        </w:rPr>
        <w:t>如对</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文件内容有疑问，必须在</w:t>
      </w:r>
      <w:r>
        <w:rPr>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7D10B7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在滁州市城投工程咨询管理有限公司</w:t>
      </w:r>
      <w:r>
        <w:rPr>
          <w:rFonts w:hint="eastAsia" w:asciiTheme="minorEastAsia" w:hAnsiTheme="minorEastAsia" w:eastAsiaTheme="minorEastAsia"/>
          <w:color w:val="auto"/>
          <w:sz w:val="24"/>
          <w:highlight w:val="none"/>
          <w:lang w:val="en-US" w:eastAsia="zh-CN"/>
        </w:rPr>
        <w:t>网站</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26917918">
      <w:pPr>
        <w:spacing w:line="360" w:lineRule="auto"/>
        <w:ind w:firstLine="435"/>
        <w:rPr>
          <w:color w:val="auto"/>
          <w:sz w:val="24"/>
          <w:highlight w:val="none"/>
        </w:rPr>
      </w:pPr>
      <w:r>
        <w:rPr>
          <w:rFonts w:hint="eastAsia"/>
          <w:color w:val="auto"/>
          <w:sz w:val="24"/>
          <w:highlight w:val="none"/>
          <w:lang w:val="en-US" w:eastAsia="zh-CN"/>
        </w:rPr>
        <w:t>6</w:t>
      </w:r>
      <w:r>
        <w:rPr>
          <w:rFonts w:hint="eastAsia"/>
          <w:color w:val="auto"/>
          <w:sz w:val="24"/>
          <w:highlight w:val="none"/>
        </w:rPr>
        <w:t>.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A040FBE">
      <w:pPr>
        <w:spacing w:line="360" w:lineRule="auto"/>
        <w:ind w:firstLine="435"/>
        <w:rPr>
          <w:rFonts w:hint="eastAsia" w:asciiTheme="minorEastAsia" w:hAnsiTheme="minorEastAsia" w:eastAsiaTheme="minorEastAsia"/>
          <w:iCs/>
          <w:color w:val="auto"/>
          <w:sz w:val="24"/>
          <w:highlight w:val="none"/>
          <w:lang w:eastAsia="zh-CN"/>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本谈判</w:t>
      </w:r>
      <w:r>
        <w:rPr>
          <w:rFonts w:asciiTheme="minorEastAsia" w:hAnsiTheme="minorEastAsia" w:eastAsiaTheme="minorEastAsia"/>
          <w:color w:val="auto"/>
          <w:sz w:val="24"/>
          <w:highlight w:val="none"/>
        </w:rPr>
        <w:t>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lang w:eastAsia="zh-CN"/>
        </w:rPr>
        <w:t>。</w:t>
      </w:r>
    </w:p>
    <w:p w14:paraId="4C99F7E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谈判范围及响应文件中标准和计量单位的使用</w:t>
      </w:r>
    </w:p>
    <w:p w14:paraId="4A78C5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参与</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的谈判</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5C000B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无论谈判文件中是否要求，供应商所</w:t>
      </w:r>
      <w:r>
        <w:rPr>
          <w:rFonts w:hint="eastAsia" w:asciiTheme="minorEastAsia" w:hAnsiTheme="minorEastAsia" w:eastAsiaTheme="minorEastAsia"/>
          <w:color w:val="auto"/>
          <w:sz w:val="24"/>
          <w:highlight w:val="none"/>
        </w:rPr>
        <w:t>承担</w:t>
      </w:r>
      <w:r>
        <w:rPr>
          <w:rFonts w:asciiTheme="minorEastAsia" w:hAnsiTheme="minorEastAsia" w:eastAsiaTheme="minorEastAsia"/>
          <w:color w:val="auto"/>
          <w:sz w:val="24"/>
          <w:highlight w:val="none"/>
        </w:rPr>
        <w:t>工程及伴随的货物和</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均应符合国家强制性标准。</w:t>
      </w:r>
    </w:p>
    <w:p w14:paraId="41F4AE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与采购代理机构之间与谈判有关的所有往来通知、函件和响应文件均用中文表述。供应商随响应文件提供的证明文件和资料可以为其他语言，但必须附中文译文。翻译的中文资料与外文资料如果出现差异时，以中文为准。</w:t>
      </w:r>
    </w:p>
    <w:p w14:paraId="1D27B9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除谈判文件中有特殊要求外，响应文件中所使用的计量单位，应采用中华人民共和国法定计量单位。</w:t>
      </w:r>
    </w:p>
    <w:p w14:paraId="7AFA754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2D9BF40F">
      <w:pPr>
        <w:spacing w:line="360" w:lineRule="auto"/>
        <w:ind w:firstLine="437"/>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.1供应商应完整地按谈判文件提供的响应文件格式及要求编写响应文件，具体内容详见第六章响应文件格式的相关内容。</w:t>
      </w:r>
    </w:p>
    <w:p w14:paraId="619B9C3B">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.2</w:t>
      </w:r>
      <w:r>
        <w:rPr>
          <w:rFonts w:hint="eastAsia"/>
          <w:color w:val="auto"/>
          <w:sz w:val="24"/>
          <w:highlight w:val="none"/>
        </w:rPr>
        <w:t>供应商应提交谈判文件要求的证明文件，证明其响应内容符合谈判文件规定。该证明文件是响应文件的一部分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8" w:name="_Hlk11703583"/>
      <w:r>
        <w:rPr>
          <w:rFonts w:hint="eastAsia" w:asciiTheme="minorEastAsia" w:hAnsiTheme="minorEastAsia" w:eastAsiaTheme="minorEastAsia"/>
          <w:color w:val="auto"/>
          <w:sz w:val="24"/>
          <w:highlight w:val="none"/>
        </w:rPr>
        <w:t>。</w:t>
      </w:r>
    </w:p>
    <w:bookmarkEnd w:id="28"/>
    <w:p w14:paraId="61402C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color w:val="auto"/>
          <w:sz w:val="24"/>
          <w:highlight w:val="none"/>
        </w:rPr>
        <w:t>公平</w:t>
      </w:r>
      <w:r>
        <w:rPr>
          <w:rFonts w:asciiTheme="minorEastAsia" w:hAnsiTheme="minorEastAsia" w:eastAsiaTheme="minorEastAsia"/>
          <w:color w:val="auto"/>
          <w:sz w:val="24"/>
          <w:highlight w:val="none"/>
        </w:rPr>
        <w:t>公正，除非谈判文件另有规定或说明，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对同一项目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备选谈判</w:t>
      </w:r>
      <w:r>
        <w:rPr>
          <w:rFonts w:asciiTheme="minorEastAsia" w:hAnsiTheme="minorEastAsia" w:eastAsiaTheme="minorEastAsia"/>
          <w:color w:val="auto"/>
          <w:sz w:val="24"/>
          <w:highlight w:val="none"/>
        </w:rPr>
        <w:t>方案。</w:t>
      </w:r>
    </w:p>
    <w:p w14:paraId="31499FF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65BB1E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全部</w:t>
      </w:r>
      <w:r>
        <w:rPr>
          <w:rFonts w:hint="eastAsia" w:asciiTheme="minorEastAsia" w:hAnsiTheme="minorEastAsia" w:eastAsiaTheme="minorEastAsia"/>
          <w:color w:val="auto"/>
          <w:sz w:val="24"/>
          <w:highlight w:val="none"/>
        </w:rPr>
        <w:t>内容。所有报价均应以人民币报价，供应商的谈判报价应遵守《中华人民共和国价格法》。</w:t>
      </w:r>
    </w:p>
    <w:p w14:paraId="7B4CC5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最后报价均不得高于谈判文件（公告）列明的项目预算</w:t>
      </w:r>
      <w:r>
        <w:rPr>
          <w:rFonts w:hint="eastAsia" w:asciiTheme="minorEastAsia" w:hAnsiTheme="minorEastAsia" w:eastAsiaTheme="minorEastAsia"/>
          <w:color w:val="auto"/>
          <w:sz w:val="24"/>
          <w:highlight w:val="none"/>
        </w:rPr>
        <w:t>、最高投标限价</w:t>
      </w:r>
      <w:r>
        <w:rPr>
          <w:rFonts w:asciiTheme="minorEastAsia" w:hAnsiTheme="minorEastAsia" w:eastAsiaTheme="minorEastAsia"/>
          <w:color w:val="auto"/>
          <w:sz w:val="24"/>
          <w:highlight w:val="none"/>
        </w:rPr>
        <w:t>，否则其响应文件将被认定为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34315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响应文件将被认定为</w:t>
      </w:r>
      <w:r>
        <w:rPr>
          <w:rFonts w:hint="eastAsia"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4F7D84A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3B057C0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谈判保证金</w:t>
      </w:r>
    </w:p>
    <w:p w14:paraId="2A74DA7B">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0</w:t>
      </w:r>
      <w:r>
        <w:rPr>
          <w:rFonts w:hint="eastAsia" w:cs="@仿宋_GB2312" w:asciiTheme="minorEastAsia" w:hAnsiTheme="minorEastAsia" w:eastAsiaTheme="minorEastAsia"/>
          <w:color w:val="auto"/>
          <w:kern w:val="2"/>
          <w:sz w:val="24"/>
          <w:highlight w:val="none"/>
        </w:rPr>
        <w:t>.1本项目不收取谈判保证金。</w:t>
      </w:r>
    </w:p>
    <w:p w14:paraId="6D46780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谈判有效期</w:t>
      </w:r>
    </w:p>
    <w:p w14:paraId="39F8C10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.1谈判有效期为从响应文件提交截止之日算起的日历天数，谈判有效期详见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61F13B1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.2在谈判有效期内，供应商的谈判保持有效，供应商不得要求撤销或修改其响应文件。谈判有效期不满足要求的响应，其响应文件将被认定为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7BFDD4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6768CE0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1B3134B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竞争性谈判公告</w:t>
      </w:r>
      <w:r>
        <w:rPr>
          <w:rFonts w:hint="eastAsia" w:asciiTheme="minorEastAsia" w:hAnsiTheme="minorEastAsia" w:eastAsiaTheme="minorEastAsia"/>
          <w:color w:val="auto"/>
          <w:sz w:val="24"/>
          <w:highlight w:val="none"/>
        </w:rPr>
        <w:t>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510ABF8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供应商应当在响应文件提交截止时间前完成响应文件的传输提交（以接收到电子签收凭证为准），并可以补充、修改或者撤回响应文件。响应文件提交截止时间前未完成响应文件传输的，视为撤回响应文件。未按规定加密或响应文件提交截止时间后送达的响应文件，电子交易系统应当拒收。</w:t>
      </w:r>
    </w:p>
    <w:p w14:paraId="0286E032">
      <w:pPr>
        <w:spacing w:line="360" w:lineRule="auto"/>
        <w:ind w:firstLine="435"/>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响应文件进行解密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b/>
          <w:color w:val="auto"/>
          <w:sz w:val="24"/>
          <w:highlight w:val="none"/>
          <w:lang w:eastAsia="zh-CN"/>
        </w:rPr>
        <w:t>。</w:t>
      </w:r>
    </w:p>
    <w:p w14:paraId="254EE214">
      <w:pPr>
        <w:spacing w:line="360" w:lineRule="auto"/>
        <w:ind w:firstLine="435"/>
        <w:rPr>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.4在响应文件提交截止时间之后，供应商不得对其响应文件做任何修改。</w:t>
      </w:r>
      <w:r>
        <w:rPr>
          <w:rFonts w:hint="eastAsia"/>
          <w:color w:val="auto"/>
          <w:sz w:val="24"/>
          <w:highlight w:val="none"/>
        </w:rPr>
        <w:t>但属于谈判小组在评审中发现的计算错误并进行核实的修改、按照谈判文件的变动情况和谈判小组的要求重新提交响应文件的，不在此列。</w:t>
      </w:r>
    </w:p>
    <w:p w14:paraId="2CD9B12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asciiTheme="minorEastAsia" w:hAnsiTheme="minorEastAsia" w:eastAsiaTheme="minorEastAsia"/>
          <w:b/>
          <w:color w:val="auto"/>
          <w:sz w:val="24"/>
          <w:highlight w:val="none"/>
        </w:rPr>
        <w:t>8.</w:t>
      </w:r>
      <w:r>
        <w:rPr>
          <w:rFonts w:hint="eastAsia" w:asciiTheme="minorEastAsia" w:hAnsiTheme="minorEastAsia" w:eastAsiaTheme="minorEastAsia"/>
          <w:b/>
          <w:color w:val="auto"/>
          <w:sz w:val="24"/>
          <w:highlight w:val="none"/>
        </w:rPr>
        <w:t>谈判小组</w:t>
      </w:r>
    </w:p>
    <w:p w14:paraId="0C0B5A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.1本项目将依法组建谈判小组，谈判小组成员由3人以上单数组成，谈判小组及其成员应当依照政府采购的有关规定履行相关职责和义务。</w:t>
      </w:r>
    </w:p>
    <w:p w14:paraId="5B17E4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.2谈判小组依法对响应文件进行评审，并根据谈判文件规定的程序、评定成交的标准等事项与实质性响应谈判文件要求的供应商进行谈判。</w:t>
      </w:r>
    </w:p>
    <w:p w14:paraId="0C8FD8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.3谈判小组应当从质量和服务均能满足谈判文件实质性响应要求的供应商中，按照评审</w:t>
      </w:r>
      <w:r>
        <w:rPr>
          <w:rFonts w:hint="eastAsia" w:asciiTheme="minorEastAsia" w:hAnsiTheme="minorEastAsia" w:eastAsiaTheme="minorEastAsia"/>
          <w:color w:val="auto"/>
          <w:sz w:val="24"/>
          <w:highlight w:val="none"/>
        </w:rPr>
        <w:t>方</w:t>
      </w:r>
      <w:r>
        <w:rPr>
          <w:rFonts w:asciiTheme="minorEastAsia" w:hAnsiTheme="minorEastAsia" w:eastAsiaTheme="minorEastAsia"/>
          <w:color w:val="auto"/>
          <w:sz w:val="24"/>
          <w:highlight w:val="none"/>
        </w:rPr>
        <w:t>法</w:t>
      </w:r>
      <w:r>
        <w:rPr>
          <w:rFonts w:hint="eastAsia" w:asciiTheme="minorEastAsia" w:hAnsiTheme="minorEastAsia" w:eastAsiaTheme="minorEastAsia"/>
          <w:color w:val="auto"/>
          <w:sz w:val="24"/>
          <w:highlight w:val="none"/>
        </w:rPr>
        <w:t>和标准推荐</w:t>
      </w:r>
      <w:r>
        <w:rPr>
          <w:rFonts w:asciiTheme="minorEastAsia" w:hAnsiTheme="minorEastAsia" w:eastAsiaTheme="minorEastAsia"/>
          <w:color w:val="auto"/>
          <w:sz w:val="24"/>
          <w:highlight w:val="none"/>
        </w:rPr>
        <w:t>成交候选供应商，并编写</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报告。</w:t>
      </w:r>
    </w:p>
    <w:p w14:paraId="4E63474B">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.响应文件的评审与谈判</w:t>
      </w:r>
    </w:p>
    <w:p w14:paraId="5810FC71">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1采购人和采购代理机构将在</w:t>
      </w:r>
      <w:r>
        <w:rPr>
          <w:rFonts w:hint="eastAsia" w:cs="@仿宋_GB2312" w:asciiTheme="minorEastAsia" w:hAnsiTheme="minorEastAsia" w:eastAsiaTheme="minorEastAsia"/>
          <w:color w:val="auto"/>
          <w:kern w:val="2"/>
          <w:sz w:val="24"/>
          <w:highlight w:val="none"/>
          <w:u w:val="none"/>
          <w:lang w:val="en-US" w:eastAsia="zh-CN"/>
        </w:rPr>
        <w:t>竞争性谈判公告</w:t>
      </w:r>
      <w:r>
        <w:rPr>
          <w:rFonts w:hint="eastAsia" w:cs="@仿宋_GB2312" w:asciiTheme="minorEastAsia" w:hAnsiTheme="minorEastAsia" w:eastAsiaTheme="minorEastAsia"/>
          <w:color w:val="auto"/>
          <w:kern w:val="2"/>
          <w:sz w:val="24"/>
          <w:highlight w:val="none"/>
        </w:rPr>
        <w:t>规定的时间和地点组织谈判。</w:t>
      </w:r>
    </w:p>
    <w:p w14:paraId="025074F3">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2竞争性谈判采用最低评标价法评审。</w:t>
      </w:r>
    </w:p>
    <w:p w14:paraId="3CC2907B">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最低评标价法，是指响应文件满足谈判文件全部实质性要求且最后报价最低的供应商为成交候选人的评审办法。</w:t>
      </w:r>
    </w:p>
    <w:p w14:paraId="2911639F">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rPr>
        <w:t>1</w:t>
      </w:r>
      <w:r>
        <w:rPr>
          <w:rFonts w:hint="eastAsia" w:cs="@仿宋_GB2312" w:asciiTheme="minorEastAsia" w:hAnsiTheme="minorEastAsia" w:eastAsiaTheme="minorEastAsia"/>
          <w:color w:val="auto"/>
          <w:kern w:val="2"/>
          <w:sz w:val="24"/>
          <w:highlight w:val="none"/>
          <w:lang w:val="en-US" w:eastAsia="zh-CN"/>
        </w:rPr>
        <w:t>4</w:t>
      </w:r>
      <w:r>
        <w:rPr>
          <w:rFonts w:hint="eastAsia" w:cs="@仿宋_GB2312" w:asciiTheme="minorEastAsia" w:hAnsiTheme="minorEastAsia" w:eastAsiaTheme="minorEastAsia"/>
          <w:color w:val="auto"/>
          <w:kern w:val="2"/>
          <w:sz w:val="24"/>
          <w:highlight w:val="none"/>
        </w:rPr>
        <w:t>.3谈判小组将按照谈判文件规定的评审办法和</w:t>
      </w:r>
      <w:r>
        <w:rPr>
          <w:rFonts w:cs="@仿宋_GB2312" w:asciiTheme="minorEastAsia" w:hAnsiTheme="minorEastAsia" w:eastAsiaTheme="minorEastAsia"/>
          <w:color w:val="auto"/>
          <w:kern w:val="2"/>
          <w:sz w:val="24"/>
          <w:highlight w:val="none"/>
        </w:rPr>
        <w:t>标准</w:t>
      </w:r>
      <w:r>
        <w:rPr>
          <w:rFonts w:hint="eastAsia" w:cs="@仿宋_GB2312" w:asciiTheme="minorEastAsia" w:hAnsiTheme="minorEastAsia" w:eastAsiaTheme="minorEastAsia"/>
          <w:color w:val="auto"/>
          <w:kern w:val="2"/>
          <w:sz w:val="24"/>
          <w:highlight w:val="none"/>
        </w:rPr>
        <w:t>对供应商独立进行评审。评审程序如下：</w:t>
      </w:r>
    </w:p>
    <w:p w14:paraId="2FF656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.3.1</w:t>
      </w:r>
      <w:r>
        <w:rPr>
          <w:rFonts w:hint="eastAsia" w:asciiTheme="minorEastAsia" w:hAnsiTheme="minorEastAsia" w:eastAsiaTheme="minorEastAsia"/>
          <w:b/>
          <w:color w:val="auto"/>
          <w:sz w:val="24"/>
          <w:highlight w:val="none"/>
        </w:rPr>
        <w:t>初审</w:t>
      </w:r>
      <w:r>
        <w:rPr>
          <w:rFonts w:hint="eastAsia" w:asciiTheme="minorEastAsia" w:hAnsiTheme="minorEastAsia" w:eastAsiaTheme="minorEastAsia"/>
          <w:color w:val="auto"/>
          <w:sz w:val="24"/>
          <w:highlight w:val="none"/>
        </w:rPr>
        <w:t>。谈判小组对供应商必须满足和实质性响应的内容进行评审，供应商未实质性响应谈判文件要求导致响应无效的，谈判小组将以书面询标的方式告知有关供应商。</w:t>
      </w:r>
    </w:p>
    <w:p w14:paraId="50D897F2">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0C543594">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cs="宋体"/>
          <w:color w:val="auto"/>
          <w:sz w:val="24"/>
          <w:szCs w:val="24"/>
          <w:highlight w:val="none"/>
          <w:lang w:val="en-US" w:eastAsia="zh-CN"/>
        </w:rPr>
        <w:t>谈判</w:t>
      </w:r>
      <w:r>
        <w:rPr>
          <w:rFonts w:hint="eastAsia" w:ascii="宋体" w:hAnsi="宋体" w:eastAsia="宋体" w:cs="宋体"/>
          <w:color w:val="auto"/>
          <w:sz w:val="24"/>
          <w:szCs w:val="24"/>
          <w:highlight w:val="none"/>
        </w:rPr>
        <w:t>的，联合体成员存在以上不良信用记录的，联合体</w:t>
      </w:r>
      <w:r>
        <w:rPr>
          <w:rFonts w:hint="eastAsia" w:cs="宋体"/>
          <w:color w:val="auto"/>
          <w:sz w:val="24"/>
          <w:szCs w:val="24"/>
          <w:highlight w:val="none"/>
          <w:lang w:val="en-US" w:eastAsia="zh-CN"/>
        </w:rPr>
        <w:t>谈判</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477D2BC4">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p w14:paraId="6CE9D7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.3.2</w:t>
      </w:r>
      <w:r>
        <w:rPr>
          <w:rFonts w:hint="eastAsia" w:asciiTheme="minorEastAsia" w:hAnsiTheme="minorEastAsia" w:eastAsiaTheme="minorEastAsia"/>
          <w:b/>
          <w:color w:val="auto"/>
          <w:sz w:val="24"/>
          <w:highlight w:val="none"/>
        </w:rPr>
        <w:t>谈判</w:t>
      </w:r>
      <w:r>
        <w:rPr>
          <w:rFonts w:hint="eastAsia" w:asciiTheme="minorEastAsia" w:hAnsiTheme="minorEastAsia" w:eastAsiaTheme="minorEastAsia"/>
          <w:color w:val="auto"/>
          <w:sz w:val="24"/>
          <w:highlight w:val="none"/>
        </w:rPr>
        <w:t>。初审合格后，谈判小组将按网上加密电子响应文件提交顺序集中与单一供应商分别进行谈判，并给予所有参加谈判的供应商平等的谈判机会。</w:t>
      </w:r>
    </w:p>
    <w:p w14:paraId="3896278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.3.3</w:t>
      </w:r>
      <w:r>
        <w:rPr>
          <w:rFonts w:asciiTheme="minorEastAsia" w:hAnsiTheme="minorEastAsia" w:eastAsiaTheme="minorEastAsia"/>
          <w:b/>
          <w:color w:val="auto"/>
          <w:sz w:val="24"/>
          <w:highlight w:val="none"/>
        </w:rPr>
        <w:t>报价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谈判结束后，谈判小组应当要求所有</w:t>
      </w:r>
      <w:r>
        <w:rPr>
          <w:rFonts w:hint="eastAsia" w:asciiTheme="minorEastAsia" w:hAnsiTheme="minorEastAsia" w:eastAsiaTheme="minorEastAsia"/>
          <w:color w:val="auto"/>
          <w:sz w:val="24"/>
          <w:highlight w:val="none"/>
        </w:rPr>
        <w:t>继续参加谈判</w:t>
      </w:r>
      <w:r>
        <w:rPr>
          <w:rFonts w:asciiTheme="minorEastAsia" w:hAnsiTheme="minorEastAsia" w:eastAsiaTheme="minorEastAsia"/>
          <w:color w:val="auto"/>
          <w:sz w:val="24"/>
          <w:highlight w:val="none"/>
        </w:rPr>
        <w:t>的供应商在规定时间内提交最后报价</w:t>
      </w:r>
      <w:r>
        <w:rPr>
          <w:rFonts w:hint="eastAsia"/>
          <w:color w:val="auto"/>
          <w:sz w:val="24"/>
          <w:highlight w:val="none"/>
        </w:rPr>
        <w:t>。</w:t>
      </w:r>
    </w:p>
    <w:p w14:paraId="02FB9D84">
      <w:pPr>
        <w:spacing w:line="360" w:lineRule="auto"/>
        <w:ind w:firstLine="435"/>
        <w:rPr>
          <w:color w:val="auto"/>
          <w:highlight w:val="none"/>
        </w:rPr>
      </w:pPr>
      <w:r>
        <w:rPr>
          <w:rFonts w:hint="eastAsia" w:asciiTheme="minorEastAsia" w:hAnsiTheme="minorEastAsia" w:eastAsiaTheme="minorEastAsia"/>
          <w:color w:val="auto"/>
          <w:sz w:val="24"/>
          <w:highlight w:val="none"/>
          <w:lang w:val="en-US" w:eastAsia="zh-CN"/>
        </w:rPr>
        <w:t xml:space="preserve">14.3.4 </w:t>
      </w:r>
      <w:r>
        <w:rPr>
          <w:rFonts w:hint="eastAsia" w:asciiTheme="minorEastAsia" w:hAnsiTheme="minorEastAsia" w:eastAsiaTheme="minorEastAsia"/>
          <w:b/>
          <w:bCs/>
          <w:color w:val="auto"/>
          <w:sz w:val="24"/>
          <w:highlight w:val="none"/>
          <w:lang w:val="en-US" w:eastAsia="zh-CN"/>
        </w:rPr>
        <w:t>异常低价响应审查。</w:t>
      </w: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关于推进解决政府采购异常低价问题的通知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color w:val="auto"/>
          <w:sz w:val="24"/>
          <w:highlight w:val="none"/>
          <w:lang w:val="en-US" w:eastAsia="zh-CN"/>
        </w:rPr>
        <w:t>谈判</w:t>
      </w:r>
      <w:r>
        <w:rPr>
          <w:rFonts w:hint="eastAsia" w:ascii="宋体" w:hAnsi="宋体" w:eastAsia="宋体"/>
          <w:color w:val="auto"/>
          <w:sz w:val="24"/>
          <w:highlight w:val="none"/>
          <w:lang w:val="en-US" w:eastAsia="zh-CN"/>
        </w:rPr>
        <w:t>小组进行异常低价响应审查。</w:t>
      </w:r>
    </w:p>
    <w:p w14:paraId="2B2F95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.4相关说明。</w:t>
      </w:r>
    </w:p>
    <w:p w14:paraId="132A65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.4.1为保证谈判活动顺利进行，供应商可派相关技术人员进行网上答疑；</w:t>
      </w:r>
    </w:p>
    <w:p w14:paraId="174414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.4.2谈判</w:t>
      </w:r>
      <w:r>
        <w:rPr>
          <w:rFonts w:asciiTheme="minorEastAsia" w:hAnsiTheme="minorEastAsia" w:eastAsiaTheme="minorEastAsia"/>
          <w:color w:val="auto"/>
          <w:sz w:val="24"/>
          <w:highlight w:val="none"/>
        </w:rPr>
        <w:t>小组根据与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谈判情况可能实质性变动</w:t>
      </w:r>
      <w:r>
        <w:rPr>
          <w:rFonts w:hint="eastAsia" w:asciiTheme="minorEastAsia" w:hAnsiTheme="minorEastAsia" w:eastAsiaTheme="minorEastAsia"/>
          <w:color w:val="auto"/>
          <w:sz w:val="24"/>
          <w:highlight w:val="none"/>
        </w:rPr>
        <w:t>谈判文件</w:t>
      </w:r>
      <w:r>
        <w:rPr>
          <w:rFonts w:asciiTheme="minorEastAsia" w:hAnsiTheme="minorEastAsia" w:eastAsiaTheme="minorEastAsia"/>
          <w:color w:val="auto"/>
          <w:sz w:val="24"/>
          <w:highlight w:val="none"/>
        </w:rPr>
        <w:t>的内容，包括采购需求中的技术、服务要求以及合同草案条款。谈判文件有实质性变动的，</w:t>
      </w:r>
      <w:r>
        <w:rPr>
          <w:rFonts w:hint="eastAsia" w:asciiTheme="minorEastAsia" w:hAnsiTheme="minorEastAsia" w:eastAsiaTheme="minorEastAsia"/>
          <w:color w:val="auto"/>
          <w:sz w:val="24"/>
          <w:highlight w:val="none"/>
        </w:rPr>
        <w:t>经采购人代表确认作为谈判文件的有效组成部分，</w:t>
      </w:r>
      <w:r>
        <w:rPr>
          <w:rFonts w:asciiTheme="minorEastAsia" w:hAnsiTheme="minorEastAsia" w:eastAsiaTheme="minorEastAsia"/>
          <w:color w:val="auto"/>
          <w:sz w:val="24"/>
          <w:highlight w:val="none"/>
        </w:rPr>
        <w:t>谈判小组</w:t>
      </w:r>
      <w:r>
        <w:rPr>
          <w:rFonts w:hint="eastAsia" w:asciiTheme="minorEastAsia" w:hAnsiTheme="minorEastAsia" w:eastAsiaTheme="minorEastAsia"/>
          <w:color w:val="auto"/>
          <w:sz w:val="24"/>
          <w:highlight w:val="none"/>
        </w:rPr>
        <w:t>将</w:t>
      </w:r>
      <w:r>
        <w:rPr>
          <w:rFonts w:asciiTheme="minorEastAsia" w:hAnsiTheme="minorEastAsia" w:eastAsiaTheme="minorEastAsia"/>
          <w:color w:val="auto"/>
          <w:sz w:val="24"/>
          <w:highlight w:val="none"/>
        </w:rPr>
        <w:t>以书面形式通知所有参加谈判的供应商。</w:t>
      </w:r>
    </w:p>
    <w:p w14:paraId="3D7200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无论何种原因，即使供应商</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时携带了证书材料的原件，但响应文件中未提供与之内容完全一致的</w:t>
      </w:r>
      <w:r>
        <w:rPr>
          <w:rFonts w:hint="eastAsia" w:asciiTheme="minorEastAsia" w:hAnsiTheme="minorEastAsia" w:eastAsiaTheme="minorEastAsia"/>
          <w:color w:val="auto"/>
          <w:sz w:val="24"/>
          <w:highlight w:val="none"/>
        </w:rPr>
        <w:t>扫描件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小组可以视同其未提供。</w:t>
      </w:r>
    </w:p>
    <w:p w14:paraId="0F6494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小组决定响应文件的响应性及符合性只根据响应文件本身的内容，而不寻求其他外部证据。</w:t>
      </w:r>
    </w:p>
    <w:p w14:paraId="6C7758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w:t>
      </w:r>
      <w:r>
        <w:rPr>
          <w:rFonts w:asciiTheme="minorEastAsia" w:hAnsiTheme="minorEastAsia" w:eastAsiaTheme="minorEastAsia"/>
          <w:color w:val="auto"/>
          <w:sz w:val="24"/>
          <w:highlight w:val="none"/>
        </w:rPr>
        <w:t>代表对</w:t>
      </w:r>
      <w:r>
        <w:rPr>
          <w:rFonts w:hint="eastAsia" w:asciiTheme="minorEastAsia" w:hAnsiTheme="minorEastAsia" w:eastAsiaTheme="minorEastAsia"/>
          <w:color w:val="auto"/>
          <w:sz w:val="24"/>
          <w:highlight w:val="none"/>
        </w:rPr>
        <w:t>谈判过程</w:t>
      </w:r>
      <w:r>
        <w:rPr>
          <w:rFonts w:asciiTheme="minorEastAsia" w:hAnsiTheme="minorEastAsia" w:eastAsiaTheme="minorEastAsia"/>
          <w:color w:val="auto"/>
          <w:sz w:val="24"/>
          <w:highlight w:val="none"/>
        </w:rPr>
        <w:t>有疑义，以及认为采购人、采购代理机构相关工作人员有需要回避的情形的，应当场提出询问或者回避申请</w:t>
      </w:r>
      <w:r>
        <w:rPr>
          <w:rFonts w:hint="eastAsia" w:asciiTheme="minorEastAsia" w:hAnsiTheme="minorEastAsia" w:eastAsiaTheme="minorEastAsia"/>
          <w:color w:val="auto"/>
          <w:sz w:val="24"/>
          <w:highlight w:val="none"/>
        </w:rPr>
        <w:t>，并说明理由。</w:t>
      </w:r>
      <w:r>
        <w:rPr>
          <w:rFonts w:asciiTheme="minorEastAsia" w:hAnsiTheme="minorEastAsia" w:eastAsiaTheme="minorEastAsia"/>
          <w:color w:val="auto"/>
          <w:sz w:val="24"/>
          <w:highlight w:val="none"/>
        </w:rPr>
        <w:t xml:space="preserve"> </w:t>
      </w:r>
    </w:p>
    <w:p w14:paraId="2F562C3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.终止竞争性谈判</w:t>
      </w:r>
    </w:p>
    <w:p w14:paraId="17778E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.1出现下列情况之一时，采购人和采购代理机构有权宣布终止竞争性谈判采购，并将理由通知所有供应商：</w:t>
      </w:r>
    </w:p>
    <w:p w14:paraId="1544EE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（1）有效供应商数量不足，导致本次谈判缺乏竞争的；</w:t>
      </w:r>
    </w:p>
    <w:p w14:paraId="2CDFBF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（2）出现影响采购公正的违法、违规行为的；</w:t>
      </w:r>
    </w:p>
    <w:p w14:paraId="6D6632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（3）因重大变故，采购任务取消的；</w:t>
      </w:r>
    </w:p>
    <w:p w14:paraId="43F473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（4）政府采购法律法规规定的其他情形。</w:t>
      </w:r>
    </w:p>
    <w:p w14:paraId="713A6FE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67ADFBD9">
      <w:pPr>
        <w:spacing w:line="360" w:lineRule="auto"/>
        <w:ind w:firstLine="470" w:firstLineChars="196"/>
        <w:rPr>
          <w:color w:val="auto"/>
          <w:sz w:val="24"/>
          <w:highlight w:val="none"/>
        </w:rPr>
      </w:pPr>
      <w:r>
        <w:rPr>
          <w:rFonts w:hint="eastAsia"/>
          <w:color w:val="auto"/>
          <w:sz w:val="24"/>
          <w:highlight w:val="none"/>
          <w:lang w:val="en-US" w:eastAsia="zh-CN"/>
        </w:rPr>
        <w:t>16</w:t>
      </w:r>
      <w:r>
        <w:rPr>
          <w:rFonts w:hint="eastAsia"/>
          <w:color w:val="auto"/>
          <w:sz w:val="24"/>
          <w:highlight w:val="none"/>
        </w:rPr>
        <w:t>.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2B8B6109">
      <w:pPr>
        <w:spacing w:line="360" w:lineRule="auto"/>
        <w:ind w:firstLine="470" w:firstLineChars="196"/>
        <w:rPr>
          <w:color w:val="auto"/>
          <w:sz w:val="24"/>
          <w:highlight w:val="none"/>
        </w:rPr>
      </w:pPr>
      <w:r>
        <w:rPr>
          <w:rFonts w:hint="eastAsia"/>
          <w:color w:val="auto"/>
          <w:sz w:val="24"/>
          <w:highlight w:val="none"/>
          <w:lang w:val="en-US" w:eastAsia="zh-CN"/>
        </w:rPr>
        <w:t>16</w:t>
      </w:r>
      <w:r>
        <w:rPr>
          <w:rFonts w:hint="eastAsia"/>
          <w:color w:val="auto"/>
          <w:sz w:val="24"/>
          <w:highlight w:val="none"/>
        </w:rPr>
        <w:t>.2谈判小组要求供应商澄清、说明或者更正响应文件应当以书面形式（询标）作出。供应商的澄清、说明或者更正应当由法定代表人或其授权代表签字或者加盖公章</w:t>
      </w:r>
      <w:r>
        <w:rPr>
          <w:rFonts w:hint="eastAsia"/>
          <w:color w:val="auto"/>
          <w:sz w:val="24"/>
          <w:highlight w:val="none"/>
          <w:lang w:eastAsia="zh-CN"/>
        </w:rPr>
        <w:t>（</w:t>
      </w:r>
      <w:r>
        <w:rPr>
          <w:rFonts w:hint="eastAsia"/>
          <w:color w:val="auto"/>
          <w:sz w:val="24"/>
          <w:highlight w:val="none"/>
          <w:lang w:val="en-US" w:eastAsia="zh-CN"/>
        </w:rPr>
        <w:t>电子签章</w:t>
      </w:r>
      <w:r>
        <w:rPr>
          <w:rFonts w:hint="eastAsia"/>
          <w:color w:val="auto"/>
          <w:sz w:val="24"/>
          <w:highlight w:val="none"/>
          <w:lang w:eastAsia="zh-CN"/>
        </w:rPr>
        <w:t>）</w:t>
      </w:r>
      <w:r>
        <w:rPr>
          <w:rFonts w:hint="eastAsia"/>
          <w:color w:val="auto"/>
          <w:sz w:val="24"/>
          <w:highlight w:val="none"/>
        </w:rPr>
        <w:t>。</w:t>
      </w:r>
    </w:p>
    <w:p w14:paraId="57918F92">
      <w:pPr>
        <w:spacing w:line="360" w:lineRule="auto"/>
        <w:ind w:firstLine="435"/>
        <w:rPr>
          <w:rFonts w:hint="eastAsia"/>
          <w:b/>
          <w:color w:val="auto"/>
          <w:sz w:val="24"/>
          <w:highlight w:val="none"/>
        </w:rPr>
      </w:pPr>
      <w:r>
        <w:rPr>
          <w:rFonts w:hint="eastAsia"/>
          <w:b/>
          <w:color w:val="auto"/>
          <w:sz w:val="24"/>
          <w:highlight w:val="none"/>
        </w:rPr>
        <w:t>如有询标，授权代表（或法定代表人）可通过远程登录的方式接受网上询标，也可凭本人有效身份证明参加询标。因授权代表联系不上</w:t>
      </w:r>
      <w:r>
        <w:rPr>
          <w:rFonts w:hint="eastAsia"/>
          <w:b/>
          <w:bCs/>
          <w:color w:val="auto"/>
          <w:sz w:val="24"/>
          <w:highlight w:val="none"/>
        </w:rPr>
        <w:t>、没有及时登录系统等情形</w:t>
      </w:r>
      <w:r>
        <w:rPr>
          <w:rFonts w:hint="eastAsia"/>
          <w:b/>
          <w:color w:val="auto"/>
          <w:sz w:val="24"/>
          <w:highlight w:val="none"/>
        </w:rPr>
        <w:t>而无法接受谈判小组询标的，供应商自行承担相关风险。</w:t>
      </w:r>
    </w:p>
    <w:p w14:paraId="79AFD74E">
      <w:pPr>
        <w:spacing w:line="360" w:lineRule="auto"/>
        <w:ind w:firstLine="435"/>
        <w:rPr>
          <w:color w:val="auto"/>
          <w:sz w:val="24"/>
          <w:highlight w:val="none"/>
        </w:rPr>
      </w:pPr>
      <w:r>
        <w:rPr>
          <w:rFonts w:hint="eastAsia"/>
          <w:b/>
          <w:color w:val="auto"/>
          <w:sz w:val="24"/>
          <w:highlight w:val="none"/>
        </w:rPr>
        <w:t>本项目采用远程开标，各投标人认真学习《新点电子交易平台投标人操作手册》，务必掌握远程解密方法和在线回复询标方法。</w:t>
      </w:r>
    </w:p>
    <w:p w14:paraId="7D7FE4A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.最后报价</w:t>
      </w:r>
    </w:p>
    <w:p w14:paraId="0938B2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谈判并不限定只进行二轮报价，如果谈判小组认为有必要，可以要求供应商进行多轮报价。</w:t>
      </w:r>
      <w:r>
        <w:rPr>
          <w:rFonts w:hint="eastAsia" w:asciiTheme="minorEastAsia" w:hAnsiTheme="minorEastAsia" w:eastAsiaTheme="minorEastAsia"/>
          <w:b/>
          <w:bCs/>
          <w:color w:val="auto"/>
          <w:sz w:val="24"/>
          <w:highlight w:val="none"/>
          <w:lang w:val="en-US" w:eastAsia="zh-CN"/>
        </w:rPr>
        <w:t>(</w:t>
      </w:r>
      <w:r>
        <w:rPr>
          <w:rFonts w:hint="eastAsia" w:asciiTheme="minorEastAsia" w:hAnsiTheme="minorEastAsia" w:eastAsiaTheme="minorEastAsia"/>
          <w:b/>
          <w:bCs/>
          <w:color w:val="auto"/>
          <w:sz w:val="24"/>
          <w:highlight w:val="none"/>
        </w:rPr>
        <w:t>本项目仅进行二轮报价</w:t>
      </w:r>
      <w:r>
        <w:rPr>
          <w:rFonts w:hint="eastAsia" w:asciiTheme="minorEastAsia" w:hAnsiTheme="minorEastAsia" w:eastAsiaTheme="minorEastAsia"/>
          <w:b/>
          <w:bCs/>
          <w:color w:val="auto"/>
          <w:sz w:val="24"/>
          <w:highlight w:val="none"/>
          <w:lang w:val="en-US" w:eastAsia="zh-CN"/>
        </w:rPr>
        <w:t>)</w:t>
      </w:r>
      <w:r>
        <w:rPr>
          <w:rFonts w:hint="eastAsia" w:asciiTheme="minorEastAsia" w:hAnsiTheme="minorEastAsia" w:eastAsiaTheme="minorEastAsia"/>
          <w:b/>
          <w:bCs/>
          <w:color w:val="auto"/>
          <w:sz w:val="24"/>
          <w:highlight w:val="none"/>
        </w:rPr>
        <w:t>。</w:t>
      </w:r>
    </w:p>
    <w:p w14:paraId="38F96CBB">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本次谈判实行二轮报价。第一次报价为供应商在响应文件中填报的报价，第二次报价在响应文件通过评审后，由谈判小组通过评标系统以询标方式，向响应文件评审有效的各供应商进行询标，各供应商应在评标系统询标规定的时间内，通过“评标澄清回复”进行二次报价。各供应商应及时查看系统质询问题并及时进行二次报价，第二次报价即为最后报价。供应商最后报价均不得高于谈判文件（公告）列明的项目预算、最高限价，否则其响应文件将被认定为响应无效。若第二轮报价（最后报价）被谈判小组认为不符合要求的，按无效响应处理。谈判价格以供应商的最后报价为准。望各供应商务必全程在线，及时进行回复，否则，因此给其造成相关后果，自行承担。采用分项报价的项目，最后报价的各分项结合一次报价中的各项单价按总价同比例下浮，价款结算时按成交下浮比率进行调整。</w:t>
      </w:r>
    </w:p>
    <w:p w14:paraId="5206EA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在谈判内容不做实质性变更或重大调整的前提下，供应商下轮报价不得高于上一轮报价</w:t>
      </w:r>
      <w:r>
        <w:rPr>
          <w:rFonts w:hint="eastAsia" w:asciiTheme="minorEastAsia" w:hAnsiTheme="minorEastAsia" w:eastAsiaTheme="minorEastAsia"/>
          <w:color w:val="auto"/>
          <w:sz w:val="24"/>
          <w:highlight w:val="none"/>
        </w:rPr>
        <w:t>。</w:t>
      </w:r>
    </w:p>
    <w:p w14:paraId="493DED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最后报价是供应商响应文件的有效组成部分，最后报价也是签订合同的依据。</w:t>
      </w:r>
    </w:p>
    <w:p w14:paraId="7C95EBB0">
      <w:pPr>
        <w:spacing w:line="360" w:lineRule="auto"/>
        <w:ind w:firstLine="435"/>
        <w:rPr>
          <w:rFonts w:asciiTheme="majorEastAsia" w:hAnsiTheme="majorEastAsia" w:eastAsiaTheme="majorEastAsia"/>
          <w:color w:val="auto"/>
          <w:sz w:val="24"/>
          <w:highlight w:val="none"/>
        </w:rPr>
      </w:pPr>
      <w:bookmarkStart w:id="29" w:name="_Hlk60607655"/>
      <w:r>
        <w:rPr>
          <w:rFonts w:hint="eastAsia" w:asciiTheme="majorEastAsia" w:hAnsiTheme="majorEastAsia" w:eastAsiaTheme="majorEastAsia"/>
          <w:color w:val="auto"/>
          <w:sz w:val="24"/>
          <w:highlight w:val="none"/>
          <w:lang w:val="en-US" w:eastAsia="zh-CN"/>
        </w:rPr>
        <w:t>17</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4</w:t>
      </w:r>
      <w:r>
        <w:rPr>
          <w:rFonts w:hint="eastAsia" w:asciiTheme="majorEastAsia" w:hAnsiTheme="majorEastAsia" w:eastAsiaTheme="majorEastAsia"/>
          <w:color w:val="auto"/>
          <w:sz w:val="24"/>
          <w:highlight w:val="none"/>
        </w:rPr>
        <w:t>根据《政府采购促进中小企业发展管理办法》（财库〔</w:t>
      </w:r>
      <w:r>
        <w:rPr>
          <w:rFonts w:asciiTheme="majorEastAsia" w:hAnsiTheme="majorEastAsia" w:eastAsiaTheme="majorEastAsia"/>
          <w:color w:val="auto"/>
          <w:sz w:val="24"/>
          <w:highlight w:val="none"/>
        </w:rPr>
        <w:t>2020〕46号</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asciiTheme="majorEastAsia" w:hAnsiTheme="majorEastAsia" w:eastAsiaTheme="majorEastAsia"/>
          <w:color w:val="auto"/>
          <w:sz w:val="24"/>
          <w:highlight w:val="none"/>
        </w:rPr>
        <w:t>财政部 司法部关于政府采购支持监狱企业发展有关问题的通知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或省级以上监狱管理局、戒毒管理局（含新疆生产建设兵团）出具的属于监狱企业的证明文件的供应商，其最后报价按照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中规定的标准扣除后的价格参与评审。对于同时属于小微企业、监狱企业或残疾人福利性单位的，不重复进行最后报价扣除。</w:t>
      </w:r>
    </w:p>
    <w:p w14:paraId="14D5F451">
      <w:pPr>
        <w:spacing w:line="360" w:lineRule="auto"/>
        <w:ind w:firstLine="435"/>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最后报价按照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组成联合体或者接受分包的小微企业与联合体内其他企业、分包企业之间存在直接控股、管理关系的，不享受价格扣除优惠政策。</w:t>
      </w:r>
    </w:p>
    <w:p w14:paraId="6762D60C">
      <w:pPr>
        <w:spacing w:line="360" w:lineRule="auto"/>
        <w:ind w:firstLine="435"/>
        <w:rPr>
          <w:rFonts w:cs="@仿宋_GB2312"/>
          <w:color w:val="auto"/>
          <w:kern w:val="2"/>
          <w:sz w:val="24"/>
          <w:szCs w:val="22"/>
          <w:highlight w:val="none"/>
        </w:rPr>
      </w:pPr>
      <w:r>
        <w:rPr>
          <w:rFonts w:hint="eastAsia" w:asciiTheme="majorEastAsia" w:hAnsiTheme="majorEastAsia" w:eastAsiaTheme="majorEastAsia"/>
          <w:color w:val="auto"/>
          <w:sz w:val="24"/>
          <w:highlight w:val="none"/>
        </w:rPr>
        <w:t>以联合体形式参加政府采购活动，联合体各方均为中小企业的，联合体视同中小企业。其中，联合体各方均为小微企业的，联合体视同小微企业。</w:t>
      </w:r>
      <w:bookmarkEnd w:id="29"/>
      <w:r>
        <w:rPr>
          <w:rFonts w:hint="eastAsia" w:cs="@仿宋_GB2312"/>
          <w:color w:val="auto"/>
          <w:kern w:val="2"/>
          <w:sz w:val="24"/>
          <w:szCs w:val="22"/>
          <w:highlight w:val="none"/>
        </w:rPr>
        <w:t xml:space="preserve"> </w:t>
      </w:r>
    </w:p>
    <w:p w14:paraId="3642DE69">
      <w:pPr>
        <w:spacing w:line="360" w:lineRule="auto"/>
        <w:ind w:firstLine="435"/>
        <w:rPr>
          <w:rFonts w:cs="@仿宋_GB2312"/>
          <w:color w:val="auto"/>
          <w:kern w:val="2"/>
          <w:sz w:val="24"/>
          <w:szCs w:val="22"/>
          <w:highlight w:val="none"/>
        </w:rPr>
      </w:pPr>
      <w:r>
        <w:rPr>
          <w:rFonts w:hint="eastAsia" w:cs="@仿宋_GB2312"/>
          <w:color w:val="auto"/>
          <w:kern w:val="2"/>
          <w:sz w:val="24"/>
          <w:szCs w:val="22"/>
          <w:highlight w:val="none"/>
          <w:lang w:val="en-US" w:eastAsia="zh-CN"/>
        </w:rPr>
        <w:t>17</w:t>
      </w:r>
      <w:r>
        <w:rPr>
          <w:rFonts w:hint="eastAsia" w:cs="@仿宋_GB2312"/>
          <w:color w:val="auto"/>
          <w:kern w:val="2"/>
          <w:sz w:val="24"/>
          <w:szCs w:val="22"/>
          <w:highlight w:val="none"/>
        </w:rPr>
        <w:t>.</w:t>
      </w:r>
      <w:r>
        <w:rPr>
          <w:rFonts w:hint="eastAsia" w:cs="@仿宋_GB2312"/>
          <w:color w:val="auto"/>
          <w:kern w:val="2"/>
          <w:sz w:val="24"/>
          <w:szCs w:val="22"/>
          <w:highlight w:val="none"/>
          <w:lang w:val="en-US" w:eastAsia="zh-CN"/>
        </w:rPr>
        <w:t>5</w:t>
      </w:r>
      <w:r>
        <w:rPr>
          <w:rFonts w:hint="eastAsia" w:cs="@仿宋_GB2312"/>
          <w:color w:val="auto"/>
          <w:kern w:val="2"/>
          <w:sz w:val="24"/>
          <w:szCs w:val="22"/>
          <w:highlight w:val="none"/>
        </w:rPr>
        <w:t>供应商应当按照企业定额或项目所在地最新建设工程计价依据以及材料市场价格信息等，结合自身实力、施工经验、现场环境以及谈判文件的要求自主报价。</w:t>
      </w:r>
    </w:p>
    <w:p w14:paraId="37136E46">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hint="eastAsia"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6</w:t>
      </w:r>
      <w:r>
        <w:rPr>
          <w:rFonts w:hint="eastAsia" w:cs="@仿宋_GB2312" w:asciiTheme="minorEastAsia" w:hAnsiTheme="minorEastAsia" w:eastAsiaTheme="minorEastAsia"/>
          <w:color w:val="auto"/>
          <w:kern w:val="2"/>
          <w:sz w:val="24"/>
          <w:highlight w:val="none"/>
        </w:rPr>
        <w:t>除非采购人对谈判文件予以澄清、修改，否则供应商应按采购人提供的工程量清单中列出的工程项目和工程量逐项填报综合单价和合价。供应商不得在工程量清单中任意增删、修改清单项目与工程量及项目排列顺序。</w:t>
      </w:r>
    </w:p>
    <w:p w14:paraId="7C02B711">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17.7</w:t>
      </w:r>
      <w:r>
        <w:rPr>
          <w:rFonts w:hint="eastAsia" w:cs="@仿宋_GB2312" w:asciiTheme="minorEastAsia" w:hAnsiTheme="minorEastAsia" w:eastAsiaTheme="minorEastAsia"/>
          <w:color w:val="auto"/>
          <w:kern w:val="2"/>
          <w:sz w:val="24"/>
          <w:highlight w:val="none"/>
        </w:rPr>
        <w:t>除非合同中另有规定，供应商在工程量清单报价书中所报的价格包括完成谈判文件规定的全部工程内容及为达到质量和工期目标、安全文明、环境保护等要求的分部分项工程费，措施项目费，不可竞争费，其他项目费，税金等所有费用。为满足工程建设标准和技术规范要求所发生的费用应包括在报价中。报价为供应商在响应文件中提出的各项支付金额的总和。每一清单项目只允许有一个报价，任何有选择的报价将不予接受。供应商未填综合单价或合价的清单项目，将被视为该项费用已包括在其他有价款的综合单价或合价以及总价内，供应商必须按合同要求完成工程量清单中未填综合单价或合价的工程项目，任何与未填综合单价或合价的工程项目有关的工程价款，采购人将不再另行支付。</w:t>
      </w:r>
    </w:p>
    <w:p w14:paraId="11343D92">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w:t>
      </w:r>
      <w:r>
        <w:rPr>
          <w:rFonts w:hint="eastAsia"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lang w:val="en-US" w:eastAsia="zh-CN"/>
        </w:rPr>
        <w:t>8</w:t>
      </w:r>
      <w:r>
        <w:rPr>
          <w:rFonts w:hint="eastAsia" w:cs="@仿宋_GB2312" w:asciiTheme="minorEastAsia" w:hAnsiTheme="minorEastAsia" w:eastAsiaTheme="minorEastAsia"/>
          <w:color w:val="auto"/>
          <w:kern w:val="2"/>
          <w:sz w:val="24"/>
          <w:highlight w:val="none"/>
        </w:rPr>
        <w:t>本项目的施工地点为本须知前附表所述，供应商可到施工现场踏勘以充分了解工地位置、情况、道路、储存空间、装卸限制及任何其它足以影响谈判报价的情况，任何因忽视或误解施工场地情况而导致的索赔或工期延长申请将不被批准。对于受施工现场场地限制，如需要另外寻找场地解决临时住宿、材料及设备堆放，由此所产生的费用应包含在谈判报价范围内，采购人不再承担该费用。</w:t>
      </w:r>
    </w:p>
    <w:p w14:paraId="5422345C">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工程造价的确定与控制</w:t>
      </w:r>
    </w:p>
    <w:p w14:paraId="5B34769D">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.1本工程确定成交供应商后，工程总造价在谈判范围内包定，除经批准的设计变更、经济签证外，其它工程造价增减均不予签证计价。</w:t>
      </w:r>
    </w:p>
    <w:p w14:paraId="172C139B">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2谈判前，供应商应认真对照施工设计图纸等文件核对采购人提供的工程量清单，发现工程量存在项目划分误差、计量单位误差、数量误差、遗漏项目的，必须在网上询问截止时间前向采购人提出疑问，否则采购人可不予答复。</w:t>
      </w:r>
    </w:p>
    <w:p w14:paraId="203F7A89">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hint="eastAsia" w:cs="@仿宋_GB2312" w:asciiTheme="minorEastAsia" w:hAnsiTheme="minorEastAsia" w:eastAsiaTheme="minorEastAsia"/>
          <w:color w:val="auto"/>
          <w:kern w:val="2"/>
          <w:sz w:val="24"/>
          <w:highlight w:val="none"/>
        </w:rPr>
        <w:t>.3</w:t>
      </w:r>
      <w:r>
        <w:rPr>
          <w:rFonts w:hint="eastAsia" w:ascii="宋体" w:hAnsi="宋体" w:eastAsia="宋体" w:cs="宋体"/>
          <w:b w:val="0"/>
          <w:bCs w:val="0"/>
          <w:color w:val="auto"/>
          <w:kern w:val="2"/>
          <w:sz w:val="24"/>
          <w:szCs w:val="24"/>
          <w:highlight w:val="none"/>
        </w:rPr>
        <w:t>采购人对疑问应进行核实，确认工程量单项子目误差在±3%（含±3%）以内的，采购人可不予调整工程量，供应商应将其误差考虑在综合单价内；若有遗漏项目或单项子目工程量误差超过±3%的，采购人应进行修正并重新公布准确的工程量清单。</w:t>
      </w:r>
    </w:p>
    <w:p w14:paraId="45E44370">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17.9</w:t>
      </w:r>
      <w:r>
        <w:rPr>
          <w:rFonts w:cs="@仿宋_GB2312" w:asciiTheme="minorEastAsia" w:hAnsiTheme="minorEastAsia" w:eastAsiaTheme="minorEastAsia"/>
          <w:color w:val="auto"/>
          <w:kern w:val="2"/>
          <w:sz w:val="24"/>
          <w:highlight w:val="none"/>
        </w:rPr>
        <w:t>.</w:t>
      </w:r>
      <w:r>
        <w:rPr>
          <w:rFonts w:hint="eastAsia" w:cs="@仿宋_GB2312" w:asciiTheme="minorEastAsia" w:hAnsiTheme="minorEastAsia" w:eastAsiaTheme="minorEastAsia"/>
          <w:color w:val="auto"/>
          <w:kern w:val="2"/>
          <w:sz w:val="24"/>
          <w:highlight w:val="none"/>
        </w:rPr>
        <w:t>4供应商在规定时间内未对工程量清单提出疑问的，成交后，采购人不再对工程量清单的项目和数量进行校对调整。供应商必须按其报价完成竞争性谈判文件规定范围内的设计图纸规定的所有工程项目。</w:t>
      </w:r>
    </w:p>
    <w:p w14:paraId="46296671">
      <w:pPr>
        <w:spacing w:line="360" w:lineRule="auto"/>
        <w:ind w:firstLine="435"/>
        <w:rPr>
          <w:rFonts w:cs="@仿宋_GB2312" w:asciiTheme="minorEastAsia" w:hAnsiTheme="minorEastAsia" w:eastAsiaTheme="minorEastAsia"/>
          <w:color w:val="auto"/>
          <w:kern w:val="2"/>
          <w:sz w:val="24"/>
          <w:highlight w:val="none"/>
        </w:rPr>
      </w:pPr>
      <w:r>
        <w:rPr>
          <w:rFonts w:hint="eastAsia" w:cs="@仿宋_GB2312" w:asciiTheme="minorEastAsia" w:hAnsiTheme="minorEastAsia" w:eastAsiaTheme="minorEastAsia"/>
          <w:color w:val="auto"/>
          <w:kern w:val="2"/>
          <w:sz w:val="24"/>
          <w:highlight w:val="none"/>
          <w:lang w:val="en-US" w:eastAsia="zh-CN"/>
        </w:rPr>
        <w:t>17.10</w:t>
      </w:r>
      <w:r>
        <w:rPr>
          <w:rFonts w:hint="eastAsia" w:cs="@仿宋_GB2312" w:asciiTheme="minorEastAsia" w:hAnsiTheme="minorEastAsia" w:eastAsiaTheme="minorEastAsia"/>
          <w:color w:val="auto"/>
          <w:kern w:val="2"/>
          <w:sz w:val="24"/>
          <w:highlight w:val="none"/>
        </w:rPr>
        <w:t>成交供应商在工程量清单报价书中所报的综合单价一律不予调整。</w:t>
      </w:r>
    </w:p>
    <w:p w14:paraId="16546C3E">
      <w:pPr>
        <w:spacing w:line="360" w:lineRule="auto"/>
        <w:ind w:firstLine="435"/>
        <w:rPr>
          <w:rFonts w:asciiTheme="minorEastAsia" w:hAnsiTheme="minorEastAsia" w:eastAsiaTheme="minorEastAsia"/>
          <w:color w:val="auto"/>
          <w:sz w:val="24"/>
          <w:highlight w:val="none"/>
        </w:rPr>
      </w:pPr>
      <w:r>
        <w:rPr>
          <w:rFonts w:hint="eastAsia" w:cs="@仿宋_GB2312" w:asciiTheme="minorEastAsia" w:hAnsiTheme="minorEastAsia" w:eastAsiaTheme="minorEastAsia"/>
          <w:color w:val="auto"/>
          <w:kern w:val="2"/>
          <w:sz w:val="24"/>
          <w:highlight w:val="none"/>
          <w:lang w:val="en-US" w:eastAsia="zh-CN"/>
        </w:rPr>
        <w:t>17.11</w:t>
      </w:r>
      <w:r>
        <w:rPr>
          <w:rFonts w:hint="eastAsia" w:cs="@仿宋_GB2312" w:asciiTheme="minorEastAsia" w:hAnsiTheme="minorEastAsia" w:eastAsiaTheme="minorEastAsia"/>
          <w:color w:val="auto"/>
          <w:kern w:val="2"/>
          <w:sz w:val="24"/>
          <w:highlight w:val="none"/>
        </w:rPr>
        <w:t>本工程不接受恶意不平衡报价，不保证最低价成交。</w:t>
      </w:r>
    </w:p>
    <w:p w14:paraId="21871D6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成交候选供应商的推荐原则及标准</w:t>
      </w:r>
    </w:p>
    <w:p w14:paraId="6B92A1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谈判小组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标准，</w:t>
      </w:r>
      <w:r>
        <w:rPr>
          <w:rFonts w:hint="eastAsia" w:asciiTheme="minorEastAsia" w:hAnsiTheme="minorEastAsia" w:eastAsiaTheme="minorEastAsia"/>
          <w:color w:val="auto"/>
          <w:sz w:val="24"/>
          <w:highlight w:val="none"/>
        </w:rPr>
        <w:t>按照最后报价由低到高的顺序依次推荐成交候选人。最后报价相同的，</w:t>
      </w:r>
      <w:r>
        <w:rPr>
          <w:rFonts w:asciiTheme="minorEastAsia" w:hAnsiTheme="minorEastAsia" w:eastAsiaTheme="minorEastAsia"/>
          <w:color w:val="auto"/>
          <w:sz w:val="24"/>
          <w:highlight w:val="none"/>
        </w:rPr>
        <w:t>则</w:t>
      </w:r>
      <w:r>
        <w:rPr>
          <w:rFonts w:hint="eastAsia" w:asciiTheme="minorEastAsia" w:hAnsiTheme="minorEastAsia" w:eastAsiaTheme="minorEastAsia"/>
          <w:color w:val="auto"/>
          <w:sz w:val="24"/>
          <w:highlight w:val="none"/>
        </w:rPr>
        <w:t>由谈判小组采取随机抽取方式确定。</w:t>
      </w:r>
    </w:p>
    <w:p w14:paraId="2603FF4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确定成交候选供应商和成交供应商</w:t>
      </w:r>
    </w:p>
    <w:p w14:paraId="2CC313E7">
      <w:pPr>
        <w:spacing w:line="360" w:lineRule="auto"/>
        <w:ind w:firstLine="435"/>
        <w:rPr>
          <w:rFonts w:asciiTheme="minorEastAsia" w:hAnsiTheme="minorEastAsia" w:eastAsiaTheme="minorEastAsia"/>
          <w:color w:val="auto"/>
          <w:sz w:val="24"/>
          <w:highlight w:val="none"/>
        </w:rPr>
      </w:pPr>
      <w:r>
        <w:rPr>
          <w:rFonts w:hint="eastAsia"/>
          <w:color w:val="auto"/>
          <w:sz w:val="24"/>
          <w:highlight w:val="none"/>
          <w:lang w:val="en-US" w:eastAsia="zh-CN"/>
        </w:rPr>
        <w:t>19</w:t>
      </w:r>
      <w:r>
        <w:rPr>
          <w:rFonts w:hint="eastAsia"/>
          <w:color w:val="auto"/>
          <w:sz w:val="24"/>
          <w:highlight w:val="none"/>
        </w:rPr>
        <w:t>.1谈判小组按照最后报价由低到高的顺序和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color w:val="auto"/>
          <w:sz w:val="24"/>
          <w:highlight w:val="none"/>
        </w:rPr>
        <w:t>确定成交候选人，并标明排列顺序。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谈判小组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6D197D2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.编写评审报告</w:t>
      </w:r>
    </w:p>
    <w:p w14:paraId="6A0920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w:t>
      </w:r>
      <w:r>
        <w:rPr>
          <w:rFonts w:hint="eastAsia" w:asciiTheme="minorEastAsia" w:hAnsiTheme="minorEastAsia" w:eastAsiaTheme="minorEastAsia"/>
          <w:color w:val="auto"/>
          <w:sz w:val="24"/>
          <w:highlight w:val="none"/>
        </w:rPr>
        <w:t>.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6C39381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FD22819">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1</w:t>
      </w:r>
      <w:r>
        <w:rPr>
          <w:rFonts w:hint="eastAsia"/>
          <w:color w:val="auto"/>
          <w:sz w:val="24"/>
          <w:highlight w:val="none"/>
        </w:rPr>
        <w:t>.1评审将在严格保密的情况下进行。</w:t>
      </w:r>
    </w:p>
    <w:p w14:paraId="43589B5D">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1</w:t>
      </w:r>
      <w:r>
        <w:rPr>
          <w:rFonts w:hint="eastAsia"/>
          <w:color w:val="auto"/>
          <w:sz w:val="24"/>
          <w:highlight w:val="none"/>
        </w:rPr>
        <w:t>.2有关人员</w:t>
      </w:r>
      <w:r>
        <w:rPr>
          <w:color w:val="auto"/>
          <w:sz w:val="24"/>
          <w:highlight w:val="none"/>
        </w:rPr>
        <w:t>应当</w:t>
      </w:r>
      <w:r>
        <w:rPr>
          <w:rFonts w:hint="eastAsia"/>
          <w:color w:val="auto"/>
          <w:sz w:val="24"/>
          <w:highlight w:val="none"/>
        </w:rPr>
        <w:t>遵</w:t>
      </w:r>
      <w:r>
        <w:rPr>
          <w:color w:val="auto"/>
          <w:sz w:val="24"/>
          <w:highlight w:val="none"/>
        </w:rPr>
        <w:t>守</w:t>
      </w:r>
      <w:r>
        <w:rPr>
          <w:rFonts w:hint="eastAsia"/>
          <w:color w:val="auto"/>
          <w:sz w:val="24"/>
          <w:highlight w:val="none"/>
        </w:rPr>
        <w:t>评审</w:t>
      </w:r>
      <w:r>
        <w:rPr>
          <w:color w:val="auto"/>
          <w:sz w:val="24"/>
          <w:highlight w:val="none"/>
        </w:rPr>
        <w:t>工作纪律，不得</w:t>
      </w:r>
      <w:r>
        <w:rPr>
          <w:rFonts w:hint="eastAsia"/>
          <w:color w:val="auto"/>
          <w:sz w:val="24"/>
          <w:highlight w:val="none"/>
        </w:rPr>
        <w:t>泄露评审文件</w:t>
      </w:r>
      <w:r>
        <w:rPr>
          <w:color w:val="auto"/>
          <w:sz w:val="24"/>
          <w:highlight w:val="none"/>
        </w:rPr>
        <w:t>、</w:t>
      </w:r>
      <w:r>
        <w:rPr>
          <w:rFonts w:hint="eastAsia"/>
          <w:color w:val="auto"/>
          <w:sz w:val="24"/>
          <w:highlight w:val="none"/>
        </w:rPr>
        <w:t>评审</w:t>
      </w:r>
      <w:r>
        <w:rPr>
          <w:color w:val="auto"/>
          <w:sz w:val="24"/>
          <w:highlight w:val="none"/>
        </w:rPr>
        <w:t>情况和</w:t>
      </w:r>
      <w:r>
        <w:rPr>
          <w:rFonts w:hint="eastAsia"/>
          <w:color w:val="auto"/>
          <w:sz w:val="24"/>
          <w:highlight w:val="none"/>
        </w:rPr>
        <w:t>评审</w:t>
      </w:r>
      <w:r>
        <w:rPr>
          <w:color w:val="auto"/>
          <w:sz w:val="24"/>
          <w:highlight w:val="none"/>
        </w:rPr>
        <w:t>中获悉的</w:t>
      </w:r>
      <w:r>
        <w:rPr>
          <w:rFonts w:hint="eastAsia"/>
          <w:color w:val="auto"/>
          <w:sz w:val="24"/>
          <w:highlight w:val="none"/>
        </w:rPr>
        <w:t>国家秘密、</w:t>
      </w:r>
      <w:r>
        <w:rPr>
          <w:color w:val="auto"/>
          <w:sz w:val="24"/>
          <w:highlight w:val="none"/>
        </w:rPr>
        <w:t>商业秘密。</w:t>
      </w:r>
    </w:p>
    <w:p w14:paraId="11A5DC2E">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.成交结果公告</w:t>
      </w:r>
    </w:p>
    <w:p w14:paraId="7876E1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.1为体现“公开、公平、公正”的原则，谈判结束后，</w:t>
      </w:r>
      <w:r>
        <w:rPr>
          <w:rFonts w:hint="eastAsia" w:asciiTheme="minorEastAsia" w:hAnsiTheme="minorEastAsia" w:eastAsiaTheme="minorEastAsia"/>
          <w:color w:val="auto"/>
          <w:sz w:val="24"/>
          <w:highlight w:val="none"/>
        </w:rPr>
        <w:t>采购代理机构将</w:t>
      </w:r>
      <w:r>
        <w:rPr>
          <w:rFonts w:hint="eastAsia"/>
          <w:color w:val="auto"/>
          <w:sz w:val="24"/>
          <w:szCs w:val="18"/>
          <w:highlight w:val="none"/>
        </w:rPr>
        <w:t>在滁州市城投工程咨询管理有限公司网站上</w:t>
      </w:r>
      <w:r>
        <w:rPr>
          <w:rFonts w:asciiTheme="minorEastAsia" w:hAnsiTheme="minorEastAsia" w:eastAsiaTheme="minorEastAsia"/>
          <w:color w:val="auto"/>
          <w:sz w:val="24"/>
          <w:highlight w:val="none"/>
        </w:rPr>
        <w:t>发布成交结果公告。</w:t>
      </w:r>
    </w:p>
    <w:p w14:paraId="03B500B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.2成交结果公告内容应当包括采购人及其委托的采购代理机构的名称、地址、联系方式，项目名称和项目编号，成交供应商名称、地址和成交金额，</w:t>
      </w:r>
      <w:r>
        <w:rPr>
          <w:rFonts w:hint="eastAsia" w:asciiTheme="minorEastAsia" w:hAnsiTheme="minorEastAsia" w:eastAsiaTheme="minorEastAsia"/>
          <w:color w:val="auto"/>
          <w:sz w:val="24"/>
          <w:highlight w:val="none"/>
        </w:rPr>
        <w:t>主要成交标的的名称、施工范围、施工工期、项目经理、执业证书信息</w:t>
      </w:r>
      <w:r>
        <w:rPr>
          <w:rFonts w:asciiTheme="minorEastAsia" w:hAnsiTheme="minorEastAsia" w:eastAsiaTheme="minorEastAsia"/>
          <w:color w:val="auto"/>
          <w:sz w:val="24"/>
          <w:highlight w:val="none"/>
        </w:rPr>
        <w:t>，成交结果公告期限、评审专家名单以及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434D966C">
      <w:pPr>
        <w:spacing w:line="360" w:lineRule="auto"/>
        <w:ind w:firstLine="437"/>
        <w:outlineLvl w:val="2"/>
        <w:rPr>
          <w:b/>
          <w:color w:val="auto"/>
          <w:sz w:val="24"/>
          <w:highlight w:val="none"/>
        </w:rPr>
      </w:pPr>
      <w:r>
        <w:rPr>
          <w:b/>
          <w:color w:val="auto"/>
          <w:sz w:val="24"/>
          <w:highlight w:val="none"/>
        </w:rPr>
        <w:t>2</w:t>
      </w:r>
      <w:r>
        <w:rPr>
          <w:rFonts w:hint="eastAsia"/>
          <w:b/>
          <w:color w:val="auto"/>
          <w:sz w:val="24"/>
          <w:highlight w:val="none"/>
          <w:lang w:val="en-US" w:eastAsia="zh-CN"/>
        </w:rPr>
        <w:t>3</w:t>
      </w:r>
      <w:r>
        <w:rPr>
          <w:b/>
          <w:color w:val="auto"/>
          <w:sz w:val="24"/>
          <w:highlight w:val="none"/>
        </w:rPr>
        <w:t>.成交通知书</w:t>
      </w:r>
    </w:p>
    <w:p w14:paraId="17FB1898">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.1采购代理机构发布成交结果公告的同时</w:t>
      </w:r>
      <w:r>
        <w:rPr>
          <w:rFonts w:asciiTheme="minorEastAsia" w:hAnsiTheme="minorEastAsia" w:eastAsiaTheme="minorEastAsia"/>
          <w:color w:val="auto"/>
          <w:sz w:val="24"/>
          <w:highlight w:val="none"/>
        </w:rPr>
        <w:t>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color w:val="auto"/>
          <w:sz w:val="24"/>
          <w:highlight w:val="none"/>
        </w:rPr>
        <w:t>向成交供应商发出成交通知书。</w:t>
      </w:r>
    </w:p>
    <w:p w14:paraId="59F13778">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.2成交通知书对采购人和成交供应商具有同等法律效力。成交通知书发出以后，采购人改变成交结果或者成交供应商放弃成交资格，应当承担相应的法律责任。</w:t>
      </w:r>
    </w:p>
    <w:p w14:paraId="01561E53">
      <w:pPr>
        <w:spacing w:line="360" w:lineRule="auto"/>
        <w:ind w:firstLine="435"/>
        <w:rPr>
          <w:color w:val="auto"/>
          <w:sz w:val="24"/>
          <w:highlight w:val="none"/>
        </w:rPr>
      </w:pPr>
      <w:r>
        <w:rPr>
          <w:color w:val="auto"/>
          <w:sz w:val="24"/>
          <w:highlight w:val="none"/>
        </w:rPr>
        <w:t>2</w:t>
      </w:r>
      <w:r>
        <w:rPr>
          <w:rFonts w:hint="eastAsia"/>
          <w:color w:val="auto"/>
          <w:sz w:val="24"/>
          <w:highlight w:val="none"/>
          <w:lang w:val="en-US" w:eastAsia="zh-CN"/>
        </w:rPr>
        <w:t>3</w:t>
      </w:r>
      <w:r>
        <w:rPr>
          <w:color w:val="auto"/>
          <w:sz w:val="24"/>
          <w:highlight w:val="none"/>
        </w:rPr>
        <w:t>.3成交通知书是合同的组成部分。</w:t>
      </w:r>
    </w:p>
    <w:p w14:paraId="2145BF26">
      <w:pPr>
        <w:spacing w:line="360" w:lineRule="auto"/>
        <w:ind w:firstLine="437"/>
        <w:outlineLvl w:val="2"/>
        <w:rPr>
          <w:b/>
          <w:color w:val="auto"/>
          <w:sz w:val="24"/>
          <w:highlight w:val="none"/>
        </w:rPr>
      </w:pPr>
      <w:r>
        <w:rPr>
          <w:rFonts w:hint="eastAsia"/>
          <w:b/>
          <w:color w:val="auto"/>
          <w:sz w:val="24"/>
          <w:highlight w:val="none"/>
        </w:rPr>
        <w:t>2</w:t>
      </w:r>
      <w:r>
        <w:rPr>
          <w:rFonts w:hint="eastAsia"/>
          <w:b/>
          <w:color w:val="auto"/>
          <w:sz w:val="24"/>
          <w:highlight w:val="none"/>
          <w:lang w:val="en-US" w:eastAsia="zh-CN"/>
        </w:rPr>
        <w:t>4</w:t>
      </w:r>
      <w:r>
        <w:rPr>
          <w:b/>
          <w:color w:val="auto"/>
          <w:sz w:val="24"/>
          <w:highlight w:val="none"/>
        </w:rPr>
        <w:t>.告知</w:t>
      </w:r>
      <w:r>
        <w:rPr>
          <w:rFonts w:hint="eastAsia" w:asciiTheme="minorEastAsia" w:hAnsiTheme="minorEastAsia" w:eastAsiaTheme="minorEastAsia"/>
          <w:b/>
          <w:color w:val="auto"/>
          <w:sz w:val="24"/>
          <w:highlight w:val="none"/>
        </w:rPr>
        <w:t>谈判</w:t>
      </w:r>
      <w:r>
        <w:rPr>
          <w:b/>
          <w:color w:val="auto"/>
          <w:sz w:val="24"/>
          <w:highlight w:val="none"/>
        </w:rPr>
        <w:t>结果</w:t>
      </w:r>
    </w:p>
    <w:p w14:paraId="30DE9CD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3D3F0B23">
      <w:pPr>
        <w:spacing w:line="360" w:lineRule="auto"/>
        <w:ind w:firstLine="480" w:firstLineChars="200"/>
        <w:rPr>
          <w:color w:val="auto"/>
          <w:sz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r>
        <w:rPr>
          <w:color w:val="auto"/>
          <w:sz w:val="24"/>
          <w:highlight w:val="none"/>
        </w:rPr>
        <w:t>。</w:t>
      </w:r>
    </w:p>
    <w:p w14:paraId="390F4F1E">
      <w:pPr>
        <w:spacing w:line="360" w:lineRule="auto"/>
        <w:ind w:firstLine="437"/>
        <w:outlineLvl w:val="2"/>
        <w:rPr>
          <w:b/>
          <w:color w:val="auto"/>
          <w:sz w:val="24"/>
          <w:highlight w:val="none"/>
        </w:rPr>
      </w:pPr>
      <w:r>
        <w:rPr>
          <w:rFonts w:hint="eastAsia"/>
          <w:b/>
          <w:color w:val="auto"/>
          <w:sz w:val="24"/>
          <w:highlight w:val="none"/>
          <w:lang w:val="en-US" w:eastAsia="zh-CN"/>
        </w:rPr>
        <w:t>25</w:t>
      </w:r>
      <w:r>
        <w:rPr>
          <w:b/>
          <w:color w:val="auto"/>
          <w:sz w:val="24"/>
          <w:highlight w:val="none"/>
        </w:rPr>
        <w:t>.履约</w:t>
      </w:r>
      <w:r>
        <w:rPr>
          <w:rFonts w:asciiTheme="minorEastAsia" w:hAnsiTheme="minorEastAsia" w:eastAsiaTheme="minorEastAsia"/>
          <w:b/>
          <w:color w:val="auto"/>
          <w:sz w:val="24"/>
          <w:highlight w:val="none"/>
        </w:rPr>
        <w:t>保证金</w:t>
      </w:r>
    </w:p>
    <w:p w14:paraId="63E24A87">
      <w:pPr>
        <w:spacing w:line="360" w:lineRule="auto"/>
        <w:ind w:firstLine="435"/>
        <w:rPr>
          <w:color w:val="auto"/>
          <w:sz w:val="24"/>
          <w:highlight w:val="none"/>
        </w:rPr>
      </w:pPr>
      <w:r>
        <w:rPr>
          <w:rFonts w:hint="eastAsia"/>
          <w:color w:val="auto"/>
          <w:sz w:val="24"/>
          <w:highlight w:val="none"/>
          <w:lang w:val="en-US" w:eastAsia="zh-CN"/>
        </w:rPr>
        <w:t>25</w:t>
      </w:r>
      <w:r>
        <w:rPr>
          <w:color w:val="auto"/>
          <w:sz w:val="24"/>
          <w:highlight w:val="none"/>
        </w:rPr>
        <w:t>.1成交供应商应按照</w:t>
      </w:r>
      <w:r>
        <w:rPr>
          <w:color w:val="auto"/>
          <w:sz w:val="24"/>
          <w:highlight w:val="none"/>
          <w:u w:val="single"/>
        </w:rPr>
        <w:t>供应商须知前附表</w:t>
      </w:r>
      <w:r>
        <w:rPr>
          <w:color w:val="auto"/>
          <w:sz w:val="24"/>
          <w:highlight w:val="none"/>
        </w:rPr>
        <w:t>规定</w:t>
      </w:r>
      <w:r>
        <w:rPr>
          <w:rFonts w:hint="eastAsia"/>
          <w:color w:val="auto"/>
          <w:sz w:val="24"/>
          <w:highlight w:val="none"/>
        </w:rPr>
        <w:t>缴纳</w:t>
      </w:r>
      <w:r>
        <w:rPr>
          <w:color w:val="auto"/>
          <w:sz w:val="24"/>
          <w:highlight w:val="none"/>
        </w:rPr>
        <w:t>履约保证金。</w:t>
      </w:r>
    </w:p>
    <w:p w14:paraId="3BD16338">
      <w:pPr>
        <w:spacing w:line="360" w:lineRule="auto"/>
        <w:ind w:firstLine="435"/>
        <w:rPr>
          <w:color w:val="auto"/>
          <w:sz w:val="24"/>
          <w:highlight w:val="none"/>
        </w:rPr>
      </w:pPr>
      <w:r>
        <w:rPr>
          <w:rFonts w:hint="eastAsia"/>
          <w:color w:val="auto"/>
          <w:sz w:val="24"/>
          <w:highlight w:val="none"/>
          <w:lang w:val="en-US" w:eastAsia="zh-CN"/>
        </w:rPr>
        <w:t>25</w:t>
      </w:r>
      <w:r>
        <w:rPr>
          <w:color w:val="auto"/>
          <w:sz w:val="24"/>
          <w:highlight w:val="none"/>
        </w:rPr>
        <w:t>.2如果成交供应商没有按照上述履约保证金的规定执行，将视为放弃成交资格。在此情况下，采购人可确定下一成交候选供应商为成交供应商，也可以重新开展采购活动。</w:t>
      </w:r>
    </w:p>
    <w:p w14:paraId="57551AF6">
      <w:pPr>
        <w:spacing w:line="360" w:lineRule="auto"/>
        <w:ind w:firstLine="437"/>
        <w:outlineLvl w:val="2"/>
        <w:rPr>
          <w:rFonts w:hint="default" w:eastAsia="宋体"/>
          <w:b/>
          <w:color w:val="auto"/>
          <w:sz w:val="24"/>
          <w:highlight w:val="none"/>
          <w:lang w:val="en-US" w:eastAsia="zh-CN"/>
        </w:rPr>
      </w:pPr>
      <w:r>
        <w:rPr>
          <w:rFonts w:hint="eastAsia"/>
          <w:b/>
          <w:color w:val="auto"/>
          <w:sz w:val="24"/>
          <w:highlight w:val="none"/>
          <w:lang w:val="en-US" w:eastAsia="zh-CN"/>
        </w:rPr>
        <w:t>26</w:t>
      </w:r>
      <w:r>
        <w:rPr>
          <w:b/>
          <w:color w:val="auto"/>
          <w:sz w:val="24"/>
          <w:highlight w:val="none"/>
        </w:rPr>
        <w:t>.</w:t>
      </w:r>
      <w:r>
        <w:rPr>
          <w:rFonts w:hint="eastAsia"/>
          <w:b/>
          <w:color w:val="auto"/>
          <w:sz w:val="24"/>
          <w:highlight w:val="none"/>
          <w:lang w:val="en-US" w:eastAsia="zh-CN"/>
        </w:rPr>
        <w:t>代理费用</w:t>
      </w:r>
    </w:p>
    <w:p w14:paraId="1CF8F279">
      <w:pPr>
        <w:spacing w:line="360" w:lineRule="auto"/>
        <w:ind w:firstLine="435"/>
        <w:rPr>
          <w:color w:val="auto"/>
          <w:sz w:val="24"/>
          <w:highlight w:val="none"/>
        </w:rPr>
      </w:pPr>
      <w:r>
        <w:rPr>
          <w:rFonts w:hint="eastAsia"/>
          <w:color w:val="auto"/>
          <w:sz w:val="24"/>
          <w:highlight w:val="none"/>
          <w:lang w:val="en-US" w:eastAsia="zh-CN"/>
        </w:rPr>
        <w:t>26</w:t>
      </w:r>
      <w:r>
        <w:rPr>
          <w:color w:val="auto"/>
          <w:sz w:val="24"/>
          <w:highlight w:val="none"/>
        </w:rPr>
        <w:t>.1本项目</w:t>
      </w:r>
      <w:r>
        <w:rPr>
          <w:rFonts w:hint="eastAsia"/>
          <w:color w:val="auto"/>
          <w:sz w:val="24"/>
          <w:highlight w:val="none"/>
          <w:lang w:val="en-US" w:eastAsia="zh-CN"/>
        </w:rPr>
        <w:t>代理费用</w:t>
      </w:r>
      <w:r>
        <w:rPr>
          <w:color w:val="auto"/>
          <w:sz w:val="24"/>
          <w:highlight w:val="none"/>
        </w:rPr>
        <w:t>的收取按</w:t>
      </w:r>
      <w:r>
        <w:rPr>
          <w:rFonts w:hint="eastAsia"/>
          <w:color w:val="auto"/>
          <w:sz w:val="24"/>
          <w:highlight w:val="none"/>
          <w:u w:val="single"/>
        </w:rPr>
        <w:t>供应商</w:t>
      </w:r>
      <w:r>
        <w:rPr>
          <w:color w:val="auto"/>
          <w:sz w:val="24"/>
          <w:highlight w:val="none"/>
          <w:u w:val="single"/>
        </w:rPr>
        <w:t>须知前附表</w:t>
      </w:r>
      <w:r>
        <w:rPr>
          <w:color w:val="auto"/>
          <w:sz w:val="24"/>
          <w:highlight w:val="none"/>
        </w:rPr>
        <w:t>的规定执行。</w:t>
      </w:r>
    </w:p>
    <w:p w14:paraId="48725039">
      <w:pPr>
        <w:spacing w:line="360" w:lineRule="auto"/>
        <w:ind w:firstLine="437"/>
        <w:outlineLvl w:val="2"/>
        <w:rPr>
          <w:b/>
          <w:color w:val="auto"/>
          <w:sz w:val="24"/>
          <w:highlight w:val="none"/>
        </w:rPr>
      </w:pPr>
      <w:r>
        <w:rPr>
          <w:rFonts w:hint="eastAsia"/>
          <w:b/>
          <w:color w:val="auto"/>
          <w:sz w:val="24"/>
          <w:highlight w:val="none"/>
          <w:lang w:val="en-US" w:eastAsia="zh-CN"/>
        </w:rPr>
        <w:t>27</w:t>
      </w:r>
      <w:r>
        <w:rPr>
          <w:b/>
          <w:color w:val="auto"/>
          <w:sz w:val="24"/>
          <w:highlight w:val="none"/>
        </w:rPr>
        <w:t>.签订</w:t>
      </w:r>
      <w:r>
        <w:rPr>
          <w:rFonts w:asciiTheme="minorEastAsia" w:hAnsiTheme="minorEastAsia" w:eastAsiaTheme="minorEastAsia"/>
          <w:b/>
          <w:color w:val="auto"/>
          <w:sz w:val="24"/>
          <w:highlight w:val="none"/>
        </w:rPr>
        <w:t>合同</w:t>
      </w:r>
    </w:p>
    <w:p w14:paraId="395E0C46">
      <w:pPr>
        <w:spacing w:line="360" w:lineRule="auto"/>
        <w:ind w:firstLine="435"/>
        <w:rPr>
          <w:color w:val="auto"/>
          <w:sz w:val="24"/>
          <w:highlight w:val="none"/>
        </w:rPr>
      </w:pPr>
      <w:r>
        <w:rPr>
          <w:rFonts w:hint="eastAsia"/>
          <w:color w:val="auto"/>
          <w:sz w:val="24"/>
          <w:highlight w:val="none"/>
          <w:lang w:val="en-US" w:eastAsia="zh-CN"/>
        </w:rPr>
        <w:t>27</w:t>
      </w:r>
      <w:r>
        <w:rPr>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w:t>
      </w:r>
    </w:p>
    <w:p w14:paraId="1733B3D1">
      <w:pPr>
        <w:spacing w:line="360" w:lineRule="auto"/>
        <w:ind w:firstLine="435"/>
        <w:rPr>
          <w:color w:val="auto"/>
          <w:sz w:val="24"/>
          <w:highlight w:val="none"/>
        </w:rPr>
      </w:pPr>
      <w:r>
        <w:rPr>
          <w:rFonts w:hint="eastAsia"/>
          <w:color w:val="auto"/>
          <w:sz w:val="24"/>
          <w:highlight w:val="none"/>
          <w:lang w:val="en-US" w:eastAsia="zh-CN"/>
        </w:rPr>
        <w:t>27</w:t>
      </w:r>
      <w:r>
        <w:rPr>
          <w:color w:val="auto"/>
          <w:sz w:val="24"/>
          <w:highlight w:val="none"/>
        </w:rPr>
        <w:t>.2谈判文件、成交供应商的响应文件及其澄清文件等，均为签订合同的依据。</w:t>
      </w:r>
    </w:p>
    <w:p w14:paraId="57F6F5CE">
      <w:pPr>
        <w:spacing w:line="360" w:lineRule="auto"/>
        <w:ind w:firstLine="470" w:firstLineChars="196"/>
        <w:rPr>
          <w:color w:val="auto"/>
          <w:sz w:val="24"/>
          <w:highlight w:val="none"/>
        </w:rPr>
      </w:pPr>
      <w:r>
        <w:rPr>
          <w:rFonts w:hint="eastAsia"/>
          <w:color w:val="auto"/>
          <w:sz w:val="24"/>
          <w:highlight w:val="none"/>
          <w:lang w:val="en-US" w:eastAsia="zh-CN"/>
        </w:rPr>
        <w:t>27</w:t>
      </w:r>
      <w:r>
        <w:rPr>
          <w:color w:val="auto"/>
          <w:sz w:val="24"/>
          <w:highlight w:val="none"/>
        </w:rPr>
        <w:t>.3成交供应商拒绝与采购人签订合同的，采购人可以按照评审报告推荐的成交候选供应商名单排序，确定下一成交候选供应商为成交供应商，也可以重新开展采购活动。</w:t>
      </w:r>
      <w:r>
        <w:rPr>
          <w:rFonts w:hint="eastAsia"/>
          <w:color w:val="auto"/>
          <w:sz w:val="24"/>
          <w:highlight w:val="none"/>
        </w:rPr>
        <w:t>成交供应商拒绝签订政府采购合同的不得参加对该项目重新开展的采购活动。</w:t>
      </w:r>
    </w:p>
    <w:p w14:paraId="6C55A343">
      <w:pPr>
        <w:spacing w:line="360" w:lineRule="auto"/>
        <w:ind w:firstLine="470" w:firstLineChars="196"/>
        <w:rPr>
          <w:color w:val="auto"/>
          <w:sz w:val="24"/>
          <w:highlight w:val="none"/>
        </w:rPr>
      </w:pPr>
      <w:bookmarkStart w:id="30" w:name="_Hlk60264926"/>
      <w:r>
        <w:rPr>
          <w:rFonts w:hint="eastAsia"/>
          <w:color w:val="auto"/>
          <w:sz w:val="24"/>
          <w:highlight w:val="none"/>
          <w:lang w:val="en-US" w:eastAsia="zh-CN"/>
        </w:rPr>
        <w:t>27</w:t>
      </w:r>
      <w:r>
        <w:rPr>
          <w:rFonts w:hint="eastAsia"/>
          <w:color w:val="auto"/>
          <w:sz w:val="24"/>
          <w:highlight w:val="none"/>
        </w:rPr>
        <w:t>.</w:t>
      </w:r>
      <w:r>
        <w:rPr>
          <w:color w:val="auto"/>
          <w:sz w:val="24"/>
          <w:highlight w:val="none"/>
        </w:rPr>
        <w:t>4</w:t>
      </w:r>
      <w:r>
        <w:rPr>
          <w:rFonts w:hint="eastAsia"/>
          <w:color w:val="auto"/>
          <w:sz w:val="24"/>
          <w:highlight w:val="none"/>
        </w:rPr>
        <w:t>依据《政府采购促进中小企业发展管理办法》（财库〔</w:t>
      </w:r>
      <w:r>
        <w:rPr>
          <w:color w:val="auto"/>
          <w:sz w:val="24"/>
          <w:highlight w:val="none"/>
        </w:rPr>
        <w:t>2020〕46号</w:t>
      </w:r>
      <w:r>
        <w:rPr>
          <w:rFonts w:hint="eastAsia"/>
          <w:color w:val="auto"/>
          <w:sz w:val="24"/>
          <w:highlight w:val="none"/>
        </w:rPr>
        <w:t>）规定享受扶持政策获得政府采购合同的，小微企业不得将合同分包给大中型企业，中型企业不得将合同分包给大型企业。</w:t>
      </w:r>
      <w:bookmarkEnd w:id="30"/>
    </w:p>
    <w:p w14:paraId="1F80FD09">
      <w:pPr>
        <w:spacing w:line="360" w:lineRule="auto"/>
        <w:ind w:firstLine="437"/>
        <w:outlineLvl w:val="2"/>
        <w:rPr>
          <w:b/>
          <w:color w:val="auto"/>
          <w:sz w:val="24"/>
          <w:highlight w:val="none"/>
        </w:rPr>
      </w:pPr>
      <w:r>
        <w:rPr>
          <w:rFonts w:hint="eastAsia"/>
          <w:b/>
          <w:color w:val="auto"/>
          <w:sz w:val="24"/>
          <w:highlight w:val="none"/>
          <w:lang w:val="en-US" w:eastAsia="zh-CN"/>
        </w:rPr>
        <w:t>28</w:t>
      </w:r>
      <w:r>
        <w:rPr>
          <w:b/>
          <w:color w:val="auto"/>
          <w:sz w:val="24"/>
          <w:highlight w:val="none"/>
        </w:rPr>
        <w:t>.廉洁</w:t>
      </w:r>
      <w:r>
        <w:rPr>
          <w:rFonts w:asciiTheme="minorEastAsia" w:hAnsiTheme="minorEastAsia" w:eastAsiaTheme="minorEastAsia"/>
          <w:b/>
          <w:color w:val="auto"/>
          <w:sz w:val="24"/>
          <w:highlight w:val="none"/>
        </w:rPr>
        <w:t>自律</w:t>
      </w:r>
      <w:r>
        <w:rPr>
          <w:b/>
          <w:color w:val="auto"/>
          <w:sz w:val="24"/>
          <w:highlight w:val="none"/>
        </w:rPr>
        <w:t>规定</w:t>
      </w:r>
    </w:p>
    <w:p w14:paraId="080852E7">
      <w:pPr>
        <w:spacing w:line="360" w:lineRule="auto"/>
        <w:ind w:firstLine="435"/>
        <w:rPr>
          <w:color w:val="auto"/>
          <w:sz w:val="24"/>
          <w:highlight w:val="none"/>
        </w:rPr>
      </w:pPr>
      <w:r>
        <w:rPr>
          <w:rFonts w:hint="eastAsia"/>
          <w:color w:val="auto"/>
          <w:sz w:val="24"/>
          <w:highlight w:val="none"/>
          <w:lang w:val="en-US" w:eastAsia="zh-CN"/>
        </w:rPr>
        <w:t>28</w:t>
      </w:r>
      <w:r>
        <w:rPr>
          <w:color w:val="auto"/>
          <w:sz w:val="24"/>
          <w:highlight w:val="none"/>
        </w:rPr>
        <w:t>.1采购代理机构工作人员不得以不正当手段获取政府采购代理业务，不得与采购人、供应商恶意串通。</w:t>
      </w:r>
    </w:p>
    <w:p w14:paraId="5254E11A">
      <w:pPr>
        <w:spacing w:line="360" w:lineRule="auto"/>
        <w:ind w:firstLine="435"/>
        <w:rPr>
          <w:color w:val="auto"/>
          <w:sz w:val="24"/>
          <w:highlight w:val="none"/>
        </w:rPr>
      </w:pPr>
      <w:r>
        <w:rPr>
          <w:rFonts w:hint="eastAsia"/>
          <w:color w:val="auto"/>
          <w:sz w:val="24"/>
          <w:highlight w:val="none"/>
          <w:lang w:val="en-US" w:eastAsia="zh-CN"/>
        </w:rPr>
        <w:t>28</w:t>
      </w:r>
      <w:r>
        <w:rPr>
          <w:color w:val="auto"/>
          <w:sz w:val="24"/>
          <w:highlight w:val="none"/>
        </w:rPr>
        <w:t>.2采购代理机构工作人员不得接受采购人或者供应商组织的宴请、旅游、娱乐，不得收受礼品、现金、有价证券等，不得向采购人或者供应商报销应当由个人承担的费用。</w:t>
      </w:r>
    </w:p>
    <w:p w14:paraId="24230B93">
      <w:pPr>
        <w:spacing w:line="360" w:lineRule="auto"/>
        <w:ind w:firstLine="437"/>
        <w:outlineLvl w:val="2"/>
        <w:rPr>
          <w:b/>
          <w:color w:val="auto"/>
          <w:sz w:val="24"/>
          <w:highlight w:val="none"/>
        </w:rPr>
      </w:pPr>
      <w:r>
        <w:rPr>
          <w:rFonts w:hint="eastAsia"/>
          <w:b/>
          <w:color w:val="auto"/>
          <w:sz w:val="24"/>
          <w:highlight w:val="none"/>
          <w:lang w:val="en-US" w:eastAsia="zh-CN"/>
        </w:rPr>
        <w:t>29</w:t>
      </w:r>
      <w:r>
        <w:rPr>
          <w:b/>
          <w:color w:val="auto"/>
          <w:sz w:val="24"/>
          <w:highlight w:val="none"/>
        </w:rPr>
        <w:t>.质疑的提出与接收</w:t>
      </w:r>
    </w:p>
    <w:p w14:paraId="09BCE05C">
      <w:pPr>
        <w:spacing w:line="360" w:lineRule="auto"/>
        <w:ind w:firstLine="435"/>
        <w:rPr>
          <w:color w:val="auto"/>
          <w:sz w:val="24"/>
          <w:highlight w:val="none"/>
        </w:rPr>
      </w:pPr>
      <w:r>
        <w:rPr>
          <w:rFonts w:hint="eastAsia"/>
          <w:color w:val="auto"/>
          <w:sz w:val="24"/>
          <w:highlight w:val="none"/>
          <w:lang w:val="en-US" w:eastAsia="zh-CN"/>
        </w:rPr>
        <w:t>29</w:t>
      </w:r>
      <w:r>
        <w:rPr>
          <w:rFonts w:hint="eastAsia"/>
          <w:color w:val="auto"/>
          <w:sz w:val="24"/>
          <w:highlight w:val="none"/>
        </w:rPr>
        <w:t>.1供应商认为谈判文件、采购过程和成交结果使自己的权益受到损害的，可以在知道或者应知其权益受到损害之日起七个工作日内，以书面形式向采购人或其委托的采购代理机构提出质疑。</w:t>
      </w:r>
    </w:p>
    <w:p w14:paraId="42F6E031">
      <w:pPr>
        <w:spacing w:line="360" w:lineRule="auto"/>
        <w:ind w:firstLine="435"/>
        <w:rPr>
          <w:color w:val="auto"/>
          <w:sz w:val="24"/>
          <w:highlight w:val="none"/>
        </w:rPr>
      </w:pPr>
      <w:r>
        <w:rPr>
          <w:rFonts w:hint="eastAsia"/>
          <w:color w:val="auto"/>
          <w:sz w:val="24"/>
          <w:highlight w:val="none"/>
          <w:lang w:val="en-US" w:eastAsia="zh-CN"/>
        </w:rPr>
        <w:t>29</w:t>
      </w:r>
      <w:r>
        <w:rPr>
          <w:rFonts w:hint="eastAsia"/>
          <w:color w:val="auto"/>
          <w:sz w:val="24"/>
          <w:highlight w:val="none"/>
        </w:rPr>
        <w:t>.</w:t>
      </w:r>
      <w:r>
        <w:rPr>
          <w:rFonts w:hint="eastAsia"/>
          <w:color w:val="auto"/>
          <w:sz w:val="24"/>
          <w:highlight w:val="none"/>
          <w:lang w:val="en-US" w:eastAsia="zh-CN"/>
        </w:rPr>
        <w:t>2</w:t>
      </w:r>
      <w:r>
        <w:rPr>
          <w:rFonts w:hint="eastAsia"/>
          <w:color w:val="auto"/>
          <w:sz w:val="24"/>
          <w:highlight w:val="none"/>
        </w:rPr>
        <w:t>质疑供应商应按照财政部制定的《政府采购质疑函范本》格式（详见谈判文件第八章）和《政府采购质疑和投诉办法》的要求，在法定质疑期内以书面形式提出质疑，超出法定质疑期提交的质疑将被拒绝。针对同一采购程序环节的质疑应一次性提出。</w:t>
      </w:r>
    </w:p>
    <w:p w14:paraId="4D1FC7EB">
      <w:pPr>
        <w:spacing w:line="360" w:lineRule="auto"/>
        <w:ind w:firstLine="435"/>
        <w:rPr>
          <w:rFonts w:hint="eastAsia"/>
          <w:color w:val="auto"/>
          <w:sz w:val="24"/>
          <w:highlight w:val="none"/>
        </w:rPr>
      </w:pPr>
      <w:r>
        <w:rPr>
          <w:rFonts w:hint="eastAsia"/>
          <w:color w:val="auto"/>
          <w:sz w:val="24"/>
          <w:highlight w:val="none"/>
          <w:lang w:val="en-US" w:eastAsia="zh-CN"/>
        </w:rPr>
        <w:t>29</w:t>
      </w:r>
      <w:r>
        <w:rPr>
          <w:rFonts w:hint="eastAsia"/>
          <w:color w:val="auto"/>
          <w:sz w:val="24"/>
          <w:highlight w:val="none"/>
        </w:rPr>
        <w:t>.</w:t>
      </w:r>
      <w:r>
        <w:rPr>
          <w:rFonts w:hint="eastAsia"/>
          <w:color w:val="auto"/>
          <w:sz w:val="24"/>
          <w:highlight w:val="none"/>
          <w:lang w:val="en-US" w:eastAsia="zh-CN"/>
        </w:rPr>
        <w:t>3</w:t>
      </w:r>
      <w:r>
        <w:rPr>
          <w:rFonts w:hint="eastAsia"/>
          <w:color w:val="auto"/>
          <w:sz w:val="24"/>
          <w:highlight w:val="none"/>
        </w:rPr>
        <w:t>采购代理机构质疑函接收部门、联系电话和通讯地址，见</w:t>
      </w:r>
      <w:r>
        <w:rPr>
          <w:rFonts w:hint="eastAsia"/>
          <w:color w:val="auto"/>
          <w:sz w:val="24"/>
          <w:highlight w:val="none"/>
          <w:u w:val="single"/>
        </w:rPr>
        <w:t>供应商须知前附表</w:t>
      </w:r>
      <w:r>
        <w:rPr>
          <w:rFonts w:hint="eastAsia"/>
          <w:color w:val="auto"/>
          <w:sz w:val="24"/>
          <w:highlight w:val="none"/>
        </w:rPr>
        <w:t>。</w:t>
      </w:r>
    </w:p>
    <w:p w14:paraId="25D99719">
      <w:pPr>
        <w:spacing w:line="360" w:lineRule="auto"/>
        <w:ind w:firstLine="435"/>
        <w:rPr>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5AF8E085">
      <w:pPr>
        <w:spacing w:line="360" w:lineRule="auto"/>
        <w:ind w:firstLine="437"/>
        <w:outlineLvl w:val="2"/>
        <w:rPr>
          <w:b/>
          <w:color w:val="auto"/>
          <w:sz w:val="24"/>
          <w:highlight w:val="none"/>
        </w:rPr>
      </w:pPr>
      <w:r>
        <w:rPr>
          <w:b/>
          <w:color w:val="auto"/>
          <w:sz w:val="24"/>
          <w:highlight w:val="none"/>
        </w:rPr>
        <w:t>3</w:t>
      </w:r>
      <w:r>
        <w:rPr>
          <w:rFonts w:hint="eastAsia"/>
          <w:b/>
          <w:color w:val="auto"/>
          <w:sz w:val="24"/>
          <w:highlight w:val="none"/>
          <w:lang w:val="en-US" w:eastAsia="zh-CN"/>
        </w:rPr>
        <w:t>0</w:t>
      </w:r>
      <w:r>
        <w:rPr>
          <w:b/>
          <w:color w:val="auto"/>
          <w:sz w:val="24"/>
          <w:highlight w:val="none"/>
        </w:rPr>
        <w:t>.需要补充的其他内容</w:t>
      </w:r>
    </w:p>
    <w:p w14:paraId="34A7E62A">
      <w:pPr>
        <w:spacing w:line="360" w:lineRule="auto"/>
        <w:ind w:firstLine="435"/>
        <w:rPr>
          <w:color w:val="auto"/>
          <w:sz w:val="24"/>
          <w:highlight w:val="none"/>
        </w:rPr>
      </w:pPr>
      <w:r>
        <w:rPr>
          <w:rFonts w:hint="eastAsia"/>
          <w:color w:val="auto"/>
          <w:sz w:val="24"/>
          <w:highlight w:val="none"/>
        </w:rPr>
        <w:t>需要补充的其他内容，见</w:t>
      </w:r>
      <w:r>
        <w:rPr>
          <w:rFonts w:hint="eastAsia"/>
          <w:color w:val="auto"/>
          <w:sz w:val="24"/>
          <w:highlight w:val="none"/>
          <w:u w:val="single"/>
        </w:rPr>
        <w:t>供应商须知前附表</w:t>
      </w:r>
      <w:r>
        <w:rPr>
          <w:rFonts w:hint="eastAsia"/>
          <w:color w:val="auto"/>
          <w:sz w:val="24"/>
          <w:highlight w:val="none"/>
        </w:rPr>
        <w:t>。</w:t>
      </w:r>
    </w:p>
    <w:p w14:paraId="2CA5818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65D1707A">
      <w:pPr>
        <w:spacing w:line="360" w:lineRule="auto"/>
        <w:jc w:val="center"/>
        <w:outlineLvl w:val="0"/>
        <w:rPr>
          <w:rFonts w:asciiTheme="minorEastAsia" w:hAnsiTheme="minorEastAsia" w:eastAsiaTheme="minorEastAsia"/>
          <w:b/>
          <w:color w:val="auto"/>
          <w:sz w:val="28"/>
          <w:highlight w:val="none"/>
        </w:rPr>
      </w:pPr>
      <w:bookmarkStart w:id="31" w:name="_Toc6146"/>
      <w:r>
        <w:rPr>
          <w:rFonts w:hint="eastAsia" w:asciiTheme="minorEastAsia" w:hAnsiTheme="minorEastAsia" w:eastAsiaTheme="minorEastAsia"/>
          <w:b/>
          <w:color w:val="auto"/>
          <w:sz w:val="28"/>
          <w:highlight w:val="none"/>
        </w:rPr>
        <w:t>第三章  采购需求</w:t>
      </w:r>
      <w:bookmarkEnd w:id="31"/>
    </w:p>
    <w:tbl>
      <w:tblPr>
        <w:tblStyle w:val="10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277"/>
        <w:gridCol w:w="6287"/>
      </w:tblGrid>
      <w:tr w14:paraId="6658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7503F3CA">
            <w:pPr>
              <w:spacing w:line="360" w:lineRule="auto"/>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序号</w:t>
            </w:r>
          </w:p>
        </w:tc>
        <w:tc>
          <w:tcPr>
            <w:tcW w:w="749" w:type="pct"/>
            <w:vAlign w:val="center"/>
          </w:tcPr>
          <w:p w14:paraId="11E73D9D">
            <w:pPr>
              <w:spacing w:line="360" w:lineRule="auto"/>
              <w:ind w:firstLine="435"/>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内容</w:t>
            </w:r>
          </w:p>
        </w:tc>
        <w:tc>
          <w:tcPr>
            <w:tcW w:w="3688" w:type="pct"/>
            <w:vAlign w:val="center"/>
          </w:tcPr>
          <w:p w14:paraId="41B96D29">
            <w:pPr>
              <w:spacing w:line="360" w:lineRule="auto"/>
              <w:ind w:firstLine="435"/>
              <w:jc w:val="center"/>
              <w:rPr>
                <w:rFonts w:cs="@仿宋_GB2312" w:asciiTheme="minorEastAsia" w:hAnsiTheme="minorEastAsia" w:eastAsiaTheme="minorEastAsia"/>
                <w:b/>
                <w:color w:val="auto"/>
                <w:kern w:val="2"/>
                <w:sz w:val="24"/>
                <w:szCs w:val="22"/>
                <w:highlight w:val="none"/>
              </w:rPr>
            </w:pPr>
            <w:r>
              <w:rPr>
                <w:rFonts w:hint="eastAsia" w:cs="@仿宋_GB2312" w:asciiTheme="minorEastAsia" w:hAnsiTheme="minorEastAsia" w:eastAsiaTheme="minorEastAsia"/>
                <w:b/>
                <w:color w:val="auto"/>
                <w:kern w:val="2"/>
                <w:sz w:val="24"/>
                <w:szCs w:val="22"/>
                <w:highlight w:val="none"/>
              </w:rPr>
              <w:t>说明和要求</w:t>
            </w:r>
          </w:p>
        </w:tc>
      </w:tr>
      <w:tr w14:paraId="5F69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0F89C6BC">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1</w:t>
            </w:r>
          </w:p>
        </w:tc>
        <w:tc>
          <w:tcPr>
            <w:tcW w:w="749" w:type="pct"/>
            <w:vAlign w:val="center"/>
          </w:tcPr>
          <w:p w14:paraId="2E63A09C">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人员到岗及履约要求</w:t>
            </w:r>
          </w:p>
        </w:tc>
        <w:tc>
          <w:tcPr>
            <w:tcW w:w="3688" w:type="pct"/>
            <w:vAlign w:val="center"/>
          </w:tcPr>
          <w:p w14:paraId="7B30694B">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1）供应商一旦成交，谈判时所报的本项目的项目经理、施工现场技术负责人、各专业负责工程师及施工机械等在整个项目施工期内必须在位，否则采购人有权终止合同。由此造成的损失，成交供应商自行承担并赔偿可能给采购人造成的损失。</w:t>
            </w:r>
          </w:p>
          <w:p w14:paraId="5BC3E38D">
            <w:pPr>
              <w:spacing w:line="360" w:lineRule="auto"/>
              <w:rPr>
                <w:rFonts w:hint="eastAsia"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2）成交供应商不得擅自更换谈判时所报项目经理及项目部主要管理人员。确需更换时，须报采购人同意，更换后人员不得低于成交供应商谈判时所报人员资质和技术水平。采购人如认为有必要，可要求对上述人员中的部分人员作出更好的调整。</w:t>
            </w:r>
          </w:p>
          <w:p w14:paraId="12B2D294">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3）成交供应商未能按照承诺到岗尽职的，采购人将视情况严重程度对其作出相应处理，给予警告并发出整改通知。如仍未及时整改，采购人有权责令其停工整改、直至终止合同，引进新的承包人。采购人还将停止支付工程款项，扣留任何未付的工程进度款项补偿建设单位的有关损失或工期延误的损失，并就此向承包人索赔。</w:t>
            </w:r>
          </w:p>
        </w:tc>
      </w:tr>
      <w:tr w14:paraId="3C06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784715C2">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2</w:t>
            </w:r>
          </w:p>
        </w:tc>
        <w:tc>
          <w:tcPr>
            <w:tcW w:w="749" w:type="pct"/>
            <w:vAlign w:val="center"/>
          </w:tcPr>
          <w:p w14:paraId="0C9A1BF4">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材料要求</w:t>
            </w:r>
          </w:p>
        </w:tc>
        <w:tc>
          <w:tcPr>
            <w:tcW w:w="3688" w:type="pct"/>
            <w:vAlign w:val="center"/>
          </w:tcPr>
          <w:p w14:paraId="7AACC428">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所有进场材料必须符合国家质量标准、环保标准；所有货物（包括零部件）须为全新的、未使用过的原装正品，并完全符合国家质量标准，提供厂家出具的合格证书、有国家强制性认证要求的产品须提供相应证书。承包人采购的所有设备及主要材料进场报监理单位审核，经发包人认可后方可进场；</w:t>
            </w:r>
          </w:p>
        </w:tc>
      </w:tr>
      <w:tr w14:paraId="238D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32EDE65A">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3</w:t>
            </w:r>
          </w:p>
        </w:tc>
        <w:tc>
          <w:tcPr>
            <w:tcW w:w="749" w:type="pct"/>
            <w:vAlign w:val="center"/>
          </w:tcPr>
          <w:p w14:paraId="30B4B100">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工程施工重点难点</w:t>
            </w:r>
          </w:p>
        </w:tc>
        <w:tc>
          <w:tcPr>
            <w:tcW w:w="3688" w:type="pct"/>
            <w:vAlign w:val="center"/>
          </w:tcPr>
          <w:p w14:paraId="54DB141C">
            <w:pPr>
              <w:spacing w:line="360" w:lineRule="auto"/>
              <w:rPr>
                <w:rFonts w:hint="eastAsia" w:cs="@仿宋_GB2312" w:asciiTheme="minorEastAsia" w:hAnsiTheme="minorEastAsia" w:eastAsiaTheme="minorEastAsia"/>
                <w:color w:val="auto"/>
                <w:kern w:val="2"/>
                <w:sz w:val="24"/>
                <w:szCs w:val="22"/>
                <w:highlight w:val="none"/>
                <w:lang w:eastAsia="zh-CN"/>
              </w:rPr>
            </w:pPr>
            <w:r>
              <w:rPr>
                <w:rFonts w:hint="eastAsia" w:cs="@仿宋_GB2312" w:asciiTheme="minorEastAsia" w:hAnsiTheme="minorEastAsia" w:eastAsiaTheme="minorEastAsia"/>
                <w:color w:val="auto"/>
                <w:kern w:val="2"/>
                <w:sz w:val="24"/>
                <w:szCs w:val="22"/>
                <w:highlight w:val="none"/>
              </w:rPr>
              <w:t>供应商结合现场情况自行考虑</w:t>
            </w:r>
          </w:p>
        </w:tc>
      </w:tr>
      <w:tr w14:paraId="3C96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197EC7F7">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4</w:t>
            </w:r>
          </w:p>
        </w:tc>
        <w:tc>
          <w:tcPr>
            <w:tcW w:w="749" w:type="pct"/>
            <w:vAlign w:val="center"/>
          </w:tcPr>
          <w:p w14:paraId="0D45DB37">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报价须知</w:t>
            </w:r>
          </w:p>
        </w:tc>
        <w:tc>
          <w:tcPr>
            <w:tcW w:w="3688" w:type="pct"/>
            <w:vAlign w:val="center"/>
          </w:tcPr>
          <w:p w14:paraId="6D42C246">
            <w:pPr>
              <w:spacing w:line="360" w:lineRule="auto"/>
              <w:rPr>
                <w:color w:val="auto"/>
                <w:kern w:val="2"/>
                <w:sz w:val="21"/>
                <w:szCs w:val="22"/>
                <w:highlight w:val="none"/>
              </w:rPr>
            </w:pPr>
            <w:r>
              <w:rPr>
                <w:rFonts w:hint="eastAsia" w:cs="@仿宋_GB2312" w:asciiTheme="minorEastAsia" w:hAnsiTheme="minorEastAsia" w:eastAsiaTheme="minorEastAsia"/>
                <w:color w:val="auto"/>
                <w:kern w:val="2"/>
                <w:sz w:val="24"/>
                <w:szCs w:val="22"/>
                <w:highlight w:val="none"/>
              </w:rPr>
              <w:t>供应商最后报价均不得高于谈判文件（公告）列明的项目预算、最高投标限价，否则其响应文件将被认定为响应无效。</w:t>
            </w:r>
          </w:p>
        </w:tc>
      </w:tr>
      <w:tr w14:paraId="6207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07DC1D62">
            <w:pPr>
              <w:spacing w:line="360" w:lineRule="auto"/>
              <w:jc w:val="center"/>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5</w:t>
            </w:r>
          </w:p>
        </w:tc>
        <w:tc>
          <w:tcPr>
            <w:tcW w:w="749" w:type="pct"/>
            <w:vAlign w:val="center"/>
          </w:tcPr>
          <w:p w14:paraId="6B9EB0C5">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重要说明</w:t>
            </w:r>
          </w:p>
        </w:tc>
        <w:tc>
          <w:tcPr>
            <w:tcW w:w="3688" w:type="pct"/>
            <w:vAlign w:val="center"/>
          </w:tcPr>
          <w:p w14:paraId="4742E962">
            <w:pPr>
              <w:spacing w:line="360" w:lineRule="auto"/>
              <w:rPr>
                <w:rFonts w:hint="eastAsia" w:ascii="宋体" w:hAnsi="宋体" w:eastAsia="宋体"/>
                <w:color w:val="auto"/>
                <w:kern w:val="2"/>
                <w:sz w:val="24"/>
                <w:szCs w:val="18"/>
                <w:highlight w:val="none"/>
              </w:rPr>
            </w:pPr>
            <w:r>
              <w:rPr>
                <w:rFonts w:ascii="宋体" w:hAnsi="宋体" w:eastAsia="宋体" w:cs="宋体"/>
                <w:color w:val="auto"/>
                <w:kern w:val="2"/>
                <w:sz w:val="24"/>
                <w:szCs w:val="24"/>
                <w:highlight w:val="none"/>
              </w:rPr>
              <w:t>政府采购政策（包括但不限于下列具体政策要求</w:t>
            </w:r>
            <w:r>
              <w:rPr>
                <w:rFonts w:hint="eastAsia" w:ascii="宋体" w:hAnsi="宋体" w:eastAsia="宋体" w:cs="宋体"/>
                <w:color w:val="auto"/>
                <w:kern w:val="2"/>
                <w:sz w:val="24"/>
                <w:szCs w:val="24"/>
                <w:highlight w:val="none"/>
                <w:lang w:eastAsia="zh-CN"/>
              </w:rPr>
              <w:t>）</w:t>
            </w:r>
            <w:r>
              <w:rPr>
                <w:rFonts w:hint="eastAsia" w:ascii="宋体" w:hAnsi="宋体" w:eastAsia="宋体"/>
                <w:color w:val="auto"/>
                <w:kern w:val="2"/>
                <w:sz w:val="24"/>
                <w:szCs w:val="18"/>
                <w:highlight w:val="none"/>
              </w:rPr>
              <w:t>：</w:t>
            </w:r>
          </w:p>
          <w:p w14:paraId="03466509">
            <w:pPr>
              <w:spacing w:line="360" w:lineRule="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（1）如属于《节能产品政府采购品目清单》中政府强制采购的节能产品，则</w:t>
            </w:r>
            <w:r>
              <w:rPr>
                <w:rFonts w:hint="eastAsia"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所投产品须具有市场监管总局公布的《参与实施政府采购节能产品认证机构目录》中的认证机构出具的、处于有效期内的节能产品认证证书。</w:t>
            </w:r>
          </w:p>
          <w:p w14:paraId="1C82E3E7">
            <w:pPr>
              <w:spacing w:line="360" w:lineRule="auto"/>
              <w:rPr>
                <w:rFonts w:cs="@仿宋_GB2312" w:asciiTheme="minorEastAsia" w:hAnsiTheme="minorEastAsia" w:eastAsiaTheme="minorEastAsia"/>
                <w:color w:val="auto"/>
                <w:kern w:val="2"/>
                <w:sz w:val="24"/>
                <w:szCs w:val="22"/>
                <w:highlight w:val="none"/>
              </w:rPr>
            </w:pPr>
            <w:r>
              <w:rPr>
                <w:rFonts w:hint="eastAsia" w:ascii="宋体" w:hAnsi="宋体" w:eastAsia="宋体" w:cs="宋体"/>
                <w:color w:val="auto"/>
                <w:kern w:val="2"/>
                <w:sz w:val="24"/>
                <w:szCs w:val="24"/>
                <w:highlight w:val="none"/>
              </w:rPr>
              <w:t>（2）如涉及商品包装和快递包装，</w:t>
            </w:r>
            <w:r>
              <w:rPr>
                <w:rFonts w:hint="eastAsia" w:cs="宋体"/>
                <w:color w:val="auto"/>
                <w:kern w:val="2"/>
                <w:sz w:val="24"/>
                <w:szCs w:val="24"/>
                <w:highlight w:val="none"/>
                <w:lang w:val="en-US" w:eastAsia="zh-CN"/>
              </w:rPr>
              <w:t>供应商</w:t>
            </w:r>
            <w:r>
              <w:rPr>
                <w:rFonts w:hint="eastAsia" w:ascii="宋体" w:hAnsi="宋体" w:eastAsia="宋体" w:cs="宋体"/>
                <w:color w:val="auto"/>
                <w:kern w:val="2"/>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tc>
      </w:tr>
      <w:tr w14:paraId="7A30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26D4E2BD">
            <w:pPr>
              <w:spacing w:line="360" w:lineRule="auto"/>
              <w:jc w:val="center"/>
              <w:rPr>
                <w:rFonts w:cs="@仿宋_GB2312" w:asciiTheme="minorEastAsia" w:hAnsiTheme="minorEastAsia" w:eastAsiaTheme="minorEastAsia"/>
                <w:color w:val="auto"/>
                <w:kern w:val="2"/>
                <w:sz w:val="24"/>
                <w:szCs w:val="22"/>
                <w:highlight w:val="none"/>
              </w:rPr>
            </w:pPr>
            <w:r>
              <w:rPr>
                <w:rFonts w:cs="@仿宋_GB2312" w:asciiTheme="minorEastAsia" w:hAnsiTheme="minorEastAsia" w:eastAsiaTheme="minorEastAsia"/>
                <w:color w:val="auto"/>
                <w:kern w:val="2"/>
                <w:sz w:val="24"/>
                <w:szCs w:val="22"/>
                <w:highlight w:val="none"/>
              </w:rPr>
              <w:t>6</w:t>
            </w:r>
          </w:p>
        </w:tc>
        <w:tc>
          <w:tcPr>
            <w:tcW w:w="749" w:type="pct"/>
            <w:vAlign w:val="center"/>
          </w:tcPr>
          <w:p w14:paraId="15D1E940">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项目经理</w:t>
            </w:r>
          </w:p>
        </w:tc>
        <w:tc>
          <w:tcPr>
            <w:tcW w:w="3688" w:type="pct"/>
            <w:vAlign w:val="center"/>
          </w:tcPr>
          <w:p w14:paraId="7E8E931A">
            <w:pPr>
              <w:spacing w:line="360" w:lineRule="auto"/>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bCs/>
                <w:color w:val="auto"/>
                <w:kern w:val="2"/>
                <w:sz w:val="24"/>
                <w:szCs w:val="28"/>
                <w:highlight w:val="none"/>
              </w:rPr>
              <w:t>见第一章《谈判邀请》</w:t>
            </w:r>
          </w:p>
        </w:tc>
      </w:tr>
      <w:tr w14:paraId="35C5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3E57151B">
            <w:pPr>
              <w:spacing w:line="360" w:lineRule="auto"/>
              <w:jc w:val="center"/>
              <w:rPr>
                <w:rFonts w:hint="eastAsia"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7</w:t>
            </w:r>
          </w:p>
        </w:tc>
        <w:tc>
          <w:tcPr>
            <w:tcW w:w="749" w:type="pct"/>
            <w:vAlign w:val="center"/>
          </w:tcPr>
          <w:p w14:paraId="40B4608B">
            <w:pPr>
              <w:pStyle w:val="76"/>
              <w:widowControl w:val="0"/>
              <w:spacing w:before="0" w:beforeAutospacing="0" w:after="0" w:afterAutospacing="0" w:line="360" w:lineRule="auto"/>
              <w:rPr>
                <w:rFonts w:cs="@仿宋_GB2312" w:asciiTheme="minorEastAsia" w:hAnsiTheme="minorEastAsia" w:eastAsiaTheme="minorEastAsia"/>
                <w:color w:val="auto"/>
                <w:kern w:val="2"/>
                <w:sz w:val="24"/>
                <w:highlight w:val="none"/>
              </w:rPr>
            </w:pPr>
            <w:r>
              <w:rPr>
                <w:rFonts w:hint="eastAsia" w:asciiTheme="minorHAnsi" w:hAnsiTheme="minorHAnsi" w:eastAsiaTheme="minorEastAsia"/>
                <w:b w:val="0"/>
                <w:color w:val="auto"/>
                <w:kern w:val="2"/>
                <w:sz w:val="24"/>
                <w:highlight w:val="none"/>
              </w:rPr>
              <w:t>本项目采购标的名称及所属行业</w:t>
            </w:r>
          </w:p>
        </w:tc>
        <w:tc>
          <w:tcPr>
            <w:tcW w:w="3688" w:type="pct"/>
            <w:vAlign w:val="center"/>
          </w:tcPr>
          <w:p w14:paraId="3DB992B7">
            <w:pPr>
              <w:spacing w:line="360" w:lineRule="auto"/>
              <w:jc w:val="left"/>
              <w:rPr>
                <w:rFonts w:hint="eastAsia" w:asciiTheme="minorEastAsia" w:hAnsiTheme="minorEastAsia" w:eastAsiaTheme="minorEastAsia"/>
                <w:color w:val="auto"/>
                <w:kern w:val="2"/>
                <w:sz w:val="24"/>
                <w:szCs w:val="22"/>
                <w:highlight w:val="none"/>
                <w:lang w:eastAsia="zh-CN"/>
              </w:rPr>
            </w:pPr>
            <w:r>
              <w:rPr>
                <w:rFonts w:hint="eastAsia" w:asciiTheme="minorEastAsia" w:hAnsiTheme="minorEastAsia" w:eastAsiaTheme="minorEastAsia"/>
                <w:color w:val="auto"/>
                <w:kern w:val="2"/>
                <w:sz w:val="24"/>
                <w:szCs w:val="22"/>
                <w:highlight w:val="none"/>
              </w:rPr>
              <w:t>标的名称：</w:t>
            </w:r>
            <w:r>
              <w:rPr>
                <w:rFonts w:hint="eastAsia" w:asciiTheme="minorEastAsia" w:hAnsiTheme="minorEastAsia" w:eastAsiaTheme="minorEastAsia"/>
                <w:color w:val="auto"/>
                <w:kern w:val="2"/>
                <w:sz w:val="24"/>
                <w:szCs w:val="22"/>
                <w:highlight w:val="none"/>
                <w:lang w:eastAsia="zh-CN"/>
              </w:rPr>
              <w:t>琅琊区环湖路路灯项目</w:t>
            </w:r>
          </w:p>
          <w:p w14:paraId="70F5C9E2">
            <w:pPr>
              <w:rPr>
                <w:rFonts w:asciiTheme="minorHAnsi" w:hAnsiTheme="minorHAnsi" w:eastAsiaTheme="minorEastAsia"/>
                <w:color w:val="auto"/>
                <w:kern w:val="2"/>
                <w:sz w:val="24"/>
                <w:szCs w:val="22"/>
                <w:highlight w:val="none"/>
              </w:rPr>
            </w:pPr>
            <w:r>
              <w:rPr>
                <w:rFonts w:hint="eastAsia" w:asciiTheme="minorEastAsia" w:hAnsiTheme="minorEastAsia" w:eastAsiaTheme="minorEastAsia"/>
                <w:color w:val="auto"/>
                <w:kern w:val="2"/>
                <w:sz w:val="24"/>
                <w:szCs w:val="22"/>
                <w:highlight w:val="none"/>
              </w:rPr>
              <w:t>所属行业：</w:t>
            </w:r>
            <w:r>
              <w:rPr>
                <w:rFonts w:hint="eastAsia" w:asciiTheme="minorEastAsia" w:hAnsiTheme="minorEastAsia" w:eastAsiaTheme="minorEastAsia"/>
                <w:b/>
                <w:bCs/>
                <w:color w:val="auto"/>
                <w:kern w:val="2"/>
                <w:sz w:val="24"/>
                <w:szCs w:val="22"/>
                <w:highlight w:val="none"/>
              </w:rPr>
              <w:t>建筑业</w:t>
            </w:r>
          </w:p>
        </w:tc>
      </w:tr>
      <w:tr w14:paraId="3205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pct"/>
            <w:vAlign w:val="center"/>
          </w:tcPr>
          <w:p w14:paraId="75EC6534">
            <w:pPr>
              <w:spacing w:line="360" w:lineRule="auto"/>
              <w:jc w:val="center"/>
              <w:rPr>
                <w:rFonts w:hint="default" w:cs="@仿宋_GB2312" w:asciiTheme="minorEastAsia" w:hAnsiTheme="minorEastAsia" w:eastAsiaTheme="minorEastAsia"/>
                <w:color w:val="auto"/>
                <w:kern w:val="2"/>
                <w:sz w:val="24"/>
                <w:szCs w:val="22"/>
                <w:highlight w:val="none"/>
                <w:lang w:val="en-US" w:eastAsia="zh-CN"/>
              </w:rPr>
            </w:pPr>
            <w:r>
              <w:rPr>
                <w:rFonts w:hint="eastAsia" w:cs="@仿宋_GB2312" w:asciiTheme="minorEastAsia" w:hAnsiTheme="minorEastAsia" w:eastAsiaTheme="minorEastAsia"/>
                <w:color w:val="auto"/>
                <w:kern w:val="2"/>
                <w:sz w:val="24"/>
                <w:szCs w:val="22"/>
                <w:highlight w:val="none"/>
                <w:lang w:val="en-US" w:eastAsia="zh-CN"/>
              </w:rPr>
              <w:t>8</w:t>
            </w:r>
          </w:p>
        </w:tc>
        <w:tc>
          <w:tcPr>
            <w:tcW w:w="749" w:type="pct"/>
            <w:vAlign w:val="center"/>
          </w:tcPr>
          <w:p w14:paraId="4165B80F">
            <w:pPr>
              <w:spacing w:line="360" w:lineRule="auto"/>
              <w:jc w:val="left"/>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lang w:val="en-US" w:eastAsia="zh-CN"/>
              </w:rPr>
              <w:t>其他要求</w:t>
            </w:r>
          </w:p>
        </w:tc>
        <w:tc>
          <w:tcPr>
            <w:tcW w:w="3688" w:type="pct"/>
            <w:vAlign w:val="center"/>
          </w:tcPr>
          <w:p w14:paraId="4D986D42">
            <w:pPr>
              <w:spacing w:line="360" w:lineRule="auto"/>
              <w:jc w:val="left"/>
              <w:rPr>
                <w:rFonts w:cs="@仿宋_GB2312" w:asciiTheme="minorEastAsia" w:hAnsiTheme="minorEastAsia" w:eastAsiaTheme="minorEastAsia"/>
                <w:color w:val="auto"/>
                <w:kern w:val="2"/>
                <w:sz w:val="24"/>
                <w:szCs w:val="22"/>
                <w:highlight w:val="none"/>
              </w:rPr>
            </w:pPr>
            <w:r>
              <w:rPr>
                <w:rFonts w:hint="eastAsia" w:cs="@仿宋_GB2312" w:asciiTheme="minorEastAsia" w:hAnsiTheme="minorEastAsia" w:eastAsiaTheme="minorEastAsia"/>
                <w:color w:val="auto"/>
                <w:kern w:val="2"/>
                <w:sz w:val="24"/>
                <w:szCs w:val="22"/>
                <w:highlight w:val="none"/>
              </w:rPr>
              <w:t>成交人在施工期间，做好采购人既有设施设备的保护和管理，因施工给采购人带来损失的，应予以修复或赔偿，赔偿款从工程结算款价中抵扣。工程结束后提交验收前应做好现场保洁，确保整洁干净。</w:t>
            </w:r>
          </w:p>
        </w:tc>
      </w:tr>
    </w:tbl>
    <w:p w14:paraId="19384BDE">
      <w:p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rPr>
        <w:t>工程量清单详见附件</w:t>
      </w:r>
      <w:r>
        <w:rPr>
          <w:rFonts w:hint="eastAsia" w:asciiTheme="minorEastAsia" w:hAnsiTheme="minorEastAsia" w:eastAsiaTheme="minorEastAsia"/>
          <w:b/>
          <w:bCs/>
          <w:color w:val="auto"/>
          <w:sz w:val="24"/>
          <w:highlight w:val="none"/>
          <w:lang w:eastAsia="zh-CN"/>
        </w:rPr>
        <w:t>。</w:t>
      </w:r>
    </w:p>
    <w:p w14:paraId="0195BF30">
      <w:pPr>
        <w:spacing w:line="360" w:lineRule="auto"/>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3DECDF0">
      <w:pPr>
        <w:spacing w:line="360" w:lineRule="auto"/>
        <w:jc w:val="center"/>
        <w:outlineLvl w:val="0"/>
        <w:rPr>
          <w:rFonts w:asciiTheme="minorEastAsia" w:hAnsiTheme="minorEastAsia" w:eastAsiaTheme="minorEastAsia"/>
          <w:b/>
          <w:color w:val="auto"/>
          <w:sz w:val="28"/>
          <w:highlight w:val="none"/>
        </w:rPr>
      </w:pPr>
      <w:bookmarkStart w:id="32" w:name="_Toc28266"/>
      <w:r>
        <w:rPr>
          <w:rFonts w:hint="eastAsia" w:asciiTheme="minorEastAsia" w:hAnsiTheme="minorEastAsia" w:eastAsiaTheme="minorEastAsia"/>
          <w:b/>
          <w:color w:val="auto"/>
          <w:sz w:val="28"/>
          <w:highlight w:val="none"/>
        </w:rPr>
        <w:t>第四章  评审方法和标准</w:t>
      </w:r>
      <w:bookmarkEnd w:id="32"/>
    </w:p>
    <w:p w14:paraId="505F2FB1">
      <w:pPr>
        <w:spacing w:line="360" w:lineRule="auto"/>
        <w:ind w:firstLine="437"/>
        <w:outlineLvl w:val="1"/>
        <w:rPr>
          <w:rFonts w:asciiTheme="minorEastAsia" w:hAnsiTheme="minorEastAsia" w:eastAsiaTheme="minorEastAsia"/>
          <w:b/>
          <w:color w:val="auto"/>
          <w:sz w:val="24"/>
          <w:highlight w:val="none"/>
        </w:rPr>
      </w:pPr>
      <w:bookmarkStart w:id="33" w:name="_Toc7278"/>
      <w:bookmarkStart w:id="34" w:name="_Toc7817"/>
      <w:r>
        <w:rPr>
          <w:rFonts w:hint="eastAsia" w:asciiTheme="minorEastAsia" w:hAnsiTheme="minorEastAsia" w:eastAsiaTheme="minorEastAsia"/>
          <w:b/>
          <w:color w:val="auto"/>
          <w:sz w:val="24"/>
          <w:highlight w:val="none"/>
        </w:rPr>
        <w:t>一、总则</w:t>
      </w:r>
      <w:bookmarkEnd w:id="33"/>
      <w:bookmarkEnd w:id="34"/>
    </w:p>
    <w:p w14:paraId="533674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本项目将按照谈判文件第二章供应商须知的相关要求</w:t>
      </w:r>
      <w:r>
        <w:rPr>
          <w:rFonts w:asciiTheme="minorEastAsia" w:hAnsiTheme="minorEastAsia" w:eastAsiaTheme="minorEastAsia"/>
          <w:color w:val="auto"/>
          <w:sz w:val="24"/>
          <w:highlight w:val="none"/>
        </w:rPr>
        <w:t>及本章的规定</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w:t>
      </w:r>
    </w:p>
    <w:p w14:paraId="19C0FF9E">
      <w:pPr>
        <w:numPr>
          <w:ilvl w:val="0"/>
          <w:numId w:val="2"/>
        </w:numPr>
        <w:spacing w:line="360" w:lineRule="auto"/>
        <w:ind w:firstLine="437"/>
        <w:outlineLvl w:val="1"/>
        <w:rPr>
          <w:rFonts w:hint="eastAsia" w:asciiTheme="minorEastAsia" w:hAnsiTheme="minorEastAsia" w:eastAsiaTheme="minorEastAsia"/>
          <w:b/>
          <w:color w:val="auto"/>
          <w:sz w:val="24"/>
          <w:highlight w:val="none"/>
        </w:rPr>
      </w:pPr>
      <w:bookmarkStart w:id="35" w:name="_Toc31558"/>
      <w:bookmarkStart w:id="36" w:name="_Toc31007"/>
      <w:r>
        <w:rPr>
          <w:rFonts w:hint="eastAsia" w:asciiTheme="minorEastAsia" w:hAnsiTheme="minorEastAsia" w:eastAsiaTheme="minorEastAsia"/>
          <w:b/>
          <w:color w:val="auto"/>
          <w:sz w:val="24"/>
          <w:highlight w:val="none"/>
        </w:rPr>
        <w:t>评审方法</w:t>
      </w:r>
      <w:bookmarkEnd w:id="35"/>
      <w:bookmarkEnd w:id="36"/>
    </w:p>
    <w:p w14:paraId="6F0ECC2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2.1初审</w:t>
      </w:r>
    </w:p>
    <w:p w14:paraId="1CC6254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谈判小组对供应商的响应文件进行初审，以确定其是否满足谈判文件的实质性要求。初审表如下：</w:t>
      </w:r>
    </w:p>
    <w:tbl>
      <w:tblPr>
        <w:tblStyle w:val="55"/>
        <w:tblW w:w="50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553"/>
        <w:gridCol w:w="3777"/>
        <w:gridCol w:w="2438"/>
      </w:tblGrid>
      <w:tr w14:paraId="65F1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4"/>
            <w:tcBorders>
              <w:bottom w:val="single" w:color="auto" w:sz="4" w:space="0"/>
            </w:tcBorders>
            <w:vAlign w:val="center"/>
          </w:tcPr>
          <w:p w14:paraId="18B3E0F7">
            <w:pPr>
              <w:adjustRightInd w:val="0"/>
              <w:snapToGrid w:val="0"/>
              <w:ind w:right="-10"/>
              <w:jc w:val="center"/>
              <w:rPr>
                <w:rFonts w:hint="eastAsia" w:ascii="Calibri" w:hAnsi="Calibri" w:cs="Times New Roman"/>
                <w:b/>
                <w:color w:val="auto"/>
                <w:kern w:val="2"/>
                <w:sz w:val="24"/>
                <w:szCs w:val="22"/>
                <w:highlight w:val="none"/>
              </w:rPr>
            </w:pPr>
            <w:r>
              <w:rPr>
                <w:rFonts w:hint="eastAsia" w:ascii="Calibri" w:hAnsi="Calibri" w:cs="Times New Roman"/>
                <w:b/>
                <w:color w:val="auto"/>
                <w:kern w:val="2"/>
                <w:sz w:val="24"/>
                <w:szCs w:val="22"/>
                <w:highlight w:val="none"/>
              </w:rPr>
              <w:t>初审表</w:t>
            </w:r>
          </w:p>
        </w:tc>
      </w:tr>
      <w:tr w14:paraId="323A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492" w:type="pct"/>
            <w:tcBorders>
              <w:bottom w:val="single" w:color="auto" w:sz="4" w:space="0"/>
            </w:tcBorders>
            <w:vAlign w:val="center"/>
          </w:tcPr>
          <w:p w14:paraId="42B9ED50">
            <w:pPr>
              <w:adjustRightInd w:val="0"/>
              <w:snapToGrid w:val="0"/>
              <w:spacing w:line="360" w:lineRule="auto"/>
              <w:ind w:right="-10" w:rightChars="0"/>
              <w:jc w:val="center"/>
              <w:rPr>
                <w:rFonts w:ascii="Calibri" w:hAnsi="Calibri" w:cs="Times New Roman"/>
                <w:b/>
                <w:bCs/>
                <w:color w:val="auto"/>
                <w:kern w:val="2"/>
                <w:sz w:val="24"/>
                <w:szCs w:val="22"/>
                <w:highlight w:val="none"/>
              </w:rPr>
            </w:pPr>
            <w:r>
              <w:rPr>
                <w:rFonts w:hint="eastAsia" w:ascii="宋体" w:hAnsi="宋体" w:eastAsia="宋体"/>
                <w:b/>
                <w:bCs/>
                <w:color w:val="auto"/>
                <w:sz w:val="24"/>
                <w:highlight w:val="none"/>
              </w:rPr>
              <w:t>序号</w:t>
            </w:r>
          </w:p>
        </w:tc>
        <w:tc>
          <w:tcPr>
            <w:tcW w:w="901" w:type="pct"/>
            <w:tcBorders>
              <w:bottom w:val="single" w:color="auto" w:sz="4" w:space="0"/>
            </w:tcBorders>
            <w:vAlign w:val="center"/>
          </w:tcPr>
          <w:p w14:paraId="5EEB0161">
            <w:pPr>
              <w:pStyle w:val="77"/>
              <w:pBdr>
                <w:bottom w:val="none" w:color="auto" w:sz="0" w:space="0"/>
              </w:pBdr>
              <w:tabs>
                <w:tab w:val="clear" w:pos="4153"/>
                <w:tab w:val="clear" w:pos="8306"/>
              </w:tabs>
              <w:snapToGrid w:val="0"/>
              <w:spacing w:line="360" w:lineRule="auto"/>
              <w:ind w:right="-10" w:rightChars="0"/>
              <w:textAlignment w:val="auto"/>
              <w:rPr>
                <w:rFonts w:ascii="Calibri" w:hAnsi="Calibri" w:cs="Times New Roman"/>
                <w:b/>
                <w:bCs/>
                <w:color w:val="auto"/>
                <w:kern w:val="2"/>
                <w:sz w:val="24"/>
                <w:szCs w:val="24"/>
                <w:highlight w:val="none"/>
              </w:rPr>
            </w:pPr>
            <w:r>
              <w:rPr>
                <w:rFonts w:hint="eastAsia" w:ascii="宋体" w:hAnsi="宋体" w:eastAsia="宋体"/>
                <w:b/>
                <w:bCs/>
                <w:color w:val="auto"/>
                <w:kern w:val="2"/>
                <w:szCs w:val="24"/>
                <w:highlight w:val="none"/>
                <w:lang w:val="en-US" w:eastAsia="zh-CN"/>
              </w:rPr>
              <w:t>审查因素</w:t>
            </w:r>
          </w:p>
        </w:tc>
        <w:tc>
          <w:tcPr>
            <w:tcW w:w="2191" w:type="pct"/>
            <w:tcBorders>
              <w:bottom w:val="single" w:color="auto" w:sz="4" w:space="0"/>
            </w:tcBorders>
            <w:vAlign w:val="center"/>
          </w:tcPr>
          <w:p w14:paraId="68ABB770">
            <w:pPr>
              <w:adjustRightInd w:val="0"/>
              <w:snapToGrid w:val="0"/>
              <w:spacing w:line="360" w:lineRule="auto"/>
              <w:ind w:right="-10" w:rightChars="0"/>
              <w:jc w:val="center"/>
              <w:rPr>
                <w:rFonts w:ascii="Calibri" w:hAnsi="Calibri" w:cs="Times New Roman"/>
                <w:b/>
                <w:bCs/>
                <w:color w:val="auto"/>
                <w:kern w:val="2"/>
                <w:sz w:val="24"/>
                <w:szCs w:val="22"/>
                <w:highlight w:val="none"/>
              </w:rPr>
            </w:pPr>
            <w:r>
              <w:rPr>
                <w:rFonts w:hint="eastAsia" w:ascii="宋体" w:hAnsi="宋体" w:eastAsia="宋体"/>
                <w:b/>
                <w:bCs/>
                <w:color w:val="auto"/>
                <w:sz w:val="24"/>
                <w:highlight w:val="none"/>
                <w:lang w:val="en-US" w:eastAsia="zh-CN"/>
              </w:rPr>
              <w:t>审查内容</w:t>
            </w:r>
          </w:p>
        </w:tc>
        <w:tc>
          <w:tcPr>
            <w:tcW w:w="1414" w:type="pct"/>
            <w:tcBorders>
              <w:bottom w:val="single" w:color="auto" w:sz="4" w:space="0"/>
            </w:tcBorders>
            <w:vAlign w:val="center"/>
          </w:tcPr>
          <w:p w14:paraId="71EA4505">
            <w:pPr>
              <w:adjustRightInd w:val="0"/>
              <w:snapToGrid w:val="0"/>
              <w:spacing w:line="360" w:lineRule="auto"/>
              <w:ind w:right="-10" w:rightChars="0"/>
              <w:jc w:val="center"/>
              <w:rPr>
                <w:rFonts w:hint="eastAsia" w:ascii="Calibri" w:hAnsi="Calibri" w:cs="Times New Roman"/>
                <w:b/>
                <w:bCs/>
                <w:color w:val="auto"/>
                <w:kern w:val="2"/>
                <w:sz w:val="24"/>
                <w:szCs w:val="22"/>
                <w:highlight w:val="none"/>
              </w:rPr>
            </w:pPr>
            <w:r>
              <w:rPr>
                <w:rFonts w:hint="eastAsia" w:ascii="宋体" w:hAnsi="宋体" w:eastAsia="宋体"/>
                <w:b/>
                <w:bCs/>
                <w:color w:val="auto"/>
                <w:sz w:val="24"/>
                <w:highlight w:val="none"/>
              </w:rPr>
              <w:t>格式要求</w:t>
            </w:r>
          </w:p>
        </w:tc>
      </w:tr>
      <w:tr w14:paraId="57C5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tcBorders>
              <w:bottom w:val="single" w:color="auto" w:sz="4" w:space="0"/>
            </w:tcBorders>
            <w:vAlign w:val="center"/>
          </w:tcPr>
          <w:p w14:paraId="27A7CD81">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宋体" w:hAnsi="宋体" w:eastAsia="宋体"/>
                <w:color w:val="auto"/>
                <w:sz w:val="24"/>
                <w:highlight w:val="none"/>
              </w:rPr>
              <w:t>1</w:t>
            </w:r>
          </w:p>
        </w:tc>
        <w:tc>
          <w:tcPr>
            <w:tcW w:w="901" w:type="pct"/>
            <w:tcBorders>
              <w:bottom w:val="single" w:color="auto" w:sz="4" w:space="0"/>
            </w:tcBorders>
            <w:vAlign w:val="center"/>
          </w:tcPr>
          <w:p w14:paraId="614DAAC0">
            <w:pPr>
              <w:spacing w:after="50" w:line="360" w:lineRule="auto"/>
              <w:ind w:right="-10" w:rightChars="0"/>
              <w:jc w:val="center"/>
              <w:rPr>
                <w:rFonts w:ascii="Calibri" w:hAnsi="Calibri" w:cs="Times New Roman"/>
                <w:color w:val="auto"/>
                <w:kern w:val="2"/>
                <w:sz w:val="24"/>
                <w:szCs w:val="24"/>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191" w:type="pct"/>
            <w:tcBorders>
              <w:bottom w:val="single" w:color="auto" w:sz="4" w:space="0"/>
            </w:tcBorders>
            <w:vAlign w:val="center"/>
          </w:tcPr>
          <w:p w14:paraId="3584368E">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6FA53440">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E909C5A">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3B16C0A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325DDE9D">
            <w:pPr>
              <w:spacing w:after="50" w:line="360" w:lineRule="auto"/>
              <w:ind w:right="-10" w:rightChars="0"/>
              <w:jc w:val="left"/>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lang w:val="en-US"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414" w:type="pct"/>
            <w:tcBorders>
              <w:bottom w:val="single" w:color="auto" w:sz="4" w:space="0"/>
            </w:tcBorders>
            <w:vAlign w:val="center"/>
          </w:tcPr>
          <w:p w14:paraId="0E7AE123">
            <w:pPr>
              <w:spacing w:line="360" w:lineRule="auto"/>
              <w:jc w:val="left"/>
              <w:rPr>
                <w:rFonts w:hint="eastAsia" w:cs="Times New Roman"/>
                <w:color w:val="auto"/>
                <w:kern w:val="2"/>
                <w:sz w:val="24"/>
                <w:szCs w:val="22"/>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062C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vAlign w:val="center"/>
          </w:tcPr>
          <w:p w14:paraId="27C6C4F8">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宋体" w:hAnsi="宋体" w:eastAsia="宋体"/>
                <w:color w:val="auto"/>
                <w:sz w:val="24"/>
                <w:highlight w:val="none"/>
                <w:lang w:val="en-US" w:eastAsia="zh-CN"/>
              </w:rPr>
              <w:t>2</w:t>
            </w:r>
          </w:p>
        </w:tc>
        <w:tc>
          <w:tcPr>
            <w:tcW w:w="901" w:type="pct"/>
            <w:vAlign w:val="center"/>
          </w:tcPr>
          <w:p w14:paraId="05622CC6">
            <w:pPr>
              <w:spacing w:after="50" w:line="360" w:lineRule="auto"/>
              <w:ind w:right="-10" w:rightChars="0"/>
              <w:jc w:val="center"/>
              <w:rPr>
                <w:rFonts w:ascii="Calibri" w:hAnsi="Calibri" w:cs="Times New Roman"/>
                <w:color w:val="auto"/>
                <w:kern w:val="2"/>
                <w:sz w:val="24"/>
                <w:szCs w:val="24"/>
                <w:highlight w:val="none"/>
              </w:rPr>
            </w:pPr>
            <w:r>
              <w:rPr>
                <w:rFonts w:hint="eastAsia" w:ascii="宋体" w:hAnsi="宋体" w:eastAsia="宋体"/>
                <w:color w:val="auto"/>
                <w:sz w:val="24"/>
                <w:szCs w:val="18"/>
                <w:highlight w:val="none"/>
                <w:lang w:val="en-US" w:eastAsia="zh-CN"/>
              </w:rPr>
              <w:t>供应商资格声明书</w:t>
            </w:r>
          </w:p>
        </w:tc>
        <w:tc>
          <w:tcPr>
            <w:tcW w:w="2191" w:type="pct"/>
            <w:vAlign w:val="center"/>
          </w:tcPr>
          <w:p w14:paraId="4AB3C6EF">
            <w:pPr>
              <w:spacing w:after="50" w:line="360" w:lineRule="auto"/>
              <w:ind w:right="-10" w:rightChars="0"/>
              <w:jc w:val="left"/>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cs="宋体"/>
                <w:color w:val="auto"/>
                <w:sz w:val="24"/>
                <w:szCs w:val="24"/>
                <w:highlight w:val="none"/>
                <w:lang w:val="en-US" w:eastAsia="zh-CN"/>
              </w:rPr>
              <w:t>谈判</w:t>
            </w:r>
            <w:r>
              <w:rPr>
                <w:rFonts w:ascii="宋体" w:hAnsi="宋体" w:eastAsia="宋体" w:cs="宋体"/>
                <w:color w:val="auto"/>
                <w:sz w:val="24"/>
                <w:szCs w:val="24"/>
                <w:highlight w:val="none"/>
              </w:rPr>
              <w:t>文件要求的《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1414" w:type="pct"/>
            <w:vAlign w:val="center"/>
          </w:tcPr>
          <w:p w14:paraId="437D4B04">
            <w:pPr>
              <w:spacing w:line="360" w:lineRule="auto"/>
              <w:jc w:val="left"/>
              <w:rPr>
                <w:rFonts w:hint="eastAsia" w:cs="Times New Roman"/>
                <w:color w:val="auto"/>
                <w:kern w:val="2"/>
                <w:sz w:val="24"/>
                <w:szCs w:val="22"/>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E47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vAlign w:val="center"/>
          </w:tcPr>
          <w:p w14:paraId="50414D2F">
            <w:pPr>
              <w:adjustRightInd w:val="0"/>
              <w:snapToGrid w:val="0"/>
              <w:spacing w:line="360" w:lineRule="auto"/>
              <w:ind w:right="-10" w:rightChars="0"/>
              <w:jc w:val="center"/>
              <w:rPr>
                <w:rFonts w:hint="eastAsia" w:cs="Times New Roman" w:asciiTheme="minorEastAsia" w:hAnsiTheme="minorEastAsia" w:eastAsiaTheme="minorEastAsia"/>
                <w:color w:val="auto"/>
                <w:kern w:val="2"/>
                <w:sz w:val="24"/>
                <w:szCs w:val="22"/>
                <w:highlight w:val="none"/>
                <w:lang w:eastAsia="zh-CN"/>
              </w:rPr>
            </w:pPr>
            <w:r>
              <w:rPr>
                <w:rFonts w:hint="eastAsia"/>
                <w:color w:val="auto"/>
                <w:sz w:val="24"/>
                <w:highlight w:val="none"/>
                <w:lang w:val="en-US" w:eastAsia="zh-CN"/>
              </w:rPr>
              <w:t>3</w:t>
            </w:r>
          </w:p>
        </w:tc>
        <w:tc>
          <w:tcPr>
            <w:tcW w:w="1553" w:type="dxa"/>
            <w:vAlign w:val="center"/>
          </w:tcPr>
          <w:p w14:paraId="1B128A1B">
            <w:pPr>
              <w:spacing w:after="50" w:line="360" w:lineRule="auto"/>
              <w:ind w:right="-10" w:rightChars="0"/>
              <w:jc w:val="center"/>
              <w:rPr>
                <w:rFonts w:ascii="Calibri" w:hAnsi="Calibri" w:cs="Times New Roman"/>
                <w:color w:val="auto"/>
                <w:kern w:val="2"/>
                <w:sz w:val="24"/>
                <w:szCs w:val="24"/>
                <w:highlight w:val="none"/>
              </w:rPr>
            </w:pPr>
            <w:r>
              <w:rPr>
                <w:rFonts w:hint="eastAsia" w:ascii="宋体" w:hAnsi="宋体" w:eastAsia="宋体" w:cs="宋体"/>
                <w:color w:val="auto"/>
                <w:sz w:val="24"/>
                <w:szCs w:val="24"/>
                <w:highlight w:val="none"/>
              </w:rPr>
              <w:t>中小企业证明文件（</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3777" w:type="dxa"/>
            <w:vAlign w:val="top"/>
          </w:tcPr>
          <w:p w14:paraId="484E1E1F">
            <w:pPr>
              <w:spacing w:after="50" w:line="360" w:lineRule="auto"/>
              <w:ind w:right="-10"/>
              <w:jc w:val="left"/>
              <w:rPr>
                <w:rFonts w:hint="eastAsia" w:ascii="宋体" w:hAnsi="宋体" w:eastAsia="宋体" w:cs="宋体"/>
                <w:color w:val="auto"/>
                <w:sz w:val="24"/>
                <w:szCs w:val="24"/>
                <w:highlight w:val="none"/>
                <w:lang w:eastAsia="zh-CN"/>
              </w:rPr>
            </w:pPr>
            <w:r>
              <w:rPr>
                <w:rFonts w:hint="eastAsia" w:ascii="宋体" w:hAnsi="宋体" w:eastAsia="宋体"/>
                <w:color w:val="auto"/>
                <w:sz w:val="24"/>
                <w:szCs w:val="28"/>
                <w:highlight w:val="none"/>
              </w:rPr>
              <w:t>符合</w:t>
            </w:r>
            <w:r>
              <w:rPr>
                <w:rFonts w:hint="eastAsia" w:ascii="宋体" w:hAnsi="宋体" w:eastAsia="宋体"/>
                <w:color w:val="auto"/>
                <w:sz w:val="24"/>
                <w:szCs w:val="28"/>
                <w:highlight w:val="none"/>
                <w:lang w:val="en-US" w:eastAsia="zh-CN"/>
              </w:rPr>
              <w:t>申请人的</w:t>
            </w:r>
            <w:r>
              <w:rPr>
                <w:rFonts w:hint="eastAsia" w:ascii="宋体" w:hAnsi="宋体" w:eastAsia="宋体"/>
                <w:color w:val="auto"/>
                <w:sz w:val="24"/>
                <w:szCs w:val="28"/>
                <w:highlight w:val="none"/>
              </w:rPr>
              <w:t>资格</w:t>
            </w:r>
            <w:r>
              <w:rPr>
                <w:rFonts w:hint="eastAsia" w:ascii="宋体" w:hAnsi="宋体" w:eastAsia="宋体"/>
                <w:color w:val="auto"/>
                <w:sz w:val="24"/>
                <w:szCs w:val="28"/>
                <w:highlight w:val="none"/>
                <w:lang w:val="en-US" w:eastAsia="zh-CN"/>
              </w:rPr>
              <w:t>要求</w:t>
            </w:r>
            <w:r>
              <w:rPr>
                <w:rFonts w:hint="eastAsia" w:ascii="宋体" w:hAnsi="宋体" w:eastAsia="宋体"/>
                <w:color w:val="auto"/>
                <w:sz w:val="24"/>
                <w:szCs w:val="28"/>
                <w:highlight w:val="none"/>
              </w:rPr>
              <w:t>中落实政府采购政策需满足的资格要求</w:t>
            </w:r>
            <w:r>
              <w:rPr>
                <w:rFonts w:hint="eastAsia" w:ascii="宋体" w:hAnsi="宋体" w:eastAsia="宋体"/>
                <w:color w:val="auto"/>
                <w:sz w:val="24"/>
                <w:szCs w:val="28"/>
                <w:highlight w:val="none"/>
                <w:lang w:eastAsia="zh-CN"/>
              </w:rPr>
              <w:t>：</w:t>
            </w:r>
          </w:p>
          <w:p w14:paraId="681601CB">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供《中小企业声明函》或《残疾人福利性单位声明函》或由省级以上监狱管理局、戒毒管理局（含新疆生产建设兵团）出具的属于监狱企业的证明文件。</w:t>
            </w:r>
          </w:p>
          <w:p w14:paraId="2F45EA59">
            <w:pPr>
              <w:spacing w:after="50" w:line="360" w:lineRule="auto"/>
              <w:ind w:right="-10" w:rightChars="0"/>
              <w:jc w:val="left"/>
              <w:rPr>
                <w:rFonts w:ascii="Calibri" w:hAnsi="Calibri" w:cs="Times New Roman"/>
                <w:color w:val="auto"/>
                <w:kern w:val="2"/>
                <w:sz w:val="24"/>
                <w:szCs w:val="22"/>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文件要求以联合体形式参加或者要求合同分包的，且</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w:t>
            </w:r>
            <w:r>
              <w:rPr>
                <w:rFonts w:hint="eastAsia" w:ascii="宋体" w:hAnsi="宋体" w:eastAsia="宋体" w:cs="宋体"/>
                <w:color w:val="auto"/>
                <w:sz w:val="24"/>
                <w:szCs w:val="24"/>
                <w:highlight w:val="none"/>
                <w:lang w:val="en-US" w:eastAsia="zh-CN"/>
              </w:rPr>
              <w:t>谈判</w:t>
            </w:r>
            <w:r>
              <w:rPr>
                <w:rFonts w:hint="eastAsia" w:ascii="宋体" w:hAnsi="宋体" w:eastAsia="宋体" w:cs="宋体"/>
                <w:color w:val="auto"/>
                <w:sz w:val="24"/>
                <w:szCs w:val="24"/>
                <w:highlight w:val="none"/>
              </w:rPr>
              <w:t>文件关于预留份额的要求。</w:t>
            </w:r>
          </w:p>
        </w:tc>
        <w:tc>
          <w:tcPr>
            <w:tcW w:w="1414" w:type="pct"/>
            <w:vAlign w:val="center"/>
          </w:tcPr>
          <w:p w14:paraId="088E328E">
            <w:pPr>
              <w:spacing w:after="50" w:line="360" w:lineRule="auto"/>
              <w:ind w:right="-10" w:rightChars="0"/>
              <w:jc w:val="center"/>
              <w:rPr>
                <w:rFonts w:hint="eastAsia" w:cs="Times New Roman"/>
                <w:color w:val="auto"/>
                <w:kern w:val="2"/>
                <w:sz w:val="24"/>
                <w:szCs w:val="22"/>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572F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2" w:type="pct"/>
            <w:vAlign w:val="center"/>
          </w:tcPr>
          <w:p w14:paraId="34B33DC9">
            <w:pPr>
              <w:adjustRightInd w:val="0"/>
              <w:snapToGrid w:val="0"/>
              <w:spacing w:line="360" w:lineRule="auto"/>
              <w:ind w:right="-10" w:rightChars="0"/>
              <w:jc w:val="center"/>
              <w:rPr>
                <w:rFonts w:hint="eastAsia" w:cs="Times New Roman" w:asciiTheme="minorEastAsia" w:hAnsiTheme="minorEastAsia" w:eastAsiaTheme="minorEastAsia"/>
                <w:color w:val="auto"/>
                <w:kern w:val="2"/>
                <w:sz w:val="24"/>
                <w:szCs w:val="22"/>
                <w:highlight w:val="none"/>
                <w:lang w:eastAsia="zh-CN"/>
              </w:rPr>
            </w:pPr>
            <w:r>
              <w:rPr>
                <w:rFonts w:hint="eastAsia"/>
                <w:color w:val="auto"/>
                <w:sz w:val="24"/>
                <w:highlight w:val="none"/>
                <w:lang w:val="en-US" w:eastAsia="zh-CN"/>
              </w:rPr>
              <w:t>4</w:t>
            </w:r>
          </w:p>
        </w:tc>
        <w:tc>
          <w:tcPr>
            <w:tcW w:w="901" w:type="pct"/>
            <w:shd w:val="clear" w:color="auto" w:fill="auto"/>
            <w:vAlign w:val="center"/>
          </w:tcPr>
          <w:p w14:paraId="1C475E22">
            <w:pPr>
              <w:spacing w:after="50" w:line="360" w:lineRule="auto"/>
              <w:ind w:right="-10" w:rightChars="0"/>
              <w:jc w:val="both"/>
              <w:rPr>
                <w:rFonts w:ascii="Calibri" w:hAnsi="Calibri" w:eastAsia="宋体" w:cs="Times New Roman"/>
                <w:color w:val="auto"/>
                <w:kern w:val="2"/>
                <w:sz w:val="24"/>
                <w:szCs w:val="24"/>
                <w:highlight w:val="none"/>
                <w:lang w:val="en-US" w:eastAsia="zh-CN" w:bidi="ar-SA"/>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191" w:type="pct"/>
            <w:shd w:val="clear" w:color="auto" w:fill="auto"/>
            <w:vAlign w:val="center"/>
          </w:tcPr>
          <w:p w14:paraId="489D9631">
            <w:pPr>
              <w:spacing w:after="50" w:line="360" w:lineRule="auto"/>
              <w:ind w:right="-10" w:rightChars="0"/>
              <w:jc w:val="both"/>
              <w:rPr>
                <w:rFonts w:ascii="Calibri" w:hAnsi="Calibri" w:eastAsia="宋体" w:cs="Times New Roman"/>
                <w:color w:val="auto"/>
                <w:kern w:val="2"/>
                <w:sz w:val="24"/>
                <w:szCs w:val="22"/>
                <w:highlight w:val="none"/>
                <w:lang w:val="en-US" w:eastAsia="zh-CN" w:bidi="ar-SA"/>
              </w:rPr>
            </w:pPr>
            <w:r>
              <w:rPr>
                <w:rFonts w:ascii="宋体" w:hAnsi="宋体" w:eastAsia="宋体" w:cs="宋体"/>
                <w:color w:val="auto"/>
                <w:spacing w:val="-2"/>
                <w:sz w:val="24"/>
                <w:szCs w:val="24"/>
                <w:highlight w:val="none"/>
              </w:rPr>
              <w:t>如有，见第一章《</w:t>
            </w:r>
            <w:r>
              <w:rPr>
                <w:rFonts w:hint="eastAsia" w:ascii="宋体" w:hAnsi="宋体" w:eastAsia="宋体" w:cs="宋体"/>
                <w:color w:val="auto"/>
                <w:spacing w:val="-2"/>
                <w:sz w:val="24"/>
                <w:szCs w:val="24"/>
                <w:highlight w:val="none"/>
                <w:lang w:val="en-US" w:eastAsia="zh-CN"/>
              </w:rPr>
              <w:t>谈判</w:t>
            </w:r>
            <w:r>
              <w:rPr>
                <w:rFonts w:ascii="宋体" w:hAnsi="宋体" w:eastAsia="宋体" w:cs="宋体"/>
                <w:color w:val="auto"/>
                <w:spacing w:val="-2"/>
                <w:sz w:val="24"/>
                <w:szCs w:val="24"/>
                <w:highlight w:val="none"/>
              </w:rPr>
              <w:t>邀请》</w:t>
            </w:r>
          </w:p>
        </w:tc>
        <w:tc>
          <w:tcPr>
            <w:tcW w:w="1414" w:type="pct"/>
            <w:shd w:val="clear" w:color="auto" w:fill="auto"/>
            <w:vAlign w:val="center"/>
          </w:tcPr>
          <w:p w14:paraId="71465D93">
            <w:pPr>
              <w:spacing w:after="50" w:line="360" w:lineRule="auto"/>
              <w:ind w:right="-10" w:rightChars="0"/>
              <w:jc w:val="both"/>
              <w:rPr>
                <w:rFonts w:hint="eastAsia" w:ascii="宋体" w:hAnsi="宋体" w:eastAsia="宋体" w:cs="Times New Roman"/>
                <w:color w:val="auto"/>
                <w:kern w:val="2"/>
                <w:sz w:val="24"/>
                <w:szCs w:val="22"/>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277D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01AB4F71">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宋体" w:hAnsi="宋体" w:eastAsia="宋体"/>
                <w:color w:val="auto"/>
                <w:sz w:val="24"/>
                <w:highlight w:val="none"/>
              </w:rPr>
              <w:t>5</w:t>
            </w:r>
          </w:p>
        </w:tc>
        <w:tc>
          <w:tcPr>
            <w:tcW w:w="901" w:type="pct"/>
            <w:shd w:val="clear" w:color="auto" w:fill="auto"/>
            <w:vAlign w:val="center"/>
          </w:tcPr>
          <w:p w14:paraId="41F81BE3">
            <w:pPr>
              <w:spacing w:after="50" w:line="360" w:lineRule="auto"/>
              <w:ind w:right="-10" w:rightChars="0"/>
              <w:jc w:val="both"/>
              <w:rPr>
                <w:rFonts w:ascii="Calibri" w:hAnsi="Calibri" w:eastAsia="宋体" w:cs="Times New Roman"/>
                <w:color w:val="auto"/>
                <w:kern w:val="2"/>
                <w:sz w:val="24"/>
                <w:szCs w:val="24"/>
                <w:highlight w:val="none"/>
                <w:lang w:val="en-US" w:eastAsia="zh-CN" w:bidi="ar-SA"/>
              </w:rPr>
            </w:pPr>
            <w:r>
              <w:rPr>
                <w:rFonts w:hint="eastAsia" w:ascii="宋体" w:hAnsi="宋体" w:eastAsia="宋体" w:cs="宋体"/>
                <w:color w:val="auto"/>
                <w:spacing w:val="10"/>
                <w:sz w:val="24"/>
                <w:szCs w:val="24"/>
                <w:highlight w:val="none"/>
                <w:lang w:eastAsia="zh-CN"/>
              </w:rPr>
              <w:t>本项目的</w:t>
            </w:r>
            <w:r>
              <w:rPr>
                <w:rFonts w:ascii="宋体" w:hAnsi="宋体" w:eastAsia="宋体" w:cs="宋体"/>
                <w:color w:val="auto"/>
                <w:spacing w:val="10"/>
                <w:sz w:val="24"/>
                <w:szCs w:val="24"/>
                <w:highlight w:val="none"/>
              </w:rPr>
              <w:t>特定资格要求</w:t>
            </w:r>
          </w:p>
        </w:tc>
        <w:tc>
          <w:tcPr>
            <w:tcW w:w="2191" w:type="pct"/>
            <w:shd w:val="clear" w:color="auto" w:fill="auto"/>
            <w:vAlign w:val="center"/>
          </w:tcPr>
          <w:p w14:paraId="3A8D1D35">
            <w:pPr>
              <w:spacing w:after="50" w:line="360" w:lineRule="auto"/>
              <w:ind w:right="-10" w:rightChars="0"/>
              <w:jc w:val="both"/>
              <w:rPr>
                <w:rFonts w:ascii="Calibri" w:hAnsi="Calibri" w:eastAsia="宋体" w:cs="Times New Roman"/>
                <w:color w:val="auto"/>
                <w:kern w:val="2"/>
                <w:sz w:val="24"/>
                <w:szCs w:val="22"/>
                <w:highlight w:val="none"/>
                <w:lang w:val="en-US" w:eastAsia="zh-CN" w:bidi="ar-SA"/>
              </w:rPr>
            </w:pPr>
            <w:r>
              <w:rPr>
                <w:rFonts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val="en-US" w:eastAsia="zh-CN"/>
              </w:rPr>
              <w:t>谈判</w:t>
            </w:r>
            <w:r>
              <w:rPr>
                <w:rFonts w:ascii="宋体" w:hAnsi="宋体" w:eastAsia="宋体" w:cs="宋体"/>
                <w:color w:val="auto"/>
                <w:spacing w:val="10"/>
                <w:sz w:val="24"/>
                <w:szCs w:val="24"/>
                <w:highlight w:val="none"/>
              </w:rPr>
              <w:t>邀请》</w:t>
            </w:r>
          </w:p>
        </w:tc>
        <w:tc>
          <w:tcPr>
            <w:tcW w:w="1414" w:type="pct"/>
            <w:shd w:val="clear" w:color="auto" w:fill="auto"/>
            <w:vAlign w:val="center"/>
          </w:tcPr>
          <w:p w14:paraId="411E3B59">
            <w:pPr>
              <w:spacing w:after="50" w:line="360" w:lineRule="auto"/>
              <w:ind w:right="-10" w:rightChars="0"/>
              <w:jc w:val="both"/>
              <w:rPr>
                <w:rFonts w:hint="eastAsia" w:ascii="宋体" w:hAnsi="宋体" w:eastAsia="宋体" w:cs="Times New Roman"/>
                <w:color w:val="auto"/>
                <w:kern w:val="2"/>
                <w:sz w:val="24"/>
                <w:szCs w:val="28"/>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3857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7887EA25">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宋体" w:hAnsi="宋体" w:eastAsia="宋体"/>
                <w:color w:val="auto"/>
                <w:sz w:val="24"/>
                <w:highlight w:val="none"/>
              </w:rPr>
              <w:t>6</w:t>
            </w:r>
          </w:p>
        </w:tc>
        <w:tc>
          <w:tcPr>
            <w:tcW w:w="901" w:type="pct"/>
            <w:shd w:val="clear" w:color="auto" w:fill="auto"/>
            <w:vAlign w:val="center"/>
          </w:tcPr>
          <w:p w14:paraId="0B9F86D4">
            <w:pPr>
              <w:adjustRightInd w:val="0"/>
              <w:snapToGrid w:val="0"/>
              <w:spacing w:line="360" w:lineRule="auto"/>
              <w:ind w:right="-10" w:rightChars="0"/>
              <w:jc w:val="center"/>
              <w:rPr>
                <w:rFonts w:ascii="Calibri" w:hAnsi="Calibri" w:eastAsia="宋体" w:cs="Times New Roman"/>
                <w:color w:val="auto"/>
                <w:kern w:val="2"/>
                <w:sz w:val="24"/>
                <w:szCs w:val="24"/>
                <w:highlight w:val="none"/>
                <w:lang w:val="en-US" w:eastAsia="zh-CN" w:bidi="ar-SA"/>
              </w:rPr>
            </w:pPr>
            <w:r>
              <w:rPr>
                <w:rFonts w:hint="eastAsia" w:cs="Times New Roman"/>
                <w:color w:val="auto"/>
                <w:kern w:val="2"/>
                <w:sz w:val="24"/>
                <w:highlight w:val="none"/>
              </w:rPr>
              <w:t>授权书</w:t>
            </w:r>
          </w:p>
        </w:tc>
        <w:tc>
          <w:tcPr>
            <w:tcW w:w="2191" w:type="pct"/>
            <w:shd w:val="clear" w:color="auto" w:fill="auto"/>
            <w:vAlign w:val="center"/>
          </w:tcPr>
          <w:p w14:paraId="6D340419">
            <w:pPr>
              <w:adjustRightInd w:val="0"/>
              <w:snapToGrid w:val="0"/>
              <w:spacing w:line="360" w:lineRule="auto"/>
              <w:ind w:right="-10" w:rightChars="0"/>
              <w:jc w:val="left"/>
              <w:rPr>
                <w:rFonts w:ascii="Calibri" w:hAnsi="Calibri" w:eastAsia="宋体" w:cs="Times New Roman"/>
                <w:color w:val="auto"/>
                <w:kern w:val="2"/>
                <w:sz w:val="24"/>
                <w:szCs w:val="22"/>
                <w:highlight w:val="none"/>
                <w:lang w:val="en-US" w:eastAsia="zh-CN" w:bidi="ar-SA"/>
              </w:rPr>
            </w:pPr>
            <w:r>
              <w:rPr>
                <w:rFonts w:hint="eastAsia" w:cs="Times New Roman"/>
                <w:color w:val="auto"/>
                <w:kern w:val="2"/>
                <w:sz w:val="24"/>
                <w:szCs w:val="22"/>
                <w:highlight w:val="none"/>
              </w:rPr>
              <w:t>符合谈判文件要求。</w:t>
            </w:r>
          </w:p>
        </w:tc>
        <w:tc>
          <w:tcPr>
            <w:tcW w:w="1414" w:type="pct"/>
            <w:vAlign w:val="center"/>
          </w:tcPr>
          <w:p w14:paraId="1B8E0132">
            <w:pPr>
              <w:spacing w:after="50" w:line="360" w:lineRule="auto"/>
              <w:ind w:right="-10" w:rightChars="0"/>
              <w:jc w:val="both"/>
              <w:rPr>
                <w:rFonts w:hint="eastAsia" w:cs="Times New Roman"/>
                <w:color w:val="auto"/>
                <w:kern w:val="2"/>
                <w:sz w:val="24"/>
                <w:szCs w:val="22"/>
                <w:highlight w:val="none"/>
              </w:rPr>
            </w:pPr>
          </w:p>
        </w:tc>
      </w:tr>
      <w:tr w14:paraId="5959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7DAF626E">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Theme="majorEastAsia" w:hAnsiTheme="majorEastAsia" w:eastAsiaTheme="majorEastAsia"/>
                <w:color w:val="auto"/>
                <w:sz w:val="24"/>
                <w:highlight w:val="none"/>
              </w:rPr>
              <w:t>7</w:t>
            </w:r>
          </w:p>
        </w:tc>
        <w:tc>
          <w:tcPr>
            <w:tcW w:w="901" w:type="pct"/>
            <w:shd w:val="clear" w:color="auto" w:fill="auto"/>
            <w:vAlign w:val="center"/>
          </w:tcPr>
          <w:p w14:paraId="5C5B72BC">
            <w:pPr>
              <w:adjustRightInd w:val="0"/>
              <w:snapToGrid w:val="0"/>
              <w:spacing w:line="360" w:lineRule="auto"/>
              <w:ind w:right="-10" w:rightChars="0"/>
              <w:jc w:val="center"/>
              <w:rPr>
                <w:rFonts w:ascii="Calibri" w:hAnsi="Calibri" w:eastAsia="宋体" w:cs="Times New Roman"/>
                <w:color w:val="auto"/>
                <w:kern w:val="2"/>
                <w:sz w:val="24"/>
                <w:szCs w:val="24"/>
                <w:highlight w:val="none"/>
                <w:lang w:val="en-US" w:eastAsia="zh-CN" w:bidi="ar-SA"/>
              </w:rPr>
            </w:pPr>
            <w:r>
              <w:rPr>
                <w:rFonts w:hint="eastAsia" w:cs="Times New Roman"/>
                <w:color w:val="auto"/>
                <w:kern w:val="2"/>
                <w:sz w:val="24"/>
                <w:highlight w:val="none"/>
              </w:rPr>
              <w:t>谈判响应函</w:t>
            </w:r>
          </w:p>
        </w:tc>
        <w:tc>
          <w:tcPr>
            <w:tcW w:w="2191" w:type="pct"/>
            <w:shd w:val="clear" w:color="auto" w:fill="auto"/>
            <w:vAlign w:val="center"/>
          </w:tcPr>
          <w:p w14:paraId="5749B2A9">
            <w:pPr>
              <w:adjustRightInd w:val="0"/>
              <w:snapToGrid w:val="0"/>
              <w:spacing w:line="360" w:lineRule="auto"/>
              <w:ind w:right="-10" w:rightChars="0"/>
              <w:jc w:val="left"/>
              <w:rPr>
                <w:rFonts w:ascii="Calibri" w:hAnsi="Calibri" w:eastAsia="宋体" w:cs="Times New Roman"/>
                <w:color w:val="auto"/>
                <w:kern w:val="2"/>
                <w:sz w:val="24"/>
                <w:szCs w:val="22"/>
                <w:highlight w:val="none"/>
                <w:lang w:val="en-US" w:eastAsia="zh-CN" w:bidi="ar-SA"/>
              </w:rPr>
            </w:pPr>
            <w:r>
              <w:rPr>
                <w:rFonts w:hint="eastAsia" w:cs="Times New Roman"/>
                <w:color w:val="auto"/>
                <w:kern w:val="2"/>
                <w:sz w:val="24"/>
                <w:szCs w:val="22"/>
                <w:highlight w:val="none"/>
              </w:rPr>
              <w:t>符合谈判文件要求。</w:t>
            </w:r>
          </w:p>
        </w:tc>
        <w:tc>
          <w:tcPr>
            <w:tcW w:w="1414" w:type="pct"/>
            <w:vAlign w:val="center"/>
          </w:tcPr>
          <w:p w14:paraId="4E1AB3F4">
            <w:pPr>
              <w:spacing w:after="50" w:line="360" w:lineRule="auto"/>
              <w:ind w:right="-10" w:rightChars="0"/>
              <w:jc w:val="both"/>
              <w:rPr>
                <w:rFonts w:hint="eastAsia" w:cs="Times New Roman"/>
                <w:color w:val="auto"/>
                <w:kern w:val="2"/>
                <w:sz w:val="24"/>
                <w:szCs w:val="28"/>
                <w:highlight w:val="none"/>
              </w:rPr>
            </w:pPr>
          </w:p>
        </w:tc>
      </w:tr>
      <w:tr w14:paraId="451D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Align w:val="center"/>
          </w:tcPr>
          <w:p w14:paraId="35299DD2">
            <w:pPr>
              <w:adjustRightInd w:val="0"/>
              <w:snapToGrid w:val="0"/>
              <w:spacing w:line="360" w:lineRule="auto"/>
              <w:ind w:right="-10" w:rightChars="0"/>
              <w:jc w:val="center"/>
              <w:rPr>
                <w:rFonts w:cs="Times New Roman" w:asciiTheme="minorEastAsia" w:hAnsiTheme="minorEastAsia" w:eastAsiaTheme="minorEastAsia"/>
                <w:color w:val="auto"/>
                <w:kern w:val="2"/>
                <w:sz w:val="24"/>
                <w:szCs w:val="22"/>
                <w:highlight w:val="none"/>
              </w:rPr>
            </w:pPr>
            <w:r>
              <w:rPr>
                <w:rFonts w:hint="eastAsia" w:asciiTheme="majorEastAsia" w:hAnsiTheme="majorEastAsia" w:eastAsiaTheme="majorEastAsia"/>
                <w:color w:val="auto"/>
                <w:sz w:val="24"/>
                <w:highlight w:val="none"/>
              </w:rPr>
              <w:t>8</w:t>
            </w:r>
          </w:p>
        </w:tc>
        <w:tc>
          <w:tcPr>
            <w:tcW w:w="901" w:type="pct"/>
            <w:shd w:val="clear" w:color="auto" w:fill="auto"/>
            <w:vAlign w:val="center"/>
          </w:tcPr>
          <w:p w14:paraId="277A8B42">
            <w:pPr>
              <w:spacing w:after="50" w:line="360" w:lineRule="auto"/>
              <w:ind w:right="-10" w:rightChars="0"/>
              <w:jc w:val="center"/>
              <w:rPr>
                <w:rFonts w:ascii="Calibri" w:hAnsi="Calibri" w:eastAsia="宋体" w:cs="Times New Roman"/>
                <w:color w:val="auto"/>
                <w:kern w:val="2"/>
                <w:sz w:val="24"/>
                <w:szCs w:val="24"/>
                <w:highlight w:val="none"/>
                <w:lang w:val="en-US" w:eastAsia="zh-CN" w:bidi="ar-SA"/>
              </w:rPr>
            </w:pPr>
            <w:r>
              <w:rPr>
                <w:rFonts w:hint="eastAsia" w:asciiTheme="minorEastAsia" w:hAnsiTheme="minorEastAsia" w:eastAsiaTheme="minorEastAsia"/>
                <w:color w:val="auto"/>
                <w:sz w:val="24"/>
                <w:szCs w:val="28"/>
                <w:highlight w:val="none"/>
                <w:lang w:val="en-US" w:eastAsia="zh-CN"/>
              </w:rPr>
              <w:t>谈判</w:t>
            </w:r>
            <w:r>
              <w:rPr>
                <w:rFonts w:hint="eastAsia" w:asciiTheme="minorEastAsia" w:hAnsiTheme="minorEastAsia" w:eastAsiaTheme="minorEastAsia"/>
                <w:color w:val="auto"/>
                <w:sz w:val="24"/>
                <w:szCs w:val="28"/>
                <w:highlight w:val="none"/>
              </w:rPr>
              <w:t>报价</w:t>
            </w:r>
          </w:p>
        </w:tc>
        <w:tc>
          <w:tcPr>
            <w:tcW w:w="2191" w:type="pct"/>
            <w:shd w:val="clear" w:color="auto" w:fill="auto"/>
            <w:vAlign w:val="center"/>
          </w:tcPr>
          <w:p w14:paraId="7D9C972D">
            <w:pPr>
              <w:spacing w:after="50" w:line="360" w:lineRule="auto"/>
              <w:ind w:right="-10" w:rightChars="0"/>
              <w:jc w:val="both"/>
              <w:rPr>
                <w:rFonts w:hint="eastAsia" w:ascii="Calibri" w:hAnsi="Calibri" w:cs="Times New Roman" w:eastAsiaTheme="minorEastAsia"/>
                <w:color w:val="auto"/>
                <w:kern w:val="2"/>
                <w:sz w:val="24"/>
                <w:szCs w:val="22"/>
                <w:highlight w:val="none"/>
                <w:lang w:val="en-US" w:eastAsia="zh-CN" w:bidi="ar-SA"/>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要求</w:t>
            </w:r>
          </w:p>
        </w:tc>
        <w:tc>
          <w:tcPr>
            <w:tcW w:w="1414" w:type="pct"/>
            <w:vAlign w:val="center"/>
          </w:tcPr>
          <w:p w14:paraId="6CA5BF64">
            <w:pPr>
              <w:adjustRightInd w:val="0"/>
              <w:snapToGrid w:val="0"/>
              <w:spacing w:line="360" w:lineRule="auto"/>
              <w:ind w:right="-10"/>
              <w:jc w:val="left"/>
              <w:rPr>
                <w:rFonts w:hint="eastAsia" w:cs="Times New Roman"/>
                <w:color w:val="auto"/>
                <w:kern w:val="2"/>
                <w:sz w:val="24"/>
                <w:szCs w:val="22"/>
                <w:highlight w:val="none"/>
              </w:rPr>
            </w:pPr>
          </w:p>
        </w:tc>
      </w:tr>
      <w:tr w14:paraId="7543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3585" w:type="pct"/>
            <w:gridSpan w:val="3"/>
            <w:tcBorders>
              <w:bottom w:val="single" w:color="auto" w:sz="4" w:space="0"/>
            </w:tcBorders>
            <w:vAlign w:val="center"/>
          </w:tcPr>
          <w:p w14:paraId="20484E47">
            <w:pPr>
              <w:adjustRightInd w:val="0"/>
              <w:snapToGrid w:val="0"/>
              <w:ind w:right="-10"/>
              <w:jc w:val="left"/>
              <w:rPr>
                <w:rFonts w:ascii="Calibri" w:hAnsi="Calibri" w:cs="Times New Roman"/>
                <w:color w:val="auto"/>
                <w:kern w:val="2"/>
                <w:sz w:val="24"/>
                <w:szCs w:val="22"/>
                <w:highlight w:val="none"/>
              </w:rPr>
            </w:pPr>
            <w:r>
              <w:rPr>
                <w:rFonts w:hint="eastAsia" w:ascii="Calibri" w:hAnsi="Calibri" w:cs="Times New Roman"/>
                <w:color w:val="auto"/>
                <w:kern w:val="2"/>
                <w:sz w:val="24"/>
                <w:szCs w:val="22"/>
                <w:highlight w:val="none"/>
              </w:rPr>
              <w:t>评审指标通过标准：供应商必须通过上述全部指标。</w:t>
            </w:r>
          </w:p>
        </w:tc>
        <w:tc>
          <w:tcPr>
            <w:tcW w:w="1414" w:type="pct"/>
            <w:tcBorders>
              <w:bottom w:val="single" w:color="auto" w:sz="4" w:space="0"/>
            </w:tcBorders>
            <w:vAlign w:val="center"/>
          </w:tcPr>
          <w:p w14:paraId="35C2FB42">
            <w:pPr>
              <w:adjustRightInd w:val="0"/>
              <w:snapToGrid w:val="0"/>
              <w:ind w:right="-10"/>
              <w:jc w:val="left"/>
              <w:rPr>
                <w:rFonts w:hint="eastAsia" w:ascii="Calibri" w:hAnsi="Calibri" w:cs="Times New Roman"/>
                <w:color w:val="auto"/>
                <w:kern w:val="2"/>
                <w:sz w:val="24"/>
                <w:szCs w:val="22"/>
                <w:highlight w:val="none"/>
              </w:rPr>
            </w:pPr>
          </w:p>
        </w:tc>
      </w:tr>
    </w:tbl>
    <w:p w14:paraId="1CB8018B">
      <w:pPr>
        <w:spacing w:line="360" w:lineRule="auto"/>
        <w:ind w:firstLine="435"/>
        <w:outlineLvl w:val="2"/>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注：供应商拟委任项目经理为注册建造师（含一级、二级）的，须提供有效的纸质版电子证书。一级建造师打印电子证书后，应在个人签名处手写本人签名，未手写签名或与签名图像笔迹不一致的，该电子证书无效。</w:t>
      </w:r>
    </w:p>
    <w:p w14:paraId="1984DE4F">
      <w:pPr>
        <w:spacing w:line="360" w:lineRule="auto"/>
        <w:ind w:firstLine="435"/>
        <w:outlineLvl w:val="2"/>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供应商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p>
    <w:p w14:paraId="32A459D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55"/>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（4）谈判小组基于专业判断，认为供应商报价过低，有可能影响产品质量或者不能诚信履约的其他情形。</w:t>
            </w:r>
          </w:p>
          <w:p w14:paraId="14FCFEF9">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提醒：</w:t>
            </w:r>
          </w:p>
          <w:p w14:paraId="0BE4D07D">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4095AB60">
            <w:pPr>
              <w:pStyle w:val="1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（2）上述报价均为供应商最后报价。</w:t>
            </w:r>
          </w:p>
        </w:tc>
        <w:tc>
          <w:tcPr>
            <w:tcW w:w="2260" w:type="dxa"/>
            <w:vAlign w:val="center"/>
          </w:tcPr>
          <w:p w14:paraId="4F4E35C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57170614">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根据《关于推进解决政府采购异常低价问题的通知》（财库〔2026〕2号），</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53DDD6B">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谈判</w:t>
      </w:r>
      <w:r>
        <w:rPr>
          <w:rFonts w:hint="eastAsia" w:ascii="宋体" w:hAnsi="宋体" w:eastAsia="宋体"/>
          <w:color w:val="auto"/>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0B411230">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lang w:val="en-US" w:eastAsia="zh-CN"/>
        </w:rPr>
        <w:t>谈判</w:t>
      </w:r>
      <w:r>
        <w:rPr>
          <w:rFonts w:hint="eastAsia" w:ascii="宋体" w:hAnsi="宋体" w:eastAsia="宋体"/>
          <w:color w:val="auto"/>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olor w:val="auto"/>
          <w:sz w:val="24"/>
          <w:highlight w:val="none"/>
          <w:lang w:val="en-US" w:eastAsia="zh-CN"/>
        </w:rPr>
        <w:t>谈判</w:t>
      </w:r>
      <w:r>
        <w:rPr>
          <w:rFonts w:hint="eastAsia" w:ascii="宋体" w:hAnsi="宋体" w:eastAsia="宋体"/>
          <w:color w:val="auto"/>
          <w:sz w:val="24"/>
          <w:highlight w:val="none"/>
        </w:rPr>
        <w:t xml:space="preserve">小组应当将其作为无效响应处理。 </w:t>
      </w:r>
    </w:p>
    <w:p w14:paraId="653C6A8E">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kern w:val="2"/>
          <w:sz w:val="24"/>
          <w:highlight w:val="none"/>
          <w:lang w:val="en-US" w:eastAsia="zh-CN" w:bidi="ar-SA"/>
        </w:rPr>
      </w:pPr>
      <w:r>
        <w:rPr>
          <w:rFonts w:hint="eastAsia" w:ascii="宋体" w:hAnsi="宋体" w:eastAsia="宋体" w:cs="Arial"/>
          <w:color w:val="auto"/>
          <w:kern w:val="2"/>
          <w:sz w:val="24"/>
          <w:highlight w:val="none"/>
          <w:lang w:val="en-US" w:eastAsia="zh-CN" w:bidi="ar-SA"/>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p>
    <w:p w14:paraId="28AF74EC">
      <w:pPr>
        <w:keepNext w:val="0"/>
        <w:keepLines w:val="0"/>
        <w:widowControl w:val="0"/>
        <w:suppressLineNumbers w:val="0"/>
        <w:spacing w:before="0" w:beforeAutospacing="0" w:after="0" w:afterAutospacing="0" w:line="360" w:lineRule="auto"/>
        <w:ind w:left="0" w:right="0" w:firstLine="437"/>
        <w:jc w:val="both"/>
        <w:outlineLvl w:val="1"/>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三、无效响应条款</w:t>
      </w:r>
    </w:p>
    <w:p w14:paraId="6A08661F">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3.1响应文件有下列情形之一的,其响应文件拒收：</w:t>
      </w:r>
    </w:p>
    <w:p w14:paraId="205AC925">
      <w:pPr>
        <w:keepNext w:val="0"/>
        <w:keepLines w:val="0"/>
        <w:widowControl w:val="0"/>
        <w:numPr>
          <w:ilvl w:val="0"/>
          <w:numId w:val="0"/>
        </w:numPr>
        <w:suppressLineNumbers w:val="0"/>
        <w:spacing w:before="0" w:beforeAutospacing="0" w:after="0" w:afterAutospacing="0" w:line="360" w:lineRule="auto"/>
        <w:ind w:left="0" w:leftChars="0" w:right="0" w:rightChars="0" w:firstLine="480" w:firstLineChars="200"/>
        <w:jc w:val="both"/>
        <w:rPr>
          <w:rFonts w:hint="eastAsia" w:ascii="宋体" w:hAnsi="宋体" w:eastAsia="宋体" w:cs="宋体"/>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
        </w:rPr>
        <w:t>未在响应文件递交截止时间前递交有效响应文件的，不予接收，其将被拒绝。</w:t>
      </w:r>
    </w:p>
    <w:p w14:paraId="4BA05B10">
      <w:pPr>
        <w:keepNext w:val="0"/>
        <w:keepLines w:val="0"/>
        <w:widowControl w:val="0"/>
        <w:numPr>
          <w:ilvl w:val="0"/>
          <w:numId w:val="0"/>
        </w:numPr>
        <w:suppressLineNumbers w:val="0"/>
        <w:spacing w:before="0" w:beforeAutospacing="0" w:after="0" w:afterAutospacing="0" w:line="360" w:lineRule="auto"/>
        <w:ind w:left="0" w:leftChars="0" w:right="0" w:rightChars="0" w:firstLine="480" w:firstLineChars="200"/>
        <w:jc w:val="both"/>
        <w:rPr>
          <w:rFonts w:hint="eastAsia" w:ascii="宋体" w:hAnsi="宋体" w:eastAsia="宋体" w:cs="宋体"/>
          <w:color w:val="auto"/>
          <w:kern w:val="2"/>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
        </w:rPr>
        <w:t>未在规定时间内对加密响应文件进行解密。</w:t>
      </w:r>
    </w:p>
    <w:p w14:paraId="25748DF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3.2供应商有下列情形之一的,资格审查后其作无效响应处理：</w:t>
      </w:r>
    </w:p>
    <w:p w14:paraId="66F0579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（1）供应商为本项目提供采购代理服务的；</w:t>
      </w:r>
    </w:p>
    <w:p w14:paraId="2B73750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（2）供应商与在本项目代理机构存在相互任职或工作的；</w:t>
      </w:r>
    </w:p>
    <w:p w14:paraId="10D73BF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（3）与采购人存在利害关系可能影响采购公正性的法人、其他组织或者个人；</w:t>
      </w:r>
    </w:p>
    <w:p w14:paraId="0F83C1A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（4）竞争性谈判公告写明专门面向中小企业采购，供应商提供的货物非中小企业制造的；</w:t>
      </w:r>
    </w:p>
    <w:p w14:paraId="685460D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（5）要求供应商以联合体形式参加采购活动，供应商非联合体或者联合协议中中小企业合同金额未达到应当达到的比例；</w:t>
      </w:r>
    </w:p>
    <w:p w14:paraId="02DE74F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（6）要求获得采购合同的供应商向中小企业分包，供应商未提供分包意向协议或者分包意向协议中中小企业合同金额未达到应当达到的比例；</w:t>
      </w:r>
    </w:p>
    <w:p w14:paraId="7C4E344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（7）无法查看并检验响应文件中相关资料的；</w:t>
      </w:r>
    </w:p>
    <w:p w14:paraId="61F5FF9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（8）联合体参与未提交联合体协议的；</w:t>
      </w:r>
    </w:p>
    <w:p w14:paraId="76FDE9B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（9）责令停产停业的；</w:t>
      </w:r>
    </w:p>
    <w:p w14:paraId="5E64E17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（10）暂停或者取消参与政府采购项目资格的；</w:t>
      </w:r>
    </w:p>
    <w:p w14:paraId="46E23C5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（11）单位负责人为同一人或者存在直接控股、管理关系的不同单位的；</w:t>
      </w:r>
    </w:p>
    <w:p w14:paraId="49137E2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（12）供应商基本资格条件和特定资格条件中有一项及以上不符合要求的；</w:t>
      </w:r>
    </w:p>
    <w:p w14:paraId="24D7BEC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（13）其它情形按无效响应处理，并经公共资源交易监督部门核准的；</w:t>
      </w:r>
    </w:p>
    <w:p w14:paraId="38A56D5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（14）供应商单方面出现其他供应商材料的；</w:t>
      </w:r>
    </w:p>
    <w:p w14:paraId="60EFD77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（15）竞争性谈判公告未写明允许采购进口产品，供应商所投产品为进口产品的；</w:t>
      </w:r>
    </w:p>
    <w:p w14:paraId="29A03BC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（16）谈判文件规定的其它无效情形。</w:t>
      </w:r>
    </w:p>
    <w:p w14:paraId="58855372">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3.3 供应商有下列情形之一的,符合性审查后其按无效响应处理：</w:t>
      </w:r>
    </w:p>
    <w:p w14:paraId="4AE6D78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（1）响应文件盖章不全，经谈判小组一致认定对响应内容有实质性影响的；</w:t>
      </w:r>
    </w:p>
    <w:p w14:paraId="1F20580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（2）未按规定的格式填写导致实质性内容不全以及实质上不响应，或者关键字迹模糊、无法辨认；</w:t>
      </w:r>
    </w:p>
    <w:p w14:paraId="6DB75FF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（3）同一供应商提交两个或以上不同的响应文件或者报价，但谈判文件规定提交备选方案的除外；</w:t>
      </w:r>
    </w:p>
    <w:p w14:paraId="3508990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（4）响应文件没有对谈判文件的实质性要求和条件作出响应；</w:t>
      </w:r>
    </w:p>
    <w:p w14:paraId="2AA9361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（5）报价超出规定的最高限价或公布的采购预算的或供应商的报价各项单价高于谈判文件给定的单价最高限价；</w:t>
      </w:r>
    </w:p>
    <w:p w14:paraId="4881D26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（6）不按谈判小组要求澄清、说明或补正的，或者谈判小组根据谈判文件的规定对响应文件的计算错误进行修正后，供应商不接受修正的报价的。</w:t>
      </w:r>
    </w:p>
    <w:p w14:paraId="0169E3F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（7）其它情形，经谈判小组提出按无效响应处理；</w:t>
      </w:r>
    </w:p>
    <w:p w14:paraId="0179EF2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（8）响应文件含有采购人不能接受的附加条件的；</w:t>
      </w:r>
    </w:p>
    <w:p w14:paraId="5F45C3F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（9）谈判文件规定的其它无效响应情形。</w:t>
      </w:r>
    </w:p>
    <w:p w14:paraId="04C908E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3.4 供应商有下列情形之一的, 详细评审后其按无效响应处理：</w:t>
      </w:r>
    </w:p>
    <w:p w14:paraId="3E3FF80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（1）产品不符合必须强制执行的国家标准的；</w:t>
      </w:r>
    </w:p>
    <w:p w14:paraId="5EC5C9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（2）供应商有串通、弄虚作假、行贿等违法行为；</w:t>
      </w:r>
    </w:p>
    <w:p w14:paraId="7603927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（3）响应文件含有违反国家法律、法规的内容，或附有采购人不能接受的条件的；</w:t>
      </w:r>
    </w:p>
    <w:p w14:paraId="5ECE510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（4）拒不确认谈判小组评审修正的响应无效；</w:t>
      </w:r>
    </w:p>
    <w:p w14:paraId="4D69FC6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（5）其它情形，经谈判小组提出按无效响应处理的；</w:t>
      </w:r>
    </w:p>
    <w:p w14:paraId="721DBA76">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kern w:val="2"/>
          <w:sz w:val="24"/>
          <w:highlight w:val="none"/>
          <w:lang w:val="en-US" w:eastAsia="zh-CN" w:bidi="ar-SA"/>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）谈判文件规定的其它无效响应情形</w:t>
      </w:r>
      <w:r>
        <w:rPr>
          <w:rFonts w:hint="eastAsia" w:ascii="宋体" w:hAnsi="宋体" w:eastAsia="宋体" w:cs="宋体"/>
          <w:color w:val="auto"/>
          <w:kern w:val="2"/>
          <w:sz w:val="24"/>
          <w:szCs w:val="24"/>
          <w:highlight w:val="none"/>
          <w:lang w:eastAsia="zh-CN"/>
        </w:rPr>
        <w:t>。</w:t>
      </w:r>
    </w:p>
    <w:p w14:paraId="03E83FE5">
      <w:pPr>
        <w:pStyle w:val="1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color w:val="auto"/>
          <w:sz w:val="24"/>
          <w:highlight w:val="none"/>
        </w:rPr>
      </w:pPr>
    </w:p>
    <w:p w14:paraId="2C6E5E06">
      <w:pPr>
        <w:widowControl/>
        <w:jc w:val="left"/>
        <w:rPr>
          <w:rFonts w:asciiTheme="minorEastAsia" w:hAnsiTheme="minorEastAsia" w:eastAsiaTheme="minorEastAsia"/>
          <w:color w:val="auto"/>
          <w:sz w:val="24"/>
          <w:highlight w:val="none"/>
        </w:rPr>
      </w:pPr>
    </w:p>
    <w:p w14:paraId="708EE31F">
      <w:pPr>
        <w:rPr>
          <w:rFonts w:hint="eastAsia" w:asciiTheme="minorEastAsia" w:hAnsiTheme="minorEastAsia" w:eastAsiaTheme="minorEastAsia"/>
          <w:b/>
          <w:color w:val="auto"/>
          <w:sz w:val="28"/>
          <w:highlight w:val="none"/>
        </w:rPr>
      </w:pPr>
      <w:bookmarkStart w:id="37" w:name="_Toc32646"/>
      <w:r>
        <w:rPr>
          <w:rFonts w:hint="eastAsia" w:asciiTheme="minorEastAsia" w:hAnsiTheme="minorEastAsia" w:eastAsiaTheme="minorEastAsia"/>
          <w:b/>
          <w:color w:val="auto"/>
          <w:sz w:val="28"/>
          <w:highlight w:val="none"/>
        </w:rPr>
        <w:br w:type="page"/>
      </w:r>
    </w:p>
    <w:p w14:paraId="7D2009A0">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37"/>
    </w:p>
    <w:p w14:paraId="08FC21A6">
      <w:pPr>
        <w:keepNext/>
        <w:keepLines/>
        <w:snapToGrid w:val="0"/>
        <w:spacing w:before="312" w:beforeLines="100" w:after="312" w:afterLines="100" w:line="360" w:lineRule="auto"/>
        <w:jc w:val="center"/>
        <w:outlineLvl w:val="1"/>
        <w:rPr>
          <w:rFonts w:cs="宋体"/>
          <w:b/>
          <w:bCs/>
          <w:color w:val="auto"/>
          <w:sz w:val="21"/>
          <w:szCs w:val="21"/>
          <w:highlight w:val="none"/>
        </w:rPr>
      </w:pPr>
      <w:bookmarkStart w:id="38" w:name="_Toc25807"/>
      <w:bookmarkStart w:id="39" w:name="_Toc28799376"/>
      <w:bookmarkStart w:id="40" w:name="_Toc130919120"/>
      <w:r>
        <w:rPr>
          <w:rFonts w:hint="eastAsia" w:cs="宋体"/>
          <w:b/>
          <w:bCs/>
          <w:color w:val="auto"/>
          <w:sz w:val="21"/>
          <w:szCs w:val="21"/>
          <w:highlight w:val="none"/>
        </w:rPr>
        <w:t>第一节  合同协议书</w:t>
      </w:r>
      <w:bookmarkEnd w:id="38"/>
      <w:bookmarkEnd w:id="39"/>
      <w:bookmarkEnd w:id="40"/>
    </w:p>
    <w:p w14:paraId="37E85EC4">
      <w:pPr>
        <w:spacing w:line="360" w:lineRule="auto"/>
        <w:rPr>
          <w:rFonts w:hint="eastAsia" w:eastAsia="宋体" w:cs="宋体"/>
          <w:b/>
          <w:color w:val="auto"/>
          <w:sz w:val="24"/>
          <w:szCs w:val="24"/>
          <w:highlight w:val="none"/>
          <w:u w:val="single"/>
          <w:lang w:eastAsia="zh-CN"/>
        </w:rPr>
      </w:pPr>
      <w:r>
        <w:rPr>
          <w:rFonts w:hint="eastAsia" w:cs="宋体"/>
          <w:b/>
          <w:color w:val="auto"/>
          <w:sz w:val="24"/>
          <w:szCs w:val="24"/>
          <w:highlight w:val="none"/>
        </w:rPr>
        <w:t>发包人（全称）：</w:t>
      </w:r>
      <w:r>
        <w:rPr>
          <w:rFonts w:hint="eastAsia" w:cs="宋体"/>
          <w:b/>
          <w:color w:val="auto"/>
          <w:sz w:val="24"/>
          <w:szCs w:val="24"/>
          <w:highlight w:val="none"/>
          <w:u w:val="single"/>
          <w:lang w:eastAsia="zh-CN"/>
        </w:rPr>
        <w:t>滁州市琅琊区重点工程建设管理处</w:t>
      </w:r>
    </w:p>
    <w:p w14:paraId="1E4D4E48">
      <w:pPr>
        <w:spacing w:line="360" w:lineRule="auto"/>
        <w:rPr>
          <w:rFonts w:cs="宋体"/>
          <w:b/>
          <w:color w:val="auto"/>
          <w:sz w:val="24"/>
          <w:szCs w:val="24"/>
          <w:highlight w:val="none"/>
          <w:u w:val="single"/>
        </w:rPr>
      </w:pPr>
      <w:r>
        <w:rPr>
          <w:rFonts w:hint="eastAsia" w:cs="宋体"/>
          <w:b/>
          <w:color w:val="auto"/>
          <w:sz w:val="24"/>
          <w:szCs w:val="24"/>
          <w:highlight w:val="none"/>
        </w:rPr>
        <w:t>承包人（全称）：</w:t>
      </w:r>
      <w:r>
        <w:rPr>
          <w:rFonts w:hint="eastAsia" w:cs="宋体"/>
          <w:b/>
          <w:color w:val="auto"/>
          <w:sz w:val="24"/>
          <w:szCs w:val="24"/>
          <w:highlight w:val="none"/>
          <w:u w:val="single"/>
        </w:rPr>
        <w:t xml:space="preserve">        </w:t>
      </w:r>
    </w:p>
    <w:p w14:paraId="6A73334D">
      <w:pPr>
        <w:spacing w:line="360" w:lineRule="auto"/>
        <w:rPr>
          <w:rFonts w:ascii="Times New Roman" w:hAnsi="Times New Roman" w:eastAsia="仿宋_GB2312" w:cs="Times New Roman"/>
          <w:b/>
          <w:color w:val="auto"/>
          <w:kern w:val="2"/>
          <w:sz w:val="30"/>
          <w:szCs w:val="30"/>
          <w:highlight w:val="none"/>
          <w:u w:val="single"/>
        </w:rPr>
      </w:pPr>
    </w:p>
    <w:p w14:paraId="54D4699F">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根据《中华人民共和国民法典》《中华人民共和国建筑法》及有关法律规定，遵循平等、自愿、公平和诚实信用的原则，双方就</w:t>
      </w:r>
      <w:r>
        <w:rPr>
          <w:rFonts w:hint="eastAsia" w:cs="宋体"/>
          <w:color w:val="auto"/>
          <w:sz w:val="21"/>
          <w:szCs w:val="21"/>
          <w:highlight w:val="none"/>
          <w:u w:val="single"/>
        </w:rPr>
        <w:t xml:space="preserve"> </w:t>
      </w:r>
      <w:r>
        <w:rPr>
          <w:rFonts w:hint="eastAsia" w:cs="宋体"/>
          <w:color w:val="auto"/>
          <w:sz w:val="21"/>
          <w:szCs w:val="21"/>
          <w:highlight w:val="none"/>
          <w:u w:val="single"/>
          <w:lang w:eastAsia="zh-CN"/>
        </w:rPr>
        <w:t>琅琊区环湖路路灯项目</w:t>
      </w:r>
      <w:r>
        <w:rPr>
          <w:rFonts w:hint="eastAsia" w:cs="宋体"/>
          <w:color w:val="auto"/>
          <w:sz w:val="21"/>
          <w:szCs w:val="21"/>
          <w:highlight w:val="none"/>
          <w:u w:val="single"/>
        </w:rPr>
        <w:t xml:space="preserve"> </w:t>
      </w:r>
      <w:r>
        <w:rPr>
          <w:rFonts w:hint="eastAsia" w:cs="宋体"/>
          <w:color w:val="auto"/>
          <w:sz w:val="21"/>
          <w:szCs w:val="21"/>
          <w:highlight w:val="none"/>
        </w:rPr>
        <w:t>工程施工及有关事项协商一致，共同达成如下协议：</w:t>
      </w:r>
    </w:p>
    <w:p w14:paraId="498DB4F7">
      <w:pPr>
        <w:snapToGrid w:val="0"/>
        <w:spacing w:line="360" w:lineRule="auto"/>
        <w:ind w:firstLine="422" w:firstLineChars="200"/>
        <w:rPr>
          <w:rFonts w:cs="宋体"/>
          <w:color w:val="auto"/>
          <w:sz w:val="21"/>
          <w:szCs w:val="21"/>
          <w:highlight w:val="none"/>
        </w:rPr>
      </w:pPr>
      <w:r>
        <w:rPr>
          <w:rFonts w:hint="eastAsia" w:cs="宋体"/>
          <w:b/>
          <w:color w:val="auto"/>
          <w:sz w:val="21"/>
          <w:szCs w:val="21"/>
          <w:highlight w:val="none"/>
        </w:rPr>
        <w:t>一、工程概况</w:t>
      </w:r>
    </w:p>
    <w:p w14:paraId="174DF2F6">
      <w:pPr>
        <w:snapToGrid w:val="0"/>
        <w:spacing w:line="360" w:lineRule="auto"/>
        <w:ind w:firstLine="411" w:firstLineChars="196"/>
        <w:rPr>
          <w:rFonts w:cs="宋体"/>
          <w:color w:val="auto"/>
          <w:sz w:val="21"/>
          <w:szCs w:val="21"/>
          <w:highlight w:val="none"/>
          <w:u w:val="single"/>
        </w:rPr>
      </w:pPr>
      <w:r>
        <w:rPr>
          <w:rFonts w:hint="eastAsia" w:cs="宋体"/>
          <w:bCs/>
          <w:color w:val="auto"/>
          <w:sz w:val="21"/>
          <w:szCs w:val="21"/>
          <w:highlight w:val="none"/>
        </w:rPr>
        <w:t>1. 工程名称</w:t>
      </w:r>
      <w:r>
        <w:rPr>
          <w:rFonts w:hint="eastAsia" w:cs="宋体"/>
          <w:color w:val="auto"/>
          <w:sz w:val="21"/>
          <w:szCs w:val="21"/>
          <w:highlight w:val="none"/>
        </w:rPr>
        <w:t>：</w:t>
      </w:r>
      <w:r>
        <w:rPr>
          <w:rFonts w:hint="eastAsia" w:cs="宋体"/>
          <w:color w:val="auto"/>
          <w:sz w:val="21"/>
          <w:szCs w:val="21"/>
          <w:highlight w:val="none"/>
          <w:u w:val="single"/>
          <w:lang w:eastAsia="zh-CN"/>
        </w:rPr>
        <w:t>琅琊区环湖路路灯项目</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8567556">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2. 工程地点：</w:t>
      </w:r>
      <w:r>
        <w:rPr>
          <w:rFonts w:hint="eastAsia" w:cs="宋体"/>
          <w:color w:val="auto"/>
          <w:sz w:val="21"/>
          <w:szCs w:val="21"/>
          <w:highlight w:val="none"/>
          <w:u w:val="single"/>
        </w:rPr>
        <w:t></w:t>
      </w:r>
      <w:r>
        <w:rPr>
          <w:rFonts w:hint="eastAsia" w:cs="宋体"/>
          <w:color w:val="auto"/>
          <w:sz w:val="21"/>
          <w:szCs w:val="21"/>
          <w:highlight w:val="none"/>
          <w:u w:val="single"/>
          <w:lang w:val="en-US" w:eastAsia="zh-CN"/>
        </w:rPr>
        <w:t>滁州市内</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4A8C94BB">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3. 工程立项批准文号：</w:t>
      </w:r>
      <w:r>
        <w:rPr>
          <w:rFonts w:hint="eastAsia" w:cs="宋体"/>
          <w:color w:val="auto"/>
          <w:sz w:val="21"/>
          <w:szCs w:val="21"/>
          <w:highlight w:val="none"/>
          <w:u w:val="single"/>
        </w:rPr>
        <w:t xml:space="preserve">       </w:t>
      </w:r>
      <w:r>
        <w:rPr>
          <w:rFonts w:hint="eastAsia" w:cs="宋体"/>
          <w:bCs/>
          <w:color w:val="auto"/>
          <w:sz w:val="21"/>
          <w:szCs w:val="21"/>
          <w:highlight w:val="none"/>
        </w:rPr>
        <w:t>。</w:t>
      </w:r>
    </w:p>
    <w:p w14:paraId="67C02548">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4. 资金来源：</w:t>
      </w:r>
      <w:r>
        <w:rPr>
          <w:rFonts w:hint="eastAsia" w:cs="宋体"/>
          <w:color w:val="auto"/>
          <w:sz w:val="21"/>
          <w:szCs w:val="21"/>
          <w:highlight w:val="none"/>
          <w:u w:val="single"/>
        </w:rPr>
        <w:t></w:t>
      </w:r>
      <w:r>
        <w:rPr>
          <w:rFonts w:hint="eastAsia" w:cs="宋体"/>
          <w:color w:val="auto"/>
          <w:sz w:val="21"/>
          <w:szCs w:val="21"/>
          <w:highlight w:val="none"/>
          <w:u w:val="single"/>
          <w:lang w:val="en-US" w:eastAsia="zh-CN"/>
        </w:rPr>
        <w:t>财政资金</w:t>
      </w:r>
      <w:r>
        <w:rPr>
          <w:rFonts w:hint="eastAsia" w:cs="宋体"/>
          <w:color w:val="auto"/>
          <w:sz w:val="21"/>
          <w:szCs w:val="21"/>
          <w:highlight w:val="none"/>
          <w:u w:val="single"/>
        </w:rPr>
        <w:t xml:space="preserve">       </w:t>
      </w:r>
      <w:r>
        <w:rPr>
          <w:rFonts w:hint="eastAsia" w:cs="宋体"/>
          <w:bCs/>
          <w:color w:val="auto"/>
          <w:sz w:val="21"/>
          <w:szCs w:val="21"/>
          <w:highlight w:val="none"/>
        </w:rPr>
        <w:t>。</w:t>
      </w:r>
    </w:p>
    <w:p w14:paraId="51043E0C">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5. 工程内容：</w:t>
      </w:r>
      <w:r>
        <w:rPr>
          <w:rFonts w:hint="eastAsia" w:cs="宋体"/>
          <w:color w:val="auto"/>
          <w:sz w:val="21"/>
          <w:szCs w:val="21"/>
          <w:highlight w:val="none"/>
          <w:u w:val="single"/>
        </w:rPr>
        <w:t></w:t>
      </w:r>
      <w:r>
        <w:rPr>
          <w:rFonts w:hint="eastAsia" w:cs="宋体"/>
          <w:color w:val="auto"/>
          <w:sz w:val="21"/>
          <w:szCs w:val="21"/>
          <w:highlight w:val="none"/>
          <w:u w:val="single"/>
          <w:lang w:val="en-US" w:eastAsia="zh-CN"/>
        </w:rPr>
        <w:t>以工程量清单内容为准</w:t>
      </w:r>
      <w:r>
        <w:rPr>
          <w:rFonts w:hint="eastAsia" w:cs="宋体"/>
          <w:color w:val="auto"/>
          <w:sz w:val="21"/>
          <w:szCs w:val="21"/>
          <w:highlight w:val="none"/>
          <w:u w:val="single"/>
        </w:rPr>
        <w:t xml:space="preserve"> </w:t>
      </w:r>
      <w:r>
        <w:rPr>
          <w:rFonts w:hint="eastAsia" w:cs="宋体"/>
          <w:bCs/>
          <w:color w:val="auto"/>
          <w:sz w:val="21"/>
          <w:szCs w:val="21"/>
          <w:highlight w:val="none"/>
        </w:rPr>
        <w:t>。</w:t>
      </w:r>
    </w:p>
    <w:p w14:paraId="6BFCEEBB">
      <w:pPr>
        <w:snapToGrid w:val="0"/>
        <w:spacing w:line="360" w:lineRule="auto"/>
        <w:ind w:firstLine="411" w:firstLineChars="196"/>
        <w:rPr>
          <w:rFonts w:cs="宋体"/>
          <w:bCs/>
          <w:color w:val="auto"/>
          <w:sz w:val="21"/>
          <w:szCs w:val="21"/>
          <w:highlight w:val="none"/>
        </w:rPr>
      </w:pPr>
      <w:r>
        <w:rPr>
          <w:rFonts w:hint="eastAsia" w:cs="宋体"/>
          <w:color w:val="auto"/>
          <w:sz w:val="21"/>
          <w:szCs w:val="21"/>
          <w:highlight w:val="none"/>
        </w:rPr>
        <w:t>群体工程应附《承包人承揽工程项目一览表》（附件1）。</w:t>
      </w:r>
    </w:p>
    <w:p w14:paraId="2DD5E201">
      <w:pPr>
        <w:snapToGrid w:val="0"/>
        <w:spacing w:line="360" w:lineRule="auto"/>
        <w:ind w:firstLine="411" w:firstLineChars="196"/>
        <w:rPr>
          <w:rFonts w:cs="宋体"/>
          <w:bCs/>
          <w:color w:val="auto"/>
          <w:sz w:val="21"/>
          <w:szCs w:val="21"/>
          <w:highlight w:val="none"/>
        </w:rPr>
      </w:pPr>
      <w:r>
        <w:rPr>
          <w:rFonts w:hint="eastAsia" w:cs="宋体"/>
          <w:bCs/>
          <w:color w:val="auto"/>
          <w:sz w:val="21"/>
          <w:szCs w:val="21"/>
          <w:highlight w:val="none"/>
        </w:rPr>
        <w:t>6. 工程承包范围：</w:t>
      </w:r>
    </w:p>
    <w:p w14:paraId="2E8546C3">
      <w:pPr>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u w:val="single"/>
        </w:rPr>
        <w:t>工程量清单载明的施工内容及施工过程中的变更调整内容。</w:t>
      </w:r>
    </w:p>
    <w:p w14:paraId="3A51B22D">
      <w:pPr>
        <w:snapToGrid w:val="0"/>
        <w:spacing w:line="360" w:lineRule="auto"/>
        <w:ind w:firstLine="422" w:firstLineChars="200"/>
        <w:rPr>
          <w:rFonts w:cs="宋体"/>
          <w:b/>
          <w:color w:val="auto"/>
          <w:sz w:val="21"/>
          <w:szCs w:val="21"/>
          <w:highlight w:val="none"/>
        </w:rPr>
      </w:pPr>
      <w:bookmarkStart w:id="41" w:name="_Toc351203482"/>
      <w:r>
        <w:rPr>
          <w:rFonts w:hint="eastAsia" w:cs="宋体"/>
          <w:b/>
          <w:color w:val="auto"/>
          <w:sz w:val="21"/>
          <w:szCs w:val="21"/>
          <w:highlight w:val="none"/>
        </w:rPr>
        <w:t>二、合同工期</w:t>
      </w:r>
      <w:bookmarkEnd w:id="41"/>
    </w:p>
    <w:p w14:paraId="25C28ABC">
      <w:pPr>
        <w:snapToGrid w:val="0"/>
        <w:spacing w:line="360" w:lineRule="auto"/>
        <w:ind w:firstLine="459"/>
        <w:rPr>
          <w:rFonts w:cs="宋体"/>
          <w:color w:val="auto"/>
          <w:sz w:val="21"/>
          <w:szCs w:val="21"/>
          <w:highlight w:val="none"/>
        </w:rPr>
      </w:pPr>
      <w:r>
        <w:rPr>
          <w:rFonts w:hint="eastAsia" w:cs="宋体"/>
          <w:color w:val="auto"/>
          <w:sz w:val="21"/>
          <w:szCs w:val="21"/>
          <w:highlight w:val="none"/>
        </w:rPr>
        <w:t>计划开工日期：</w:t>
      </w:r>
      <w:r>
        <w:rPr>
          <w:rFonts w:hint="eastAsia" w:cs="宋体"/>
          <w:color w:val="auto"/>
          <w:sz w:val="21"/>
          <w:szCs w:val="21"/>
          <w:highlight w:val="none"/>
          <w:u w:val="single"/>
        </w:rPr>
        <w:t></w:t>
      </w:r>
      <w:r>
        <w:rPr>
          <w:rFonts w:hint="eastAsia" w:cs="宋体"/>
          <w:color w:val="auto"/>
          <w:sz w:val="21"/>
          <w:szCs w:val="21"/>
          <w:highlight w:val="none"/>
        </w:rPr>
        <w:t>年</w:t>
      </w:r>
      <w:r>
        <w:rPr>
          <w:rFonts w:hint="eastAsia" w:cs="宋体"/>
          <w:color w:val="auto"/>
          <w:sz w:val="21"/>
          <w:szCs w:val="21"/>
          <w:highlight w:val="none"/>
          <w:u w:val="single"/>
        </w:rPr>
        <w:t></w:t>
      </w:r>
      <w:r>
        <w:rPr>
          <w:rFonts w:hint="eastAsia" w:cs="宋体"/>
          <w:color w:val="auto"/>
          <w:sz w:val="21"/>
          <w:szCs w:val="21"/>
          <w:highlight w:val="none"/>
        </w:rPr>
        <w:t>月</w:t>
      </w:r>
      <w:r>
        <w:rPr>
          <w:rFonts w:hint="eastAsia" w:cs="宋体"/>
          <w:color w:val="auto"/>
          <w:sz w:val="21"/>
          <w:szCs w:val="21"/>
          <w:highlight w:val="none"/>
          <w:u w:val="single"/>
        </w:rPr>
        <w:t></w:t>
      </w:r>
      <w:r>
        <w:rPr>
          <w:rFonts w:hint="eastAsia" w:cs="宋体"/>
          <w:color w:val="auto"/>
          <w:sz w:val="21"/>
          <w:szCs w:val="21"/>
          <w:highlight w:val="none"/>
        </w:rPr>
        <w:t>日。</w:t>
      </w:r>
    </w:p>
    <w:p w14:paraId="2F0E0609">
      <w:pPr>
        <w:snapToGrid w:val="0"/>
        <w:spacing w:line="360" w:lineRule="auto"/>
        <w:ind w:firstLine="459"/>
        <w:rPr>
          <w:rFonts w:cs="宋体"/>
          <w:color w:val="auto"/>
          <w:sz w:val="21"/>
          <w:szCs w:val="21"/>
          <w:highlight w:val="none"/>
        </w:rPr>
      </w:pPr>
      <w:r>
        <w:rPr>
          <w:rFonts w:hint="eastAsia" w:cs="宋体"/>
          <w:color w:val="auto"/>
          <w:sz w:val="21"/>
          <w:szCs w:val="21"/>
          <w:highlight w:val="none"/>
        </w:rPr>
        <w:t>计划竣工日期：</w:t>
      </w:r>
      <w:r>
        <w:rPr>
          <w:rFonts w:hint="eastAsia" w:cs="宋体"/>
          <w:color w:val="auto"/>
          <w:sz w:val="21"/>
          <w:szCs w:val="21"/>
          <w:highlight w:val="none"/>
          <w:u w:val="single"/>
        </w:rPr>
        <w:t></w:t>
      </w:r>
      <w:r>
        <w:rPr>
          <w:rFonts w:hint="eastAsia" w:cs="宋体"/>
          <w:color w:val="auto"/>
          <w:sz w:val="21"/>
          <w:szCs w:val="21"/>
          <w:highlight w:val="none"/>
        </w:rPr>
        <w:t>年</w:t>
      </w:r>
      <w:r>
        <w:rPr>
          <w:rFonts w:hint="eastAsia" w:cs="宋体"/>
          <w:color w:val="auto"/>
          <w:sz w:val="21"/>
          <w:szCs w:val="21"/>
          <w:highlight w:val="none"/>
          <w:u w:val="single"/>
        </w:rPr>
        <w:t></w:t>
      </w:r>
      <w:r>
        <w:rPr>
          <w:rFonts w:hint="eastAsia" w:cs="宋体"/>
          <w:color w:val="auto"/>
          <w:sz w:val="21"/>
          <w:szCs w:val="21"/>
          <w:highlight w:val="none"/>
        </w:rPr>
        <w:t>月</w:t>
      </w:r>
      <w:r>
        <w:rPr>
          <w:rFonts w:hint="eastAsia" w:cs="宋体"/>
          <w:color w:val="auto"/>
          <w:sz w:val="21"/>
          <w:szCs w:val="21"/>
          <w:highlight w:val="none"/>
          <w:u w:val="single"/>
        </w:rPr>
        <w:t></w:t>
      </w:r>
      <w:r>
        <w:rPr>
          <w:rFonts w:hint="eastAsia" w:cs="宋体"/>
          <w:color w:val="auto"/>
          <w:sz w:val="21"/>
          <w:szCs w:val="21"/>
          <w:highlight w:val="none"/>
        </w:rPr>
        <w:t>日。</w:t>
      </w:r>
    </w:p>
    <w:p w14:paraId="375D21B9">
      <w:pPr>
        <w:snapToGrid w:val="0"/>
        <w:spacing w:line="360" w:lineRule="auto"/>
        <w:ind w:firstLine="459"/>
        <w:rPr>
          <w:rFonts w:cs="宋体"/>
          <w:color w:val="auto"/>
          <w:sz w:val="21"/>
          <w:szCs w:val="21"/>
          <w:highlight w:val="none"/>
        </w:rPr>
      </w:pPr>
      <w:r>
        <w:rPr>
          <w:rFonts w:hint="eastAsia" w:cs="宋体"/>
          <w:color w:val="auto"/>
          <w:sz w:val="21"/>
          <w:szCs w:val="21"/>
          <w:highlight w:val="none"/>
        </w:rPr>
        <w:t>工期总日历天数：</w:t>
      </w:r>
      <w:r>
        <w:rPr>
          <w:rFonts w:hint="eastAsia" w:cs="宋体"/>
          <w:color w:val="auto"/>
          <w:sz w:val="21"/>
          <w:szCs w:val="21"/>
          <w:highlight w:val="none"/>
          <w:u w:val="single"/>
        </w:rPr>
        <w:t></w:t>
      </w:r>
      <w:r>
        <w:rPr>
          <w:rFonts w:hint="eastAsia" w:cs="宋体"/>
          <w:color w:val="auto"/>
          <w:sz w:val="21"/>
          <w:szCs w:val="21"/>
          <w:highlight w:val="none"/>
        </w:rPr>
        <w:t>天。工期总日历天数与根据前述计划开竣工日期计算的工期天数不一致的，以工期总日历天数为准。</w:t>
      </w:r>
    </w:p>
    <w:p w14:paraId="1A6BEDDD">
      <w:pPr>
        <w:snapToGrid w:val="0"/>
        <w:spacing w:line="360" w:lineRule="auto"/>
        <w:ind w:firstLine="422" w:firstLineChars="200"/>
        <w:rPr>
          <w:rFonts w:cs="宋体"/>
          <w:b/>
          <w:color w:val="auto"/>
          <w:sz w:val="21"/>
          <w:szCs w:val="21"/>
          <w:highlight w:val="none"/>
        </w:rPr>
      </w:pPr>
      <w:bookmarkStart w:id="42" w:name="_Toc351203483"/>
      <w:r>
        <w:rPr>
          <w:rFonts w:hint="eastAsia" w:cs="宋体"/>
          <w:b/>
          <w:color w:val="auto"/>
          <w:sz w:val="21"/>
          <w:szCs w:val="21"/>
          <w:highlight w:val="none"/>
        </w:rPr>
        <w:t>三、质量标准</w:t>
      </w:r>
      <w:bookmarkEnd w:id="42"/>
    </w:p>
    <w:p w14:paraId="5794E782">
      <w:pPr>
        <w:snapToGrid w:val="0"/>
        <w:spacing w:line="360" w:lineRule="auto"/>
        <w:ind w:firstLine="459"/>
        <w:rPr>
          <w:rFonts w:cs="宋体"/>
          <w:color w:val="auto"/>
          <w:sz w:val="21"/>
          <w:szCs w:val="21"/>
          <w:highlight w:val="none"/>
        </w:rPr>
      </w:pPr>
      <w:r>
        <w:rPr>
          <w:rFonts w:hint="eastAsia" w:cs="宋体"/>
          <w:color w:val="auto"/>
          <w:sz w:val="21"/>
          <w:szCs w:val="21"/>
          <w:highlight w:val="none"/>
        </w:rPr>
        <w:t>工程质量符合</w:t>
      </w:r>
      <w:r>
        <w:rPr>
          <w:rFonts w:hint="eastAsia" w:cs="宋体"/>
          <w:color w:val="auto"/>
          <w:sz w:val="21"/>
          <w:szCs w:val="21"/>
          <w:highlight w:val="none"/>
          <w:u w:val="single"/>
        </w:rPr>
        <w:t xml:space="preserve"> 合格 </w:t>
      </w:r>
      <w:r>
        <w:rPr>
          <w:rFonts w:hint="eastAsia" w:cs="宋体"/>
          <w:color w:val="auto"/>
          <w:sz w:val="21"/>
          <w:szCs w:val="21"/>
          <w:highlight w:val="none"/>
        </w:rPr>
        <w:t>标准。</w:t>
      </w:r>
    </w:p>
    <w:p w14:paraId="41673B29">
      <w:pPr>
        <w:snapToGrid w:val="0"/>
        <w:spacing w:line="360" w:lineRule="auto"/>
        <w:ind w:firstLine="422" w:firstLineChars="200"/>
        <w:rPr>
          <w:rFonts w:cs="宋体"/>
          <w:b/>
          <w:color w:val="auto"/>
          <w:sz w:val="21"/>
          <w:szCs w:val="21"/>
          <w:highlight w:val="none"/>
        </w:rPr>
      </w:pPr>
      <w:bookmarkStart w:id="43" w:name="_Toc351203484"/>
      <w:r>
        <w:rPr>
          <w:rFonts w:hint="eastAsia" w:cs="宋体"/>
          <w:b/>
          <w:color w:val="auto"/>
          <w:sz w:val="21"/>
          <w:szCs w:val="21"/>
          <w:highlight w:val="none"/>
        </w:rPr>
        <w:t>四、签约合同价与合同价格形式</w:t>
      </w:r>
      <w:bookmarkEnd w:id="43"/>
    </w:p>
    <w:p w14:paraId="1BAB5D2A">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 签约合同价为：</w:t>
      </w:r>
    </w:p>
    <w:p w14:paraId="2D1262F1">
      <w:pPr>
        <w:snapToGrid w:val="0"/>
        <w:spacing w:line="360" w:lineRule="auto"/>
        <w:ind w:firstLine="525" w:firstLineChars="2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238CC126">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其中：</w:t>
      </w:r>
    </w:p>
    <w:p w14:paraId="7A784991">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（1）安全文明施工费：</w:t>
      </w:r>
    </w:p>
    <w:p w14:paraId="62246020">
      <w:pPr>
        <w:snapToGrid w:val="0"/>
        <w:spacing w:line="360" w:lineRule="auto"/>
        <w:ind w:firstLine="945" w:firstLineChars="4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109E1411">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（2）材料和工程设备暂估价金额：</w:t>
      </w:r>
    </w:p>
    <w:p w14:paraId="76631296">
      <w:pPr>
        <w:snapToGrid w:val="0"/>
        <w:spacing w:line="360" w:lineRule="auto"/>
        <w:ind w:firstLine="945" w:firstLineChars="4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1832C126">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（3）专业工程暂估价金额：</w:t>
      </w:r>
    </w:p>
    <w:p w14:paraId="0638A5AC">
      <w:pPr>
        <w:snapToGrid w:val="0"/>
        <w:spacing w:line="360" w:lineRule="auto"/>
        <w:ind w:firstLine="945" w:firstLineChars="4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78AF2313">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（4）暂列金额：</w:t>
      </w:r>
    </w:p>
    <w:p w14:paraId="22876E63">
      <w:pPr>
        <w:snapToGrid w:val="0"/>
        <w:spacing w:line="360" w:lineRule="auto"/>
        <w:ind w:firstLine="945" w:firstLineChars="450"/>
        <w:rPr>
          <w:rFonts w:cs="宋体"/>
          <w:color w:val="auto"/>
          <w:sz w:val="21"/>
          <w:szCs w:val="21"/>
          <w:highlight w:val="none"/>
        </w:rPr>
      </w:pPr>
      <w:r>
        <w:rPr>
          <w:rFonts w:hint="eastAsia" w:cs="宋体"/>
          <w:color w:val="auto"/>
          <w:sz w:val="21"/>
          <w:szCs w:val="21"/>
          <w:highlight w:val="none"/>
        </w:rPr>
        <w:t>人民币（大写）</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元）。</w:t>
      </w:r>
    </w:p>
    <w:p w14:paraId="6E74C981">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 合同价格形式：</w:t>
      </w:r>
      <w:r>
        <w:rPr>
          <w:rFonts w:hint="eastAsia" w:ascii="宋体" w:hAnsi="宋体" w:eastAsia="宋体" w:cs="宋体"/>
          <w:b w:val="0"/>
          <w:bCs w:val="0"/>
          <w:color w:val="auto"/>
          <w:kern w:val="2"/>
          <w:sz w:val="21"/>
          <w:szCs w:val="21"/>
          <w:highlight w:val="none"/>
          <w:u w:val="single"/>
          <w:lang w:val="en-US" w:eastAsia="zh-CN" w:bidi="ar"/>
        </w:rPr>
        <w:t>固定单价合同，采用工程量清单方式计价</w:t>
      </w:r>
      <w:r>
        <w:rPr>
          <w:rFonts w:hint="eastAsia" w:cs="宋体"/>
          <w:color w:val="auto"/>
          <w:sz w:val="21"/>
          <w:szCs w:val="21"/>
          <w:highlight w:val="none"/>
        </w:rPr>
        <w:t>。</w:t>
      </w:r>
    </w:p>
    <w:p w14:paraId="656A00B9">
      <w:pPr>
        <w:snapToGrid w:val="0"/>
        <w:spacing w:line="360" w:lineRule="auto"/>
        <w:ind w:firstLine="422" w:firstLineChars="200"/>
        <w:rPr>
          <w:rFonts w:cs="宋体"/>
          <w:b/>
          <w:color w:val="auto"/>
          <w:sz w:val="21"/>
          <w:szCs w:val="21"/>
          <w:highlight w:val="none"/>
        </w:rPr>
      </w:pPr>
      <w:bookmarkStart w:id="44" w:name="_Toc351203485"/>
      <w:r>
        <w:rPr>
          <w:rFonts w:hint="eastAsia" w:cs="宋体"/>
          <w:b/>
          <w:color w:val="auto"/>
          <w:sz w:val="21"/>
          <w:szCs w:val="21"/>
          <w:highlight w:val="none"/>
        </w:rPr>
        <w:t>五、</w:t>
      </w:r>
      <w:bookmarkEnd w:id="44"/>
      <w:r>
        <w:rPr>
          <w:rFonts w:hint="eastAsia" w:cs="宋体"/>
          <w:b/>
          <w:color w:val="auto"/>
          <w:sz w:val="21"/>
          <w:szCs w:val="21"/>
          <w:highlight w:val="none"/>
        </w:rPr>
        <w:t>项目经理</w:t>
      </w:r>
    </w:p>
    <w:p w14:paraId="5631FB45">
      <w:pPr>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承包人项目经理：</w:t>
      </w:r>
      <w:r>
        <w:rPr>
          <w:rFonts w:hint="eastAsia" w:cs="宋体"/>
          <w:color w:val="auto"/>
          <w:sz w:val="21"/>
          <w:szCs w:val="21"/>
          <w:highlight w:val="none"/>
          <w:u w:val="single"/>
        </w:rPr>
        <w:t>                     </w:t>
      </w:r>
      <w:r>
        <w:rPr>
          <w:rFonts w:hint="eastAsia" w:cs="宋体"/>
          <w:color w:val="auto"/>
          <w:sz w:val="21"/>
          <w:szCs w:val="21"/>
          <w:highlight w:val="none"/>
        </w:rPr>
        <w:t>。</w:t>
      </w:r>
    </w:p>
    <w:p w14:paraId="506F1526">
      <w:pPr>
        <w:snapToGrid w:val="0"/>
        <w:spacing w:line="360" w:lineRule="auto"/>
        <w:ind w:firstLine="422" w:firstLineChars="200"/>
        <w:rPr>
          <w:rFonts w:cs="宋体"/>
          <w:b/>
          <w:color w:val="auto"/>
          <w:sz w:val="21"/>
          <w:szCs w:val="21"/>
          <w:highlight w:val="none"/>
        </w:rPr>
      </w:pPr>
      <w:bookmarkStart w:id="45" w:name="_Toc351203486"/>
      <w:r>
        <w:rPr>
          <w:rFonts w:hint="eastAsia" w:cs="宋体"/>
          <w:b/>
          <w:color w:val="auto"/>
          <w:sz w:val="21"/>
          <w:szCs w:val="21"/>
          <w:highlight w:val="none"/>
        </w:rPr>
        <w:t>六、合同文件构成</w:t>
      </w:r>
      <w:bookmarkEnd w:id="45"/>
    </w:p>
    <w:p w14:paraId="4B890E52">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本协议书与下列文件一起构成合同文件：</w:t>
      </w:r>
    </w:p>
    <w:p w14:paraId="5C3B9D6C">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（1）中标通知书（如果有）；</w:t>
      </w:r>
    </w:p>
    <w:p w14:paraId="5276F154">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（2）投标函及其附录（如果有）； </w:t>
      </w:r>
    </w:p>
    <w:p w14:paraId="43DC31D1">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（3）专用合同条款及其附件；</w:t>
      </w:r>
    </w:p>
    <w:p w14:paraId="1BC23EDD">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（4）通用合同条款；</w:t>
      </w:r>
    </w:p>
    <w:p w14:paraId="284EDD0A">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（5）技术标准和要求；</w:t>
      </w:r>
    </w:p>
    <w:p w14:paraId="6490633E">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（6）图纸；</w:t>
      </w:r>
    </w:p>
    <w:p w14:paraId="7C20958B">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（7）已标价工程量清单或预算书；</w:t>
      </w:r>
    </w:p>
    <w:p w14:paraId="5F692036">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（8）其他合同文件。</w:t>
      </w:r>
    </w:p>
    <w:p w14:paraId="722351EC">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在合同订立及履行过程中形成的与合同有关的文件均构成合同文件组成部分。</w:t>
      </w:r>
    </w:p>
    <w:p w14:paraId="383E7875">
      <w:pPr>
        <w:autoSpaceDE w:val="0"/>
        <w:autoSpaceDN w:val="0"/>
        <w:adjustRightInd w:val="0"/>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上述各项合同文件包括合同当事人就该项合同文件所作出的补充和修改，属于同一类内容的文件，应以最新签署的为准。专用合同条款及其附件须经合同当事人签字或盖章。</w:t>
      </w:r>
    </w:p>
    <w:p w14:paraId="23435B58">
      <w:pPr>
        <w:snapToGrid w:val="0"/>
        <w:spacing w:line="360" w:lineRule="auto"/>
        <w:ind w:firstLine="422" w:firstLineChars="200"/>
        <w:rPr>
          <w:rFonts w:cs="宋体"/>
          <w:b/>
          <w:color w:val="auto"/>
          <w:sz w:val="21"/>
          <w:szCs w:val="21"/>
          <w:highlight w:val="none"/>
        </w:rPr>
      </w:pPr>
      <w:bookmarkStart w:id="46" w:name="_Toc351203487"/>
      <w:r>
        <w:rPr>
          <w:rFonts w:hint="eastAsia" w:cs="宋体"/>
          <w:b/>
          <w:color w:val="auto"/>
          <w:sz w:val="21"/>
          <w:szCs w:val="21"/>
          <w:highlight w:val="none"/>
        </w:rPr>
        <w:t>七、承诺</w:t>
      </w:r>
      <w:bookmarkEnd w:id="46"/>
    </w:p>
    <w:p w14:paraId="5C3129F6">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1. 发包人承诺按照法律规定履行项目审批手续、筹集工程建设资金并按照合同约定的期限和方式支付合同价款。</w:t>
      </w:r>
    </w:p>
    <w:p w14:paraId="362B3ABA">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2. 承包人承诺按照法律规定及合同约定组织完成工程施工，确保工程质量和安全，不进行转包及违法分包，并在缺陷责任期及保修期内承担相应的工程维修责任。</w:t>
      </w:r>
    </w:p>
    <w:p w14:paraId="63EE384F">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3. 发包人和承包人通过招投标形式签订合同的，双方理解并承诺不再就同一工程另行签订与合同实质性内容相背离的协议。</w:t>
      </w:r>
    </w:p>
    <w:p w14:paraId="1042028E">
      <w:pPr>
        <w:snapToGrid w:val="0"/>
        <w:spacing w:line="360" w:lineRule="auto"/>
        <w:ind w:firstLine="422" w:firstLineChars="200"/>
        <w:rPr>
          <w:rFonts w:cs="宋体"/>
          <w:b/>
          <w:color w:val="auto"/>
          <w:sz w:val="21"/>
          <w:szCs w:val="21"/>
          <w:highlight w:val="none"/>
        </w:rPr>
      </w:pPr>
      <w:bookmarkStart w:id="47" w:name="_Toc351203488"/>
      <w:r>
        <w:rPr>
          <w:rFonts w:hint="eastAsia" w:cs="宋体"/>
          <w:b/>
          <w:color w:val="auto"/>
          <w:sz w:val="21"/>
          <w:szCs w:val="21"/>
          <w:highlight w:val="none"/>
        </w:rPr>
        <w:t>八、词语含义</w:t>
      </w:r>
      <w:bookmarkEnd w:id="47"/>
    </w:p>
    <w:p w14:paraId="4D001363">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本协议书中词语含义与第二部分通用合同条款中赋予的含义相同。</w:t>
      </w:r>
    </w:p>
    <w:p w14:paraId="4D4BF13C">
      <w:pPr>
        <w:snapToGrid w:val="0"/>
        <w:spacing w:line="360" w:lineRule="auto"/>
        <w:ind w:firstLine="422" w:firstLineChars="200"/>
        <w:rPr>
          <w:rFonts w:cs="宋体"/>
          <w:b/>
          <w:color w:val="auto"/>
          <w:sz w:val="21"/>
          <w:szCs w:val="21"/>
          <w:highlight w:val="none"/>
        </w:rPr>
      </w:pPr>
      <w:bookmarkStart w:id="48" w:name="_Toc351203489"/>
      <w:r>
        <w:rPr>
          <w:rFonts w:hint="eastAsia" w:cs="宋体"/>
          <w:b/>
          <w:color w:val="auto"/>
          <w:sz w:val="21"/>
          <w:szCs w:val="21"/>
          <w:highlight w:val="none"/>
        </w:rPr>
        <w:t>九、签订时间</w:t>
      </w:r>
      <w:bookmarkEnd w:id="48"/>
    </w:p>
    <w:p w14:paraId="035C1359">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本合同于</w:t>
      </w:r>
      <w:r>
        <w:rPr>
          <w:rFonts w:hint="eastAsia" w:cs="宋体"/>
          <w:bCs/>
          <w:color w:val="auto"/>
          <w:sz w:val="21"/>
          <w:szCs w:val="21"/>
          <w:highlight w:val="none"/>
          <w:u w:val="single"/>
        </w:rPr>
        <w:t xml:space="preserve">         </w:t>
      </w:r>
      <w:r>
        <w:rPr>
          <w:rFonts w:hint="eastAsia" w:cs="宋体"/>
          <w:bCs/>
          <w:color w:val="auto"/>
          <w:sz w:val="21"/>
          <w:szCs w:val="21"/>
          <w:highlight w:val="none"/>
        </w:rPr>
        <w:t>年</w:t>
      </w:r>
      <w:r>
        <w:rPr>
          <w:rFonts w:hint="eastAsia" w:cs="宋体"/>
          <w:bCs/>
          <w:color w:val="auto"/>
          <w:sz w:val="21"/>
          <w:szCs w:val="21"/>
          <w:highlight w:val="none"/>
          <w:u w:val="single"/>
        </w:rPr>
        <w:t xml:space="preserve">    </w:t>
      </w:r>
      <w:r>
        <w:rPr>
          <w:rFonts w:hint="eastAsia" w:cs="宋体"/>
          <w:bCs/>
          <w:color w:val="auto"/>
          <w:sz w:val="21"/>
          <w:szCs w:val="21"/>
          <w:highlight w:val="none"/>
        </w:rPr>
        <w:t>月</w:t>
      </w:r>
      <w:r>
        <w:rPr>
          <w:rFonts w:hint="eastAsia" w:cs="宋体"/>
          <w:bCs/>
          <w:color w:val="auto"/>
          <w:sz w:val="21"/>
          <w:szCs w:val="21"/>
          <w:highlight w:val="none"/>
          <w:u w:val="single"/>
        </w:rPr>
        <w:t xml:space="preserve">    </w:t>
      </w:r>
      <w:r>
        <w:rPr>
          <w:rFonts w:hint="eastAsia" w:cs="宋体"/>
          <w:bCs/>
          <w:color w:val="auto"/>
          <w:sz w:val="21"/>
          <w:szCs w:val="21"/>
          <w:highlight w:val="none"/>
        </w:rPr>
        <w:t>日签订。</w:t>
      </w:r>
    </w:p>
    <w:p w14:paraId="74F782BE">
      <w:pPr>
        <w:snapToGrid w:val="0"/>
        <w:spacing w:line="360" w:lineRule="auto"/>
        <w:ind w:firstLine="422" w:firstLineChars="200"/>
        <w:rPr>
          <w:rFonts w:cs="宋体"/>
          <w:b/>
          <w:color w:val="auto"/>
          <w:sz w:val="21"/>
          <w:szCs w:val="21"/>
          <w:highlight w:val="none"/>
        </w:rPr>
      </w:pPr>
      <w:bookmarkStart w:id="49" w:name="_Toc351203490"/>
      <w:r>
        <w:rPr>
          <w:rFonts w:hint="eastAsia" w:cs="宋体"/>
          <w:b/>
          <w:color w:val="auto"/>
          <w:sz w:val="21"/>
          <w:szCs w:val="21"/>
          <w:highlight w:val="none"/>
        </w:rPr>
        <w:t>十、签订地点</w:t>
      </w:r>
      <w:bookmarkEnd w:id="49"/>
    </w:p>
    <w:p w14:paraId="18FF2D62">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本合同在</w:t>
      </w:r>
      <w:r>
        <w:rPr>
          <w:rFonts w:hint="eastAsia" w:cs="宋体"/>
          <w:bCs/>
          <w:color w:val="auto"/>
          <w:sz w:val="21"/>
          <w:szCs w:val="21"/>
          <w:highlight w:val="none"/>
          <w:u w:val="single"/>
        </w:rPr>
        <w:t xml:space="preserve">                                    </w:t>
      </w:r>
      <w:r>
        <w:rPr>
          <w:rFonts w:hint="eastAsia" w:cs="宋体"/>
          <w:bCs/>
          <w:color w:val="auto"/>
          <w:sz w:val="21"/>
          <w:szCs w:val="21"/>
          <w:highlight w:val="none"/>
        </w:rPr>
        <w:t>签订。</w:t>
      </w:r>
    </w:p>
    <w:p w14:paraId="079F7040">
      <w:pPr>
        <w:snapToGrid w:val="0"/>
        <w:spacing w:line="360" w:lineRule="auto"/>
        <w:ind w:firstLine="422" w:firstLineChars="200"/>
        <w:rPr>
          <w:rFonts w:cs="宋体"/>
          <w:b/>
          <w:color w:val="auto"/>
          <w:sz w:val="21"/>
          <w:szCs w:val="21"/>
          <w:highlight w:val="none"/>
        </w:rPr>
      </w:pPr>
      <w:bookmarkStart w:id="50" w:name="_Toc351203491"/>
      <w:r>
        <w:rPr>
          <w:rFonts w:hint="eastAsia" w:cs="宋体"/>
          <w:b/>
          <w:color w:val="auto"/>
          <w:sz w:val="21"/>
          <w:szCs w:val="21"/>
          <w:highlight w:val="none"/>
        </w:rPr>
        <w:t>十一、补充协议</w:t>
      </w:r>
      <w:bookmarkEnd w:id="50"/>
    </w:p>
    <w:p w14:paraId="1705F22C">
      <w:pPr>
        <w:snapToGrid w:val="0"/>
        <w:spacing w:line="360" w:lineRule="auto"/>
        <w:ind w:firstLine="420" w:firstLineChars="200"/>
        <w:rPr>
          <w:rFonts w:cs="宋体"/>
          <w:b/>
          <w:bCs/>
          <w:color w:val="auto"/>
          <w:sz w:val="21"/>
          <w:szCs w:val="21"/>
          <w:highlight w:val="none"/>
        </w:rPr>
      </w:pPr>
      <w:r>
        <w:rPr>
          <w:rFonts w:hint="eastAsia" w:cs="宋体"/>
          <w:bCs/>
          <w:color w:val="auto"/>
          <w:sz w:val="21"/>
          <w:szCs w:val="21"/>
          <w:highlight w:val="none"/>
        </w:rPr>
        <w:t>合同未尽事宜，合同当事人另行签订补充协议，补充协议是合同的组成部分。</w:t>
      </w:r>
    </w:p>
    <w:p w14:paraId="1F6DF5D3">
      <w:pPr>
        <w:snapToGrid w:val="0"/>
        <w:spacing w:line="360" w:lineRule="auto"/>
        <w:ind w:firstLine="422" w:firstLineChars="200"/>
        <w:rPr>
          <w:rFonts w:cs="宋体"/>
          <w:b/>
          <w:color w:val="auto"/>
          <w:sz w:val="21"/>
          <w:szCs w:val="21"/>
          <w:highlight w:val="none"/>
        </w:rPr>
      </w:pPr>
      <w:bookmarkStart w:id="51" w:name="_Toc351203492"/>
      <w:r>
        <w:rPr>
          <w:rFonts w:hint="eastAsia" w:cs="宋体"/>
          <w:b/>
          <w:color w:val="auto"/>
          <w:sz w:val="21"/>
          <w:szCs w:val="21"/>
          <w:highlight w:val="none"/>
        </w:rPr>
        <w:t>十二、合同生效</w:t>
      </w:r>
      <w:bookmarkEnd w:id="51"/>
    </w:p>
    <w:p w14:paraId="55902A39">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本合同自</w:t>
      </w:r>
      <w:r>
        <w:rPr>
          <w:rFonts w:hint="eastAsia" w:cs="宋体"/>
          <w:bCs/>
          <w:color w:val="auto"/>
          <w:sz w:val="21"/>
          <w:szCs w:val="21"/>
          <w:highlight w:val="none"/>
          <w:u w:val="single"/>
        </w:rPr>
        <w:t xml:space="preserve">                                   </w:t>
      </w:r>
      <w:r>
        <w:rPr>
          <w:rFonts w:hint="eastAsia" w:cs="宋体"/>
          <w:bCs/>
          <w:color w:val="auto"/>
          <w:sz w:val="21"/>
          <w:szCs w:val="21"/>
          <w:highlight w:val="none"/>
        </w:rPr>
        <w:t>生效。</w:t>
      </w:r>
    </w:p>
    <w:p w14:paraId="76954526">
      <w:pPr>
        <w:snapToGrid w:val="0"/>
        <w:spacing w:line="360" w:lineRule="auto"/>
        <w:ind w:firstLine="422" w:firstLineChars="200"/>
        <w:rPr>
          <w:rFonts w:cs="宋体"/>
          <w:b/>
          <w:color w:val="auto"/>
          <w:sz w:val="21"/>
          <w:szCs w:val="21"/>
          <w:highlight w:val="none"/>
        </w:rPr>
      </w:pPr>
      <w:bookmarkStart w:id="52" w:name="_Toc351203493"/>
      <w:r>
        <w:rPr>
          <w:rFonts w:hint="eastAsia" w:cs="宋体"/>
          <w:b/>
          <w:color w:val="auto"/>
          <w:sz w:val="21"/>
          <w:szCs w:val="21"/>
          <w:highlight w:val="none"/>
        </w:rPr>
        <w:t>十三、合同份数</w:t>
      </w:r>
      <w:bookmarkEnd w:id="52"/>
    </w:p>
    <w:p w14:paraId="310E31B8">
      <w:pPr>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本合同一式</w:t>
      </w:r>
      <w:r>
        <w:rPr>
          <w:rFonts w:hint="eastAsia" w:cs="宋体"/>
          <w:bCs/>
          <w:color w:val="auto"/>
          <w:sz w:val="21"/>
          <w:szCs w:val="21"/>
          <w:highlight w:val="none"/>
          <w:u w:val="single"/>
        </w:rPr>
        <w:t xml:space="preserve">    </w:t>
      </w:r>
      <w:r>
        <w:rPr>
          <w:rFonts w:hint="eastAsia" w:cs="宋体"/>
          <w:bCs/>
          <w:color w:val="auto"/>
          <w:sz w:val="21"/>
          <w:szCs w:val="21"/>
          <w:highlight w:val="none"/>
        </w:rPr>
        <w:t>份，均具有同等法律效力，发包人执</w:t>
      </w:r>
      <w:r>
        <w:rPr>
          <w:rFonts w:hint="eastAsia" w:cs="宋体"/>
          <w:bCs/>
          <w:color w:val="auto"/>
          <w:sz w:val="21"/>
          <w:szCs w:val="21"/>
          <w:highlight w:val="none"/>
          <w:u w:val="single"/>
        </w:rPr>
        <w:t xml:space="preserve">    </w:t>
      </w:r>
      <w:r>
        <w:rPr>
          <w:rFonts w:hint="eastAsia" w:cs="宋体"/>
          <w:bCs/>
          <w:color w:val="auto"/>
          <w:sz w:val="21"/>
          <w:szCs w:val="21"/>
          <w:highlight w:val="none"/>
        </w:rPr>
        <w:t>份，承包人执</w:t>
      </w:r>
      <w:r>
        <w:rPr>
          <w:rFonts w:hint="eastAsia" w:cs="宋体"/>
          <w:bCs/>
          <w:color w:val="auto"/>
          <w:sz w:val="21"/>
          <w:szCs w:val="21"/>
          <w:highlight w:val="none"/>
          <w:u w:val="single"/>
        </w:rPr>
        <w:t xml:space="preserve">    </w:t>
      </w:r>
      <w:r>
        <w:rPr>
          <w:rFonts w:hint="eastAsia" w:cs="宋体"/>
          <w:bCs/>
          <w:color w:val="auto"/>
          <w:sz w:val="21"/>
          <w:szCs w:val="21"/>
          <w:highlight w:val="none"/>
        </w:rPr>
        <w:t>份。</w:t>
      </w:r>
    </w:p>
    <w:p w14:paraId="43B4DBDA">
      <w:pPr>
        <w:snapToGrid w:val="0"/>
        <w:spacing w:line="360" w:lineRule="auto"/>
        <w:rPr>
          <w:rFonts w:cs="宋体"/>
          <w:bCs/>
          <w:color w:val="auto"/>
          <w:sz w:val="21"/>
          <w:szCs w:val="21"/>
          <w:highlight w:val="none"/>
        </w:rPr>
      </w:pPr>
    </w:p>
    <w:p w14:paraId="1DD69C45">
      <w:pPr>
        <w:snapToGrid w:val="0"/>
        <w:spacing w:line="360" w:lineRule="auto"/>
        <w:rPr>
          <w:rFonts w:cs="宋体"/>
          <w:color w:val="auto"/>
          <w:sz w:val="21"/>
          <w:szCs w:val="21"/>
          <w:highlight w:val="none"/>
        </w:rPr>
      </w:pPr>
      <w:r>
        <w:rPr>
          <w:rFonts w:hint="eastAsia" w:cs="宋体"/>
          <w:color w:val="auto"/>
          <w:sz w:val="21"/>
          <w:szCs w:val="21"/>
          <w:highlight w:val="none"/>
        </w:rPr>
        <w:t>发包人：</w:t>
      </w:r>
      <w:r>
        <w:rPr>
          <w:rFonts w:hint="eastAsia" w:cs="宋体"/>
          <w:color w:val="auto"/>
          <w:sz w:val="21"/>
          <w:szCs w:val="21"/>
          <w:highlight w:val="none"/>
          <w:u w:val="single"/>
        </w:rPr>
        <w:t>      （</w:t>
      </w:r>
      <w:r>
        <w:rPr>
          <w:rFonts w:hint="eastAsia" w:cs="宋体"/>
          <w:color w:val="auto"/>
          <w:sz w:val="21"/>
          <w:szCs w:val="21"/>
          <w:highlight w:val="none"/>
        </w:rPr>
        <w:t>公章）                 承包人：</w:t>
      </w:r>
      <w:r>
        <w:rPr>
          <w:rFonts w:hint="eastAsia" w:cs="宋体"/>
          <w:color w:val="auto"/>
          <w:sz w:val="21"/>
          <w:szCs w:val="21"/>
          <w:highlight w:val="none"/>
          <w:u w:val="single"/>
        </w:rPr>
        <w:t>        （</w:t>
      </w:r>
      <w:r>
        <w:rPr>
          <w:rFonts w:hint="eastAsia" w:cs="宋体"/>
          <w:color w:val="auto"/>
          <w:sz w:val="21"/>
          <w:szCs w:val="21"/>
          <w:highlight w:val="none"/>
        </w:rPr>
        <w:t>公章）</w:t>
      </w:r>
    </w:p>
    <w:p w14:paraId="1CAB98A9">
      <w:pPr>
        <w:snapToGrid w:val="0"/>
        <w:spacing w:line="360" w:lineRule="auto"/>
        <w:rPr>
          <w:rFonts w:cs="宋体"/>
          <w:color w:val="auto"/>
          <w:sz w:val="21"/>
          <w:szCs w:val="21"/>
          <w:highlight w:val="none"/>
        </w:rPr>
      </w:pPr>
      <w:r>
        <w:rPr>
          <w:rFonts w:hint="eastAsia" w:cs="宋体"/>
          <w:color w:val="auto"/>
          <w:sz w:val="21"/>
          <w:szCs w:val="21"/>
          <w:highlight w:val="none"/>
        </w:rPr>
        <w:t>法定代表人或其委托代理人：                 法定代表人或其委托代理人：</w:t>
      </w:r>
    </w:p>
    <w:p w14:paraId="02004EC9">
      <w:pPr>
        <w:snapToGrid w:val="0"/>
        <w:spacing w:line="360" w:lineRule="auto"/>
        <w:rPr>
          <w:rFonts w:cs="宋体"/>
          <w:color w:val="auto"/>
          <w:sz w:val="21"/>
          <w:szCs w:val="21"/>
          <w:highlight w:val="none"/>
        </w:rPr>
      </w:pPr>
      <w:r>
        <w:rPr>
          <w:rFonts w:hint="eastAsia" w:cs="宋体"/>
          <w:color w:val="auto"/>
          <w:sz w:val="21"/>
          <w:szCs w:val="21"/>
          <w:highlight w:val="none"/>
        </w:rPr>
        <w:t>（签字）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（签字）</w:t>
      </w:r>
      <w:r>
        <w:rPr>
          <w:rFonts w:hint="eastAsia" w:cs="宋体"/>
          <w:color w:val="auto"/>
          <w:sz w:val="21"/>
          <w:szCs w:val="21"/>
          <w:highlight w:val="none"/>
          <w:u w:val="single"/>
        </w:rPr>
        <w:t xml:space="preserve">                   </w:t>
      </w:r>
    </w:p>
    <w:p w14:paraId="575BD68D">
      <w:pPr>
        <w:tabs>
          <w:tab w:val="left" w:pos="4410"/>
        </w:tabs>
        <w:snapToGrid w:val="0"/>
        <w:spacing w:line="360" w:lineRule="auto"/>
        <w:rPr>
          <w:rFonts w:cs="宋体"/>
          <w:color w:val="auto"/>
          <w:sz w:val="21"/>
          <w:szCs w:val="21"/>
          <w:highlight w:val="none"/>
        </w:rPr>
      </w:pPr>
      <w:r>
        <w:rPr>
          <w:rFonts w:hint="eastAsia" w:cs="宋体"/>
          <w:color w:val="auto"/>
          <w:sz w:val="21"/>
          <w:szCs w:val="21"/>
          <w:highlight w:val="none"/>
        </w:rPr>
        <w:t>组织机构代码：</w:t>
      </w:r>
      <w:r>
        <w:rPr>
          <w:rFonts w:hint="eastAsia" w:cs="宋体"/>
          <w:color w:val="auto"/>
          <w:sz w:val="21"/>
          <w:szCs w:val="21"/>
          <w:highlight w:val="none"/>
          <w:u w:val="single"/>
        </w:rPr>
        <w:t xml:space="preserve">       </w:t>
      </w:r>
      <w:r>
        <w:rPr>
          <w:rFonts w:hint="eastAsia" w:cs="宋体"/>
          <w:color w:val="auto"/>
          <w:sz w:val="21"/>
          <w:szCs w:val="21"/>
          <w:highlight w:val="none"/>
        </w:rPr>
        <w:t xml:space="preserve">                组织机构代码：</w:t>
      </w:r>
      <w:r>
        <w:rPr>
          <w:rFonts w:hint="eastAsia" w:cs="宋体"/>
          <w:color w:val="auto"/>
          <w:sz w:val="21"/>
          <w:szCs w:val="21"/>
          <w:highlight w:val="none"/>
          <w:u w:val="single"/>
        </w:rPr>
        <w:t xml:space="preserve">        </w:t>
      </w:r>
    </w:p>
    <w:p w14:paraId="672E10C3">
      <w:pPr>
        <w:snapToGrid w:val="0"/>
        <w:spacing w:line="360" w:lineRule="auto"/>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    </w:t>
      </w:r>
      <w:r>
        <w:rPr>
          <w:rFonts w:hint="eastAsia" w:cs="宋体"/>
          <w:color w:val="auto"/>
          <w:sz w:val="21"/>
          <w:szCs w:val="21"/>
          <w:highlight w:val="none"/>
        </w:rPr>
        <w:t xml:space="preserve">                地  址：</w:t>
      </w:r>
      <w:r>
        <w:rPr>
          <w:rFonts w:hint="eastAsia" w:cs="宋体"/>
          <w:color w:val="auto"/>
          <w:sz w:val="21"/>
          <w:szCs w:val="21"/>
          <w:highlight w:val="none"/>
          <w:u w:val="single"/>
        </w:rPr>
        <w:t xml:space="preserve">     </w:t>
      </w:r>
    </w:p>
    <w:p w14:paraId="6BD7F2B2">
      <w:pPr>
        <w:snapToGrid w:val="0"/>
        <w:spacing w:line="360" w:lineRule="auto"/>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     </w:t>
      </w:r>
      <w:r>
        <w:rPr>
          <w:rFonts w:hint="eastAsia" w:cs="宋体"/>
          <w:color w:val="auto"/>
          <w:sz w:val="21"/>
          <w:szCs w:val="21"/>
          <w:highlight w:val="none"/>
        </w:rPr>
        <w:t xml:space="preserve">               邮政编码：</w:t>
      </w:r>
      <w:r>
        <w:rPr>
          <w:rFonts w:hint="eastAsia" w:cs="宋体"/>
          <w:color w:val="auto"/>
          <w:sz w:val="21"/>
          <w:szCs w:val="21"/>
          <w:highlight w:val="none"/>
          <w:u w:val="single"/>
        </w:rPr>
        <w:t xml:space="preserve"> </w:t>
      </w:r>
    </w:p>
    <w:p w14:paraId="0B72E779">
      <w:pPr>
        <w:snapToGrid w:val="0"/>
        <w:spacing w:line="360" w:lineRule="auto"/>
        <w:rPr>
          <w:rFonts w:cs="宋体"/>
          <w:color w:val="auto"/>
          <w:sz w:val="21"/>
          <w:szCs w:val="21"/>
          <w:highlight w:val="none"/>
        </w:rPr>
      </w:pPr>
      <w:r>
        <w:rPr>
          <w:rFonts w:hint="eastAsia" w:cs="宋体"/>
          <w:color w:val="auto"/>
          <w:sz w:val="21"/>
          <w:szCs w:val="21"/>
          <w:highlight w:val="none"/>
        </w:rPr>
        <w:t>法定代表人：</w:t>
      </w:r>
      <w:r>
        <w:rPr>
          <w:rFonts w:hint="eastAsia" w:cs="宋体"/>
          <w:color w:val="auto"/>
          <w:sz w:val="21"/>
          <w:szCs w:val="21"/>
          <w:highlight w:val="none"/>
          <w:u w:val="single"/>
        </w:rPr>
        <w:t xml:space="preserve">           </w:t>
      </w:r>
      <w:r>
        <w:rPr>
          <w:rFonts w:hint="eastAsia" w:cs="宋体"/>
          <w:color w:val="auto"/>
          <w:sz w:val="21"/>
          <w:szCs w:val="21"/>
          <w:highlight w:val="none"/>
        </w:rPr>
        <w:t xml:space="preserve">                法定代表人：</w:t>
      </w:r>
      <w:r>
        <w:rPr>
          <w:rFonts w:hint="eastAsia" w:cs="宋体"/>
          <w:color w:val="auto"/>
          <w:sz w:val="21"/>
          <w:szCs w:val="21"/>
          <w:highlight w:val="none"/>
          <w:u w:val="single"/>
        </w:rPr>
        <w:t xml:space="preserve">          </w:t>
      </w:r>
    </w:p>
    <w:p w14:paraId="630673D9">
      <w:pPr>
        <w:snapToGrid w:val="0"/>
        <w:spacing w:line="360" w:lineRule="auto"/>
        <w:rPr>
          <w:rFonts w:cs="宋体"/>
          <w:color w:val="auto"/>
          <w:sz w:val="21"/>
          <w:szCs w:val="21"/>
          <w:highlight w:val="none"/>
        </w:rPr>
      </w:pPr>
      <w:r>
        <w:rPr>
          <w:rFonts w:hint="eastAsia" w:cs="宋体"/>
          <w:color w:val="auto"/>
          <w:sz w:val="21"/>
          <w:szCs w:val="21"/>
          <w:highlight w:val="none"/>
        </w:rPr>
        <w:t>委托代理人：</w:t>
      </w:r>
      <w:r>
        <w:rPr>
          <w:rFonts w:hint="eastAsia" w:cs="宋体"/>
          <w:color w:val="auto"/>
          <w:sz w:val="21"/>
          <w:szCs w:val="21"/>
          <w:highlight w:val="none"/>
          <w:u w:val="single"/>
        </w:rPr>
        <w:t xml:space="preserve">           </w:t>
      </w:r>
      <w:r>
        <w:rPr>
          <w:rFonts w:hint="eastAsia" w:cs="宋体"/>
          <w:color w:val="auto"/>
          <w:sz w:val="21"/>
          <w:szCs w:val="21"/>
          <w:highlight w:val="none"/>
        </w:rPr>
        <w:t xml:space="preserve">                委托代理人：</w:t>
      </w:r>
      <w:r>
        <w:rPr>
          <w:rFonts w:hint="eastAsia" w:cs="宋体"/>
          <w:color w:val="auto"/>
          <w:sz w:val="21"/>
          <w:szCs w:val="21"/>
          <w:highlight w:val="none"/>
          <w:u w:val="single"/>
        </w:rPr>
        <w:t xml:space="preserve">          </w:t>
      </w:r>
    </w:p>
    <w:p w14:paraId="4EC486AF">
      <w:pPr>
        <w:snapToGrid w:val="0"/>
        <w:spacing w:line="360" w:lineRule="auto"/>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r>
        <w:rPr>
          <w:rFonts w:hint="eastAsia" w:cs="宋体"/>
          <w:color w:val="auto"/>
          <w:sz w:val="21"/>
          <w:szCs w:val="21"/>
          <w:highlight w:val="none"/>
        </w:rPr>
        <w:t xml:space="preserve">                电  话：</w:t>
      </w:r>
      <w:r>
        <w:rPr>
          <w:rFonts w:hint="eastAsia" w:cs="宋体"/>
          <w:color w:val="auto"/>
          <w:sz w:val="21"/>
          <w:szCs w:val="21"/>
          <w:highlight w:val="none"/>
          <w:u w:val="single"/>
        </w:rPr>
        <w:t xml:space="preserve">  </w:t>
      </w:r>
    </w:p>
    <w:p w14:paraId="06217F44">
      <w:pPr>
        <w:snapToGrid w:val="0"/>
        <w:spacing w:line="360" w:lineRule="auto"/>
        <w:rPr>
          <w:rFonts w:cs="宋体"/>
          <w:color w:val="auto"/>
          <w:sz w:val="21"/>
          <w:szCs w:val="21"/>
          <w:highlight w:val="none"/>
        </w:rPr>
      </w:pPr>
      <w:r>
        <w:rPr>
          <w:rFonts w:hint="eastAsia" w:cs="宋体"/>
          <w:color w:val="auto"/>
          <w:sz w:val="21"/>
          <w:szCs w:val="21"/>
          <w:highlight w:val="none"/>
        </w:rPr>
        <w:t>传  真：</w:t>
      </w:r>
      <w:r>
        <w:rPr>
          <w:rFonts w:hint="eastAsia" w:cs="宋体"/>
          <w:color w:val="auto"/>
          <w:sz w:val="21"/>
          <w:szCs w:val="21"/>
          <w:highlight w:val="none"/>
          <w:u w:val="single"/>
        </w:rPr>
        <w:t xml:space="preserve">   </w:t>
      </w:r>
      <w:r>
        <w:rPr>
          <w:rFonts w:hint="eastAsia" w:cs="宋体"/>
          <w:color w:val="auto"/>
          <w:sz w:val="21"/>
          <w:szCs w:val="21"/>
          <w:highlight w:val="none"/>
        </w:rPr>
        <w:t xml:space="preserve">                传  真：</w:t>
      </w:r>
      <w:r>
        <w:rPr>
          <w:rFonts w:hint="eastAsia" w:cs="宋体"/>
          <w:color w:val="auto"/>
          <w:sz w:val="21"/>
          <w:szCs w:val="21"/>
          <w:highlight w:val="none"/>
          <w:u w:val="single"/>
        </w:rPr>
        <w:t>  </w:t>
      </w:r>
    </w:p>
    <w:p w14:paraId="2C44A0DA">
      <w:pPr>
        <w:snapToGrid w:val="0"/>
        <w:spacing w:line="360" w:lineRule="auto"/>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 xml:space="preserve">                电子信箱：</w:t>
      </w:r>
      <w:r>
        <w:rPr>
          <w:rFonts w:hint="eastAsia" w:cs="宋体"/>
          <w:color w:val="auto"/>
          <w:sz w:val="21"/>
          <w:szCs w:val="21"/>
          <w:highlight w:val="none"/>
          <w:u w:val="single"/>
        </w:rPr>
        <w:t></w:t>
      </w:r>
    </w:p>
    <w:p w14:paraId="70E74970">
      <w:pPr>
        <w:snapToGrid w:val="0"/>
        <w:spacing w:line="360" w:lineRule="auto"/>
        <w:rPr>
          <w:rFonts w:cs="宋体"/>
          <w:color w:val="auto"/>
          <w:sz w:val="21"/>
          <w:szCs w:val="21"/>
          <w:highlight w:val="none"/>
        </w:rPr>
      </w:pPr>
      <w:r>
        <w:rPr>
          <w:rFonts w:hint="eastAsia" w:cs="宋体"/>
          <w:color w:val="auto"/>
          <w:sz w:val="21"/>
          <w:szCs w:val="21"/>
          <w:highlight w:val="none"/>
        </w:rPr>
        <w:t>开户银行：</w:t>
      </w:r>
      <w:r>
        <w:rPr>
          <w:rFonts w:hint="eastAsia" w:cs="宋体"/>
          <w:color w:val="auto"/>
          <w:sz w:val="21"/>
          <w:szCs w:val="21"/>
          <w:highlight w:val="none"/>
          <w:u w:val="single"/>
        </w:rPr>
        <w:t xml:space="preserve">   </w:t>
      </w:r>
      <w:r>
        <w:rPr>
          <w:rFonts w:hint="eastAsia" w:cs="宋体"/>
          <w:color w:val="auto"/>
          <w:sz w:val="21"/>
          <w:szCs w:val="21"/>
          <w:highlight w:val="none"/>
        </w:rPr>
        <w:t xml:space="preserve">                开户银行：</w:t>
      </w:r>
      <w:r>
        <w:rPr>
          <w:rFonts w:hint="eastAsia" w:cs="宋体"/>
          <w:color w:val="auto"/>
          <w:sz w:val="21"/>
          <w:szCs w:val="21"/>
          <w:highlight w:val="none"/>
          <w:u w:val="single"/>
        </w:rPr>
        <w:t></w:t>
      </w:r>
    </w:p>
    <w:p w14:paraId="38365F93">
      <w:pPr>
        <w:snapToGrid w:val="0"/>
        <w:spacing w:line="360" w:lineRule="auto"/>
        <w:rPr>
          <w:rFonts w:cs="宋体"/>
          <w:color w:val="auto"/>
          <w:sz w:val="21"/>
          <w:szCs w:val="21"/>
          <w:highlight w:val="none"/>
        </w:rPr>
      </w:pPr>
      <w:r>
        <w:rPr>
          <w:rFonts w:hint="eastAsia" w:cs="宋体"/>
          <w:color w:val="auto"/>
          <w:sz w:val="21"/>
          <w:szCs w:val="21"/>
          <w:highlight w:val="none"/>
        </w:rPr>
        <w:t>账  号：</w:t>
      </w:r>
      <w:r>
        <w:rPr>
          <w:rFonts w:hint="eastAsia" w:cs="宋体"/>
          <w:color w:val="auto"/>
          <w:sz w:val="21"/>
          <w:szCs w:val="21"/>
          <w:highlight w:val="none"/>
          <w:u w:val="single"/>
        </w:rPr>
        <w:t xml:space="preserve">       </w:t>
      </w:r>
      <w:r>
        <w:rPr>
          <w:rFonts w:hint="eastAsia" w:cs="宋体"/>
          <w:color w:val="auto"/>
          <w:sz w:val="21"/>
          <w:szCs w:val="21"/>
          <w:highlight w:val="none"/>
        </w:rPr>
        <w:t xml:space="preserve">                账  号：</w:t>
      </w:r>
      <w:r>
        <w:rPr>
          <w:rFonts w:hint="eastAsia" w:cs="宋体"/>
          <w:color w:val="auto"/>
          <w:sz w:val="21"/>
          <w:szCs w:val="21"/>
          <w:highlight w:val="none"/>
          <w:u w:val="single"/>
        </w:rPr>
        <w:t xml:space="preserve">   </w:t>
      </w:r>
    </w:p>
    <w:p w14:paraId="57519705">
      <w:pPr>
        <w:keepNext/>
        <w:keepLines/>
        <w:snapToGrid w:val="0"/>
        <w:spacing w:before="312" w:beforeLines="100" w:after="312" w:afterLines="100" w:line="360" w:lineRule="auto"/>
        <w:jc w:val="center"/>
        <w:outlineLvl w:val="1"/>
        <w:rPr>
          <w:rFonts w:cs="宋体"/>
          <w:bCs/>
          <w:color w:val="auto"/>
          <w:sz w:val="21"/>
          <w:szCs w:val="21"/>
          <w:highlight w:val="none"/>
        </w:rPr>
      </w:pPr>
      <w:r>
        <w:rPr>
          <w:rFonts w:hint="eastAsia" w:cs="宋体"/>
          <w:b/>
          <w:bCs/>
          <w:color w:val="auto"/>
          <w:sz w:val="21"/>
          <w:szCs w:val="21"/>
          <w:highlight w:val="none"/>
        </w:rPr>
        <w:br w:type="page"/>
      </w:r>
      <w:bookmarkStart w:id="53" w:name="_Toc130919121"/>
      <w:bookmarkStart w:id="54" w:name="_Toc28799377"/>
      <w:bookmarkStart w:id="55" w:name="_Toc8613"/>
      <w:r>
        <w:rPr>
          <w:rFonts w:hint="eastAsia" w:ascii="等线" w:hAnsi="等线" w:eastAsia="等线" w:cs="@仿宋_GB2312"/>
          <w:b/>
          <w:color w:val="auto"/>
          <w:kern w:val="2"/>
          <w:sz w:val="24"/>
          <w:highlight w:val="none"/>
        </w:rPr>
        <w:t>第二节  通用合同条款</w:t>
      </w:r>
      <w:bookmarkEnd w:id="53"/>
      <w:bookmarkEnd w:id="54"/>
      <w:bookmarkEnd w:id="55"/>
    </w:p>
    <w:p w14:paraId="54FD32CA">
      <w:pPr>
        <w:spacing w:line="360" w:lineRule="auto"/>
        <w:ind w:firstLine="560" w:firstLineChars="200"/>
        <w:rPr>
          <w:rFonts w:cs="Times New Roman"/>
          <w:snapToGrid w:val="0"/>
          <w:color w:val="auto"/>
          <w:sz w:val="28"/>
          <w:szCs w:val="24"/>
          <w:highlight w:val="none"/>
        </w:rPr>
      </w:pPr>
      <w:r>
        <w:rPr>
          <w:rFonts w:hint="eastAsia" w:cs="Times New Roman"/>
          <w:snapToGrid w:val="0"/>
          <w:color w:val="auto"/>
          <w:sz w:val="28"/>
          <w:szCs w:val="24"/>
          <w:highlight w:val="none"/>
        </w:rPr>
        <w:t>采用《建设工程施工合同（示范文本）》（GF-2017-0201）中通用合同条款。上述资料由承包人自行准备。</w:t>
      </w:r>
    </w:p>
    <w:p w14:paraId="448269CB">
      <w:pPr>
        <w:keepNext/>
        <w:keepLines/>
        <w:snapToGrid w:val="0"/>
        <w:spacing w:before="312" w:beforeLines="100" w:after="312" w:afterLines="100" w:line="360" w:lineRule="auto"/>
        <w:jc w:val="center"/>
        <w:outlineLvl w:val="1"/>
        <w:rPr>
          <w:rFonts w:cs="宋体"/>
          <w:bCs/>
          <w:color w:val="auto"/>
          <w:sz w:val="21"/>
          <w:szCs w:val="21"/>
          <w:highlight w:val="none"/>
        </w:rPr>
      </w:pPr>
      <w:r>
        <w:rPr>
          <w:rFonts w:hint="eastAsia" w:cs="宋体"/>
          <w:b/>
          <w:bCs/>
          <w:color w:val="auto"/>
          <w:sz w:val="21"/>
          <w:szCs w:val="21"/>
          <w:highlight w:val="none"/>
        </w:rPr>
        <w:br w:type="page"/>
      </w:r>
      <w:bookmarkStart w:id="56" w:name="_Toc130919122"/>
      <w:bookmarkStart w:id="57" w:name="_Toc25217"/>
      <w:bookmarkStart w:id="58" w:name="_Toc28799378"/>
      <w:r>
        <w:rPr>
          <w:rFonts w:hint="eastAsia" w:ascii="等线" w:hAnsi="等线" w:eastAsia="等线" w:cs="@仿宋_GB2312"/>
          <w:b/>
          <w:color w:val="auto"/>
          <w:kern w:val="2"/>
          <w:sz w:val="24"/>
          <w:highlight w:val="none"/>
        </w:rPr>
        <w:t>第三节  专用合同条款</w:t>
      </w:r>
      <w:bookmarkEnd w:id="56"/>
      <w:bookmarkEnd w:id="57"/>
      <w:bookmarkEnd w:id="58"/>
    </w:p>
    <w:p w14:paraId="33A1B81E">
      <w:pPr>
        <w:snapToGrid w:val="0"/>
        <w:spacing w:before="312" w:beforeLines="100" w:after="312" w:afterLines="100" w:line="360" w:lineRule="auto"/>
        <w:jc w:val="center"/>
        <w:outlineLvl w:val="2"/>
        <w:rPr>
          <w:rFonts w:cs="宋体"/>
          <w:color w:val="auto"/>
          <w:sz w:val="21"/>
          <w:szCs w:val="21"/>
          <w:highlight w:val="none"/>
        </w:rPr>
      </w:pPr>
      <w:bookmarkStart w:id="59" w:name="_Toc351203633"/>
      <w:r>
        <w:rPr>
          <w:rFonts w:hint="eastAsia" w:cs="宋体"/>
          <w:color w:val="auto"/>
          <w:sz w:val="21"/>
          <w:szCs w:val="21"/>
          <w:highlight w:val="none"/>
        </w:rPr>
        <w:t>专用合同条款数据表</w:t>
      </w:r>
    </w:p>
    <w:p w14:paraId="146B8EE9">
      <w:pPr>
        <w:pStyle w:val="20"/>
        <w:snapToGrid w:val="0"/>
        <w:spacing w:line="360" w:lineRule="auto"/>
        <w:ind w:left="400" w:firstLine="480"/>
        <w:rPr>
          <w:rFonts w:ascii="宋体" w:hAnsi="宋体" w:cs="宋体"/>
          <w:color w:val="auto"/>
          <w:szCs w:val="21"/>
          <w:highlight w:val="none"/>
        </w:rPr>
      </w:pPr>
      <w:r>
        <w:rPr>
          <w:rFonts w:hint="eastAsia" w:ascii="宋体" w:hAnsi="宋体" w:cs="宋体"/>
          <w:color w:val="auto"/>
          <w:szCs w:val="21"/>
          <w:highlight w:val="none"/>
        </w:rPr>
        <w:t>说明：本数据表是项目专用合同条款中适用于本招标项目的信息和数据的归纳与提示，是项目专用合同条款的组成部分。</w:t>
      </w:r>
    </w:p>
    <w:tbl>
      <w:tblPr>
        <w:tblStyle w:val="55"/>
        <w:tblW w:w="90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111"/>
        <w:gridCol w:w="7304"/>
      </w:tblGrid>
      <w:tr w14:paraId="20BE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629" w:type="dxa"/>
            <w:vAlign w:val="center"/>
          </w:tcPr>
          <w:p w14:paraId="42D8BBB0">
            <w:pPr>
              <w:snapToGrid w:val="0"/>
              <w:spacing w:before="100" w:beforeAutospacing="1" w:line="360" w:lineRule="auto"/>
              <w:ind w:left="-100" w:leftChars="-50" w:right="-100" w:rightChars="-50"/>
              <w:jc w:val="center"/>
              <w:rPr>
                <w:rFonts w:cs="宋体"/>
                <w:b/>
                <w:color w:val="auto"/>
                <w:sz w:val="21"/>
                <w:szCs w:val="21"/>
                <w:highlight w:val="none"/>
              </w:rPr>
            </w:pPr>
            <w:r>
              <w:rPr>
                <w:rFonts w:hint="eastAsia" w:cs="宋体"/>
                <w:b/>
                <w:color w:val="auto"/>
                <w:sz w:val="21"/>
                <w:szCs w:val="21"/>
                <w:highlight w:val="none"/>
              </w:rPr>
              <w:t>序号</w:t>
            </w:r>
          </w:p>
        </w:tc>
        <w:tc>
          <w:tcPr>
            <w:tcW w:w="1111" w:type="dxa"/>
            <w:vAlign w:val="center"/>
          </w:tcPr>
          <w:p w14:paraId="08EABC9A">
            <w:pPr>
              <w:snapToGrid w:val="0"/>
              <w:spacing w:line="360" w:lineRule="auto"/>
              <w:ind w:left="-100" w:leftChars="-50" w:right="-100" w:rightChars="-50"/>
              <w:jc w:val="center"/>
              <w:rPr>
                <w:rFonts w:cs="宋体"/>
                <w:b/>
                <w:color w:val="auto"/>
                <w:sz w:val="21"/>
                <w:szCs w:val="21"/>
                <w:highlight w:val="none"/>
              </w:rPr>
            </w:pPr>
            <w:r>
              <w:rPr>
                <w:rFonts w:hint="eastAsia" w:cs="宋体"/>
                <w:b/>
                <w:color w:val="auto"/>
                <w:sz w:val="21"/>
                <w:szCs w:val="21"/>
                <w:highlight w:val="none"/>
              </w:rPr>
              <w:t>条目号</w:t>
            </w:r>
          </w:p>
        </w:tc>
        <w:tc>
          <w:tcPr>
            <w:tcW w:w="7304" w:type="dxa"/>
            <w:vAlign w:val="center"/>
          </w:tcPr>
          <w:p w14:paraId="7F33D3A1">
            <w:pPr>
              <w:snapToGrid w:val="0"/>
              <w:spacing w:line="360" w:lineRule="auto"/>
              <w:jc w:val="center"/>
              <w:rPr>
                <w:rFonts w:cs="宋体"/>
                <w:b/>
                <w:color w:val="auto"/>
                <w:sz w:val="21"/>
                <w:szCs w:val="21"/>
                <w:highlight w:val="none"/>
              </w:rPr>
            </w:pPr>
            <w:r>
              <w:rPr>
                <w:rFonts w:hint="eastAsia" w:cs="宋体"/>
                <w:b/>
                <w:color w:val="auto"/>
                <w:sz w:val="21"/>
                <w:szCs w:val="21"/>
                <w:highlight w:val="none"/>
              </w:rPr>
              <w:t>信息或数据</w:t>
            </w:r>
          </w:p>
        </w:tc>
      </w:tr>
      <w:tr w14:paraId="5681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4C4675CE">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2847E258">
            <w:pPr>
              <w:snapToGrid w:val="0"/>
              <w:spacing w:line="360" w:lineRule="auto"/>
              <w:jc w:val="center"/>
              <w:rPr>
                <w:rFonts w:cs="宋体"/>
                <w:bCs/>
                <w:color w:val="auto"/>
                <w:sz w:val="21"/>
                <w:szCs w:val="21"/>
                <w:highlight w:val="none"/>
              </w:rPr>
            </w:pPr>
            <w:r>
              <w:rPr>
                <w:rFonts w:hint="eastAsia" w:cs="宋体"/>
                <w:bCs/>
                <w:color w:val="auto"/>
                <w:sz w:val="21"/>
                <w:szCs w:val="21"/>
                <w:highlight w:val="none"/>
              </w:rPr>
              <w:t>2.5</w:t>
            </w:r>
          </w:p>
        </w:tc>
        <w:tc>
          <w:tcPr>
            <w:tcW w:w="7304" w:type="dxa"/>
            <w:vAlign w:val="center"/>
          </w:tcPr>
          <w:p w14:paraId="4E325A2D">
            <w:pPr>
              <w:pageBreakBefore w:val="0"/>
              <w:widowControl w:val="0"/>
              <w:kinsoku/>
              <w:wordWrap/>
              <w:overflowPunct/>
              <w:topLinePunct w:val="0"/>
              <w:autoSpaceDE/>
              <w:autoSpaceDN/>
              <w:bidi w:val="0"/>
              <w:snapToGrid w:val="0"/>
              <w:spacing w:beforeAutospacing="0" w:line="360" w:lineRule="auto"/>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发包人提供资金来源证明的期限要求：</w:t>
            </w:r>
            <w:r>
              <w:rPr>
                <w:rFonts w:hint="eastAsia" w:cs="宋体"/>
                <w:bCs/>
                <w:color w:val="auto"/>
                <w:sz w:val="21"/>
                <w:szCs w:val="21"/>
                <w:highlight w:val="none"/>
                <w:u w:val="single"/>
                <w:lang w:val="en-US" w:eastAsia="zh-CN"/>
              </w:rPr>
              <w:t xml:space="preserve">    /      </w:t>
            </w:r>
          </w:p>
          <w:p w14:paraId="240AA769">
            <w:pPr>
              <w:pageBreakBefore w:val="0"/>
              <w:widowControl w:val="0"/>
              <w:kinsoku/>
              <w:wordWrap/>
              <w:overflowPunct/>
              <w:topLinePunct w:val="0"/>
              <w:autoSpaceDE/>
              <w:autoSpaceDN/>
              <w:bidi w:val="0"/>
              <w:snapToGrid w:val="0"/>
              <w:spacing w:beforeAutospacing="0" w:line="360" w:lineRule="auto"/>
              <w:textAlignment w:val="auto"/>
              <w:rPr>
                <w:rFonts w:hint="default"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rPr>
              <w:t>发包人是否提供支付担保：</w:t>
            </w:r>
            <w:r>
              <w:rPr>
                <w:rFonts w:hint="eastAsia" w:cs="宋体"/>
                <w:bCs/>
                <w:color w:val="auto"/>
                <w:sz w:val="21"/>
                <w:szCs w:val="21"/>
                <w:highlight w:val="none"/>
                <w:u w:val="single"/>
                <w:lang w:val="en-US" w:eastAsia="zh-CN"/>
              </w:rPr>
              <w:t xml:space="preserve">  /      </w:t>
            </w:r>
          </w:p>
          <w:p w14:paraId="1E933AB5">
            <w:pPr>
              <w:snapToGrid w:val="0"/>
              <w:spacing w:line="360" w:lineRule="auto"/>
              <w:rPr>
                <w:rFonts w:cs="宋体"/>
                <w:bCs/>
                <w:color w:val="auto"/>
                <w:sz w:val="21"/>
                <w:szCs w:val="21"/>
                <w:highlight w:val="none"/>
                <w:u w:val="single"/>
              </w:rPr>
            </w:pPr>
            <w:r>
              <w:rPr>
                <w:rFonts w:hint="eastAsia" w:ascii="宋体" w:hAnsi="宋体" w:eastAsia="宋体" w:cs="宋体"/>
                <w:bCs/>
                <w:color w:val="auto"/>
                <w:sz w:val="21"/>
                <w:szCs w:val="21"/>
                <w:highlight w:val="none"/>
              </w:rPr>
              <w:t>发包人提供支付担保的形式</w:t>
            </w:r>
            <w:r>
              <w:rPr>
                <w:rFonts w:hint="eastAsia" w:cs="宋体"/>
                <w:bCs/>
                <w:color w:val="auto"/>
                <w:sz w:val="21"/>
                <w:szCs w:val="21"/>
                <w:highlight w:val="none"/>
                <w:lang w:val="en-US" w:eastAsia="zh-CN"/>
              </w:rPr>
              <w:t>:</w:t>
            </w:r>
            <w:r>
              <w:rPr>
                <w:rFonts w:hint="eastAsia" w:cs="宋体"/>
                <w:bCs/>
                <w:color w:val="auto"/>
                <w:sz w:val="21"/>
                <w:szCs w:val="21"/>
                <w:highlight w:val="none"/>
                <w:u w:val="single"/>
                <w:lang w:val="en-US" w:eastAsia="zh-CN"/>
              </w:rPr>
              <w:t xml:space="preserve">  /       </w:t>
            </w:r>
          </w:p>
        </w:tc>
      </w:tr>
      <w:tr w14:paraId="7FB4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48763284">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6AF152D0">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3.2.1</w:t>
            </w:r>
          </w:p>
        </w:tc>
        <w:tc>
          <w:tcPr>
            <w:tcW w:w="7304" w:type="dxa"/>
            <w:vAlign w:val="center"/>
          </w:tcPr>
          <w:p w14:paraId="20943DC9">
            <w:pPr>
              <w:snapToGrid w:val="0"/>
              <w:spacing w:line="360" w:lineRule="auto"/>
              <w:rPr>
                <w:rFonts w:cs="宋体"/>
                <w:bCs/>
                <w:color w:val="auto"/>
                <w:sz w:val="21"/>
                <w:szCs w:val="21"/>
                <w:highlight w:val="none"/>
              </w:rPr>
            </w:pPr>
            <w:r>
              <w:rPr>
                <w:rFonts w:hint="eastAsia" w:cs="宋体"/>
                <w:bCs/>
                <w:color w:val="auto"/>
                <w:sz w:val="21"/>
                <w:szCs w:val="21"/>
                <w:highlight w:val="none"/>
              </w:rPr>
              <w:t>项目经理</w:t>
            </w:r>
          </w:p>
          <w:p w14:paraId="4132B37F">
            <w:pPr>
              <w:snapToGrid w:val="0"/>
              <w:spacing w:line="360" w:lineRule="auto"/>
              <w:rPr>
                <w:rFonts w:cs="宋体"/>
                <w:bCs/>
                <w:color w:val="auto"/>
                <w:sz w:val="21"/>
                <w:szCs w:val="21"/>
                <w:highlight w:val="none"/>
              </w:rPr>
            </w:pPr>
            <w:r>
              <w:rPr>
                <w:rFonts w:hint="eastAsia" w:cs="宋体"/>
                <w:bCs/>
                <w:color w:val="auto"/>
                <w:sz w:val="21"/>
                <w:szCs w:val="21"/>
                <w:highlight w:val="none"/>
              </w:rPr>
              <w:t>姓    名：</w:t>
            </w:r>
            <w:r>
              <w:rPr>
                <w:rFonts w:hint="eastAsia" w:cs="宋体"/>
                <w:bCs/>
                <w:color w:val="auto"/>
                <w:sz w:val="21"/>
                <w:szCs w:val="21"/>
                <w:highlight w:val="none"/>
                <w:u w:val="single"/>
              </w:rPr>
              <w:t xml:space="preserve">          </w:t>
            </w:r>
          </w:p>
          <w:p w14:paraId="1F7E4951">
            <w:pPr>
              <w:snapToGrid w:val="0"/>
              <w:spacing w:line="360" w:lineRule="auto"/>
              <w:rPr>
                <w:rFonts w:cs="宋体"/>
                <w:bCs/>
                <w:color w:val="auto"/>
                <w:sz w:val="21"/>
                <w:szCs w:val="21"/>
                <w:highlight w:val="none"/>
              </w:rPr>
            </w:pPr>
            <w:r>
              <w:rPr>
                <w:rFonts w:hint="eastAsia" w:cs="宋体"/>
                <w:bCs/>
                <w:color w:val="auto"/>
                <w:sz w:val="21"/>
                <w:szCs w:val="21"/>
                <w:highlight w:val="none"/>
              </w:rPr>
              <w:t>身份证号：</w:t>
            </w:r>
            <w:r>
              <w:rPr>
                <w:rFonts w:hint="eastAsia" w:cs="宋体"/>
                <w:bCs/>
                <w:color w:val="auto"/>
                <w:sz w:val="21"/>
                <w:szCs w:val="21"/>
                <w:highlight w:val="none"/>
                <w:u w:val="single"/>
              </w:rPr>
              <w:t xml:space="preserve">          </w:t>
            </w:r>
          </w:p>
          <w:p w14:paraId="092902C5">
            <w:pPr>
              <w:snapToGrid w:val="0"/>
              <w:spacing w:line="360" w:lineRule="auto"/>
              <w:rPr>
                <w:rFonts w:cs="宋体"/>
                <w:bCs/>
                <w:color w:val="auto"/>
                <w:sz w:val="21"/>
                <w:szCs w:val="21"/>
                <w:highlight w:val="none"/>
              </w:rPr>
            </w:pPr>
            <w:r>
              <w:rPr>
                <w:rFonts w:hint="eastAsia" w:cs="宋体"/>
                <w:bCs/>
                <w:color w:val="auto"/>
                <w:sz w:val="21"/>
                <w:szCs w:val="21"/>
                <w:highlight w:val="none"/>
              </w:rPr>
              <w:t>建造师执业资格等级：</w:t>
            </w:r>
            <w:r>
              <w:rPr>
                <w:rFonts w:hint="eastAsia" w:cs="宋体"/>
                <w:bCs/>
                <w:color w:val="auto"/>
                <w:sz w:val="21"/>
                <w:szCs w:val="21"/>
                <w:highlight w:val="none"/>
                <w:u w:val="single"/>
              </w:rPr>
              <w:t xml:space="preserve">          </w:t>
            </w:r>
          </w:p>
          <w:p w14:paraId="5FF473F2">
            <w:pPr>
              <w:snapToGrid w:val="0"/>
              <w:spacing w:line="360" w:lineRule="auto"/>
              <w:rPr>
                <w:rFonts w:cs="宋体"/>
                <w:bCs/>
                <w:color w:val="auto"/>
                <w:sz w:val="21"/>
                <w:szCs w:val="21"/>
                <w:highlight w:val="none"/>
              </w:rPr>
            </w:pPr>
            <w:r>
              <w:rPr>
                <w:rFonts w:hint="eastAsia" w:cs="宋体"/>
                <w:bCs/>
                <w:color w:val="auto"/>
                <w:sz w:val="21"/>
                <w:szCs w:val="21"/>
                <w:highlight w:val="none"/>
              </w:rPr>
              <w:t>建造师注册证书号：</w:t>
            </w:r>
            <w:r>
              <w:rPr>
                <w:rFonts w:hint="eastAsia" w:cs="宋体"/>
                <w:bCs/>
                <w:color w:val="auto"/>
                <w:sz w:val="21"/>
                <w:szCs w:val="21"/>
                <w:highlight w:val="none"/>
                <w:u w:val="single"/>
              </w:rPr>
              <w:t xml:space="preserve">            </w:t>
            </w:r>
          </w:p>
          <w:p w14:paraId="487B585D">
            <w:pPr>
              <w:snapToGrid w:val="0"/>
              <w:spacing w:line="360" w:lineRule="auto"/>
              <w:rPr>
                <w:rFonts w:cs="宋体"/>
                <w:bCs/>
                <w:color w:val="auto"/>
                <w:sz w:val="21"/>
                <w:szCs w:val="21"/>
                <w:highlight w:val="none"/>
                <w:u w:val="single"/>
              </w:rPr>
            </w:pPr>
            <w:r>
              <w:rPr>
                <w:rFonts w:hint="eastAsia" w:cs="宋体"/>
                <w:bCs/>
                <w:color w:val="auto"/>
                <w:sz w:val="21"/>
                <w:szCs w:val="21"/>
                <w:highlight w:val="none"/>
              </w:rPr>
              <w:t>承包人对项目经理的授权范围如下：</w:t>
            </w:r>
            <w:r>
              <w:rPr>
                <w:rFonts w:hint="eastAsia" w:cs="宋体"/>
                <w:bCs/>
                <w:color w:val="auto"/>
                <w:sz w:val="21"/>
                <w:szCs w:val="21"/>
                <w:highlight w:val="none"/>
                <w:u w:val="single"/>
              </w:rPr>
              <w:t xml:space="preserve">            </w:t>
            </w:r>
          </w:p>
          <w:p w14:paraId="48030BA3">
            <w:pPr>
              <w:snapToGrid w:val="0"/>
              <w:spacing w:line="360" w:lineRule="auto"/>
              <w:rPr>
                <w:rFonts w:cs="宋体"/>
                <w:bCs/>
                <w:color w:val="auto"/>
                <w:kern w:val="2"/>
                <w:sz w:val="21"/>
                <w:szCs w:val="21"/>
                <w:highlight w:val="none"/>
              </w:rPr>
            </w:pPr>
            <w:r>
              <w:rPr>
                <w:rFonts w:hint="eastAsia" w:cs="宋体"/>
                <w:bCs/>
                <w:color w:val="auto"/>
                <w:sz w:val="21"/>
                <w:szCs w:val="21"/>
                <w:highlight w:val="none"/>
              </w:rPr>
              <w:t>承包人项目经理每月在施工现场的时间：驻场时间每月不少于</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22</w:t>
            </w:r>
            <w:r>
              <w:rPr>
                <w:rFonts w:hint="eastAsia" w:cs="宋体"/>
                <w:bCs/>
                <w:color w:val="auto"/>
                <w:sz w:val="21"/>
                <w:szCs w:val="21"/>
                <w:highlight w:val="none"/>
                <w:u w:val="single"/>
              </w:rPr>
              <w:t xml:space="preserve"> </w:t>
            </w:r>
            <w:r>
              <w:rPr>
                <w:rFonts w:hint="eastAsia" w:cs="宋体"/>
                <w:bCs/>
                <w:color w:val="auto"/>
                <w:sz w:val="21"/>
                <w:szCs w:val="21"/>
                <w:highlight w:val="none"/>
              </w:rPr>
              <w:t>天，每天在岗工作时间不得少于</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8</w:t>
            </w:r>
            <w:r>
              <w:rPr>
                <w:rFonts w:hint="eastAsia" w:cs="宋体"/>
                <w:bCs/>
                <w:color w:val="auto"/>
                <w:sz w:val="21"/>
                <w:szCs w:val="21"/>
                <w:highlight w:val="none"/>
                <w:u w:val="single"/>
              </w:rPr>
              <w:t xml:space="preserve"> </w:t>
            </w:r>
            <w:r>
              <w:rPr>
                <w:rFonts w:hint="eastAsia" w:cs="宋体"/>
                <w:bCs/>
                <w:color w:val="auto"/>
                <w:sz w:val="21"/>
                <w:szCs w:val="21"/>
                <w:highlight w:val="none"/>
              </w:rPr>
              <w:t>小时。</w:t>
            </w:r>
          </w:p>
        </w:tc>
      </w:tr>
      <w:tr w14:paraId="33BE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59D673DA">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6C87BF33">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3.7</w:t>
            </w:r>
          </w:p>
        </w:tc>
        <w:tc>
          <w:tcPr>
            <w:tcW w:w="7304" w:type="dxa"/>
            <w:vAlign w:val="center"/>
          </w:tcPr>
          <w:p w14:paraId="40B0337A">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承包人是否提供履约保证金：</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否</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4D95AEF8">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承包人提供履约保证金的形式：</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支持</w:t>
            </w:r>
            <w:r>
              <w:rPr>
                <w:rFonts w:hint="eastAsia" w:ascii="宋体" w:hAnsi="宋体" w:eastAsia="宋体" w:cs="宋体"/>
                <w:bCs/>
                <w:color w:val="auto"/>
                <w:sz w:val="21"/>
                <w:szCs w:val="21"/>
                <w:highlight w:val="none"/>
                <w:u w:val="single"/>
              </w:rPr>
              <w:t xml:space="preserve">转账/电汇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 xml:space="preserve">支票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 xml:space="preserve">汇票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 xml:space="preserve">本票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 xml:space="preserve">保险 </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保函</w:t>
            </w:r>
            <w:r>
              <w:rPr>
                <w:rFonts w:hint="eastAsia" w:ascii="宋体" w:hAnsi="宋体" w:eastAsia="宋体" w:cs="宋体"/>
                <w:bCs/>
                <w:color w:val="auto"/>
                <w:sz w:val="21"/>
                <w:szCs w:val="21"/>
                <w:highlight w:val="none"/>
                <w:u w:val="single"/>
                <w:lang w:eastAsia="zh-CN"/>
              </w:rPr>
              <w:t>。</w:t>
            </w:r>
          </w:p>
          <w:p w14:paraId="046835D2">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履约保证金的金额：中标合同金额的</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rPr>
              <w:t>%。</w:t>
            </w:r>
          </w:p>
          <w:p w14:paraId="7830AF2A">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履约保证金提交期限的要求：</w:t>
            </w:r>
            <w:r>
              <w:rPr>
                <w:rFonts w:hint="eastAsia" w:cs="宋体"/>
                <w:bCs/>
                <w:color w:val="auto"/>
                <w:sz w:val="21"/>
                <w:szCs w:val="21"/>
                <w:highlight w:val="none"/>
                <w:u w:val="single"/>
                <w:lang w:val="en-US" w:eastAsia="zh-CN"/>
              </w:rPr>
              <w:t xml:space="preserve"> / </w:t>
            </w:r>
            <w:r>
              <w:rPr>
                <w:rFonts w:hint="eastAsia" w:ascii="宋体" w:hAnsi="宋体" w:eastAsia="宋体" w:cs="宋体"/>
                <w:bCs/>
                <w:color w:val="auto"/>
                <w:sz w:val="21"/>
                <w:szCs w:val="21"/>
                <w:highlight w:val="none"/>
                <w:u w:val="single"/>
              </w:rPr>
              <w:t>。</w:t>
            </w:r>
          </w:p>
          <w:p w14:paraId="11726ABB">
            <w:pPr>
              <w:pageBreakBefore w:val="0"/>
              <w:widowControl w:val="0"/>
              <w:kinsoku/>
              <w:wordWrap/>
              <w:overflowPunct/>
              <w:topLinePunct w:val="0"/>
              <w:autoSpaceDE/>
              <w:autoSpaceDN/>
              <w:bidi w:val="0"/>
              <w:snapToGrid w:val="0"/>
              <w:spacing w:beforeAutospacing="0" w:line="520" w:lineRule="exact"/>
              <w:textAlignment w:val="auto"/>
              <w:rPr>
                <w:rFonts w:cs="宋体"/>
                <w:bCs/>
                <w:color w:val="auto"/>
                <w:kern w:val="2"/>
                <w:sz w:val="21"/>
                <w:szCs w:val="21"/>
                <w:highlight w:val="none"/>
              </w:rPr>
            </w:pPr>
            <w:r>
              <w:rPr>
                <w:rFonts w:hint="eastAsia" w:ascii="宋体" w:hAnsi="宋体" w:eastAsia="宋体" w:cs="宋体"/>
                <w:bCs/>
                <w:color w:val="auto"/>
                <w:sz w:val="21"/>
                <w:szCs w:val="21"/>
                <w:highlight w:val="none"/>
              </w:rPr>
              <w:t>履约保证金退还时限：</w:t>
            </w:r>
            <w:r>
              <w:rPr>
                <w:rFonts w:hint="eastAsia" w:cs="宋体"/>
                <w:bCs/>
                <w:color w:val="auto"/>
                <w:sz w:val="21"/>
                <w:szCs w:val="21"/>
                <w:highlight w:val="none"/>
                <w:u w:val="single"/>
                <w:lang w:val="en-US" w:eastAsia="zh-CN"/>
              </w:rPr>
              <w:t xml:space="preserve"> / </w:t>
            </w:r>
            <w:r>
              <w:rPr>
                <w:rFonts w:hint="eastAsia" w:ascii="宋体" w:hAnsi="宋体" w:eastAsia="宋体" w:cs="宋体"/>
                <w:bCs/>
                <w:color w:val="auto"/>
                <w:sz w:val="21"/>
                <w:szCs w:val="21"/>
                <w:highlight w:val="none"/>
              </w:rPr>
              <w:t>。</w:t>
            </w:r>
          </w:p>
        </w:tc>
      </w:tr>
      <w:tr w14:paraId="1904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03BB51FC">
            <w:pPr>
              <w:numPr>
                <w:ilvl w:val="0"/>
                <w:numId w:val="3"/>
              </w:numPr>
              <w:snapToGrid w:val="0"/>
              <w:spacing w:line="360" w:lineRule="auto"/>
              <w:jc w:val="center"/>
              <w:rPr>
                <w:rFonts w:cs="宋体"/>
                <w:bCs/>
                <w:color w:val="auto"/>
                <w:sz w:val="21"/>
                <w:szCs w:val="21"/>
                <w:highlight w:val="none"/>
              </w:rPr>
            </w:pPr>
          </w:p>
        </w:tc>
        <w:tc>
          <w:tcPr>
            <w:tcW w:w="1111" w:type="dxa"/>
            <w:vAlign w:val="center"/>
          </w:tcPr>
          <w:p w14:paraId="2D04402D">
            <w:pPr>
              <w:snapToGrid w:val="0"/>
              <w:spacing w:line="360" w:lineRule="auto"/>
              <w:jc w:val="center"/>
              <w:rPr>
                <w:rFonts w:cs="宋体"/>
                <w:bCs/>
                <w:color w:val="auto"/>
                <w:sz w:val="21"/>
                <w:szCs w:val="21"/>
                <w:highlight w:val="none"/>
              </w:rPr>
            </w:pPr>
            <w:r>
              <w:rPr>
                <w:rFonts w:hint="eastAsia" w:cs="宋体"/>
                <w:bCs/>
                <w:color w:val="auto"/>
                <w:sz w:val="21"/>
                <w:szCs w:val="21"/>
                <w:highlight w:val="none"/>
              </w:rPr>
              <w:t>5.1.1</w:t>
            </w:r>
          </w:p>
        </w:tc>
        <w:tc>
          <w:tcPr>
            <w:tcW w:w="7304" w:type="dxa"/>
            <w:vAlign w:val="center"/>
          </w:tcPr>
          <w:p w14:paraId="32FBA9A3">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5.1.1 特殊质量标准和要求：</w:t>
            </w:r>
            <w:r>
              <w:rPr>
                <w:rFonts w:hint="eastAsia" w:ascii="宋体" w:hAnsi="宋体" w:eastAsia="宋体" w:cs="宋体"/>
                <w:bCs/>
                <w:color w:val="auto"/>
                <w:sz w:val="21"/>
                <w:szCs w:val="21"/>
                <w:highlight w:val="none"/>
                <w:u w:val="single"/>
              </w:rPr>
              <w:t>工程质量必须达到国家工程施工质量验收合格标准 。</w:t>
            </w:r>
          </w:p>
          <w:p w14:paraId="50830FE9">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关于工程奖项的约定：</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38AD9894">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关于建造要求：</w:t>
            </w:r>
          </w:p>
          <w:p w14:paraId="5547BC54">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（1）绿色建筑等级要求：</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1C16CC3A">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（2）智慧工地管理要求：</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7679D1B7">
            <w:pPr>
              <w:pageBreakBefore w:val="0"/>
              <w:widowControl w:val="0"/>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（3）建筑垃圾减量化目标：</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285E829B">
            <w:pPr>
              <w:snapToGrid w:val="0"/>
              <w:spacing w:line="360" w:lineRule="auto"/>
              <w:rPr>
                <w:rFonts w:cs="宋体"/>
                <w:bCs/>
                <w:color w:val="auto"/>
                <w:sz w:val="21"/>
                <w:szCs w:val="21"/>
                <w:highlight w:val="none"/>
              </w:rPr>
            </w:pPr>
            <w:r>
              <w:rPr>
                <w:rFonts w:hint="eastAsia" w:ascii="宋体" w:hAnsi="宋体" w:eastAsia="宋体" w:cs="宋体"/>
                <w:bCs/>
                <w:color w:val="auto"/>
                <w:sz w:val="21"/>
                <w:szCs w:val="21"/>
                <w:highlight w:val="none"/>
              </w:rPr>
              <w:t>（4）装配式建筑装配率要求：</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tc>
      </w:tr>
      <w:tr w14:paraId="70D8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75FA4EE5">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5B2AA031">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7.5.2</w:t>
            </w:r>
          </w:p>
        </w:tc>
        <w:tc>
          <w:tcPr>
            <w:tcW w:w="7304" w:type="dxa"/>
            <w:tcBorders>
              <w:bottom w:val="single" w:color="auto" w:sz="4" w:space="0"/>
            </w:tcBorders>
            <w:vAlign w:val="center"/>
          </w:tcPr>
          <w:p w14:paraId="5D2C347D">
            <w:pPr>
              <w:snapToGrid w:val="0"/>
              <w:spacing w:line="360" w:lineRule="auto"/>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因承包人原因造成工期延误，逾期竣工违约金的计算方法为：</w:t>
            </w:r>
            <w:r>
              <w:rPr>
                <w:rFonts w:hint="eastAsia" w:cs="宋体"/>
                <w:bCs/>
                <w:color w:val="auto"/>
                <w:kern w:val="2"/>
                <w:sz w:val="21"/>
                <w:szCs w:val="21"/>
                <w:highlight w:val="none"/>
                <w:u w:val="single"/>
                <w:lang w:eastAsia="zh-CN"/>
              </w:rPr>
              <w:t>每推迟一天，按合同价款（扣除暂估价和暂列金）</w:t>
            </w:r>
            <w:r>
              <w:rPr>
                <w:rFonts w:hint="eastAsia" w:cs="宋体"/>
                <w:b/>
                <w:bCs w:val="0"/>
                <w:color w:val="auto"/>
                <w:kern w:val="2"/>
                <w:sz w:val="21"/>
                <w:szCs w:val="21"/>
                <w:highlight w:val="none"/>
                <w:u w:val="single"/>
                <w:lang w:eastAsia="zh-CN"/>
              </w:rPr>
              <w:t>万分之一</w:t>
            </w:r>
            <w:r>
              <w:rPr>
                <w:rFonts w:hint="eastAsia" w:cs="宋体"/>
                <w:bCs/>
                <w:color w:val="auto"/>
                <w:kern w:val="2"/>
                <w:sz w:val="21"/>
                <w:szCs w:val="21"/>
                <w:highlight w:val="none"/>
                <w:u w:val="single"/>
                <w:lang w:eastAsia="zh-CN"/>
              </w:rPr>
              <w:t>处以违约金</w:t>
            </w:r>
            <w:r>
              <w:rPr>
                <w:rFonts w:hint="eastAsia" w:ascii="宋体" w:hAnsi="宋体" w:eastAsia="宋体" w:cs="宋体"/>
                <w:bCs/>
                <w:color w:val="auto"/>
                <w:kern w:val="2"/>
                <w:sz w:val="21"/>
                <w:szCs w:val="21"/>
                <w:highlight w:val="none"/>
                <w:u w:val="single"/>
              </w:rPr>
              <w:t>。</w:t>
            </w:r>
          </w:p>
          <w:p w14:paraId="68B6DCD7">
            <w:pPr>
              <w:snapToGrid w:val="0"/>
              <w:spacing w:line="360" w:lineRule="auto"/>
              <w:rPr>
                <w:rFonts w:cs="宋体"/>
                <w:bCs/>
                <w:color w:val="auto"/>
                <w:kern w:val="2"/>
                <w:sz w:val="21"/>
                <w:szCs w:val="21"/>
                <w:highlight w:val="none"/>
              </w:rPr>
            </w:pPr>
            <w:r>
              <w:rPr>
                <w:rFonts w:hint="eastAsia" w:ascii="宋体" w:hAnsi="宋体" w:eastAsia="宋体" w:cs="宋体"/>
                <w:bCs/>
                <w:color w:val="auto"/>
                <w:kern w:val="2"/>
                <w:sz w:val="21"/>
                <w:szCs w:val="21"/>
                <w:highlight w:val="none"/>
              </w:rPr>
              <w:t>因承包人原因造成工期延误，逾期竣工违约金的上限：</w:t>
            </w:r>
            <w:r>
              <w:rPr>
                <w:rFonts w:hint="eastAsia" w:ascii="宋体" w:hAnsi="宋体" w:eastAsia="宋体" w:cs="宋体"/>
                <w:bCs/>
                <w:color w:val="auto"/>
                <w:kern w:val="2"/>
                <w:sz w:val="21"/>
                <w:szCs w:val="21"/>
                <w:highlight w:val="none"/>
                <w:u w:val="single"/>
              </w:rPr>
              <w:t>合同价款的5%</w:t>
            </w:r>
            <w:r>
              <w:rPr>
                <w:rFonts w:hint="eastAsia" w:cs="宋体"/>
                <w:bCs/>
                <w:color w:val="auto"/>
                <w:kern w:val="2"/>
                <w:sz w:val="21"/>
                <w:szCs w:val="21"/>
                <w:highlight w:val="none"/>
                <w:u w:val="single"/>
                <w:lang w:val="en-US" w:eastAsia="zh-CN"/>
              </w:rPr>
              <w:t xml:space="preserve"> </w:t>
            </w:r>
            <w:r>
              <w:rPr>
                <w:rFonts w:hint="eastAsia" w:ascii="宋体" w:hAnsi="宋体" w:eastAsia="宋体" w:cs="宋体"/>
                <w:bCs/>
                <w:color w:val="auto"/>
                <w:kern w:val="2"/>
                <w:sz w:val="21"/>
                <w:szCs w:val="21"/>
                <w:highlight w:val="none"/>
              </w:rPr>
              <w:t>。</w:t>
            </w:r>
          </w:p>
        </w:tc>
      </w:tr>
      <w:tr w14:paraId="7E0A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4908B146">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4623BAFD">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7.9.2</w:t>
            </w:r>
          </w:p>
        </w:tc>
        <w:tc>
          <w:tcPr>
            <w:tcW w:w="7304" w:type="dxa"/>
            <w:tcBorders>
              <w:bottom w:val="single" w:color="auto" w:sz="4" w:space="0"/>
            </w:tcBorders>
            <w:vAlign w:val="center"/>
          </w:tcPr>
          <w:p w14:paraId="45F6B443">
            <w:pPr>
              <w:snapToGrid w:val="0"/>
              <w:spacing w:line="360" w:lineRule="auto"/>
              <w:rPr>
                <w:rFonts w:cs="宋体"/>
                <w:bCs/>
                <w:color w:val="auto"/>
                <w:kern w:val="2"/>
                <w:sz w:val="21"/>
                <w:szCs w:val="21"/>
                <w:highlight w:val="none"/>
              </w:rPr>
            </w:pPr>
            <w:r>
              <w:rPr>
                <w:rFonts w:hint="eastAsia" w:cs="宋体"/>
                <w:color w:val="auto"/>
                <w:sz w:val="21"/>
                <w:szCs w:val="21"/>
                <w:highlight w:val="none"/>
              </w:rPr>
              <w:t>提前竣工的奖励：</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tc>
      </w:tr>
      <w:tr w14:paraId="6A48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1657C1CE">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264B684D">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11.1</w:t>
            </w:r>
          </w:p>
        </w:tc>
        <w:tc>
          <w:tcPr>
            <w:tcW w:w="7304" w:type="dxa"/>
            <w:tcBorders>
              <w:bottom w:val="single" w:color="auto" w:sz="4" w:space="0"/>
            </w:tcBorders>
            <w:vAlign w:val="center"/>
          </w:tcPr>
          <w:p w14:paraId="1276CD3B">
            <w:pPr>
              <w:pStyle w:val="33"/>
              <w:tabs>
                <w:tab w:val="clear" w:pos="4153"/>
                <w:tab w:val="clear" w:pos="8306"/>
              </w:tabs>
              <w:spacing w:line="360" w:lineRule="auto"/>
              <w:rPr>
                <w:rFonts w:cs="宋体"/>
                <w:bCs/>
                <w:color w:val="auto"/>
                <w:kern w:val="2"/>
                <w:sz w:val="21"/>
                <w:szCs w:val="21"/>
                <w:highlight w:val="none"/>
              </w:rPr>
            </w:pPr>
            <w:r>
              <w:rPr>
                <w:rFonts w:hint="eastAsia" w:cs="宋体"/>
                <w:bCs/>
                <w:color w:val="auto"/>
                <w:kern w:val="2"/>
                <w:sz w:val="21"/>
                <w:szCs w:val="21"/>
                <w:highlight w:val="none"/>
              </w:rPr>
              <w:t>市场价格波动是否调整合同价格的约定：</w:t>
            </w:r>
            <w:r>
              <w:rPr>
                <w:rFonts w:hint="eastAsia" w:cs="宋体"/>
                <w:bCs/>
                <w:color w:val="auto"/>
                <w:kern w:val="2"/>
                <w:sz w:val="21"/>
                <w:szCs w:val="21"/>
                <w:highlight w:val="none"/>
                <w:u w:val="single"/>
              </w:rPr>
              <w:t xml:space="preserve">  </w:t>
            </w:r>
            <w:r>
              <w:rPr>
                <w:rFonts w:hint="eastAsia" w:ascii="宋体" w:hAnsi="宋体" w:eastAsia="宋体" w:cs="宋体"/>
                <w:bCs/>
                <w:color w:val="auto"/>
                <w:kern w:val="2"/>
                <w:sz w:val="21"/>
                <w:szCs w:val="21"/>
                <w:highlight w:val="none"/>
                <w:u w:val="single"/>
                <w:lang w:val="en-US" w:eastAsia="zh-CN"/>
              </w:rPr>
              <w:t>不调</w:t>
            </w:r>
            <w:r>
              <w:rPr>
                <w:rFonts w:hint="eastAsia" w:cs="宋体"/>
                <w:bCs/>
                <w:color w:val="auto"/>
                <w:kern w:val="2"/>
                <w:sz w:val="21"/>
                <w:szCs w:val="21"/>
                <w:highlight w:val="none"/>
                <w:u w:val="single"/>
                <w:lang w:val="en-US" w:eastAsia="zh-CN"/>
              </w:rPr>
              <w:t>价</w:t>
            </w:r>
            <w:r>
              <w:rPr>
                <w:rFonts w:hint="eastAsia" w:cs="宋体"/>
                <w:bCs/>
                <w:color w:val="auto"/>
                <w:kern w:val="2"/>
                <w:sz w:val="21"/>
                <w:szCs w:val="21"/>
                <w:highlight w:val="none"/>
                <w:u w:val="single"/>
              </w:rPr>
              <w:t xml:space="preserve"> </w:t>
            </w:r>
            <w:r>
              <w:rPr>
                <w:rFonts w:hint="eastAsia" w:cs="宋体"/>
                <w:bCs/>
                <w:color w:val="auto"/>
                <w:kern w:val="2"/>
                <w:sz w:val="21"/>
                <w:szCs w:val="21"/>
                <w:highlight w:val="none"/>
              </w:rPr>
              <w:t>。</w:t>
            </w:r>
          </w:p>
        </w:tc>
      </w:tr>
      <w:tr w14:paraId="3BB4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18C8590D">
            <w:pPr>
              <w:numPr>
                <w:ilvl w:val="0"/>
                <w:numId w:val="3"/>
              </w:numPr>
              <w:snapToGrid w:val="0"/>
              <w:spacing w:line="360" w:lineRule="auto"/>
              <w:jc w:val="center"/>
              <w:rPr>
                <w:rFonts w:cs="宋体"/>
                <w:bCs/>
                <w:color w:val="auto"/>
                <w:sz w:val="21"/>
                <w:szCs w:val="21"/>
                <w:highlight w:val="none"/>
              </w:rPr>
            </w:pPr>
          </w:p>
        </w:tc>
        <w:tc>
          <w:tcPr>
            <w:tcW w:w="1111" w:type="dxa"/>
            <w:vAlign w:val="center"/>
          </w:tcPr>
          <w:p w14:paraId="4D98F808">
            <w:pPr>
              <w:snapToGrid w:val="0"/>
              <w:spacing w:line="360" w:lineRule="auto"/>
              <w:jc w:val="center"/>
              <w:rPr>
                <w:rFonts w:cs="宋体"/>
                <w:bCs/>
                <w:color w:val="auto"/>
                <w:sz w:val="21"/>
                <w:szCs w:val="21"/>
                <w:highlight w:val="none"/>
              </w:rPr>
            </w:pPr>
            <w:r>
              <w:rPr>
                <w:rFonts w:hint="eastAsia" w:cs="宋体"/>
                <w:bCs/>
                <w:color w:val="auto"/>
                <w:sz w:val="21"/>
                <w:szCs w:val="21"/>
                <w:highlight w:val="none"/>
              </w:rPr>
              <w:t>12.1</w:t>
            </w:r>
          </w:p>
        </w:tc>
        <w:tc>
          <w:tcPr>
            <w:tcW w:w="7304" w:type="dxa"/>
            <w:tcBorders>
              <w:bottom w:val="single" w:color="auto" w:sz="4" w:space="0"/>
            </w:tcBorders>
            <w:vAlign w:val="center"/>
          </w:tcPr>
          <w:p w14:paraId="536C7022">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合同价格形式</w:t>
            </w:r>
          </w:p>
          <w:p w14:paraId="4CB899FF">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(1)单价合同。</w:t>
            </w:r>
          </w:p>
          <w:p w14:paraId="6EEF11E1">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综合单价包含的风险范围：</w:t>
            </w:r>
            <w:r>
              <w:rPr>
                <w:rFonts w:hint="eastAsia" w:ascii="宋体" w:hAnsi="宋体" w:eastAsia="宋体" w:cs="宋体"/>
                <w:color w:val="auto"/>
                <w:sz w:val="21"/>
                <w:szCs w:val="21"/>
                <w:highlight w:val="none"/>
                <w:u w:val="single"/>
              </w:rPr>
              <w:t>隐含于已标价工程量清单综合单价中，用于化解发承包双方在工程合同中约定内容和范围内的市场价格波动风险的费用。综合单价包括为完成本项目所需要的一切费用,包括但不限于人工费、材料费、施工机械费、管理费、利润、风险费用、总包管理费、赶工措施费、相关交易费及完成本工程交易文件及合同条款内容等所有费用</w:t>
            </w:r>
            <w:r>
              <w:rPr>
                <w:rFonts w:hint="eastAsia" w:cs="宋体"/>
                <w:color w:val="auto"/>
                <w:sz w:val="21"/>
                <w:szCs w:val="21"/>
                <w:highlight w:val="none"/>
                <w:u w:val="single"/>
                <w:lang w:eastAsia="zh-CN"/>
              </w:rPr>
              <w:t>，</w:t>
            </w:r>
            <w:r>
              <w:rPr>
                <w:color w:val="auto"/>
                <w:spacing w:val="-4"/>
                <w:sz w:val="21"/>
                <w:szCs w:val="21"/>
                <w:highlight w:val="none"/>
                <w:u w:val="single" w:color="auto"/>
              </w:rPr>
              <w:t>综合单价今后将不作任何调整</w:t>
            </w:r>
            <w:r>
              <w:rPr>
                <w:rFonts w:hint="eastAsia" w:cs="宋体"/>
                <w:bCs/>
                <w:color w:val="auto"/>
                <w:sz w:val="21"/>
                <w:szCs w:val="21"/>
                <w:highlight w:val="none"/>
                <w:u w:val="single"/>
              </w:rPr>
              <w:t xml:space="preserve">   </w:t>
            </w:r>
            <w:r>
              <w:rPr>
                <w:rFonts w:hint="eastAsia" w:ascii="宋体" w:hAnsi="宋体" w:eastAsia="宋体" w:cs="宋体"/>
                <w:color w:val="auto"/>
                <w:sz w:val="21"/>
                <w:szCs w:val="21"/>
                <w:highlight w:val="none"/>
                <w:u w:val="single"/>
              </w:rPr>
              <w:t>。</w:t>
            </w:r>
          </w:p>
          <w:p w14:paraId="25307468">
            <w:pPr>
              <w:pageBreakBefore w:val="0"/>
              <w:kinsoku/>
              <w:wordWrap/>
              <w:topLinePunct w:val="0"/>
              <w:bidi w:val="0"/>
              <w:adjustRightInd w:val="0"/>
              <w:snapToGrid w:val="0"/>
              <w:spacing w:beforeAutospacing="0" w:line="520" w:lineRule="exact"/>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风险费用的计算方法：</w:t>
            </w:r>
            <w:r>
              <w:rPr>
                <w:rFonts w:hint="eastAsia" w:ascii="宋体" w:hAnsi="宋体" w:eastAsia="宋体" w:cs="宋体"/>
                <w:color w:val="auto"/>
                <w:sz w:val="21"/>
                <w:szCs w:val="21"/>
                <w:highlight w:val="none"/>
                <w:u w:val="single"/>
              </w:rPr>
              <w:t xml:space="preserve"> 承包人自行考虑，包含在报价中 。</w:t>
            </w:r>
          </w:p>
          <w:p w14:paraId="1D431FE6">
            <w:pPr>
              <w:pageBreakBefore w:val="0"/>
              <w:kinsoku/>
              <w:wordWrap/>
              <w:topLinePunct w:val="0"/>
              <w:bidi w:val="0"/>
              <w:adjustRightInd w:val="0"/>
              <w:snapToGrid w:val="0"/>
              <w:spacing w:beforeAutospacing="0" w:line="520" w:lineRule="exact"/>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风险范围以外合同价格的调整方法：</w:t>
            </w:r>
            <w:r>
              <w:rPr>
                <w:rFonts w:hint="eastAsia" w:ascii="宋体" w:hAnsi="宋体" w:eastAsia="宋体" w:cs="宋体"/>
                <w:color w:val="auto"/>
                <w:sz w:val="21"/>
                <w:szCs w:val="21"/>
                <w:highlight w:val="none"/>
                <w:u w:val="single"/>
              </w:rPr>
              <w:t xml:space="preserve">按照国家级省市政策要求。 </w:t>
            </w:r>
          </w:p>
          <w:p w14:paraId="20F5FB4D">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(2)总价合同。</w:t>
            </w:r>
          </w:p>
          <w:p w14:paraId="48C6009D">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总价包含的风险范围：</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p>
          <w:p w14:paraId="141EE6BB">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风险费用的计算方法：</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7DB5761E">
            <w:pPr>
              <w:pStyle w:val="33"/>
              <w:pageBreakBefore w:val="0"/>
              <w:widowControl w:val="0"/>
              <w:tabs>
                <w:tab w:val="clear" w:pos="4153"/>
                <w:tab w:val="clear" w:pos="8306"/>
              </w:tabs>
              <w:kinsoku/>
              <w:wordWrap/>
              <w:overflowPunct/>
              <w:topLinePunct w:val="0"/>
              <w:autoSpaceDE/>
              <w:autoSpaceDN/>
              <w:bidi w:val="0"/>
              <w:snapToGrid w:val="0"/>
              <w:spacing w:beforeAutospacing="0" w:line="52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风险范围以外合同价格的调整方法：</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6217A63A">
            <w:pPr>
              <w:pStyle w:val="33"/>
              <w:tabs>
                <w:tab w:val="clear" w:pos="4153"/>
                <w:tab w:val="clear" w:pos="8306"/>
              </w:tabs>
              <w:spacing w:line="360" w:lineRule="auto"/>
              <w:rPr>
                <w:rFonts w:cs="宋体"/>
                <w:bCs/>
                <w:color w:val="auto"/>
                <w:sz w:val="21"/>
                <w:szCs w:val="21"/>
                <w:highlight w:val="none"/>
              </w:rPr>
            </w:pPr>
            <w:r>
              <w:rPr>
                <w:rFonts w:hint="eastAsia" w:ascii="宋体" w:hAnsi="宋体" w:eastAsia="宋体" w:cs="宋体"/>
                <w:bCs/>
                <w:color w:val="auto"/>
                <w:sz w:val="21"/>
                <w:szCs w:val="21"/>
                <w:highlight w:val="none"/>
              </w:rPr>
              <w:t>（3）其他价格方式：</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tc>
      </w:tr>
      <w:tr w14:paraId="0E38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77A72F37">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36F116A5">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 xml:space="preserve">12.2.1 </w:t>
            </w:r>
          </w:p>
        </w:tc>
        <w:tc>
          <w:tcPr>
            <w:tcW w:w="7304" w:type="dxa"/>
            <w:tcBorders>
              <w:bottom w:val="single" w:color="auto" w:sz="4" w:space="0"/>
            </w:tcBorders>
            <w:vAlign w:val="center"/>
          </w:tcPr>
          <w:p w14:paraId="4EF19F4E">
            <w:pPr>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预付款的支付</w:t>
            </w:r>
          </w:p>
          <w:p w14:paraId="77DCE979">
            <w:pPr>
              <w:pStyle w:val="33"/>
              <w:pageBreakBefore w:val="0"/>
              <w:widowControl w:val="0"/>
              <w:tabs>
                <w:tab w:val="clear" w:pos="4153"/>
                <w:tab w:val="clear" w:pos="8306"/>
              </w:tabs>
              <w:kinsoku/>
              <w:wordWrap/>
              <w:overflowPunct/>
              <w:topLinePunct w:val="0"/>
              <w:autoSpaceDE/>
              <w:autoSpaceDN/>
              <w:bidi w:val="0"/>
              <w:snapToGrid w:val="0"/>
              <w:spacing w:beforeAutospacing="0" w:line="360" w:lineRule="auto"/>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预付款支付比例或金额：</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667BFF3B">
            <w:pPr>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宋体" w:hAnsi="宋体" w:eastAsia="宋体"/>
                <w:color w:val="auto"/>
                <w:spacing w:val="8"/>
                <w:sz w:val="21"/>
                <w:szCs w:val="21"/>
                <w:highlight w:val="none"/>
                <w:u w:val="single" w:color="auto"/>
              </w:rPr>
            </w:pPr>
            <w:r>
              <w:rPr>
                <w:rFonts w:hint="eastAsia" w:ascii="宋体" w:hAnsi="宋体" w:eastAsia="宋体" w:cs="宋体"/>
                <w:bCs/>
                <w:color w:val="auto"/>
                <w:sz w:val="21"/>
                <w:szCs w:val="21"/>
                <w:highlight w:val="none"/>
              </w:rPr>
              <w:t>预付款支付期限：</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p w14:paraId="68980733">
            <w:pPr>
              <w:adjustRightInd w:val="0"/>
              <w:snapToGrid w:val="0"/>
              <w:spacing w:line="360" w:lineRule="auto"/>
              <w:rPr>
                <w:rFonts w:hint="eastAsia" w:eastAsia="宋体" w:cs="宋体"/>
                <w:bCs/>
                <w:color w:val="auto"/>
                <w:kern w:val="2"/>
                <w:sz w:val="21"/>
                <w:szCs w:val="21"/>
                <w:highlight w:val="none"/>
                <w:lang w:eastAsia="zh-CN"/>
              </w:rPr>
            </w:pPr>
            <w:r>
              <w:rPr>
                <w:rFonts w:hint="eastAsia" w:ascii="宋体" w:hAnsi="宋体" w:eastAsia="宋体" w:cs="宋体"/>
                <w:bCs/>
                <w:color w:val="auto"/>
                <w:sz w:val="21"/>
                <w:szCs w:val="21"/>
                <w:highlight w:val="none"/>
              </w:rPr>
              <w:t>预付款扣回的方式：</w:t>
            </w:r>
            <w:r>
              <w:rPr>
                <w:rFonts w:hint="eastAsia" w:ascii="宋体" w:hAnsi="宋体" w:eastAsia="宋体"/>
                <w:color w:val="auto"/>
                <w:spacing w:val="8"/>
                <w:sz w:val="21"/>
                <w:szCs w:val="21"/>
                <w:highlight w:val="none"/>
                <w:u w:val="single" w:color="auto"/>
              </w:rPr>
              <w:t>合</w:t>
            </w:r>
            <w:r>
              <w:rPr>
                <w:rFonts w:hint="eastAsia" w:ascii="宋体" w:hAnsi="宋体" w:eastAsia="宋体"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w:t>
            </w:r>
          </w:p>
        </w:tc>
      </w:tr>
      <w:tr w14:paraId="713A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629" w:type="dxa"/>
            <w:vAlign w:val="center"/>
          </w:tcPr>
          <w:p w14:paraId="48C79253">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36F2AB55">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12.2.2</w:t>
            </w:r>
          </w:p>
        </w:tc>
        <w:tc>
          <w:tcPr>
            <w:tcW w:w="7304" w:type="dxa"/>
            <w:tcBorders>
              <w:bottom w:val="single" w:color="auto" w:sz="4" w:space="0"/>
            </w:tcBorders>
            <w:vAlign w:val="center"/>
          </w:tcPr>
          <w:p w14:paraId="1ED90C31">
            <w:pPr>
              <w:adjustRightInd w:val="0"/>
              <w:snapToGrid w:val="0"/>
              <w:spacing w:line="360" w:lineRule="auto"/>
              <w:rPr>
                <w:rFonts w:cs="宋体"/>
                <w:bCs/>
                <w:color w:val="auto"/>
                <w:sz w:val="21"/>
                <w:szCs w:val="21"/>
                <w:highlight w:val="none"/>
              </w:rPr>
            </w:pPr>
            <w:r>
              <w:rPr>
                <w:rFonts w:hint="eastAsia" w:cs="宋体"/>
                <w:bCs/>
                <w:color w:val="auto"/>
                <w:sz w:val="21"/>
                <w:szCs w:val="21"/>
                <w:highlight w:val="none"/>
              </w:rPr>
              <w:t>预付款担保</w:t>
            </w:r>
          </w:p>
          <w:p w14:paraId="23C093BB">
            <w:pPr>
              <w:adjustRightInd w:val="0"/>
              <w:snapToGrid w:val="0"/>
              <w:spacing w:line="360" w:lineRule="auto"/>
              <w:rPr>
                <w:rFonts w:cs="宋体"/>
                <w:bCs/>
                <w:color w:val="auto"/>
                <w:sz w:val="21"/>
                <w:szCs w:val="21"/>
                <w:highlight w:val="none"/>
              </w:rPr>
            </w:pPr>
            <w:r>
              <w:rPr>
                <w:rFonts w:hint="eastAsia" w:cs="宋体"/>
                <w:bCs/>
                <w:color w:val="auto"/>
                <w:sz w:val="21"/>
                <w:szCs w:val="21"/>
                <w:highlight w:val="none"/>
              </w:rPr>
              <w:t>承包人提交预付款担保的期限：</w:t>
            </w:r>
            <w:r>
              <w:rPr>
                <w:rFonts w:hint="eastAsia" w:cs="宋体"/>
                <w:bCs/>
                <w:color w:val="auto"/>
                <w:sz w:val="21"/>
                <w:szCs w:val="21"/>
                <w:highlight w:val="none"/>
                <w:u w:val="single"/>
              </w:rPr>
              <w:t xml:space="preserve"> </w:t>
            </w:r>
            <w:r>
              <w:rPr>
                <w:color w:val="auto"/>
                <w:spacing w:val="9"/>
                <w:sz w:val="21"/>
                <w:szCs w:val="21"/>
                <w:highlight w:val="none"/>
                <w:u w:val="single" w:color="auto"/>
              </w:rPr>
              <w:t>预付款支付前</w:t>
            </w:r>
            <w:r>
              <w:rPr>
                <w:rFonts w:hint="eastAsia" w:cs="宋体"/>
                <w:bCs/>
                <w:color w:val="auto"/>
                <w:sz w:val="21"/>
                <w:szCs w:val="21"/>
                <w:highlight w:val="none"/>
                <w:u w:val="single"/>
              </w:rPr>
              <w:t xml:space="preserve">  </w:t>
            </w:r>
          </w:p>
          <w:p w14:paraId="1A595408">
            <w:pPr>
              <w:adjustRightInd w:val="0"/>
              <w:snapToGrid w:val="0"/>
              <w:spacing w:line="360" w:lineRule="auto"/>
              <w:rPr>
                <w:rFonts w:cs="宋体"/>
                <w:bCs/>
                <w:color w:val="auto"/>
                <w:kern w:val="2"/>
                <w:sz w:val="21"/>
                <w:szCs w:val="21"/>
                <w:highlight w:val="none"/>
              </w:rPr>
            </w:pPr>
            <w:r>
              <w:rPr>
                <w:rFonts w:hint="eastAsia" w:cs="宋体"/>
                <w:bCs/>
                <w:color w:val="auto"/>
                <w:sz w:val="21"/>
                <w:szCs w:val="21"/>
                <w:highlight w:val="none"/>
              </w:rPr>
              <w:t>预付款担保的形式为：</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保函</w:t>
            </w:r>
            <w:r>
              <w:rPr>
                <w:rFonts w:hint="eastAsia" w:cs="宋体"/>
                <w:bCs/>
                <w:color w:val="auto"/>
                <w:sz w:val="21"/>
                <w:szCs w:val="21"/>
                <w:highlight w:val="none"/>
                <w:u w:val="single"/>
              </w:rPr>
              <w:t xml:space="preserve"> </w:t>
            </w:r>
            <w:r>
              <w:rPr>
                <w:color w:val="auto"/>
                <w:spacing w:val="8"/>
                <w:sz w:val="21"/>
                <w:szCs w:val="21"/>
                <w:highlight w:val="none"/>
                <w:u w:val="single" w:color="auto"/>
              </w:rPr>
              <w:t>（见索即付）</w:t>
            </w:r>
            <w:r>
              <w:rPr>
                <w:rFonts w:hint="eastAsia" w:cs="宋体"/>
                <w:bCs/>
                <w:color w:val="auto"/>
                <w:sz w:val="21"/>
                <w:szCs w:val="21"/>
                <w:highlight w:val="none"/>
                <w:u w:val="single"/>
              </w:rPr>
              <w:t xml:space="preserve">  </w:t>
            </w:r>
          </w:p>
        </w:tc>
      </w:tr>
      <w:tr w14:paraId="6E3D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623314DD">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124FA585">
            <w:pPr>
              <w:snapToGrid w:val="0"/>
              <w:spacing w:line="360" w:lineRule="auto"/>
              <w:jc w:val="center"/>
              <w:rPr>
                <w:rFonts w:cs="宋体"/>
                <w:bCs/>
                <w:color w:val="auto"/>
                <w:sz w:val="21"/>
                <w:szCs w:val="21"/>
                <w:highlight w:val="none"/>
              </w:rPr>
            </w:pPr>
            <w:r>
              <w:rPr>
                <w:rFonts w:hint="eastAsia" w:cs="宋体"/>
                <w:bCs/>
                <w:color w:val="auto"/>
                <w:sz w:val="21"/>
                <w:szCs w:val="21"/>
                <w:highlight w:val="none"/>
              </w:rPr>
              <w:t>12.4.1</w:t>
            </w:r>
          </w:p>
        </w:tc>
        <w:tc>
          <w:tcPr>
            <w:tcW w:w="7304" w:type="dxa"/>
            <w:tcBorders>
              <w:bottom w:val="single" w:color="auto" w:sz="4" w:space="0"/>
            </w:tcBorders>
            <w:vAlign w:val="center"/>
          </w:tcPr>
          <w:p w14:paraId="4E88EC8C">
            <w:pPr>
              <w:adjustRightInd w:val="0"/>
              <w:snapToGrid w:val="0"/>
              <w:spacing w:line="360" w:lineRule="auto"/>
              <w:rPr>
                <w:rFonts w:cs="宋体"/>
                <w:bCs/>
                <w:color w:val="auto"/>
                <w:sz w:val="21"/>
                <w:szCs w:val="21"/>
                <w:highlight w:val="none"/>
              </w:rPr>
            </w:pPr>
            <w:r>
              <w:rPr>
                <w:rFonts w:hint="eastAsia" w:cs="宋体"/>
                <w:bCs/>
                <w:color w:val="auto"/>
                <w:sz w:val="21"/>
                <w:szCs w:val="21"/>
                <w:highlight w:val="none"/>
              </w:rPr>
              <w:t>付款周期</w:t>
            </w:r>
          </w:p>
          <w:p w14:paraId="5F3675ED">
            <w:pPr>
              <w:adjustRightInd w:val="0"/>
              <w:snapToGrid w:val="0"/>
              <w:spacing w:line="360" w:lineRule="auto"/>
              <w:rPr>
                <w:rFonts w:cs="宋体"/>
                <w:bCs/>
                <w:color w:val="auto"/>
                <w:sz w:val="21"/>
                <w:szCs w:val="21"/>
                <w:highlight w:val="none"/>
              </w:rPr>
            </w:pPr>
            <w:r>
              <w:rPr>
                <w:rFonts w:hint="eastAsia" w:cs="宋体"/>
                <w:bCs/>
                <w:color w:val="auto"/>
                <w:sz w:val="21"/>
                <w:szCs w:val="21"/>
                <w:highlight w:val="none"/>
              </w:rPr>
              <w:t>关于付款周期的约定：</w:t>
            </w:r>
            <w:r>
              <w:rPr>
                <w:rFonts w:hint="eastAsia" w:cs="宋体"/>
                <w:b/>
                <w:bCs w:val="0"/>
                <w:color w:val="auto"/>
                <w:sz w:val="21"/>
                <w:szCs w:val="21"/>
                <w:highlight w:val="none"/>
                <w:u w:val="single"/>
                <w:lang w:eastAsia="zh-CN"/>
              </w:rPr>
              <w:t>全部工程完成并经招标人验收合格后支付已完合格工程量价款的80%，结算审核完成后付至结算价款的98%，剩余2%作为工程质量保证金，工程质量保证金在工程缺陷责任期（缺陷责任期：两年，从验收合格之日起计算）满回访合格后一个月内付清。</w:t>
            </w:r>
            <w:r>
              <w:rPr>
                <w:rFonts w:hint="eastAsia" w:cs="宋体"/>
                <w:b/>
                <w:bCs w:val="0"/>
                <w:color w:val="auto"/>
                <w:sz w:val="21"/>
                <w:szCs w:val="21"/>
                <w:highlight w:val="none"/>
                <w:u w:val="single"/>
              </w:rPr>
              <w:t xml:space="preserve"> </w:t>
            </w:r>
          </w:p>
        </w:tc>
      </w:tr>
      <w:tr w14:paraId="1046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1A2EA6D2">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50B85A62">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15.2.1</w:t>
            </w:r>
          </w:p>
        </w:tc>
        <w:tc>
          <w:tcPr>
            <w:tcW w:w="7304" w:type="dxa"/>
            <w:vAlign w:val="center"/>
          </w:tcPr>
          <w:p w14:paraId="0967108F">
            <w:pPr>
              <w:pStyle w:val="50"/>
              <w:keepNext w:val="0"/>
              <w:keepLines w:val="0"/>
              <w:widowControl/>
              <w:suppressLineNumbers w:val="0"/>
              <w:spacing w:line="240" w:lineRule="auto"/>
              <w:ind w:left="0" w:firstLine="0"/>
              <w:jc w:val="right"/>
              <w:textAlignment w:val="center"/>
              <w:rPr>
                <w:rFonts w:cs="宋体"/>
                <w:bCs/>
                <w:color w:val="auto"/>
                <w:kern w:val="2"/>
                <w:sz w:val="21"/>
                <w:szCs w:val="21"/>
                <w:highlight w:val="none"/>
              </w:rPr>
            </w:pPr>
            <w:r>
              <w:rPr>
                <w:rFonts w:hint="eastAsia" w:cs="宋体"/>
                <w:color w:val="auto"/>
                <w:sz w:val="21"/>
                <w:szCs w:val="21"/>
                <w:highlight w:val="none"/>
              </w:rPr>
              <w:t>缺陷责任期的具体期限：</w:t>
            </w:r>
            <w:r>
              <w:rPr>
                <w:rFonts w:hint="eastAsia" w:cs="宋体"/>
                <w:color w:val="auto"/>
                <w:sz w:val="21"/>
                <w:szCs w:val="21"/>
                <w:highlight w:val="none"/>
                <w:u w:val="single"/>
              </w:rPr>
              <w:t>两年</w:t>
            </w:r>
            <w:r>
              <w:rPr>
                <w:rFonts w:hint="eastAsia" w:ascii="宋体" w:hAnsi="宋体" w:eastAsia="宋体" w:cs="宋体"/>
                <w:color w:val="auto"/>
                <w:spacing w:val="0"/>
                <w:position w:val="0"/>
                <w:sz w:val="21"/>
                <w:szCs w:val="21"/>
                <w:highlight w:val="none"/>
                <w:u w:val="single"/>
              </w:rPr>
              <w:t>(缺陷责任期从竣工验收合格之日起计算)</w:t>
            </w:r>
            <w:r>
              <w:rPr>
                <w:rFonts w:hint="eastAsia" w:cs="宋体"/>
                <w:color w:val="auto"/>
                <w:sz w:val="21"/>
                <w:szCs w:val="21"/>
                <w:highlight w:val="none"/>
                <w:u w:val="single"/>
              </w:rPr>
              <w:t xml:space="preserve"> </w:t>
            </w:r>
            <w:r>
              <w:rPr>
                <w:rFonts w:hint="eastAsia" w:cs="宋体"/>
                <w:color w:val="auto"/>
                <w:sz w:val="21"/>
                <w:szCs w:val="21"/>
                <w:highlight w:val="none"/>
              </w:rPr>
              <w:t>。</w:t>
            </w:r>
          </w:p>
        </w:tc>
      </w:tr>
      <w:tr w14:paraId="6CF3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29" w:type="dxa"/>
            <w:vAlign w:val="center"/>
          </w:tcPr>
          <w:p w14:paraId="5D0F2131">
            <w:pPr>
              <w:numPr>
                <w:ilvl w:val="0"/>
                <w:numId w:val="3"/>
              </w:numPr>
              <w:snapToGrid w:val="0"/>
              <w:spacing w:line="360" w:lineRule="auto"/>
              <w:jc w:val="center"/>
              <w:rPr>
                <w:rFonts w:cs="宋体"/>
                <w:bCs/>
                <w:color w:val="auto"/>
                <w:kern w:val="2"/>
                <w:sz w:val="21"/>
                <w:szCs w:val="21"/>
                <w:highlight w:val="none"/>
              </w:rPr>
            </w:pPr>
          </w:p>
        </w:tc>
        <w:tc>
          <w:tcPr>
            <w:tcW w:w="1111" w:type="dxa"/>
            <w:vAlign w:val="center"/>
          </w:tcPr>
          <w:p w14:paraId="6D4A8CA4">
            <w:pPr>
              <w:snapToGrid w:val="0"/>
              <w:spacing w:line="360" w:lineRule="auto"/>
              <w:jc w:val="center"/>
              <w:rPr>
                <w:rFonts w:cs="宋体"/>
                <w:bCs/>
                <w:color w:val="auto"/>
                <w:kern w:val="2"/>
                <w:sz w:val="21"/>
                <w:szCs w:val="21"/>
                <w:highlight w:val="none"/>
              </w:rPr>
            </w:pPr>
            <w:r>
              <w:rPr>
                <w:rFonts w:hint="eastAsia" w:cs="宋体"/>
                <w:bCs/>
                <w:color w:val="auto"/>
                <w:sz w:val="21"/>
                <w:szCs w:val="21"/>
                <w:highlight w:val="none"/>
              </w:rPr>
              <w:t>15.3.1</w:t>
            </w:r>
          </w:p>
        </w:tc>
        <w:tc>
          <w:tcPr>
            <w:tcW w:w="7304" w:type="dxa"/>
            <w:vAlign w:val="center"/>
          </w:tcPr>
          <w:p w14:paraId="33319B29">
            <w:pPr>
              <w:adjustRightInd w:val="0"/>
              <w:snapToGrid w:val="0"/>
              <w:spacing w:line="360" w:lineRule="auto"/>
              <w:rPr>
                <w:rFonts w:cs="宋体"/>
                <w:color w:val="auto"/>
                <w:sz w:val="21"/>
                <w:szCs w:val="21"/>
                <w:highlight w:val="none"/>
              </w:rPr>
            </w:pPr>
            <w:r>
              <w:rPr>
                <w:rFonts w:hint="eastAsia" w:cs="宋体"/>
                <w:color w:val="auto"/>
                <w:sz w:val="21"/>
                <w:szCs w:val="21"/>
                <w:highlight w:val="none"/>
              </w:rPr>
              <w:t>质量保证金可采用以下任意一种方式：</w:t>
            </w:r>
          </w:p>
          <w:p w14:paraId="2612500D">
            <w:pPr>
              <w:adjustRightInd w:val="0"/>
              <w:snapToGrid w:val="0"/>
              <w:spacing w:line="360" w:lineRule="auto"/>
              <w:rPr>
                <w:rFonts w:cs="宋体"/>
                <w:color w:val="auto"/>
                <w:sz w:val="21"/>
                <w:szCs w:val="21"/>
                <w:highlight w:val="none"/>
              </w:rPr>
            </w:pPr>
            <w:r>
              <w:rPr>
                <w:rFonts w:hint="eastAsia" w:cs="宋体"/>
                <w:color w:val="auto"/>
                <w:sz w:val="21"/>
                <w:szCs w:val="21"/>
                <w:highlight w:val="none"/>
              </w:rPr>
              <w:t>（1）由银行业金融机构、工程担保公司、保险机构出具银行保函、工程质量保险等担保方式，担保/保证金额为：</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工程结算总造价的2% </w:t>
            </w:r>
            <w:r>
              <w:rPr>
                <w:rFonts w:hint="eastAsia" w:cs="宋体"/>
                <w:color w:val="auto"/>
                <w:sz w:val="21"/>
                <w:szCs w:val="21"/>
                <w:highlight w:val="none"/>
                <w:u w:val="single"/>
              </w:rPr>
              <w:t>；</w:t>
            </w:r>
          </w:p>
          <w:p w14:paraId="4615D735">
            <w:pPr>
              <w:adjustRightInd w:val="0"/>
              <w:snapToGrid w:val="0"/>
              <w:spacing w:line="360" w:lineRule="auto"/>
              <w:rPr>
                <w:rFonts w:cs="宋体"/>
                <w:color w:val="auto"/>
                <w:sz w:val="21"/>
                <w:szCs w:val="21"/>
                <w:highlight w:val="none"/>
              </w:rPr>
            </w:pPr>
            <w:r>
              <w:rPr>
                <w:rFonts w:hint="eastAsia" w:cs="宋体"/>
                <w:color w:val="auto"/>
                <w:sz w:val="21"/>
                <w:szCs w:val="21"/>
                <w:highlight w:val="none"/>
              </w:rPr>
              <w:t xml:space="preserve">（2） </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工程结算总造价的2% 的工程款</w:t>
            </w:r>
            <w:r>
              <w:rPr>
                <w:rFonts w:hint="eastAsia" w:cs="宋体"/>
                <w:color w:val="auto"/>
                <w:sz w:val="21"/>
                <w:szCs w:val="21"/>
                <w:highlight w:val="none"/>
                <w:u w:val="single"/>
              </w:rPr>
              <w:t xml:space="preserve"> ；</w:t>
            </w:r>
          </w:p>
          <w:p w14:paraId="77EF1F86">
            <w:pPr>
              <w:adjustRightInd w:val="0"/>
              <w:snapToGrid w:val="0"/>
              <w:spacing w:line="360" w:lineRule="auto"/>
              <w:rPr>
                <w:rFonts w:cs="宋体"/>
                <w:color w:val="auto"/>
                <w:sz w:val="21"/>
                <w:szCs w:val="21"/>
                <w:highlight w:val="none"/>
              </w:rPr>
            </w:pPr>
            <w:r>
              <w:rPr>
                <w:rFonts w:hint="eastAsia" w:cs="宋体"/>
                <w:color w:val="auto"/>
                <w:sz w:val="21"/>
                <w:szCs w:val="21"/>
                <w:highlight w:val="none"/>
              </w:rPr>
              <w:t>（3）其他方式：</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p>
          <w:p w14:paraId="063390EC">
            <w:pPr>
              <w:pStyle w:val="4"/>
              <w:snapToGrid w:val="0"/>
              <w:spacing w:line="360" w:lineRule="auto"/>
              <w:rPr>
                <w:rFonts w:cs="宋体"/>
                <w:bCs w:val="0"/>
                <w:color w:val="auto"/>
                <w:kern w:val="2"/>
                <w:sz w:val="21"/>
                <w:szCs w:val="21"/>
                <w:highlight w:val="none"/>
              </w:rPr>
            </w:pPr>
            <w:r>
              <w:rPr>
                <w:rFonts w:hint="eastAsia" w:cs="宋体"/>
                <w:bCs w:val="0"/>
                <w:color w:val="auto"/>
                <w:sz w:val="21"/>
                <w:szCs w:val="21"/>
                <w:highlight w:val="none"/>
              </w:rPr>
              <w:t>注：以现金形式提交质量保证金的（含从工程款中以扣留方式提交的），同时退还银行同期活期存款利息。</w:t>
            </w:r>
          </w:p>
        </w:tc>
      </w:tr>
    </w:tbl>
    <w:p w14:paraId="129B273F">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br w:type="page"/>
      </w:r>
      <w:r>
        <w:rPr>
          <w:rFonts w:hint="eastAsia" w:cs="宋体"/>
          <w:color w:val="auto"/>
          <w:sz w:val="21"/>
          <w:szCs w:val="21"/>
          <w:highlight w:val="none"/>
        </w:rPr>
        <w:t>1</w:t>
      </w:r>
      <w:bookmarkStart w:id="60" w:name="_Toc296944495"/>
      <w:bookmarkStart w:id="61" w:name="_Toc296890984"/>
      <w:bookmarkStart w:id="62" w:name="_Toc292559361"/>
      <w:bookmarkStart w:id="63" w:name="_Toc296347155"/>
      <w:bookmarkStart w:id="64" w:name="_Toc296891196"/>
      <w:bookmarkStart w:id="65" w:name="_Toc297120456"/>
      <w:bookmarkStart w:id="66" w:name="_Toc292559866"/>
      <w:bookmarkStart w:id="67" w:name="_Toc296503156"/>
      <w:bookmarkStart w:id="68" w:name="_Toc297048342"/>
      <w:bookmarkStart w:id="69" w:name="_Toc296346657"/>
      <w:r>
        <w:rPr>
          <w:rFonts w:hint="eastAsia" w:cs="宋体"/>
          <w:color w:val="auto"/>
          <w:sz w:val="21"/>
          <w:szCs w:val="21"/>
          <w:highlight w:val="none"/>
        </w:rPr>
        <w:t>. 一般约定</w:t>
      </w:r>
    </w:p>
    <w:bookmarkEnd w:id="60"/>
    <w:bookmarkEnd w:id="61"/>
    <w:bookmarkEnd w:id="62"/>
    <w:bookmarkEnd w:id="63"/>
    <w:bookmarkEnd w:id="64"/>
    <w:bookmarkEnd w:id="65"/>
    <w:bookmarkEnd w:id="66"/>
    <w:bookmarkEnd w:id="67"/>
    <w:bookmarkEnd w:id="68"/>
    <w:bookmarkEnd w:id="69"/>
    <w:p w14:paraId="7985A0F9">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1.1 词语定义与解释</w:t>
      </w:r>
    </w:p>
    <w:p w14:paraId="7CD7576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1.1.1 合同</w:t>
      </w:r>
    </w:p>
    <w:p w14:paraId="4B51470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1.1.1.10 其他合同文件包括：</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本项目招标文件、在合同订立及履行过程中形成的与合同有关的文件均构成合同文件组成部分</w:t>
      </w:r>
      <w:r>
        <w:rPr>
          <w:rFonts w:hint="eastAsia" w:cs="宋体"/>
          <w:color w:val="auto"/>
          <w:sz w:val="21"/>
          <w:szCs w:val="21"/>
          <w:highlight w:val="none"/>
          <w:u w:val="single"/>
        </w:rPr>
        <w:t></w:t>
      </w:r>
    </w:p>
    <w:p w14:paraId="1A5E3B4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1.1.2 合同当事人及其他相关方</w:t>
      </w:r>
    </w:p>
    <w:p w14:paraId="7044C35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1.1.2.4 监理人：</w:t>
      </w:r>
    </w:p>
    <w:p w14:paraId="6DE7CF2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名    称：</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88FDF5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资质类别和等级：</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2CD873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51135F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C35A4A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asciiTheme="majorEastAsia" w:hAnsiTheme="majorEastAsia" w:eastAsiaTheme="majorEastAsia" w:cstheme="majorEastAsia"/>
          <w:color w:val="auto"/>
          <w:spacing w:val="6"/>
          <w:sz w:val="19"/>
          <w:szCs w:val="19"/>
          <w:highlight w:val="none"/>
          <w:u w:val="single" w:color="auto"/>
        </w:rPr>
        <w:t>详见监理合同</w:t>
      </w:r>
      <w:r>
        <w:rPr>
          <w:rFonts w:hint="eastAsia" w:asciiTheme="majorEastAsia" w:hAnsiTheme="majorEastAsia" w:eastAsiaTheme="majorEastAsia" w:cstheme="majorEastAsia"/>
          <w:color w:val="auto"/>
          <w:spacing w:val="1"/>
          <w:sz w:val="19"/>
          <w:szCs w:val="19"/>
          <w:highlight w:val="none"/>
          <w:u w:val="single" w:color="auto"/>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106874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1.1.2.5 设计人：</w:t>
      </w:r>
    </w:p>
    <w:p w14:paraId="6398FD3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名    称：</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EB221E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资质类别和等级：</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DD2B99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D73033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E8C130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0541E6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1.1.3 工程和设备</w:t>
      </w:r>
    </w:p>
    <w:p w14:paraId="4F83923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1.1.3.7 作为施工现场组成部分的其他场所包括：</w:t>
      </w:r>
      <w:r>
        <w:rPr>
          <w:rFonts w:hint="eastAsia" w:cs="宋体"/>
          <w:color w:val="auto"/>
          <w:sz w:val="21"/>
          <w:szCs w:val="21"/>
          <w:highlight w:val="none"/>
          <w:u w:val="single"/>
        </w:rPr>
        <w:t>现场确定</w:t>
      </w:r>
      <w:r>
        <w:rPr>
          <w:rFonts w:hint="eastAsia" w:cs="宋体"/>
          <w:color w:val="auto"/>
          <w:sz w:val="21"/>
          <w:szCs w:val="21"/>
          <w:highlight w:val="none"/>
        </w:rPr>
        <w:t>。</w:t>
      </w:r>
    </w:p>
    <w:p w14:paraId="0E7B13D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1.1.3.9 永久占地包括：</w:t>
      </w:r>
      <w:r>
        <w:rPr>
          <w:rFonts w:hint="eastAsia" w:cs="宋体"/>
          <w:color w:val="auto"/>
          <w:sz w:val="21"/>
          <w:szCs w:val="21"/>
          <w:highlight w:val="none"/>
          <w:u w:val="single"/>
        </w:rPr>
        <w:t xml:space="preserve">     现场确定</w:t>
      </w:r>
      <w:r>
        <w:rPr>
          <w:rFonts w:hint="eastAsia" w:cs="宋体"/>
          <w:color w:val="auto"/>
          <w:sz w:val="21"/>
          <w:szCs w:val="21"/>
          <w:highlight w:val="none"/>
        </w:rPr>
        <w:t>。</w:t>
      </w:r>
    </w:p>
    <w:p w14:paraId="5A1F473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1.1.3.10 临时占地包括：</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现场确定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12B7ADD">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 xml:space="preserve">1.3 法律 </w:t>
      </w:r>
    </w:p>
    <w:p w14:paraId="736D7340">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适用于合同的其他规范性文件：</w:t>
      </w:r>
      <w:r>
        <w:rPr>
          <w:rFonts w:hint="eastAsia" w:cs="宋体"/>
          <w:color w:val="auto"/>
          <w:sz w:val="21"/>
          <w:szCs w:val="21"/>
          <w:highlight w:val="none"/>
          <w:u w:val="single"/>
        </w:rPr>
        <w:t>《中华人民共和国民法典》、《中华人民共和国建筑法》、《中华人民共和国政府采购法》、《中华人民共和国招标投标法》、《建设工程质量管理条例》、《建设工程安全生产管理条例》等国家及工程所在地现行有效的法律法规和规章</w:t>
      </w:r>
      <w:r>
        <w:rPr>
          <w:rFonts w:hint="eastAsia" w:cs="宋体"/>
          <w:color w:val="auto"/>
          <w:sz w:val="21"/>
          <w:szCs w:val="21"/>
          <w:highlight w:val="none"/>
        </w:rPr>
        <w:t>。</w:t>
      </w:r>
    </w:p>
    <w:p w14:paraId="600D438B">
      <w:pPr>
        <w:keepNext/>
        <w:keepLines/>
        <w:pageBreakBefore w:val="0"/>
        <w:kinsoku/>
        <w:wordWrap/>
        <w:topLinePunct w:val="0"/>
        <w:bidi w:val="0"/>
        <w:snapToGrid w:val="0"/>
        <w:spacing w:beforeAutospacing="0" w:line="520" w:lineRule="exact"/>
        <w:ind w:firstLine="420" w:firstLineChars="200"/>
        <w:outlineLvl w:val="3"/>
        <w:rPr>
          <w:rFonts w:cs="宋体"/>
          <w:bCs/>
          <w:color w:val="auto"/>
          <w:sz w:val="21"/>
          <w:szCs w:val="21"/>
          <w:highlight w:val="none"/>
        </w:rPr>
      </w:pPr>
      <w:r>
        <w:rPr>
          <w:rFonts w:hint="eastAsia" w:cs="宋体"/>
          <w:bCs/>
          <w:color w:val="auto"/>
          <w:sz w:val="21"/>
          <w:szCs w:val="21"/>
          <w:highlight w:val="none"/>
        </w:rPr>
        <w:t>1.4 标准和规范</w:t>
      </w:r>
    </w:p>
    <w:p w14:paraId="260CF701">
      <w:pPr>
        <w:pageBreakBefore w:val="0"/>
        <w:kinsoku/>
        <w:wordWrap/>
        <w:topLinePunct w:val="0"/>
        <w:bidi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1.4.1 适用于工程的标准规范包括：</w:t>
      </w:r>
      <w:r>
        <w:rPr>
          <w:rFonts w:hint="eastAsia" w:ascii="宋体" w:hAnsi="宋体" w:eastAsia="宋体" w:cs="宋体"/>
          <w:color w:val="auto"/>
          <w:sz w:val="21"/>
          <w:szCs w:val="21"/>
          <w:highlight w:val="none"/>
          <w:u w:val="single"/>
        </w:rPr>
        <w:t>中华人民共和国住房和城乡建设部等部门及省、市发布的有关文件</w:t>
      </w:r>
      <w:r>
        <w:rPr>
          <w:rFonts w:hint="eastAsia" w:ascii="宋体" w:hAnsi="宋体" w:eastAsia="宋体" w:cs="宋体"/>
          <w:color w:val="auto"/>
          <w:sz w:val="21"/>
          <w:szCs w:val="21"/>
          <w:highlight w:val="none"/>
        </w:rPr>
        <w:t>。</w:t>
      </w:r>
    </w:p>
    <w:p w14:paraId="223ED615">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1.4.2 发包人提供国外标准、规范的名称：</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承包人自备国内现行适用的标准、规范</w:t>
      </w:r>
      <w:r>
        <w:rPr>
          <w:rFonts w:hint="eastAsia" w:cs="宋体"/>
          <w:color w:val="auto"/>
          <w:sz w:val="21"/>
          <w:szCs w:val="21"/>
          <w:highlight w:val="none"/>
        </w:rPr>
        <w:t>；</w:t>
      </w:r>
    </w:p>
    <w:p w14:paraId="65334E9E">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发包人提供国外标准、规范的份数：</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35BC2F1">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发包人提供国外标准、规范的时间：</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011062E">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1.4.3 发包人对工程的技术标准和功能要求的特殊要求：</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按现行规范执行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1CAB923">
      <w:pPr>
        <w:keepNext/>
        <w:keepLines/>
        <w:pageBreakBefore w:val="0"/>
        <w:kinsoku/>
        <w:wordWrap/>
        <w:topLinePunct w:val="0"/>
        <w:bidi w:val="0"/>
        <w:snapToGrid w:val="0"/>
        <w:spacing w:beforeAutospacing="0" w:line="520" w:lineRule="exact"/>
        <w:ind w:firstLine="420" w:firstLineChars="200"/>
        <w:outlineLvl w:val="3"/>
        <w:rPr>
          <w:rFonts w:hint="eastAsia" w:cs="宋体"/>
          <w:bCs/>
          <w:color w:val="auto"/>
          <w:sz w:val="21"/>
          <w:szCs w:val="21"/>
          <w:highlight w:val="none"/>
        </w:rPr>
      </w:pPr>
      <w:r>
        <w:rPr>
          <w:rFonts w:hint="eastAsia" w:cs="宋体"/>
          <w:bCs/>
          <w:color w:val="auto"/>
          <w:sz w:val="21"/>
          <w:szCs w:val="21"/>
          <w:highlight w:val="none"/>
        </w:rPr>
        <w:t>1.5 合同文件的优先顺序</w:t>
      </w:r>
    </w:p>
    <w:p w14:paraId="71210E3C">
      <w:pPr>
        <w:keepNext/>
        <w:keepLines/>
        <w:pageBreakBefore w:val="0"/>
        <w:kinsoku/>
        <w:wordWrap/>
        <w:topLinePunct w:val="0"/>
        <w:bidi w:val="0"/>
        <w:snapToGrid w:val="0"/>
        <w:spacing w:beforeAutospacing="0" w:line="520" w:lineRule="exact"/>
        <w:ind w:firstLine="420" w:firstLineChars="200"/>
        <w:outlineLvl w:val="3"/>
        <w:rPr>
          <w:rFonts w:cs="宋体"/>
          <w:b/>
          <w:color w:val="auto"/>
          <w:sz w:val="21"/>
          <w:szCs w:val="21"/>
          <w:highlight w:val="none"/>
          <w:u w:val="single"/>
        </w:rPr>
      </w:pPr>
      <w:r>
        <w:rPr>
          <w:rFonts w:hint="eastAsia" w:cs="宋体"/>
          <w:color w:val="auto"/>
          <w:sz w:val="21"/>
          <w:szCs w:val="21"/>
          <w:highlight w:val="none"/>
        </w:rPr>
        <w:t>合同文件组成及优先顺序为：</w:t>
      </w:r>
      <w:r>
        <w:rPr>
          <w:rFonts w:hint="eastAsia" w:ascii="宋体" w:hAnsi="宋体" w:eastAsia="宋体" w:cs="宋体"/>
          <w:color w:val="auto"/>
          <w:sz w:val="21"/>
          <w:szCs w:val="21"/>
          <w:highlight w:val="none"/>
          <w:u w:val="single"/>
        </w:rPr>
        <w:t>（1）合同协议书；（2）中标通知书；（3）投标函及其附录；（4）招标文件；（5）专用合同条款及其附件；（6）通用合同条款；（7）技术标准和要求；（8）图纸；（9）已标价工程量清单或预算书；（10）其他合同文件。</w:t>
      </w:r>
    </w:p>
    <w:p w14:paraId="3C163823">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1.6 图纸和承包人文件</w:t>
      </w:r>
      <w:r>
        <w:rPr>
          <w:rFonts w:hint="eastAsia" w:cs="宋体"/>
          <w:bCs/>
          <w:color w:val="auto"/>
          <w:sz w:val="21"/>
          <w:szCs w:val="21"/>
          <w:highlight w:val="none"/>
        </w:rPr>
        <w:tab/>
      </w:r>
    </w:p>
    <w:p w14:paraId="37D5EF5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1.6.1 图纸的提供和交底</w:t>
      </w:r>
    </w:p>
    <w:p w14:paraId="3AA6CBF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发包人向承包人提供图纸的期限：</w:t>
      </w:r>
      <w:r>
        <w:rPr>
          <w:rFonts w:hint="eastAsia" w:cs="宋体"/>
          <w:color w:val="auto"/>
          <w:sz w:val="21"/>
          <w:szCs w:val="21"/>
          <w:highlight w:val="none"/>
          <w:u w:val="single"/>
        </w:rPr>
        <w:t xml:space="preserve"> 开工前 14 天 </w:t>
      </w:r>
      <w:r>
        <w:rPr>
          <w:rFonts w:hint="eastAsia" w:cs="宋体"/>
          <w:color w:val="auto"/>
          <w:sz w:val="21"/>
          <w:szCs w:val="21"/>
          <w:highlight w:val="none"/>
        </w:rPr>
        <w:t>；</w:t>
      </w:r>
    </w:p>
    <w:p w14:paraId="11D3D0B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发包人向承包人提供图纸的数量：</w:t>
      </w:r>
      <w:r>
        <w:rPr>
          <w:rFonts w:hint="eastAsia" w:cs="宋体"/>
          <w:color w:val="auto"/>
          <w:sz w:val="21"/>
          <w:szCs w:val="21"/>
          <w:highlight w:val="none"/>
          <w:u w:val="single"/>
        </w:rPr>
        <w:t>提供</w:t>
      </w:r>
      <w:r>
        <w:rPr>
          <w:rFonts w:hint="eastAsia" w:cs="宋体"/>
          <w:color w:val="auto"/>
          <w:sz w:val="21"/>
          <w:szCs w:val="21"/>
          <w:highlight w:val="none"/>
          <w:u w:val="single"/>
          <w:lang w:val="en-US" w:eastAsia="zh-CN"/>
        </w:rPr>
        <w:t>1</w:t>
      </w:r>
      <w:r>
        <w:rPr>
          <w:rFonts w:hint="eastAsia" w:cs="宋体"/>
          <w:color w:val="auto"/>
          <w:sz w:val="21"/>
          <w:szCs w:val="21"/>
          <w:highlight w:val="none"/>
          <w:u w:val="single"/>
        </w:rPr>
        <w:t>套（含竣工图</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套），不足的由承包人自行复制，费用自理；</w:t>
      </w:r>
    </w:p>
    <w:p w14:paraId="5ACD2E7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发包人向承包人提供图纸的内容：</w:t>
      </w:r>
      <w:r>
        <w:rPr>
          <w:rFonts w:hint="eastAsia" w:cs="宋体"/>
          <w:color w:val="auto"/>
          <w:sz w:val="21"/>
          <w:szCs w:val="21"/>
          <w:highlight w:val="none"/>
          <w:u w:val="single"/>
        </w:rPr>
        <w:t xml:space="preserve"> 全套施工图 </w:t>
      </w:r>
      <w:r>
        <w:rPr>
          <w:rFonts w:hint="eastAsia" w:cs="宋体"/>
          <w:color w:val="auto"/>
          <w:sz w:val="21"/>
          <w:szCs w:val="21"/>
          <w:highlight w:val="none"/>
        </w:rPr>
        <w:t>。</w:t>
      </w:r>
    </w:p>
    <w:p w14:paraId="1C253A3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1.6.4 承包人文件</w:t>
      </w:r>
    </w:p>
    <w:p w14:paraId="6A904339">
      <w:pPr>
        <w:pageBreakBefore w:val="0"/>
        <w:kinsoku/>
        <w:wordWrap/>
        <w:topLinePunct w:val="0"/>
        <w:bidi w:val="0"/>
        <w:snapToGrid w:val="0"/>
        <w:spacing w:beforeAutospacing="0" w:line="520" w:lineRule="exact"/>
        <w:ind w:firstLine="420" w:firstLineChars="200"/>
        <w:jc w:val="left"/>
        <w:rPr>
          <w:rFonts w:hint="eastAsia" w:ascii="宋体" w:hAnsi="宋体" w:eastAsia="宋体" w:cs="宋体"/>
          <w:color w:val="auto"/>
          <w:sz w:val="21"/>
          <w:szCs w:val="21"/>
          <w:highlight w:val="none"/>
          <w:u w:val="single"/>
        </w:rPr>
      </w:pPr>
      <w:r>
        <w:rPr>
          <w:rFonts w:hint="eastAsia" w:cs="宋体"/>
          <w:color w:val="auto"/>
          <w:sz w:val="21"/>
          <w:szCs w:val="21"/>
          <w:highlight w:val="none"/>
        </w:rPr>
        <w:t>需要由承包人提供的文件，包括：</w:t>
      </w:r>
      <w:r>
        <w:rPr>
          <w:rFonts w:hint="eastAsia" w:cs="宋体"/>
          <w:color w:val="auto"/>
          <w:sz w:val="21"/>
          <w:szCs w:val="21"/>
          <w:highlight w:val="none"/>
          <w:u w:val="single"/>
        </w:rPr>
        <w:t>按监理要求执行，包括但不限于施工组织设计、总进度计划、阶段性进度计划、 月度进度计划、工程计量报告、竣工资料、归档资料电子档、影像资料及工程结算送审资料及发包人、监理人要求提供的等其他文件</w:t>
      </w:r>
      <w:r>
        <w:rPr>
          <w:rFonts w:hint="eastAsia" w:ascii="宋体" w:hAnsi="宋体" w:eastAsia="宋体" w:cs="宋体"/>
          <w:color w:val="auto"/>
          <w:sz w:val="21"/>
          <w:szCs w:val="21"/>
          <w:highlight w:val="none"/>
          <w:u w:val="single"/>
        </w:rPr>
        <w:t>；</w:t>
      </w:r>
    </w:p>
    <w:p w14:paraId="4538A130">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rPr>
        <w:t xml:space="preserve">按照合同相关约定或发包人、监理人书面要求执行    </w:t>
      </w:r>
      <w:r>
        <w:rPr>
          <w:rFonts w:hint="eastAsia" w:ascii="宋体" w:hAnsi="宋体" w:eastAsia="宋体" w:cs="宋体"/>
          <w:color w:val="auto"/>
          <w:sz w:val="21"/>
          <w:szCs w:val="21"/>
          <w:highlight w:val="none"/>
        </w:rPr>
        <w:t>；</w:t>
      </w:r>
    </w:p>
    <w:p w14:paraId="4B740A8C">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 xml:space="preserve"> 按照合同相关约定或发包人、监理人书面要求执行   </w:t>
      </w:r>
      <w:r>
        <w:rPr>
          <w:rFonts w:hint="eastAsia" w:ascii="宋体" w:hAnsi="宋体" w:eastAsia="宋体" w:cs="宋体"/>
          <w:color w:val="auto"/>
          <w:sz w:val="21"/>
          <w:szCs w:val="21"/>
          <w:highlight w:val="none"/>
        </w:rPr>
        <w:t>；</w:t>
      </w:r>
    </w:p>
    <w:p w14:paraId="5BD12AC4">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color w:val="auto"/>
          <w:sz w:val="21"/>
          <w:szCs w:val="21"/>
          <w:highlight w:val="none"/>
          <w:u w:val="single"/>
        </w:rPr>
        <w:t xml:space="preserve">按照合同相关约定或发包人、监理人书面要求执行  </w:t>
      </w:r>
      <w:r>
        <w:rPr>
          <w:rFonts w:hint="eastAsia" w:ascii="宋体" w:hAnsi="宋体" w:eastAsia="宋体" w:cs="宋体"/>
          <w:color w:val="auto"/>
          <w:sz w:val="21"/>
          <w:szCs w:val="21"/>
          <w:highlight w:val="none"/>
        </w:rPr>
        <w:t>；</w:t>
      </w:r>
    </w:p>
    <w:p w14:paraId="36C13028">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color w:val="auto"/>
          <w:sz w:val="21"/>
          <w:szCs w:val="21"/>
          <w:highlight w:val="none"/>
          <w:u w:val="single"/>
        </w:rPr>
        <w:t> 按照合同相关约定或发包人、监理人书面要求执行</w:t>
      </w:r>
      <w:r>
        <w:rPr>
          <w:rFonts w:hint="eastAsia" w:ascii="宋体" w:hAnsi="宋体" w:eastAsia="宋体" w:cs="宋体"/>
          <w:color w:val="auto"/>
          <w:sz w:val="21"/>
          <w:szCs w:val="21"/>
          <w:highlight w:val="none"/>
        </w:rPr>
        <w:t>。</w:t>
      </w:r>
    </w:p>
    <w:p w14:paraId="4273516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1.6.5 图纸和承包人文件的保管</w:t>
      </w:r>
    </w:p>
    <w:p w14:paraId="2B1D1D3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关于图纸和承包人文件保管的约定：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50B4D2C4">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1.7 联络</w:t>
      </w:r>
    </w:p>
    <w:p w14:paraId="1C3FDFC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1.7.1 发包人和承包人应当在</w:t>
      </w:r>
      <w:r>
        <w:rPr>
          <w:rFonts w:hint="eastAsia" w:cs="宋体"/>
          <w:color w:val="auto"/>
          <w:sz w:val="21"/>
          <w:szCs w:val="21"/>
          <w:highlight w:val="none"/>
          <w:u w:val="single"/>
        </w:rPr>
        <w:t>7</w:t>
      </w:r>
      <w:r>
        <w:rPr>
          <w:rFonts w:hint="eastAsia" w:cs="宋体"/>
          <w:color w:val="auto"/>
          <w:sz w:val="21"/>
          <w:szCs w:val="21"/>
          <w:highlight w:val="none"/>
        </w:rPr>
        <w:t>天内将与合同有关的通知、批准、证明、证书、指示、指令、要求、请求、同意、意见、确定和决定等书面函件送达对方当事人。</w:t>
      </w:r>
    </w:p>
    <w:p w14:paraId="031BD0EE">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1.7.2 发包人接收文件的地点：</w:t>
      </w:r>
      <w:r>
        <w:rPr>
          <w:rFonts w:hint="eastAsia" w:ascii="宋体" w:hAnsi="宋体" w:eastAsia="宋体" w:cs="宋体"/>
          <w:color w:val="auto"/>
          <w:sz w:val="21"/>
          <w:szCs w:val="21"/>
          <w:highlight w:val="none"/>
          <w:u w:val="single"/>
        </w:rPr>
        <w:t xml:space="preserve">发包人办公室  </w:t>
      </w:r>
      <w:r>
        <w:rPr>
          <w:rFonts w:hint="eastAsia" w:ascii="宋体" w:hAnsi="宋体" w:eastAsia="宋体" w:cs="宋体"/>
          <w:color w:val="auto"/>
          <w:kern w:val="0"/>
          <w:sz w:val="21"/>
          <w:szCs w:val="21"/>
          <w:highlight w:val="none"/>
        </w:rPr>
        <w:t>；</w:t>
      </w:r>
    </w:p>
    <w:p w14:paraId="62E39037">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发包人指定的接收人为：</w:t>
      </w:r>
      <w:r>
        <w:rPr>
          <w:rFonts w:hint="eastAsia" w:ascii="宋体" w:hAnsi="宋体" w:eastAsia="宋体" w:cs="宋体"/>
          <w:color w:val="auto"/>
          <w:sz w:val="21"/>
          <w:szCs w:val="21"/>
          <w:highlight w:val="none"/>
          <w:u w:val="single"/>
        </w:rPr>
        <w:t>发包人指派的项目负责人</w:t>
      </w:r>
      <w:r>
        <w:rPr>
          <w:rFonts w:hint="eastAsia" w:ascii="宋体" w:hAnsi="宋体" w:eastAsia="宋体" w:cs="宋体"/>
          <w:color w:val="auto"/>
          <w:kern w:val="0"/>
          <w:sz w:val="21"/>
          <w:szCs w:val="21"/>
          <w:highlight w:val="none"/>
        </w:rPr>
        <w:t>；</w:t>
      </w:r>
    </w:p>
    <w:p w14:paraId="42B5686E">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承包人接收文件的地点：</w:t>
      </w:r>
      <w:r>
        <w:rPr>
          <w:rFonts w:hint="eastAsia" w:ascii="宋体" w:hAnsi="宋体" w:eastAsia="宋体" w:cs="宋体"/>
          <w:color w:val="auto"/>
          <w:sz w:val="21"/>
          <w:szCs w:val="21"/>
          <w:highlight w:val="none"/>
          <w:u w:val="single"/>
        </w:rPr>
        <w:t>项目部</w:t>
      </w:r>
      <w:r>
        <w:rPr>
          <w:rFonts w:hint="eastAsia" w:ascii="宋体" w:hAnsi="宋体" w:eastAsia="宋体" w:cs="宋体"/>
          <w:color w:val="auto"/>
          <w:kern w:val="0"/>
          <w:sz w:val="21"/>
          <w:szCs w:val="21"/>
          <w:highlight w:val="none"/>
        </w:rPr>
        <w:t>；</w:t>
      </w:r>
    </w:p>
    <w:p w14:paraId="0D370D6A">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承包人指定的接收人为：</w:t>
      </w:r>
      <w:r>
        <w:rPr>
          <w:rFonts w:hint="eastAsia" w:ascii="宋体" w:hAnsi="宋体" w:eastAsia="宋体" w:cs="宋体"/>
          <w:color w:val="auto"/>
          <w:sz w:val="21"/>
          <w:szCs w:val="21"/>
          <w:highlight w:val="none"/>
          <w:u w:val="single"/>
        </w:rPr>
        <w:t>项目负责人</w:t>
      </w:r>
      <w:r>
        <w:rPr>
          <w:rFonts w:hint="eastAsia" w:ascii="宋体" w:hAnsi="宋体" w:eastAsia="宋体" w:cs="宋体"/>
          <w:color w:val="auto"/>
          <w:kern w:val="0"/>
          <w:sz w:val="21"/>
          <w:szCs w:val="21"/>
          <w:highlight w:val="none"/>
        </w:rPr>
        <w:t>。</w:t>
      </w:r>
    </w:p>
    <w:p w14:paraId="663784FF">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监理人接收文件的地点：</w:t>
      </w:r>
      <w:r>
        <w:rPr>
          <w:rFonts w:hint="eastAsia" w:ascii="宋体" w:hAnsi="宋体" w:eastAsia="宋体" w:cs="宋体"/>
          <w:color w:val="auto"/>
          <w:sz w:val="21"/>
          <w:szCs w:val="21"/>
          <w:highlight w:val="none"/>
          <w:u w:val="single"/>
        </w:rPr>
        <w:t>监理部</w:t>
      </w:r>
      <w:r>
        <w:rPr>
          <w:rFonts w:hint="eastAsia" w:ascii="宋体" w:hAnsi="宋体" w:eastAsia="宋体" w:cs="宋体"/>
          <w:color w:val="auto"/>
          <w:kern w:val="0"/>
          <w:sz w:val="21"/>
          <w:szCs w:val="21"/>
          <w:highlight w:val="none"/>
        </w:rPr>
        <w:t>；</w:t>
      </w:r>
    </w:p>
    <w:p w14:paraId="46DBBBA9">
      <w:pPr>
        <w:keepNext/>
        <w:keepLines/>
        <w:pageBreakBefore w:val="0"/>
        <w:kinsoku/>
        <w:wordWrap/>
        <w:topLinePunct w:val="0"/>
        <w:bidi w:val="0"/>
        <w:snapToGrid w:val="0"/>
        <w:spacing w:beforeAutospacing="0" w:line="520" w:lineRule="exact"/>
        <w:ind w:firstLine="420" w:firstLineChars="200"/>
        <w:outlineLvl w:val="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监理人指定的接收人为：</w:t>
      </w:r>
      <w:r>
        <w:rPr>
          <w:rFonts w:hint="eastAsia" w:ascii="宋体" w:hAnsi="宋体" w:eastAsia="宋体" w:cs="宋体"/>
          <w:color w:val="auto"/>
          <w:sz w:val="21"/>
          <w:szCs w:val="21"/>
          <w:highlight w:val="none"/>
          <w:u w:val="single"/>
        </w:rPr>
        <w:t>总监理工程师</w:t>
      </w:r>
      <w:r>
        <w:rPr>
          <w:rFonts w:hint="eastAsia" w:ascii="宋体" w:hAnsi="宋体" w:eastAsia="宋体" w:cs="宋体"/>
          <w:color w:val="auto"/>
          <w:kern w:val="0"/>
          <w:sz w:val="21"/>
          <w:szCs w:val="21"/>
          <w:highlight w:val="none"/>
        </w:rPr>
        <w:t>。</w:t>
      </w:r>
    </w:p>
    <w:p w14:paraId="347E7289">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1.10 交通运输</w:t>
      </w:r>
    </w:p>
    <w:p w14:paraId="0B0F174E">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bookmarkStart w:id="70" w:name="_Toc318581157"/>
      <w:r>
        <w:rPr>
          <w:rFonts w:hint="eastAsia" w:cs="宋体"/>
          <w:color w:val="auto"/>
          <w:sz w:val="21"/>
          <w:szCs w:val="21"/>
          <w:highlight w:val="none"/>
        </w:rPr>
        <w:t>1.10.1 出入现场的权利</w:t>
      </w:r>
    </w:p>
    <w:p w14:paraId="49048C36">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u w:val="single"/>
        </w:rPr>
      </w:pPr>
      <w:r>
        <w:rPr>
          <w:rFonts w:hint="eastAsia" w:cs="宋体"/>
          <w:color w:val="auto"/>
          <w:sz w:val="21"/>
          <w:szCs w:val="21"/>
          <w:highlight w:val="none"/>
        </w:rPr>
        <w:t>关于出入现场的权利的约定：</w:t>
      </w:r>
      <w:r>
        <w:rPr>
          <w:rFonts w:hint="eastAsia" w:ascii="宋体" w:hAnsi="宋体" w:eastAsia="宋体" w:cs="宋体"/>
          <w:color w:val="auto"/>
          <w:sz w:val="21"/>
          <w:szCs w:val="21"/>
          <w:highlight w:val="none"/>
          <w:u w:val="single"/>
        </w:rPr>
        <w:t>发包人应根据施工需要，负责取得出入施工现场所需的批准手续和全部权利，以及取得因施工所需修建道路、桥梁以及其他基础设施的权利，并承担相关手续费用和建设费用，若该费用已包含在本项目发包范围，则由承包人自行解决并承担费用。承包人应协助发包人办理修建场内外道路、桥梁以及其他基础设施的手续。</w:t>
      </w:r>
    </w:p>
    <w:p w14:paraId="403F8EA1">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承包人应在订立合同前查勘施工现场，并根据工程规模及技术参数合理预见工程施工所需的进出施工现场的方式、手段、路径等。因承包人未合理预见所增加的费用和（或）延误的工期由承包人承担。</w:t>
      </w:r>
    </w:p>
    <w:p w14:paraId="73FFE97D">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1.10.3 场内交通</w:t>
      </w:r>
    </w:p>
    <w:p w14:paraId="5941EADB">
      <w:pPr>
        <w:pageBreakBefore w:val="0"/>
        <w:kinsoku/>
        <w:wordWrap/>
        <w:topLinePunct w:val="0"/>
        <w:bidi w:val="0"/>
        <w:snapToGrid w:val="0"/>
        <w:spacing w:beforeAutospacing="0" w:line="520" w:lineRule="exact"/>
        <w:ind w:firstLine="420" w:firstLineChars="200"/>
        <w:jc w:val="left"/>
        <w:rPr>
          <w:rFonts w:cs="宋体"/>
          <w:color w:val="auto"/>
          <w:sz w:val="21"/>
          <w:szCs w:val="21"/>
          <w:highlight w:val="none"/>
          <w:u w:val="single"/>
        </w:rPr>
      </w:pPr>
      <w:r>
        <w:rPr>
          <w:rFonts w:hint="eastAsia" w:cs="宋体"/>
          <w:color w:val="auto"/>
          <w:sz w:val="21"/>
          <w:szCs w:val="21"/>
          <w:highlight w:val="none"/>
        </w:rPr>
        <w:t>关于场外交通和场内交通的边界的约定：</w:t>
      </w:r>
      <w:r>
        <w:rPr>
          <w:rFonts w:hint="eastAsia" w:ascii="宋体" w:hAnsi="宋体" w:eastAsia="宋体" w:cs="宋体"/>
          <w:color w:val="auto"/>
          <w:sz w:val="21"/>
          <w:szCs w:val="21"/>
          <w:highlight w:val="none"/>
          <w:u w:val="single"/>
        </w:rPr>
        <w:t>场内交通设施和道路由承包人负责建设，发包人不另支付费用，场内交通边界现场确定</w:t>
      </w:r>
      <w:r>
        <w:rPr>
          <w:rFonts w:hint="eastAsia" w:ascii="宋体" w:hAnsi="宋体" w:eastAsia="宋体" w:cs="宋体"/>
          <w:color w:val="auto"/>
          <w:sz w:val="21"/>
          <w:szCs w:val="21"/>
          <w:highlight w:val="none"/>
        </w:rPr>
        <w:t>。</w:t>
      </w:r>
    </w:p>
    <w:p w14:paraId="09EBF8E7">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关于发包人向承包人免费提供满足工程施工需要的场内道路和交通设施的约定：</w:t>
      </w:r>
      <w:r>
        <w:rPr>
          <w:rFonts w:hint="eastAsia" w:ascii="宋体" w:hAnsi="宋体" w:eastAsia="宋体" w:cs="宋体"/>
          <w:color w:val="auto"/>
          <w:sz w:val="21"/>
          <w:szCs w:val="21"/>
          <w:highlight w:val="none"/>
          <w:u w:val="single"/>
        </w:rPr>
        <w:t>自行踏勘，自行解决</w:t>
      </w:r>
      <w:r>
        <w:rPr>
          <w:rFonts w:hint="eastAsia" w:cs="宋体"/>
          <w:color w:val="auto"/>
          <w:sz w:val="21"/>
          <w:szCs w:val="21"/>
          <w:highlight w:val="none"/>
        </w:rPr>
        <w:t>。</w:t>
      </w:r>
    </w:p>
    <w:p w14:paraId="5FCC0676">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1.10.4 超大件和超重件的运输</w:t>
      </w:r>
    </w:p>
    <w:p w14:paraId="5E8A04BF">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运输超大件或超重件所需的道路和桥梁临时加固改造费用和其他有关费用由</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承包人</w:t>
      </w:r>
      <w:r>
        <w:rPr>
          <w:rFonts w:hint="eastAsia" w:cs="宋体"/>
          <w:color w:val="auto"/>
          <w:sz w:val="21"/>
          <w:szCs w:val="21"/>
          <w:highlight w:val="none"/>
          <w:u w:val="single"/>
        </w:rPr>
        <w:t xml:space="preserve"> </w:t>
      </w:r>
      <w:r>
        <w:rPr>
          <w:rFonts w:hint="eastAsia" w:cs="宋体"/>
          <w:color w:val="auto"/>
          <w:sz w:val="21"/>
          <w:szCs w:val="21"/>
          <w:highlight w:val="none"/>
        </w:rPr>
        <w:t>承担。</w:t>
      </w:r>
    </w:p>
    <w:bookmarkEnd w:id="70"/>
    <w:p w14:paraId="25E924F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1.11 知识产权</w:t>
      </w:r>
    </w:p>
    <w:p w14:paraId="0D1BA467">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发包人</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81CA9E5">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关于发包人提供的上述文件的使用限制的要求：</w:t>
      </w:r>
      <w:r>
        <w:rPr>
          <w:rFonts w:hint="eastAsia" w:ascii="宋体" w:hAnsi="宋体" w:eastAsia="宋体" w:cs="宋体"/>
          <w:color w:val="auto"/>
          <w:sz w:val="21"/>
          <w:szCs w:val="21"/>
          <w:highlight w:val="none"/>
          <w:u w:val="single"/>
        </w:rPr>
        <w:t>未经发包人同意不得复制，不得向承包人以外的人员泄漏有关图纸内容，工程竣工后，原图全部收回</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D90AA9B">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1.11.2 关于承包人为实施工程所编制文件的著作权的归属：</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发包人</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E8DC662">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关于承包人提供的上述文件的使用限制的要求：</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7F75941">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1.11.4 承包人在施工过程中所采用的专利、专有技术、技术秘密的使用费的承担方式：</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07C4115">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1.13 工程量清单错误的修正</w:t>
      </w:r>
    </w:p>
    <w:p w14:paraId="400A1559">
      <w:pPr>
        <w:pStyle w:val="31"/>
        <w:pageBreakBefore w:val="0"/>
        <w:kinsoku/>
        <w:wordWrap/>
        <w:topLinePunct w:val="0"/>
        <w:bidi w:val="0"/>
        <w:spacing w:beforeAutospacing="0" w:line="520" w:lineRule="exact"/>
        <w:ind w:firstLine="468" w:firstLineChars="200"/>
        <w:rPr>
          <w:rFonts w:hint="eastAsia" w:ascii="宋体" w:hAnsi="宋体" w:eastAsia="宋体" w:cs="宋体"/>
          <w:color w:val="auto"/>
          <w:sz w:val="21"/>
          <w:szCs w:val="21"/>
          <w:highlight w:val="none"/>
        </w:rPr>
      </w:pPr>
      <w:bookmarkStart w:id="71" w:name="_Toc351203634"/>
      <w:r>
        <w:rPr>
          <w:rFonts w:hint="eastAsia" w:cs="宋体"/>
          <w:color w:val="auto"/>
          <w:sz w:val="21"/>
          <w:szCs w:val="21"/>
          <w:highlight w:val="none"/>
        </w:rPr>
        <w:t>出现工程量清单错误时，是否调整合同价格：</w:t>
      </w:r>
      <w:r>
        <w:rPr>
          <w:rFonts w:hint="eastAsia" w:ascii="宋体" w:hAnsi="宋体" w:eastAsia="宋体" w:cs="宋体"/>
          <w:color w:val="auto"/>
          <w:sz w:val="21"/>
          <w:szCs w:val="21"/>
          <w:highlight w:val="none"/>
          <w:u w:val="single"/>
        </w:rPr>
        <w:t>是，具体调整方式见下款</w:t>
      </w:r>
      <w:r>
        <w:rPr>
          <w:rFonts w:hint="eastAsia" w:ascii="宋体" w:hAnsi="宋体" w:eastAsia="宋体" w:cs="宋体"/>
          <w:color w:val="auto"/>
          <w:sz w:val="21"/>
          <w:szCs w:val="21"/>
          <w:highlight w:val="none"/>
        </w:rPr>
        <w:t>。</w:t>
      </w:r>
    </w:p>
    <w:p w14:paraId="18608630">
      <w:pPr>
        <w:adjustRightInd w:val="0"/>
        <w:snapToGrid w:val="0"/>
        <w:spacing w:line="44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允许调整合同价格的工程量偏差范围：工程量按实计量，结算工程量减少0-100%或增加15%以内部分，执行中标单价；超出15％以外部分的，若中标综合单价高于（最高投标限价中综合单价×投标让利幅度）时，按（最高投标限价中综合单价×投标让利幅度）计算；若中标综合单价低于（最高投标限价中综合单价×投标让利幅度）时，执行中标单价(组价明显错误的予以纠正) 。新增项目单价按照最高投标限价的编制原则重新组价乘以中标价/最高投标限价，重新组价价格最终以审计部门审核结算价为准。</w:t>
      </w:r>
    </w:p>
    <w:p w14:paraId="6D52D499">
      <w:pPr>
        <w:adjustRightInd w:val="0"/>
        <w:snapToGrid w:val="0"/>
        <w:spacing w:line="44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u w:val="single"/>
        </w:rPr>
        <w:t>注：投标让利幅度为中标价/最高投标限价，其中中标价和最高投标限价均扣除暂定金额、暂估价</w:t>
      </w:r>
      <w:r>
        <w:rPr>
          <w:rFonts w:hint="eastAsia" w:ascii="宋体" w:hAnsi="宋体" w:eastAsia="宋体" w:cs="宋体"/>
          <w:color w:val="auto"/>
          <w:sz w:val="21"/>
          <w:szCs w:val="21"/>
          <w:highlight w:val="none"/>
          <w:u w:val="single"/>
          <w:lang w:eastAsia="zh-CN"/>
        </w:rPr>
        <w:t>。</w:t>
      </w:r>
    </w:p>
    <w:p w14:paraId="012E5F4C">
      <w:pPr>
        <w:adjustRightInd w:val="0"/>
        <w:snapToGrid w:val="0"/>
        <w:spacing w:line="44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技术措施费调整：</w:t>
      </w:r>
      <w:r>
        <w:rPr>
          <w:rFonts w:hint="eastAsia" w:ascii="宋体" w:hAnsi="宋体" w:eastAsia="宋体" w:cs="宋体"/>
          <w:color w:val="auto"/>
          <w:sz w:val="21"/>
          <w:szCs w:val="21"/>
          <w:highlight w:val="none"/>
          <w:u w:val="single"/>
        </w:rPr>
        <w:t>由于承包人改变施工技术措施，造成的价格变动，措施费不予调整。因发包人要求或工程量的增减必须改变原来施工技术措施，造成价格变动的，应扣减相应的原施工技术措施费后，按新增项目组价方式，进行措施费调整。由于分部分项清单工程量增减导致措施费用变化的，按实调整。</w:t>
      </w:r>
    </w:p>
    <w:p w14:paraId="6DED1A78">
      <w:pPr>
        <w:adjustRightInd w:val="0"/>
        <w:snapToGrid w:val="0"/>
        <w:spacing w:line="44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组织措施费调整：由于分部分项清单工程量增减导致措施费用变化的，按实调整。 </w:t>
      </w:r>
    </w:p>
    <w:p w14:paraId="61323321">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t>2</w:t>
      </w:r>
      <w:bookmarkStart w:id="72" w:name="_Toc292559867"/>
      <w:bookmarkStart w:id="73" w:name="_Toc296503157"/>
      <w:bookmarkStart w:id="74" w:name="_Toc296347156"/>
      <w:bookmarkStart w:id="75" w:name="_Toc296346658"/>
      <w:bookmarkStart w:id="76" w:name="_Toc296890985"/>
      <w:bookmarkStart w:id="77" w:name="_Toc297048343"/>
      <w:bookmarkStart w:id="78" w:name="_Toc297120457"/>
      <w:bookmarkStart w:id="79" w:name="_Toc296944496"/>
      <w:bookmarkStart w:id="80" w:name="_Toc292559362"/>
      <w:bookmarkStart w:id="81" w:name="_Toc296891197"/>
      <w:r>
        <w:rPr>
          <w:rFonts w:hint="eastAsia" w:cs="宋体"/>
          <w:color w:val="auto"/>
          <w:sz w:val="21"/>
          <w:szCs w:val="21"/>
          <w:highlight w:val="none"/>
        </w:rPr>
        <w:t>. 发包人</w:t>
      </w:r>
      <w:bookmarkEnd w:id="71"/>
    </w:p>
    <w:bookmarkEnd w:id="72"/>
    <w:bookmarkEnd w:id="73"/>
    <w:bookmarkEnd w:id="74"/>
    <w:bookmarkEnd w:id="75"/>
    <w:bookmarkEnd w:id="76"/>
    <w:bookmarkEnd w:id="77"/>
    <w:bookmarkEnd w:id="78"/>
    <w:bookmarkEnd w:id="79"/>
    <w:bookmarkEnd w:id="80"/>
    <w:bookmarkEnd w:id="81"/>
    <w:p w14:paraId="569422E6">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2.2 发包人代表</w:t>
      </w:r>
    </w:p>
    <w:p w14:paraId="570C2C0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发包人代表：</w:t>
      </w:r>
    </w:p>
    <w:p w14:paraId="1DE3BE9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姓    名：</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9692CE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身份证号：</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2ED702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职    务：</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C7158A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7DE473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D3F723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DBFDB6A">
      <w:pPr>
        <w:adjustRightInd w:val="0"/>
        <w:snapToGrid w:val="0"/>
        <w:spacing w:line="360" w:lineRule="auto"/>
        <w:ind w:firstLine="420" w:firstLineChars="200"/>
        <w:rPr>
          <w:rFonts w:cs="宋体"/>
          <w:b/>
          <w:strike/>
          <w:color w:val="auto"/>
          <w:sz w:val="21"/>
          <w:szCs w:val="21"/>
          <w:highlight w:val="none"/>
        </w:rPr>
      </w:pPr>
      <w:r>
        <w:rPr>
          <w:rFonts w:hint="eastAsia" w:cs="宋体"/>
          <w:color w:val="auto"/>
          <w:sz w:val="21"/>
          <w:szCs w:val="21"/>
          <w:highlight w:val="none"/>
        </w:rPr>
        <w:t>发包人对发包人代表的授权范围如下：</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施工组织设计和总进度计划的审核、工程变更、签证的审核、工程款的审核等</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4CDAF0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2.4 施工现场、施工条件和基础资料的提供</w:t>
      </w:r>
    </w:p>
    <w:p w14:paraId="267CB36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2.4.1 提供施工现场</w:t>
      </w:r>
    </w:p>
    <w:p w14:paraId="7A5FD6A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关于发包人移交施工现场的期限要求：</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开工前</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AAEAD5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2.4.2 提供施工条件</w:t>
      </w:r>
    </w:p>
    <w:p w14:paraId="3CDAC65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关于发包人应负责提供施工所需要的条件，包括：</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不提供，本项目施工所需要的条件及手续和工程未完全交付发包人前所有的水电费用均由承包人自行办理且相关费用已包含在合同价款中，由承包人承担</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53765ED">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2.5 资金来源证明及支付担保</w:t>
      </w:r>
    </w:p>
    <w:p w14:paraId="12E4231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发包人提供资金来源证明的期限要求：</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91997F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发包人是否提供支付担保：</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2491C8BC">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发包人提供支付担保的形式：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B580362">
      <w:pPr>
        <w:snapToGrid w:val="0"/>
        <w:spacing w:before="312" w:beforeLines="100" w:after="312" w:afterLines="100" w:line="360" w:lineRule="auto"/>
        <w:outlineLvl w:val="2"/>
        <w:rPr>
          <w:rFonts w:cs="宋体"/>
          <w:color w:val="auto"/>
          <w:sz w:val="21"/>
          <w:szCs w:val="21"/>
          <w:highlight w:val="none"/>
        </w:rPr>
      </w:pPr>
      <w:bookmarkStart w:id="82" w:name="_Toc351203635"/>
      <w:r>
        <w:rPr>
          <w:rFonts w:hint="eastAsia" w:cs="宋体"/>
          <w:color w:val="auto"/>
          <w:sz w:val="21"/>
          <w:szCs w:val="21"/>
          <w:highlight w:val="none"/>
        </w:rPr>
        <w:t>3</w:t>
      </w:r>
      <w:bookmarkStart w:id="83" w:name="_Toc296503158"/>
      <w:bookmarkStart w:id="84" w:name="_Toc296347157"/>
      <w:bookmarkStart w:id="85" w:name="_Toc296346659"/>
      <w:bookmarkStart w:id="86" w:name="_Toc296944497"/>
      <w:bookmarkStart w:id="87" w:name="_Toc296890986"/>
      <w:bookmarkStart w:id="88" w:name="_Toc297048344"/>
      <w:bookmarkStart w:id="89" w:name="_Toc292559868"/>
      <w:bookmarkStart w:id="90" w:name="_Toc296891198"/>
      <w:bookmarkStart w:id="91" w:name="_Toc297120458"/>
      <w:bookmarkStart w:id="92" w:name="_Toc292559363"/>
      <w:r>
        <w:rPr>
          <w:rFonts w:hint="eastAsia" w:cs="宋体"/>
          <w:color w:val="auto"/>
          <w:sz w:val="21"/>
          <w:szCs w:val="21"/>
          <w:highlight w:val="none"/>
        </w:rPr>
        <w:t>. 承包人</w:t>
      </w:r>
      <w:bookmarkEnd w:id="82"/>
    </w:p>
    <w:bookmarkEnd w:id="83"/>
    <w:bookmarkEnd w:id="84"/>
    <w:bookmarkEnd w:id="85"/>
    <w:bookmarkEnd w:id="86"/>
    <w:bookmarkEnd w:id="87"/>
    <w:bookmarkEnd w:id="88"/>
    <w:bookmarkEnd w:id="89"/>
    <w:bookmarkEnd w:id="90"/>
    <w:bookmarkEnd w:id="91"/>
    <w:bookmarkEnd w:id="92"/>
    <w:p w14:paraId="583507A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3.1 承包人的一般义务</w:t>
      </w:r>
    </w:p>
    <w:p w14:paraId="0FA5998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（9）承包人提交的竣工资料的内容：</w:t>
      </w:r>
      <w:r>
        <w:rPr>
          <w:rFonts w:hint="eastAsia" w:cs="宋体"/>
          <w:color w:val="auto"/>
          <w:sz w:val="21"/>
          <w:szCs w:val="21"/>
          <w:highlight w:val="none"/>
          <w:u w:val="single"/>
        </w:rPr>
        <w:t>承包人提供全套竣工图，所有竣工图应为新图纸</w:t>
      </w:r>
      <w:r>
        <w:rPr>
          <w:rFonts w:hint="eastAsia" w:cs="宋体"/>
          <w:color w:val="auto"/>
          <w:sz w:val="21"/>
          <w:szCs w:val="21"/>
          <w:highlight w:val="none"/>
        </w:rPr>
        <w:t>。</w:t>
      </w:r>
    </w:p>
    <w:p w14:paraId="42AC2581">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承包人需要提交的竣工资料套数：</w:t>
      </w:r>
      <w:r>
        <w:rPr>
          <w:rFonts w:hint="eastAsia" w:cs="宋体"/>
          <w:color w:val="auto"/>
          <w:sz w:val="21"/>
          <w:szCs w:val="21"/>
          <w:highlight w:val="none"/>
          <w:u w:val="single"/>
        </w:rPr>
        <w:t xml:space="preserve">  按相关要求执行     </w:t>
      </w:r>
      <w:r>
        <w:rPr>
          <w:rFonts w:hint="eastAsia" w:cs="宋体"/>
          <w:color w:val="auto"/>
          <w:sz w:val="21"/>
          <w:szCs w:val="21"/>
          <w:highlight w:val="none"/>
        </w:rPr>
        <w:t>。</w:t>
      </w:r>
    </w:p>
    <w:p w14:paraId="77571BD6">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承包人提交的竣工资料的费用承担：</w:t>
      </w:r>
      <w:r>
        <w:rPr>
          <w:rFonts w:hint="eastAsia" w:cs="宋体"/>
          <w:color w:val="auto"/>
          <w:sz w:val="21"/>
          <w:szCs w:val="21"/>
          <w:highlight w:val="none"/>
          <w:u w:val="single"/>
        </w:rPr>
        <w:t>承包人承担</w:t>
      </w:r>
      <w:r>
        <w:rPr>
          <w:rFonts w:hint="eastAsia" w:cs="宋体"/>
          <w:color w:val="auto"/>
          <w:sz w:val="21"/>
          <w:szCs w:val="21"/>
          <w:highlight w:val="none"/>
        </w:rPr>
        <w:t>。</w:t>
      </w:r>
    </w:p>
    <w:p w14:paraId="36143EAE">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承包人提交的竣工资料移交时间：</w:t>
      </w:r>
      <w:r>
        <w:rPr>
          <w:rFonts w:hint="eastAsia" w:ascii="宋体" w:hAnsi="宋体" w:eastAsia="宋体" w:cs="宋体"/>
          <w:color w:val="auto"/>
          <w:sz w:val="21"/>
          <w:szCs w:val="21"/>
          <w:highlight w:val="none"/>
          <w:u w:val="single"/>
        </w:rPr>
        <w:t>工程竣工验收合格后</w:t>
      </w:r>
      <w:r>
        <w:rPr>
          <w:rFonts w:hint="eastAsia"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个</w:t>
      </w:r>
      <w:r>
        <w:rPr>
          <w:rFonts w:hint="eastAsia" w:cs="宋体"/>
          <w:color w:val="auto"/>
          <w:sz w:val="21"/>
          <w:szCs w:val="21"/>
          <w:highlight w:val="none"/>
          <w:u w:val="single"/>
          <w:lang w:val="en-US" w:eastAsia="zh-CN"/>
        </w:rPr>
        <w:t>工作日内</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B079F1D">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承包人提交的竣工资料形式要求：</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纸质材料和电子资料</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74D9596">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（10）承包人应履行的其他义务：</w:t>
      </w:r>
      <w:r>
        <w:rPr>
          <w:rFonts w:hint="eastAsia" w:ascii="宋体" w:hAnsi="宋体" w:eastAsia="宋体" w:cs="宋体"/>
          <w:color w:val="auto"/>
          <w:sz w:val="21"/>
          <w:szCs w:val="21"/>
          <w:highlight w:val="none"/>
          <w:u w:val="single"/>
        </w:rPr>
        <w:t>①工程竣工半年(含)内完成竣工结算的；②无合同纠纷等原因拖欠农民工工资、材料款，出现群访及时处理；③质量无缺陷，及时整改到位，处理及时；④施工现场服从调度或工程进度不超过合同工期或按合同期限按时移交的；⑤月工程量进度及时完成；⑥按规定提供工程资料并及时归档的；⑦须执行我市市住建、公管、人社等相关单位关于项目管理、扬尘治理、大气、农民工工资支付、工程款支付等方面的通知、规定和相关要求。</w:t>
      </w:r>
    </w:p>
    <w:p w14:paraId="3A3B3428">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3.2 项目经理</w:t>
      </w:r>
    </w:p>
    <w:p w14:paraId="1C5EE40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3.2.1 项目经理：</w:t>
      </w:r>
    </w:p>
    <w:p w14:paraId="2142AFD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姓    名：</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0F8C47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身份证号：</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3F0C0B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建造师执业资格等级：</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FCF921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建造师注册证书号：</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0251C7B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建造师执业印章号：</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580699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安全生产考核合格证书号：</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1C133A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8112A6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270DF5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C6645F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承包人对项目经理的授权范围如下：</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646AAF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关于项目经理每月在施工现场的时间要求：</w:t>
      </w:r>
      <w:r>
        <w:rPr>
          <w:rFonts w:hint="eastAsia" w:cs="宋体"/>
          <w:color w:val="auto"/>
          <w:sz w:val="21"/>
          <w:szCs w:val="21"/>
          <w:highlight w:val="none"/>
          <w:u w:val="single"/>
        </w:rPr>
        <w:t>见《专用合同条款数据表》。</w:t>
      </w:r>
    </w:p>
    <w:p w14:paraId="7D9415D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承包人未提交劳动合同，以及没有为项目经理缴纳社会保险证明的违约责任：</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47FDD8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项目经理未经批准，擅自离开施工现场的违约责任：</w:t>
      </w:r>
      <w:r>
        <w:rPr>
          <w:rFonts w:hint="eastAsia" w:cs="宋体"/>
          <w:color w:val="auto"/>
          <w:sz w:val="21"/>
          <w:szCs w:val="21"/>
          <w:highlight w:val="none"/>
          <w:u w:val="single"/>
        </w:rPr>
        <w:t>承包人未能按照承诺到岗尽职的，发包人将视情况严重程度对其作出相应处理，给予警告并发出整改通知。如仍未及时整改，发包人有权责令其停工整改直至解除合同。发包人还将停止支付工程款项，扣留任何未付的工程进度款项补偿发包人的有关损失或工期延误的损失，并就此向承包人索赔。</w:t>
      </w:r>
    </w:p>
    <w:p w14:paraId="3A6C25D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3.2.3 承包人擅自更换项目经理的违约责任：</w:t>
      </w:r>
    </w:p>
    <w:p w14:paraId="71FD92B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u w:val="single"/>
        </w:rPr>
        <w:t>承包人不得擅自更换投标时所报项目经理，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w:t>
      </w:r>
    </w:p>
    <w:p w14:paraId="452B66B3">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3.2.4 承包人无正当理由拒绝更换项目经理的违约责任：</w:t>
      </w:r>
      <w:r>
        <w:rPr>
          <w:rFonts w:hint="eastAsia" w:cs="宋体"/>
          <w:color w:val="auto"/>
          <w:sz w:val="21"/>
          <w:szCs w:val="21"/>
          <w:highlight w:val="none"/>
          <w:u w:val="single"/>
        </w:rPr>
        <w:t xml:space="preserve">  承包人不得擅自更换</w:t>
      </w:r>
      <w:r>
        <w:rPr>
          <w:rFonts w:hint="eastAsia" w:cs="宋体"/>
          <w:color w:val="auto"/>
          <w:sz w:val="21"/>
          <w:szCs w:val="21"/>
          <w:highlight w:val="none"/>
          <w:u w:val="single"/>
          <w:lang w:val="en-US" w:eastAsia="zh-CN"/>
        </w:rPr>
        <w:t>响应</w:t>
      </w:r>
      <w:r>
        <w:rPr>
          <w:rFonts w:hint="eastAsia" w:cs="宋体"/>
          <w:color w:val="auto"/>
          <w:sz w:val="21"/>
          <w:szCs w:val="21"/>
          <w:highlight w:val="none"/>
          <w:u w:val="single"/>
        </w:rPr>
        <w:t>时所报项目经理，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w:t>
      </w:r>
    </w:p>
    <w:p w14:paraId="5F3DC3D2">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3.3 承包人人员</w:t>
      </w:r>
    </w:p>
    <w:p w14:paraId="1AAC543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3.3.1 承包人提交项目管理机构及施工现场管理人员安排报告的期限：</w:t>
      </w:r>
      <w:r>
        <w:rPr>
          <w:rFonts w:hint="eastAsia" w:cs="宋体"/>
          <w:color w:val="auto"/>
          <w:sz w:val="21"/>
          <w:szCs w:val="21"/>
          <w:highlight w:val="none"/>
          <w:u w:val="single"/>
        </w:rPr>
        <w:t xml:space="preserve"> </w:t>
      </w:r>
      <w:r>
        <w:rPr>
          <w:rFonts w:hint="eastAsia" w:ascii="宋体" w:cs="宋体"/>
          <w:color w:val="auto"/>
          <w:sz w:val="21"/>
          <w:szCs w:val="21"/>
          <w:highlight w:val="none"/>
          <w:u w:val="single"/>
          <w:shd w:val="clear" w:color="auto" w:fill="auto"/>
        </w:rPr>
        <w:t>承包人应在</w:t>
      </w:r>
      <w:r>
        <w:rPr>
          <w:rFonts w:hint="eastAsia"/>
          <w:color w:val="auto"/>
          <w:sz w:val="21"/>
          <w:szCs w:val="21"/>
          <w:highlight w:val="none"/>
          <w:u w:val="single"/>
          <w:shd w:val="clear" w:color="auto" w:fill="auto"/>
        </w:rPr>
        <w:t>合同签订</w:t>
      </w:r>
      <w:r>
        <w:rPr>
          <w:rFonts w:hint="eastAsia" w:ascii="宋体" w:cs="宋体"/>
          <w:color w:val="auto"/>
          <w:sz w:val="21"/>
          <w:szCs w:val="21"/>
          <w:highlight w:val="none"/>
          <w:u w:val="single"/>
          <w:shd w:val="clear" w:color="auto" w:fill="auto"/>
          <w:lang w:val="en-US" w:eastAsia="zh-CN"/>
        </w:rPr>
        <w:t>时</w:t>
      </w:r>
      <w:r>
        <w:rPr>
          <w:rFonts w:hint="eastAsia" w:ascii="宋体" w:cs="宋体"/>
          <w:color w:val="auto"/>
          <w:sz w:val="21"/>
          <w:szCs w:val="21"/>
          <w:highlight w:val="none"/>
          <w:u w:val="single"/>
          <w:shd w:val="clear" w:color="auto" w:fill="auto"/>
        </w:rPr>
        <w:t>，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D0E1EC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3.3.3 承包人无正当理由拒绝撤换主要施工管理人员的违约责任：</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发包人可以要求承包人更换其认为不称职或不符合要求的项目主要施工管理人员，承包人应予以执行。承包人必须在收到发包人更换项目施工管理人员书面通知的7天内负责更换，更换的项目施工管理人员应得到发包人的书面确认。承包人无正当理由拒绝更换项目施工管理人员的，自承包人接到发包人更换项目施工管理人员通知之第8日起，承包人向发包人支付违约金5000元/天，直至更换符合发包人要求的项目施工管理人员为止，由此增加的费用和（或）延误的工期及其它责任由承包人承担</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0A7908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3.3.4 承包人主要施工管理人员离开施工现场的批准要求：</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需离开时必须事先征得发包人和监理人同意后方可离开</w:t>
      </w:r>
      <w:r>
        <w:rPr>
          <w:rFonts w:hint="eastAsia" w:cs="宋体"/>
          <w:color w:val="auto"/>
          <w:sz w:val="21"/>
          <w:szCs w:val="21"/>
          <w:highlight w:val="none"/>
        </w:rPr>
        <w:t>。</w:t>
      </w:r>
    </w:p>
    <w:p w14:paraId="7AF1009B">
      <w:pPr>
        <w:adjustRightInd w:val="0"/>
        <w:snapToGrid w:val="0"/>
        <w:spacing w:line="360" w:lineRule="auto"/>
        <w:ind w:firstLine="424" w:firstLineChars="202"/>
        <w:rPr>
          <w:rFonts w:cs="宋体"/>
          <w:color w:val="auto"/>
          <w:sz w:val="21"/>
          <w:szCs w:val="21"/>
          <w:highlight w:val="none"/>
        </w:rPr>
      </w:pPr>
      <w:r>
        <w:rPr>
          <w:rFonts w:hint="eastAsia" w:cs="宋体"/>
          <w:color w:val="auto"/>
          <w:sz w:val="21"/>
          <w:szCs w:val="21"/>
          <w:highlight w:val="none"/>
        </w:rPr>
        <w:t>3.3.5 承包人擅自更换主要施工管理人员的违约责任：</w:t>
      </w:r>
      <w:r>
        <w:rPr>
          <w:rFonts w:hint="eastAsia" w:cs="宋体"/>
          <w:color w:val="auto"/>
          <w:sz w:val="21"/>
          <w:szCs w:val="21"/>
          <w:highlight w:val="none"/>
          <w:u w:val="single"/>
        </w:rPr>
        <w:t>承包人不得擅自更换主要管理人员，否则发包人有权解除合同，由此造成的损失由承包人自行承担，承包人还应赔偿由此造成发包人的全部损失。确需更换的须在签订合同后，报经发包人同意后按相关规定办理，更换后的人员不得低于承包人投标时所报人员资质和技术水平。发包人如认为有必要，可要求对上述人员中的部分人员作出更好的调整。</w:t>
      </w:r>
    </w:p>
    <w:p w14:paraId="3E349FB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承包人主要施工管理人员擅自离开施工现场的违约责任：</w:t>
      </w:r>
      <w:r>
        <w:rPr>
          <w:rFonts w:hint="eastAsia" w:cs="宋体"/>
          <w:color w:val="auto"/>
          <w:sz w:val="21"/>
          <w:szCs w:val="21"/>
          <w:highlight w:val="none"/>
          <w:u w:val="single"/>
        </w:rPr>
        <w:t xml:space="preserve"> </w:t>
      </w:r>
      <w:r>
        <w:rPr>
          <w:color w:val="auto"/>
          <w:spacing w:val="1"/>
          <w:sz w:val="21"/>
          <w:szCs w:val="21"/>
          <w:highlight w:val="none"/>
          <w:u w:val="single" w:color="auto"/>
        </w:rPr>
        <w:t>承包人主要施工管理人员擅自离开施</w:t>
      </w:r>
      <w:r>
        <w:rPr>
          <w:color w:val="auto"/>
          <w:sz w:val="21"/>
          <w:szCs w:val="21"/>
          <w:highlight w:val="none"/>
          <w:u w:val="single" w:color="auto"/>
        </w:rPr>
        <w:t>工现场的，承包人向发</w:t>
      </w:r>
      <w:r>
        <w:rPr>
          <w:color w:val="auto"/>
          <w:spacing w:val="-1"/>
          <w:sz w:val="21"/>
          <w:szCs w:val="21"/>
          <w:highlight w:val="none"/>
          <w:u w:val="single" w:color="auto"/>
        </w:rPr>
        <w:t>包人支付违约金 2000 元/人·天</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5CF8D6A">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w:t>
      </w:r>
      <w:bookmarkStart w:id="93" w:name="_Toc296944498"/>
      <w:bookmarkStart w:id="94" w:name="_Toc297120459"/>
      <w:bookmarkStart w:id="95" w:name="_Toc296503159"/>
      <w:bookmarkStart w:id="96" w:name="_Toc297048345"/>
      <w:bookmarkStart w:id="97" w:name="_Toc296890987"/>
      <w:bookmarkStart w:id="98" w:name="_Toc300934945"/>
      <w:bookmarkStart w:id="99" w:name="_Toc297216151"/>
      <w:bookmarkStart w:id="100" w:name="_Toc296346660"/>
      <w:bookmarkStart w:id="101" w:name="_Toc304295523"/>
      <w:bookmarkStart w:id="102" w:name="_Toc312677988"/>
      <w:bookmarkStart w:id="103" w:name="_Toc296347158"/>
      <w:bookmarkStart w:id="104" w:name="_Toc303539102"/>
      <w:bookmarkStart w:id="105" w:name="_Toc292559869"/>
      <w:bookmarkStart w:id="106" w:name="_Toc297123492"/>
      <w:bookmarkStart w:id="107" w:name="_Toc296891199"/>
      <w:bookmarkStart w:id="108" w:name="_Toc292559364"/>
      <w:r>
        <w:rPr>
          <w:rFonts w:hint="eastAsia" w:cs="宋体"/>
          <w:bCs/>
          <w:color w:val="auto"/>
          <w:sz w:val="21"/>
          <w:szCs w:val="21"/>
          <w:highlight w:val="none"/>
        </w:rPr>
        <w:t>.5 分包</w:t>
      </w:r>
    </w:p>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14:paraId="5B7A033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w:t>
      </w:r>
      <w:bookmarkStart w:id="109" w:name="_Toc297120460"/>
      <w:bookmarkStart w:id="110" w:name="_Toc296347159"/>
      <w:bookmarkStart w:id="111" w:name="_Toc292559870"/>
      <w:bookmarkStart w:id="112" w:name="_Toc300934946"/>
      <w:bookmarkStart w:id="113" w:name="_Toc303539103"/>
      <w:bookmarkStart w:id="114" w:name="_Toc296346661"/>
      <w:bookmarkStart w:id="115" w:name="_Toc297123493"/>
      <w:bookmarkStart w:id="116" w:name="_Toc296890988"/>
      <w:bookmarkStart w:id="117" w:name="_Toc292559365"/>
      <w:bookmarkStart w:id="118" w:name="_Toc297048346"/>
      <w:bookmarkStart w:id="119" w:name="_Toc296503160"/>
      <w:bookmarkStart w:id="120" w:name="_Toc296891200"/>
      <w:bookmarkStart w:id="121" w:name="_Toc297216152"/>
      <w:bookmarkStart w:id="122" w:name="_Toc296944499"/>
      <w:bookmarkStart w:id="123" w:name="_Toc304295524"/>
      <w:bookmarkStart w:id="124" w:name="_Toc312677989"/>
      <w:bookmarkStart w:id="125" w:name="_Toc318581158"/>
      <w:r>
        <w:rPr>
          <w:rFonts w:hint="eastAsia" w:cs="宋体"/>
          <w:color w:val="auto"/>
          <w:sz w:val="21"/>
          <w:szCs w:val="21"/>
          <w:highlight w:val="none"/>
        </w:rPr>
        <w:t>.5.1 分包的一般约定</w:t>
      </w:r>
    </w:p>
    <w:p w14:paraId="516215E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禁止分包的工程包括：</w:t>
      </w:r>
      <w:r>
        <w:rPr>
          <w:rFonts w:hint="eastAsia" w:cs="宋体"/>
          <w:color w:val="auto"/>
          <w:sz w:val="21"/>
          <w:szCs w:val="21"/>
          <w:highlight w:val="none"/>
          <w:u w:val="single"/>
        </w:rPr>
        <w:t xml:space="preserve">   </w:t>
      </w:r>
      <w:r>
        <w:rPr>
          <w:color w:val="auto"/>
          <w:spacing w:val="-7"/>
          <w:sz w:val="21"/>
          <w:szCs w:val="21"/>
          <w:highlight w:val="none"/>
          <w:u w:val="single" w:color="auto"/>
        </w:rPr>
        <w:t>按照发包人及相关国家规范要求</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E79A49B">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主体结构、关键性工作的范围：</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Start w:id="126" w:name="_Toc296944500"/>
      <w:bookmarkStart w:id="127" w:name="_Toc296890989"/>
      <w:bookmarkStart w:id="128" w:name="_Toc297120461"/>
      <w:bookmarkStart w:id="129" w:name="_Toc296503161"/>
      <w:bookmarkStart w:id="130" w:name="_Toc303539104"/>
      <w:bookmarkStart w:id="131" w:name="_Toc300934947"/>
      <w:bookmarkStart w:id="132" w:name="_Toc296347160"/>
      <w:bookmarkStart w:id="133" w:name="_Toc297123494"/>
      <w:bookmarkStart w:id="134" w:name="_Toc297048347"/>
      <w:bookmarkStart w:id="135" w:name="_Toc296346662"/>
      <w:bookmarkStart w:id="136" w:name="_Toc304295525"/>
      <w:bookmarkStart w:id="137" w:name="_Toc296891201"/>
      <w:bookmarkStart w:id="138" w:name="_Toc297216153"/>
      <w:r>
        <w:rPr>
          <w:rFonts w:hint="eastAsia" w:cs="宋体"/>
          <w:color w:val="auto"/>
          <w:sz w:val="21"/>
          <w:szCs w:val="21"/>
          <w:highlight w:val="none"/>
          <w:u w:val="single"/>
        </w:rPr>
        <w:t xml:space="preserve"> </w:t>
      </w:r>
      <w:r>
        <w:rPr>
          <w:color w:val="auto"/>
          <w:spacing w:val="-7"/>
          <w:sz w:val="21"/>
          <w:szCs w:val="21"/>
          <w:highlight w:val="none"/>
          <w:u w:val="single" w:color="auto"/>
        </w:rPr>
        <w:t>按照发包人及相关国家规范要求</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14:paraId="0C4D49C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w:t>
      </w:r>
      <w:bookmarkStart w:id="139" w:name="_Toc318581159"/>
      <w:bookmarkStart w:id="140" w:name="_Toc312677990"/>
      <w:r>
        <w:rPr>
          <w:rFonts w:hint="eastAsia" w:cs="宋体"/>
          <w:color w:val="auto"/>
          <w:sz w:val="21"/>
          <w:szCs w:val="21"/>
          <w:highlight w:val="none"/>
        </w:rPr>
        <w:t>.5.2 分包的确定</w:t>
      </w:r>
    </w:p>
    <w:p w14:paraId="1C1411CF">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允许分包的专业工程包括：</w:t>
      </w:r>
      <w:r>
        <w:rPr>
          <w:rFonts w:hint="eastAsia" w:ascii="宋体" w:cs="宋体"/>
          <w:color w:val="auto"/>
          <w:sz w:val="21"/>
          <w:szCs w:val="21"/>
          <w:highlight w:val="none"/>
          <w:u w:val="single"/>
          <w:shd w:val="clear" w:color="auto" w:fill="auto"/>
        </w:rPr>
        <w:t>主专业工程暂估价中涉及的专业工程、住房和城乡建设部发布的建市[2014]159 号文件《建筑业企业资质标准》中的专业承包序列中涉及的专业工程</w:t>
      </w:r>
      <w:r>
        <w:rPr>
          <w:rFonts w:hint="eastAsia" w:cs="宋体"/>
          <w:color w:val="auto"/>
          <w:sz w:val="21"/>
          <w:szCs w:val="21"/>
          <w:highlight w:val="none"/>
        </w:rPr>
        <w:t>。</w:t>
      </w:r>
    </w:p>
    <w:p w14:paraId="0B5E2D9D">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其他关于分包的约定：</w:t>
      </w:r>
      <w:r>
        <w:rPr>
          <w:rFonts w:hint="eastAsia" w:ascii="宋体" w:cs="宋体"/>
          <w:color w:val="auto"/>
          <w:sz w:val="21"/>
          <w:szCs w:val="21"/>
          <w:highlight w:val="none"/>
          <w:u w:val="single"/>
          <w:shd w:val="clear" w:color="auto" w:fill="auto"/>
        </w:rPr>
        <w:t>劳务分包人或专业分包人完成的工作经发包人或监理人检查屡次（3次及以上）发生同类缺陷或错误， 发包人有权指令承包人更换此专业承包人，承包人必须在接到指令后立即执行，不能以发包人同意该分包行为为由推阻， 相关一切工期延误和费用损失等均由承包人承担</w:t>
      </w:r>
      <w:r>
        <w:rPr>
          <w:rFonts w:hint="eastAsia" w:cs="宋体"/>
          <w:color w:val="auto"/>
          <w:sz w:val="21"/>
          <w:szCs w:val="21"/>
          <w:highlight w:val="none"/>
        </w:rPr>
        <w:t>。</w:t>
      </w:r>
    </w:p>
    <w:p w14:paraId="4F6BA81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3.5.4 分包合同价款</w:t>
      </w:r>
    </w:p>
    <w:p w14:paraId="32977BE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关于分包合同价款支付的约定：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139"/>
    <w:bookmarkEnd w:id="140"/>
    <w:p w14:paraId="272FA0DE">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3.6 工程照管与成品、半成品保护</w:t>
      </w:r>
    </w:p>
    <w:p w14:paraId="208380E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承包人负责照管工程及工程相关的材料、工程设备的起始时间：</w:t>
      </w:r>
      <w:r>
        <w:rPr>
          <w:rFonts w:hint="eastAsia" w:cs="宋体"/>
          <w:color w:val="auto"/>
          <w:sz w:val="21"/>
          <w:szCs w:val="21"/>
          <w:highlight w:val="none"/>
          <w:u w:val="single"/>
        </w:rPr>
        <w:t>自发包人向承包人移交施工现场之日起，承包人应负责照管工程及工程相关的材料、工程设备，直到颁发工程接收证书之日止。</w:t>
      </w:r>
    </w:p>
    <w:p w14:paraId="29BDA9D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3.7 履约保证金</w:t>
      </w:r>
    </w:p>
    <w:p w14:paraId="5372F62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承包人是否提供履约保证金：</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5DFDD088">
      <w:pPr>
        <w:adjustRightInd w:val="0"/>
        <w:snapToGrid w:val="0"/>
        <w:spacing w:line="360" w:lineRule="auto"/>
        <w:ind w:left="-70" w:leftChars="-35" w:firstLine="497" w:firstLineChars="237"/>
        <w:rPr>
          <w:rFonts w:cs="宋体"/>
          <w:b/>
          <w:color w:val="auto"/>
          <w:sz w:val="21"/>
          <w:szCs w:val="21"/>
          <w:highlight w:val="none"/>
        </w:rPr>
      </w:pPr>
      <w:r>
        <w:rPr>
          <w:rFonts w:hint="eastAsia" w:cs="宋体"/>
          <w:color w:val="auto"/>
          <w:sz w:val="21"/>
          <w:szCs w:val="21"/>
          <w:highlight w:val="none"/>
        </w:rPr>
        <w:t>承包人提供履约保证金的形式：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68D2D1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履约保证金的金额：</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FA77AA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履约保证金提交期限的要求：</w:t>
      </w:r>
      <w:r>
        <w:rPr>
          <w:rFonts w:hint="eastAsia" w:cs="宋体"/>
          <w:color w:val="auto"/>
          <w:sz w:val="21"/>
          <w:szCs w:val="21"/>
          <w:highlight w:val="none"/>
          <w:u w:val="single"/>
        </w:rPr>
        <w:t>见《专用合同条款数据表》。</w:t>
      </w:r>
    </w:p>
    <w:p w14:paraId="4F5271BC">
      <w:pPr>
        <w:adjustRightInd w:val="0"/>
        <w:snapToGrid w:val="0"/>
        <w:spacing w:line="360" w:lineRule="auto"/>
        <w:ind w:firstLine="420" w:firstLineChars="200"/>
        <w:rPr>
          <w:rFonts w:cs="宋体"/>
          <w:strike/>
          <w:color w:val="auto"/>
          <w:sz w:val="21"/>
          <w:szCs w:val="21"/>
          <w:highlight w:val="none"/>
        </w:rPr>
      </w:pPr>
      <w:r>
        <w:rPr>
          <w:rFonts w:hint="eastAsia" w:cs="宋体"/>
          <w:bCs/>
          <w:snapToGrid w:val="0"/>
          <w:color w:val="auto"/>
          <w:sz w:val="21"/>
          <w:szCs w:val="21"/>
          <w:highlight w:val="none"/>
        </w:rPr>
        <w:t>履约保证金退还时限：</w:t>
      </w:r>
      <w:r>
        <w:rPr>
          <w:rFonts w:hint="eastAsia" w:cs="宋体"/>
          <w:color w:val="auto"/>
          <w:sz w:val="21"/>
          <w:szCs w:val="21"/>
          <w:highlight w:val="none"/>
          <w:u w:val="single"/>
        </w:rPr>
        <w:t>见《专用合同条款数据表》。</w:t>
      </w:r>
    </w:p>
    <w:p w14:paraId="6563A30F">
      <w:pPr>
        <w:snapToGrid w:val="0"/>
        <w:spacing w:before="312" w:beforeLines="100" w:after="312" w:afterLines="100" w:line="360" w:lineRule="auto"/>
        <w:outlineLvl w:val="2"/>
        <w:rPr>
          <w:rFonts w:cs="宋体"/>
          <w:color w:val="auto"/>
          <w:sz w:val="21"/>
          <w:szCs w:val="21"/>
          <w:highlight w:val="none"/>
        </w:rPr>
      </w:pPr>
      <w:bookmarkStart w:id="141" w:name="_Toc351203636"/>
      <w:r>
        <w:rPr>
          <w:rFonts w:hint="eastAsia" w:cs="宋体"/>
          <w:color w:val="auto"/>
          <w:sz w:val="21"/>
          <w:szCs w:val="21"/>
          <w:highlight w:val="none"/>
        </w:rPr>
        <w:t>4</w:t>
      </w:r>
      <w:bookmarkStart w:id="142" w:name="_Toc292559366"/>
      <w:bookmarkStart w:id="143" w:name="_Toc296891202"/>
      <w:bookmarkStart w:id="144" w:name="_Toc267251413"/>
      <w:bookmarkStart w:id="145" w:name="_Toc296503162"/>
      <w:bookmarkStart w:id="146" w:name="_Toc296347161"/>
      <w:bookmarkStart w:id="147" w:name="_Toc297120462"/>
      <w:bookmarkStart w:id="148" w:name="_Toc297048348"/>
      <w:bookmarkStart w:id="149" w:name="_Toc292559871"/>
      <w:bookmarkStart w:id="150" w:name="_Toc296944501"/>
      <w:bookmarkStart w:id="151" w:name="_Toc296346663"/>
      <w:bookmarkStart w:id="152" w:name="_Toc296890990"/>
      <w:r>
        <w:rPr>
          <w:rFonts w:hint="eastAsia" w:cs="宋体"/>
          <w:color w:val="auto"/>
          <w:sz w:val="21"/>
          <w:szCs w:val="21"/>
          <w:highlight w:val="none"/>
        </w:rPr>
        <w:t>. 监</w:t>
      </w:r>
      <w:bookmarkEnd w:id="142"/>
      <w:bookmarkEnd w:id="143"/>
      <w:bookmarkEnd w:id="144"/>
      <w:bookmarkEnd w:id="145"/>
      <w:bookmarkEnd w:id="146"/>
      <w:bookmarkEnd w:id="147"/>
      <w:bookmarkEnd w:id="148"/>
      <w:bookmarkEnd w:id="149"/>
      <w:bookmarkEnd w:id="150"/>
      <w:bookmarkEnd w:id="151"/>
      <w:bookmarkEnd w:id="152"/>
      <w:r>
        <w:rPr>
          <w:rFonts w:hint="eastAsia" w:cs="宋体"/>
          <w:color w:val="auto"/>
          <w:sz w:val="21"/>
          <w:szCs w:val="21"/>
          <w:highlight w:val="none"/>
        </w:rPr>
        <w:t>理人</w:t>
      </w:r>
      <w:bookmarkEnd w:id="141"/>
    </w:p>
    <w:p w14:paraId="26F6A71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4.1 监理人的一般规定</w:t>
      </w:r>
    </w:p>
    <w:p w14:paraId="10B44F2E">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关于监理人的监理内容：</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详见监理合同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A1E289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关于监理人的监理权限：</w:t>
      </w:r>
      <w:r>
        <w:rPr>
          <w:rFonts w:hint="eastAsia" w:ascii="宋体" w:hAnsi="宋体" w:eastAsia="宋体" w:cs="宋体"/>
          <w:color w:val="auto"/>
          <w:sz w:val="21"/>
          <w:szCs w:val="21"/>
          <w:highlight w:val="none"/>
          <w:u w:val="single"/>
        </w:rPr>
        <w:t>工程质量的监督权；工程上使用的材料和施工质量检验权、确认权；工程施工进度、安全的检查、监督权；工程款支付的审核权；向承包人提出施工组织设计和技术方案的建议权；发包人和承包人间的组织协调的主持权；撤换不合格的工程建设分包单位和注册建造师及有关人员的建议权；分包单位资质及能力的审查权及《建设工程监理规范》规定的法定职权等。</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5BD05B1">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关于监理人在施工现场的办公场所、生活场所的提供和费用承担的约定：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承包人提供和承担，含在签约合同价之内，同时为跟踪审计人员在施工现场提供必要的办公场所、办公家具、办公设备等</w:t>
      </w:r>
      <w:r>
        <w:rPr>
          <w:rFonts w:hint="eastAsia" w:cs="宋体"/>
          <w:color w:val="auto"/>
          <w:sz w:val="21"/>
          <w:szCs w:val="21"/>
          <w:highlight w:val="none"/>
        </w:rPr>
        <w:t>。</w:t>
      </w:r>
    </w:p>
    <w:p w14:paraId="17D5AF0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4.2 监理人员</w:t>
      </w:r>
    </w:p>
    <w:p w14:paraId="7C97EA3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总监理工程师：</w:t>
      </w:r>
    </w:p>
    <w:p w14:paraId="65C1334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姓    名：</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详见监理合同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124841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职    务：</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FA25B4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监理工程师执业资格证书号：</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505560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3310FE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12FFB4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通信地址：</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AEBBF1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关于监理人的其他约定：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26C38BA">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4.4 商定或确定</w:t>
      </w:r>
    </w:p>
    <w:p w14:paraId="2EF24F8F">
      <w:pPr>
        <w:adjustRightInd w:val="0"/>
        <w:snapToGrid w:val="0"/>
        <w:spacing w:line="360" w:lineRule="auto"/>
        <w:ind w:firstLine="420" w:firstLineChars="200"/>
        <w:rPr>
          <w:rFonts w:cs="宋体"/>
          <w:color w:val="auto"/>
          <w:sz w:val="21"/>
          <w:szCs w:val="21"/>
          <w:highlight w:val="none"/>
        </w:rPr>
      </w:pPr>
      <w:bookmarkStart w:id="153" w:name="_Toc267251418"/>
      <w:r>
        <w:rPr>
          <w:rFonts w:hint="eastAsia" w:cs="宋体"/>
          <w:color w:val="auto"/>
          <w:sz w:val="21"/>
          <w:szCs w:val="21"/>
          <w:highlight w:val="none"/>
        </w:rPr>
        <w:t>在发包人和承包人不能通过协商达成一致意见时，发包人授权监理人对以下事项进行确定：</w:t>
      </w:r>
    </w:p>
    <w:p w14:paraId="1DB96B72">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bookmarkStart w:id="154" w:name="_Toc351203637"/>
      <w:r>
        <w:rPr>
          <w:rFonts w:hint="eastAsia" w:cs="宋体"/>
          <w:color w:val="auto"/>
          <w:sz w:val="21"/>
          <w:szCs w:val="21"/>
          <w:highlight w:val="none"/>
        </w:rPr>
        <w:t>（1）</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施工方案</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057D788">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索赔事项等</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12FC785">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t>5</w:t>
      </w:r>
      <w:bookmarkEnd w:id="153"/>
      <w:bookmarkStart w:id="155" w:name="_Toc296944502"/>
      <w:bookmarkStart w:id="156" w:name="_Toc296890991"/>
      <w:bookmarkStart w:id="157" w:name="_Toc297120463"/>
      <w:bookmarkStart w:id="158" w:name="_Toc296503163"/>
      <w:bookmarkStart w:id="159" w:name="_Toc292559367"/>
      <w:bookmarkStart w:id="160" w:name="_Toc296346664"/>
      <w:bookmarkStart w:id="161" w:name="_Toc297048349"/>
      <w:bookmarkStart w:id="162" w:name="_Toc292559872"/>
      <w:bookmarkStart w:id="163" w:name="_Toc296891203"/>
      <w:bookmarkStart w:id="164" w:name="_Toc296347162"/>
      <w:r>
        <w:rPr>
          <w:rFonts w:hint="eastAsia" w:cs="宋体"/>
          <w:color w:val="auto"/>
          <w:sz w:val="21"/>
          <w:szCs w:val="21"/>
          <w:highlight w:val="none"/>
        </w:rPr>
        <w:t>. 工程质量</w:t>
      </w:r>
      <w:bookmarkEnd w:id="154"/>
    </w:p>
    <w:p w14:paraId="5AAC6FB6">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5.1 质量要求</w:t>
      </w:r>
    </w:p>
    <w:p w14:paraId="30137173">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5</w:t>
      </w:r>
      <w:bookmarkStart w:id="165" w:name="_Toc312677997"/>
      <w:bookmarkStart w:id="166" w:name="_Toc297123496"/>
      <w:bookmarkStart w:id="167" w:name="_Toc300934949"/>
      <w:bookmarkStart w:id="168" w:name="_Toc304295527"/>
      <w:bookmarkStart w:id="169" w:name="_Toc297216155"/>
      <w:bookmarkStart w:id="170" w:name="_Toc303539106"/>
      <w:bookmarkStart w:id="171" w:name="_Toc318581164"/>
      <w:r>
        <w:rPr>
          <w:rFonts w:hint="eastAsia" w:cs="宋体"/>
          <w:color w:val="auto"/>
          <w:sz w:val="21"/>
          <w:szCs w:val="21"/>
          <w:highlight w:val="none"/>
        </w:rPr>
        <w:t>.1.1 特殊质量标准和要求：</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654C4BA">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关于工程奖项的约定：</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FA13CAA">
      <w:pPr>
        <w:snapToGrid w:val="0"/>
        <w:spacing w:line="360" w:lineRule="auto"/>
        <w:ind w:firstLine="420" w:firstLineChars="200"/>
        <w:jc w:val="left"/>
        <w:rPr>
          <w:rFonts w:cs="宋体"/>
          <w:color w:val="auto"/>
          <w:sz w:val="21"/>
          <w:szCs w:val="21"/>
          <w:highlight w:val="none"/>
        </w:rPr>
      </w:pPr>
      <w:bookmarkStart w:id="172" w:name="_Toc351203638"/>
      <w:r>
        <w:rPr>
          <w:rFonts w:hint="eastAsia" w:cs="宋体"/>
          <w:color w:val="auto"/>
          <w:sz w:val="21"/>
          <w:szCs w:val="21"/>
          <w:highlight w:val="none"/>
        </w:rPr>
        <w:t>关于建造要求：</w:t>
      </w:r>
    </w:p>
    <w:p w14:paraId="0333CE52">
      <w:pPr>
        <w:pStyle w:val="13"/>
        <w:snapToGrid w:val="0"/>
        <w:spacing w:line="360" w:lineRule="auto"/>
        <w:ind w:firstLine="480"/>
        <w:rPr>
          <w:rFonts w:hAnsi="宋体" w:cs="宋体"/>
          <w:color w:val="auto"/>
          <w:sz w:val="21"/>
          <w:szCs w:val="21"/>
          <w:highlight w:val="none"/>
        </w:rPr>
      </w:pPr>
      <w:r>
        <w:rPr>
          <w:rFonts w:hint="eastAsia" w:hAnsi="宋体" w:cs="宋体"/>
          <w:color w:val="auto"/>
          <w:sz w:val="21"/>
          <w:szCs w:val="21"/>
          <w:highlight w:val="none"/>
        </w:rPr>
        <w:t>（1）绿色建筑等级要求：</w:t>
      </w:r>
      <w:r>
        <w:rPr>
          <w:rFonts w:hint="eastAsia" w:hAnsi="宋体" w:cs="宋体"/>
          <w:color w:val="auto"/>
          <w:sz w:val="21"/>
          <w:szCs w:val="21"/>
          <w:highlight w:val="none"/>
          <w:u w:val="single"/>
        </w:rPr>
        <w:t>见《专用合同条款数据表》</w:t>
      </w:r>
      <w:r>
        <w:rPr>
          <w:rFonts w:hint="eastAsia" w:hAnsi="宋体" w:cs="宋体"/>
          <w:color w:val="auto"/>
          <w:sz w:val="21"/>
          <w:szCs w:val="21"/>
          <w:highlight w:val="none"/>
        </w:rPr>
        <w:t>；</w:t>
      </w:r>
    </w:p>
    <w:p w14:paraId="6C18345F">
      <w:pPr>
        <w:pStyle w:val="13"/>
        <w:snapToGrid w:val="0"/>
        <w:spacing w:line="360" w:lineRule="auto"/>
        <w:ind w:firstLine="480"/>
        <w:rPr>
          <w:rFonts w:hAnsi="宋体" w:cs="宋体"/>
          <w:color w:val="auto"/>
          <w:sz w:val="21"/>
          <w:szCs w:val="21"/>
          <w:highlight w:val="none"/>
        </w:rPr>
      </w:pPr>
      <w:r>
        <w:rPr>
          <w:rFonts w:hint="eastAsia" w:hAnsi="宋体" w:cs="宋体"/>
          <w:color w:val="auto"/>
          <w:sz w:val="21"/>
          <w:szCs w:val="21"/>
          <w:highlight w:val="none"/>
        </w:rPr>
        <w:t>（2）智慧工地管理要求：</w:t>
      </w:r>
      <w:r>
        <w:rPr>
          <w:rFonts w:hint="eastAsia" w:hAnsi="宋体" w:cs="宋体"/>
          <w:color w:val="auto"/>
          <w:sz w:val="21"/>
          <w:szCs w:val="21"/>
          <w:highlight w:val="none"/>
          <w:u w:val="single"/>
        </w:rPr>
        <w:t>见《专用合同条款数据表》</w:t>
      </w:r>
      <w:r>
        <w:rPr>
          <w:rFonts w:hint="eastAsia" w:hAnsi="宋体" w:cs="宋体"/>
          <w:color w:val="auto"/>
          <w:sz w:val="21"/>
          <w:szCs w:val="21"/>
          <w:highlight w:val="none"/>
        </w:rPr>
        <w:t>；</w:t>
      </w:r>
    </w:p>
    <w:p w14:paraId="7F7400A9">
      <w:pPr>
        <w:pStyle w:val="13"/>
        <w:snapToGrid w:val="0"/>
        <w:spacing w:line="360" w:lineRule="auto"/>
        <w:ind w:firstLine="480"/>
        <w:rPr>
          <w:rFonts w:hAnsi="宋体" w:cs="宋体"/>
          <w:color w:val="auto"/>
          <w:sz w:val="21"/>
          <w:szCs w:val="21"/>
          <w:highlight w:val="none"/>
        </w:rPr>
      </w:pPr>
      <w:r>
        <w:rPr>
          <w:rFonts w:hint="eastAsia" w:hAnsi="宋体" w:cs="宋体"/>
          <w:color w:val="auto"/>
          <w:sz w:val="21"/>
          <w:szCs w:val="21"/>
          <w:highlight w:val="none"/>
        </w:rPr>
        <w:t>（3）建筑垃圾减量化目标：</w:t>
      </w:r>
      <w:r>
        <w:rPr>
          <w:rFonts w:hint="eastAsia" w:hAnsi="宋体" w:cs="宋体"/>
          <w:color w:val="auto"/>
          <w:sz w:val="21"/>
          <w:szCs w:val="21"/>
          <w:highlight w:val="none"/>
          <w:u w:val="single"/>
        </w:rPr>
        <w:t>见《专用合同条款数据表》</w:t>
      </w:r>
      <w:r>
        <w:rPr>
          <w:rFonts w:hint="eastAsia" w:hAnsi="宋体" w:cs="宋体"/>
          <w:color w:val="auto"/>
          <w:sz w:val="21"/>
          <w:szCs w:val="21"/>
          <w:highlight w:val="none"/>
        </w:rPr>
        <w:t>；</w:t>
      </w:r>
    </w:p>
    <w:p w14:paraId="653948A2">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（4）装配式建筑装配率要求：</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2470D0AD">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0056443D">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5.3 隐蔽工程检查</w:t>
      </w:r>
    </w:p>
    <w:p w14:paraId="7D3A4EBA">
      <w:pPr>
        <w:pageBreakBefore w:val="0"/>
        <w:kinsoku/>
        <w:wordWrap/>
        <w:topLinePunct w:val="0"/>
        <w:bidi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5.3.2 承包人提前通知监理人隐蔽工程检查的期限的约定：</w:t>
      </w:r>
      <w:r>
        <w:rPr>
          <w:rFonts w:hint="eastAsia" w:ascii="宋体" w:hAnsi="宋体" w:eastAsia="宋体" w:cs="宋体"/>
          <w:color w:val="auto"/>
          <w:sz w:val="21"/>
          <w:szCs w:val="21"/>
          <w:highlight w:val="none"/>
          <w:u w:val="single"/>
        </w:rPr>
        <w:t>工程具备隐蔽条件或达到中间验收部位时，承包人自检合格后，在隐蔽和中间验收48小时前书面通知甲方代表和监理工程师参加。通知应包含承包人自检记录、隐蔽和中间验收的内容、时间和地点。承包人准备验收记录，验收合格，甲方代表及监理工程师在验收记录上签字后，方可进行隐蔽和继续施工。验收不合格，承包人在限定时间内重新验收。承包人不服从质量管理的，发包人有权解除本合同并责令承包人清退其出场，承包人给发包人造成损失的，还应并赔偿因此而造成的一切损失</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7A3895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监理人不能按时进行检查时，应提前</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24</w:t>
      </w:r>
      <w:r>
        <w:rPr>
          <w:rFonts w:hint="eastAsia" w:cs="宋体"/>
          <w:color w:val="auto"/>
          <w:sz w:val="21"/>
          <w:szCs w:val="21"/>
          <w:highlight w:val="none"/>
          <w:u w:val="single"/>
        </w:rPr>
        <w:t xml:space="preserve">  </w:t>
      </w:r>
      <w:r>
        <w:rPr>
          <w:rFonts w:hint="eastAsia" w:cs="宋体"/>
          <w:color w:val="auto"/>
          <w:sz w:val="21"/>
          <w:szCs w:val="21"/>
          <w:highlight w:val="none"/>
        </w:rPr>
        <w:t>小时提交书面延期要求。</w:t>
      </w:r>
    </w:p>
    <w:p w14:paraId="3A38AE7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关于延期最长不得超过：</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48</w:t>
      </w:r>
      <w:r>
        <w:rPr>
          <w:rFonts w:hint="eastAsia" w:cs="宋体"/>
          <w:color w:val="auto"/>
          <w:sz w:val="21"/>
          <w:szCs w:val="21"/>
          <w:highlight w:val="none"/>
          <w:u w:val="single"/>
        </w:rPr>
        <w:t xml:space="preserve">  </w:t>
      </w:r>
      <w:r>
        <w:rPr>
          <w:rFonts w:hint="eastAsia" w:cs="宋体"/>
          <w:color w:val="auto"/>
          <w:sz w:val="21"/>
          <w:szCs w:val="21"/>
          <w:highlight w:val="none"/>
        </w:rPr>
        <w:t>小时。</w:t>
      </w:r>
    </w:p>
    <w:p w14:paraId="65863EEB">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5</w:t>
      </w:r>
      <w:bookmarkStart w:id="173" w:name="_Toc337558762"/>
      <w:r>
        <w:rPr>
          <w:rFonts w:hint="eastAsia" w:cs="宋体"/>
          <w:bCs/>
          <w:color w:val="auto"/>
          <w:sz w:val="21"/>
          <w:szCs w:val="21"/>
          <w:highlight w:val="none"/>
        </w:rPr>
        <w:t>.4 不合格工程的处理</w:t>
      </w:r>
    </w:p>
    <w:bookmarkEnd w:id="173"/>
    <w:p w14:paraId="517766F0">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本款补充5.4.3项：</w:t>
      </w:r>
    </w:p>
    <w:p w14:paraId="6A51A259">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5.4.3 承包人在收到监理人发出的《不合格分项报告》或监理通知单后，必须在监理人规定时间内按要求完成整改，未能在限定时间内完成整改的，须承担相应违约责任。</w:t>
      </w:r>
    </w:p>
    <w:p w14:paraId="1605E19A">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本条补充5.6款：</w:t>
      </w:r>
    </w:p>
    <w:p w14:paraId="55CD8F34">
      <w:pPr>
        <w:keepNext/>
        <w:keepLines/>
        <w:snapToGrid w:val="0"/>
        <w:spacing w:before="120" w:after="120" w:line="360" w:lineRule="auto"/>
        <w:ind w:firstLine="420" w:firstLineChars="200"/>
        <w:outlineLvl w:val="3"/>
        <w:rPr>
          <w:rFonts w:cs="宋体"/>
          <w:bCs/>
          <w:color w:val="auto"/>
          <w:sz w:val="21"/>
          <w:szCs w:val="21"/>
          <w:highlight w:val="none"/>
        </w:rPr>
      </w:pPr>
      <w:bookmarkStart w:id="174" w:name="_Toc532377348"/>
      <w:r>
        <w:rPr>
          <w:rFonts w:hint="eastAsia" w:cs="宋体"/>
          <w:bCs/>
          <w:color w:val="auto"/>
          <w:sz w:val="21"/>
          <w:szCs w:val="21"/>
          <w:highlight w:val="none"/>
        </w:rPr>
        <w:t>5.6 质量事故的处理</w:t>
      </w:r>
      <w:bookmarkEnd w:id="174"/>
    </w:p>
    <w:p w14:paraId="06035D20">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5.6.1 合同履行过程中，发生工程质量事故的调查处理按照国家现行规定处理。</w:t>
      </w:r>
    </w:p>
    <w:p w14:paraId="18671AA3">
      <w:pPr>
        <w:snapToGrid w:val="0"/>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5.6.2 发包人在对工程质量、安全和环境保护、水土保持等建设全过程管理中发现有技术、质量和其他问题的，可通过监理人责令承包人返工或整改；对存在的隐患，有权责令承包人予以解决，承包人按照合同中其他条款约定承担违约责任。</w:t>
      </w:r>
    </w:p>
    <w:p w14:paraId="09E791A1">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t>6. 安全文明施工与环境保护</w:t>
      </w:r>
      <w:bookmarkEnd w:id="172"/>
    </w:p>
    <w:p w14:paraId="17FA7906">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6.1 安全文明施工</w:t>
      </w:r>
    </w:p>
    <w:p w14:paraId="696AB87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6.1.1 项目安全生产的达标目标及相应事项的约定：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6D867B9">
      <w:pPr>
        <w:adjustRightInd w:val="0"/>
        <w:snapToGrid w:val="0"/>
        <w:spacing w:line="360" w:lineRule="auto"/>
        <w:ind w:firstLine="420" w:firstLineChars="200"/>
        <w:rPr>
          <w:rFonts w:hint="eastAsia" w:ascii="宋体" w:hAnsi="宋体" w:eastAsia="宋体" w:cs="宋体"/>
          <w:color w:val="auto"/>
          <w:sz w:val="21"/>
          <w:szCs w:val="21"/>
          <w:highlight w:val="none"/>
          <w:u w:val="single"/>
        </w:rPr>
      </w:pPr>
      <w:r>
        <w:rPr>
          <w:rFonts w:hint="eastAsia" w:cs="宋体"/>
          <w:color w:val="auto"/>
          <w:sz w:val="21"/>
          <w:szCs w:val="21"/>
          <w:highlight w:val="none"/>
        </w:rPr>
        <w:t>6.1.4 关于治安保卫的特别约定：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承包人应与当地公安部门协商，在现场建立治安管理机构或联防组织，统一管理施工场地的治安保卫事项，履行合同工程的治安保卫职责。承包人除应协助现场治安管理机构或联防组织维护施工场地的社会治安外，还应做好包括生活区在内的承包人管辖区的治安保卫工作 。 </w:t>
      </w:r>
    </w:p>
    <w:p w14:paraId="58C8ECA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关于编制施工场地治安管理计划的约定：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承包人编制，监理人审核，其它按照通用合同条款约定执行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933B06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6.1.5 文明施工</w:t>
      </w:r>
    </w:p>
    <w:p w14:paraId="1B384C3B">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合同当事人对文明施工的要求：</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按照《关于落实&lt;市规建委关于规范建设工程安全防护和文明施工措施费使用管理的通知&gt;的意见》，支付方式为：房建工程基础验收合格后支付40%，主体结构施工封顶支付40%，工程初验合格支付剩余20%；市政基础设施工程正常开工并达到第一期工程请款条件时支付50%，工程初验合格后支付剩余50%。该费用付至施工企业在银行开立的专户。施工企业应当确保安全防护、文明施工措施费专款专用，在财务管理中单独列出安全防护、文明施工措施项目费用清单备查</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B1F894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6.1.6 关于安全文明施工费支付比例和支付期限的约定：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165"/>
    <w:bookmarkEnd w:id="166"/>
    <w:bookmarkEnd w:id="167"/>
    <w:bookmarkEnd w:id="168"/>
    <w:bookmarkEnd w:id="169"/>
    <w:bookmarkEnd w:id="170"/>
    <w:bookmarkEnd w:id="171"/>
    <w:p w14:paraId="0E20959D">
      <w:pPr>
        <w:snapToGrid w:val="0"/>
        <w:spacing w:before="312" w:beforeLines="100" w:after="312" w:afterLines="100" w:line="360" w:lineRule="auto"/>
        <w:outlineLvl w:val="2"/>
        <w:rPr>
          <w:rFonts w:cs="宋体"/>
          <w:color w:val="auto"/>
          <w:sz w:val="21"/>
          <w:szCs w:val="21"/>
          <w:highlight w:val="none"/>
        </w:rPr>
      </w:pPr>
      <w:bookmarkStart w:id="175" w:name="_Toc351203639"/>
      <w:r>
        <w:rPr>
          <w:rFonts w:hint="eastAsia" w:cs="宋体"/>
          <w:color w:val="auto"/>
          <w:sz w:val="21"/>
          <w:szCs w:val="21"/>
          <w:highlight w:val="none"/>
        </w:rPr>
        <w:t>7. 工期和进度</w:t>
      </w:r>
      <w:bookmarkEnd w:id="175"/>
    </w:p>
    <w:p w14:paraId="3878D8E9">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7.1 施工组织设计</w:t>
      </w:r>
    </w:p>
    <w:p w14:paraId="463EDAF6">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7.1.1 合同当事人约定的施工组织设计应包括的其他内容：</w:t>
      </w:r>
      <w:r>
        <w:rPr>
          <w:rFonts w:hint="eastAsia" w:cs="宋体"/>
          <w:color w:val="auto"/>
          <w:sz w:val="21"/>
          <w:szCs w:val="21"/>
          <w:highlight w:val="none"/>
          <w:u w:val="single"/>
        </w:rPr>
        <w:t>总进度计划须含网络图、横道图。</w:t>
      </w:r>
    </w:p>
    <w:p w14:paraId="7EB883A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7.1.2 施工组织设计的提交和修改</w:t>
      </w:r>
    </w:p>
    <w:p w14:paraId="4122A8B6">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承包人提交详细施工组织设计的期限的约定：</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图纸会审及设计交底后一周内提供标后施工组织设计和进度计划、机械设备进场计划、物资计划、劳动力计划</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6F0CD0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发包人和监理人在收到详细的施工组织设计后确认或提出修改意见的期限：</w:t>
      </w:r>
      <w:r>
        <w:rPr>
          <w:rFonts w:hint="eastAsia" w:ascii="宋体" w:hAnsi="宋体" w:eastAsia="宋体" w:cs="宋体"/>
          <w:color w:val="auto"/>
          <w:sz w:val="21"/>
          <w:szCs w:val="21"/>
          <w:highlight w:val="none"/>
          <w:u w:val="single"/>
        </w:rPr>
        <w:t>监理工程师应于收到承包人资料一周内予以确认，逾期不批复，可视为该施工组织设计（施工方案）已经批准。乙方必须按照批准的进度计划组织施工，接受甲方和监理对进度的检查、监督。工程实际进展与进度计划不符时，承包人应立即修改进度计划和采取赶工措施，调整后的进度计划及相应的措施报告上报监理、甲方批准后执行</w:t>
      </w:r>
      <w:r>
        <w:rPr>
          <w:rFonts w:hint="eastAsia" w:cs="宋体"/>
          <w:color w:val="auto"/>
          <w:sz w:val="21"/>
          <w:szCs w:val="21"/>
          <w:highlight w:val="none"/>
        </w:rPr>
        <w:t>。</w:t>
      </w:r>
    </w:p>
    <w:p w14:paraId="4B57A851">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w:t>
      </w:r>
      <w:bookmarkStart w:id="176" w:name="_Toc300934966"/>
      <w:bookmarkStart w:id="177" w:name="_Toc297123514"/>
      <w:bookmarkStart w:id="178" w:name="_Toc303539123"/>
      <w:bookmarkStart w:id="179" w:name="_Toc312678005"/>
      <w:bookmarkStart w:id="180" w:name="_Toc312677479"/>
      <w:bookmarkStart w:id="181" w:name="_Toc297216173"/>
      <w:bookmarkStart w:id="182" w:name="_Toc304295541"/>
      <w:r>
        <w:rPr>
          <w:rFonts w:hint="eastAsia" w:cs="宋体"/>
          <w:bCs/>
          <w:color w:val="auto"/>
          <w:sz w:val="21"/>
          <w:szCs w:val="21"/>
          <w:highlight w:val="none"/>
        </w:rPr>
        <w:t>.2 施工进度计划</w:t>
      </w:r>
    </w:p>
    <w:p w14:paraId="500F063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7.2.2 施工进度计划的修订</w:t>
      </w:r>
    </w:p>
    <w:p w14:paraId="1F0388E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发包人和监理人在收到修订的施工进度计划后确认或提出修改意见的期限：</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监理工程师应于收到承包人资料一周内予以确认，逾期不批复，可视为该施工组织设计（施工方案）已经批准。乙方必须按照批准的进度计划组织施工，接受甲方和监理对进度的检查、监督。工程实际进展与进度计划不符时，承包人应立即修改进度计划和采取赶工措施，调整后的进度计划及相应的措施报告上报监理、甲方批准后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CD0016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7.3 开工</w:t>
      </w:r>
    </w:p>
    <w:p w14:paraId="5ECA85A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7.3.1 开工准备</w:t>
      </w:r>
    </w:p>
    <w:p w14:paraId="157F1E62">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关于承包人提交工程开工报审表的期限：</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4F3569AB">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7C731CA4">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3DA1904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7.3.2 开工通知</w:t>
      </w:r>
    </w:p>
    <w:p w14:paraId="3BE329D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因发包人原因造成监理人未能在计划开工日期之日起</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天内发出开工通知的，承包人有权提出价格调整要求，或者解除合同。</w:t>
      </w:r>
    </w:p>
    <w:bookmarkEnd w:id="176"/>
    <w:bookmarkEnd w:id="177"/>
    <w:bookmarkEnd w:id="178"/>
    <w:bookmarkEnd w:id="179"/>
    <w:bookmarkEnd w:id="180"/>
    <w:bookmarkEnd w:id="181"/>
    <w:bookmarkEnd w:id="182"/>
    <w:p w14:paraId="5AF6B222">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7.4 测量放线</w:t>
      </w:r>
    </w:p>
    <w:p w14:paraId="7CA1C404">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7.4.1 发包人通过监理人向承包人提供测量基准点、基准线和水准点及其书面资料的期限：</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91C421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w:t>
      </w:r>
      <w:bookmarkStart w:id="183" w:name="_Toc304295546"/>
      <w:bookmarkStart w:id="184" w:name="_Toc297123516"/>
      <w:bookmarkStart w:id="185" w:name="_Toc312678010"/>
      <w:bookmarkStart w:id="186" w:name="_Toc303539125"/>
      <w:bookmarkStart w:id="187" w:name="_Toc297216175"/>
      <w:bookmarkStart w:id="188" w:name="_Toc300934968"/>
      <w:bookmarkStart w:id="189" w:name="_Toc312677484"/>
      <w:r>
        <w:rPr>
          <w:rFonts w:hint="eastAsia" w:cs="宋体"/>
          <w:bCs/>
          <w:color w:val="auto"/>
          <w:sz w:val="21"/>
          <w:szCs w:val="21"/>
          <w:highlight w:val="none"/>
        </w:rPr>
        <w:t>.5 工期延误</w:t>
      </w:r>
    </w:p>
    <w:bookmarkEnd w:id="183"/>
    <w:bookmarkEnd w:id="184"/>
    <w:bookmarkEnd w:id="185"/>
    <w:bookmarkEnd w:id="186"/>
    <w:bookmarkEnd w:id="187"/>
    <w:bookmarkEnd w:id="188"/>
    <w:bookmarkEnd w:id="189"/>
    <w:p w14:paraId="4781228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7.5.1 因发包人原因导致工期延误</w:t>
      </w:r>
    </w:p>
    <w:p w14:paraId="63E6B06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（7）因发包人原因导致工期延误的其他情形：</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635FE9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w:t>
      </w:r>
      <w:bookmarkStart w:id="190" w:name="_Toc318581169"/>
      <w:bookmarkStart w:id="191" w:name="_Toc312678012"/>
      <w:bookmarkStart w:id="192" w:name="_Toc312677486"/>
      <w:bookmarkStart w:id="193" w:name="_Toc303539127"/>
      <w:bookmarkStart w:id="194" w:name="_Toc297216177"/>
      <w:bookmarkStart w:id="195" w:name="_Toc297123518"/>
      <w:bookmarkStart w:id="196" w:name="_Toc300934970"/>
      <w:bookmarkStart w:id="197" w:name="_Toc304295548"/>
      <w:r>
        <w:rPr>
          <w:rFonts w:hint="eastAsia" w:cs="宋体"/>
          <w:color w:val="auto"/>
          <w:sz w:val="21"/>
          <w:szCs w:val="21"/>
          <w:highlight w:val="none"/>
        </w:rPr>
        <w:t>.5.2 因承包人原因导致工期延误</w:t>
      </w:r>
    </w:p>
    <w:bookmarkEnd w:id="190"/>
    <w:bookmarkEnd w:id="191"/>
    <w:bookmarkEnd w:id="192"/>
    <w:p w14:paraId="6557A92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因</w:t>
      </w:r>
      <w:bookmarkStart w:id="198" w:name="_Toc312677487"/>
      <w:bookmarkStart w:id="199" w:name="_Toc312678013"/>
      <w:bookmarkStart w:id="200" w:name="_Toc318581170"/>
      <w:r>
        <w:rPr>
          <w:rFonts w:hint="eastAsia" w:cs="宋体"/>
          <w:color w:val="auto"/>
          <w:sz w:val="21"/>
          <w:szCs w:val="21"/>
          <w:highlight w:val="none"/>
        </w:rPr>
        <w:t>承包人原因造成工期延误，逾期竣工违约金的计算方法为：</w:t>
      </w:r>
      <w:r>
        <w:rPr>
          <w:rFonts w:hint="eastAsia" w:cs="宋体"/>
          <w:color w:val="auto"/>
          <w:sz w:val="21"/>
          <w:szCs w:val="21"/>
          <w:highlight w:val="none"/>
          <w:u w:val="single"/>
        </w:rPr>
        <w:t>见《专用合同条款数据表》</w:t>
      </w:r>
      <w:r>
        <w:rPr>
          <w:rFonts w:hint="eastAsia" w:cs="宋体"/>
          <w:color w:val="auto"/>
          <w:sz w:val="21"/>
          <w:szCs w:val="21"/>
          <w:highlight w:val="none"/>
        </w:rPr>
        <w:t>。</w:t>
      </w:r>
      <w:bookmarkEnd w:id="193"/>
      <w:bookmarkEnd w:id="194"/>
      <w:bookmarkEnd w:id="195"/>
      <w:bookmarkEnd w:id="196"/>
      <w:bookmarkEnd w:id="197"/>
      <w:bookmarkEnd w:id="198"/>
      <w:bookmarkEnd w:id="199"/>
    </w:p>
    <w:bookmarkEnd w:id="200"/>
    <w:p w14:paraId="353F26D3">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因承包人原因造成工期延误，逾</w:t>
      </w:r>
      <w:bookmarkStart w:id="201" w:name="_Toc318581171"/>
      <w:bookmarkStart w:id="202" w:name="_Toc312678014"/>
      <w:r>
        <w:rPr>
          <w:rFonts w:hint="eastAsia" w:cs="宋体"/>
          <w:color w:val="auto"/>
          <w:sz w:val="21"/>
          <w:szCs w:val="21"/>
          <w:highlight w:val="none"/>
        </w:rPr>
        <w:t>期竣工违约金的上限：</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bookmarkEnd w:id="201"/>
    <w:bookmarkEnd w:id="202"/>
    <w:p w14:paraId="00BF125E">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w:t>
      </w:r>
      <w:bookmarkStart w:id="203" w:name="_Toc297216178"/>
      <w:bookmarkStart w:id="204" w:name="_Toc303539128"/>
      <w:bookmarkStart w:id="205" w:name="_Toc297123519"/>
      <w:bookmarkStart w:id="206" w:name="_Toc304295549"/>
      <w:bookmarkStart w:id="207" w:name="_Toc312678015"/>
      <w:bookmarkStart w:id="208" w:name="_Toc300934971"/>
      <w:r>
        <w:rPr>
          <w:rFonts w:hint="eastAsia" w:cs="宋体"/>
          <w:bCs/>
          <w:color w:val="auto"/>
          <w:sz w:val="21"/>
          <w:szCs w:val="21"/>
          <w:highlight w:val="none"/>
        </w:rPr>
        <w:t>.6 不</w:t>
      </w:r>
      <w:bookmarkEnd w:id="203"/>
      <w:bookmarkEnd w:id="204"/>
      <w:bookmarkEnd w:id="205"/>
      <w:bookmarkEnd w:id="206"/>
      <w:bookmarkEnd w:id="207"/>
      <w:bookmarkEnd w:id="208"/>
      <w:r>
        <w:rPr>
          <w:rFonts w:hint="eastAsia" w:cs="宋体"/>
          <w:bCs/>
          <w:color w:val="auto"/>
          <w:sz w:val="21"/>
          <w:szCs w:val="21"/>
          <w:highlight w:val="none"/>
        </w:rPr>
        <w:t>利物质条件</w:t>
      </w:r>
    </w:p>
    <w:p w14:paraId="1D594E7D">
      <w:pPr>
        <w:adjustRightInd w:val="0"/>
        <w:snapToGrid w:val="0"/>
        <w:spacing w:line="360" w:lineRule="auto"/>
        <w:ind w:firstLine="420" w:firstLineChars="200"/>
        <w:rPr>
          <w:rFonts w:cs="宋体"/>
          <w:b/>
          <w:color w:val="auto"/>
          <w:sz w:val="21"/>
          <w:szCs w:val="21"/>
          <w:highlight w:val="none"/>
          <w:u w:val="single"/>
        </w:rPr>
      </w:pPr>
      <w:bookmarkStart w:id="209" w:name="_Toc303539129"/>
      <w:bookmarkStart w:id="210" w:name="_Toc300934972"/>
      <w:bookmarkStart w:id="211" w:name="_Toc318581172"/>
      <w:bookmarkStart w:id="212" w:name="_Toc297123520"/>
      <w:bookmarkStart w:id="213" w:name="_Toc304295550"/>
      <w:bookmarkStart w:id="214" w:name="_Toc312678016"/>
      <w:bookmarkStart w:id="215" w:name="_Toc297216179"/>
      <w:r>
        <w:rPr>
          <w:rFonts w:hint="eastAsia" w:cs="宋体"/>
          <w:color w:val="auto"/>
          <w:sz w:val="21"/>
          <w:szCs w:val="21"/>
          <w:highlight w:val="none"/>
        </w:rPr>
        <w:t>不利物质条件的其他情形和有关约定：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承包人应了解</w:t>
      </w:r>
      <w:r>
        <w:rPr>
          <w:rFonts w:hint="eastAsia" w:cs="宋体"/>
          <w:color w:val="auto"/>
          <w:sz w:val="21"/>
          <w:szCs w:val="21"/>
          <w:highlight w:val="none"/>
          <w:u w:val="single"/>
          <w:lang w:val="en-US" w:eastAsia="zh-CN"/>
        </w:rPr>
        <w:t>本项配电安装工程所有内容</w:t>
      </w:r>
      <w:r>
        <w:rPr>
          <w:rFonts w:hint="eastAsia" w:ascii="宋体" w:hAnsi="宋体" w:eastAsia="宋体" w:cs="宋体"/>
          <w:color w:val="auto"/>
          <w:sz w:val="21"/>
          <w:szCs w:val="21"/>
          <w:highlight w:val="none"/>
          <w:u w:val="single"/>
        </w:rPr>
        <w:t>，中标后不得以不利物质条件为由提出索赔</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209"/>
    <w:bookmarkEnd w:id="210"/>
    <w:bookmarkEnd w:id="211"/>
    <w:bookmarkEnd w:id="212"/>
    <w:bookmarkEnd w:id="213"/>
    <w:bookmarkEnd w:id="214"/>
    <w:bookmarkEnd w:id="215"/>
    <w:p w14:paraId="781B8176">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w:t>
      </w:r>
      <w:bookmarkStart w:id="216" w:name="_Toc300934973"/>
      <w:bookmarkStart w:id="217" w:name="_Toc303539130"/>
      <w:bookmarkStart w:id="218" w:name="_Toc312678017"/>
      <w:bookmarkStart w:id="219" w:name="_Toc297216180"/>
      <w:bookmarkStart w:id="220" w:name="_Toc297123521"/>
      <w:bookmarkStart w:id="221" w:name="_Toc304295551"/>
      <w:r>
        <w:rPr>
          <w:rFonts w:hint="eastAsia" w:cs="宋体"/>
          <w:bCs/>
          <w:color w:val="auto"/>
          <w:sz w:val="21"/>
          <w:szCs w:val="21"/>
          <w:highlight w:val="none"/>
        </w:rPr>
        <w:t>.7 异常恶劣的气候条件</w:t>
      </w:r>
    </w:p>
    <w:bookmarkEnd w:id="216"/>
    <w:bookmarkEnd w:id="217"/>
    <w:bookmarkEnd w:id="218"/>
    <w:bookmarkEnd w:id="219"/>
    <w:bookmarkEnd w:id="220"/>
    <w:bookmarkEnd w:id="221"/>
    <w:p w14:paraId="540AE50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发包人和承包人同意以下情形视为异常恶劣的气候条件：</w:t>
      </w:r>
    </w:p>
    <w:p w14:paraId="5A677D6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C9E1D0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524FC4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8DD0221">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7.9 提前竣工</w:t>
      </w:r>
    </w:p>
    <w:p w14:paraId="7131FBB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7.9.2 提前竣工的奖励：</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BC1469A">
      <w:pPr>
        <w:snapToGrid w:val="0"/>
        <w:spacing w:before="312" w:beforeLines="100" w:after="312" w:afterLines="100" w:line="360" w:lineRule="auto"/>
        <w:outlineLvl w:val="2"/>
        <w:rPr>
          <w:rFonts w:cs="宋体"/>
          <w:color w:val="auto"/>
          <w:sz w:val="21"/>
          <w:szCs w:val="21"/>
          <w:highlight w:val="none"/>
        </w:rPr>
      </w:pPr>
      <w:bookmarkStart w:id="222" w:name="_Toc351203640"/>
      <w:r>
        <w:rPr>
          <w:rFonts w:hint="eastAsia" w:cs="宋体"/>
          <w:color w:val="auto"/>
          <w:sz w:val="21"/>
          <w:szCs w:val="21"/>
          <w:highlight w:val="none"/>
        </w:rPr>
        <w:t>8. 材料与设备</w:t>
      </w:r>
      <w:bookmarkEnd w:id="222"/>
    </w:p>
    <w:bookmarkEnd w:id="155"/>
    <w:bookmarkEnd w:id="156"/>
    <w:bookmarkEnd w:id="157"/>
    <w:bookmarkEnd w:id="158"/>
    <w:bookmarkEnd w:id="159"/>
    <w:bookmarkEnd w:id="160"/>
    <w:bookmarkEnd w:id="161"/>
    <w:bookmarkEnd w:id="162"/>
    <w:bookmarkEnd w:id="163"/>
    <w:bookmarkEnd w:id="164"/>
    <w:p w14:paraId="0F86BF6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8</w:t>
      </w:r>
      <w:bookmarkStart w:id="223" w:name="_Toc296890995"/>
      <w:bookmarkStart w:id="224" w:name="_Toc297048353"/>
      <w:bookmarkStart w:id="225" w:name="_Toc297123527"/>
      <w:bookmarkStart w:id="226" w:name="_Toc280868654"/>
      <w:bookmarkStart w:id="227" w:name="_Toc292559877"/>
      <w:bookmarkStart w:id="228" w:name="_Toc296944506"/>
      <w:bookmarkStart w:id="229" w:name="_Toc297120467"/>
      <w:bookmarkStart w:id="230" w:name="_Toc296503167"/>
      <w:bookmarkStart w:id="231" w:name="_Toc296891207"/>
      <w:bookmarkStart w:id="232" w:name="_Toc297216186"/>
      <w:bookmarkStart w:id="233" w:name="_Toc296347166"/>
      <w:bookmarkStart w:id="234" w:name="_Toc292559372"/>
      <w:bookmarkStart w:id="235" w:name="_Toc300934979"/>
      <w:bookmarkStart w:id="236" w:name="_Toc303539136"/>
      <w:bookmarkStart w:id="237" w:name="_Toc304295556"/>
      <w:bookmarkStart w:id="238" w:name="_Toc312678019"/>
      <w:bookmarkStart w:id="239" w:name="_Toc312677493"/>
      <w:bookmarkStart w:id="240" w:name="_Toc296346668"/>
      <w:bookmarkStart w:id="241" w:name="_Toc267251424"/>
      <w:bookmarkStart w:id="242" w:name="_Toc280868655"/>
      <w:bookmarkStart w:id="243" w:name="_Toc280868656"/>
      <w:r>
        <w:rPr>
          <w:rFonts w:hint="eastAsia" w:cs="宋体"/>
          <w:color w:val="auto"/>
          <w:sz w:val="21"/>
          <w:szCs w:val="21"/>
          <w:highlight w:val="none"/>
        </w:rPr>
        <w:t>.4 材料与工程设备的保管与使用</w:t>
      </w:r>
    </w:p>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14:paraId="6661C46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8</w:t>
      </w:r>
      <w:bookmarkStart w:id="244" w:name="_Toc292559373"/>
      <w:bookmarkStart w:id="245" w:name="_Toc292559878"/>
      <w:bookmarkStart w:id="246" w:name="_Toc296503168"/>
      <w:bookmarkStart w:id="247" w:name="_Toc296346669"/>
      <w:bookmarkStart w:id="248" w:name="_Toc296891208"/>
      <w:bookmarkStart w:id="249" w:name="_Toc318581173"/>
      <w:bookmarkStart w:id="250" w:name="_Toc296347167"/>
      <w:bookmarkStart w:id="251" w:name="_Toc297120468"/>
      <w:bookmarkStart w:id="252" w:name="_Toc296890996"/>
      <w:bookmarkStart w:id="253" w:name="_Toc303539137"/>
      <w:bookmarkStart w:id="254" w:name="_Toc297048354"/>
      <w:bookmarkStart w:id="255" w:name="_Toc297216187"/>
      <w:bookmarkStart w:id="256" w:name="_Toc300934980"/>
      <w:bookmarkStart w:id="257" w:name="_Toc312677494"/>
      <w:bookmarkStart w:id="258" w:name="_Toc304295557"/>
      <w:bookmarkStart w:id="259" w:name="_Toc297123528"/>
      <w:bookmarkStart w:id="260" w:name="_Toc312678020"/>
      <w:bookmarkStart w:id="261" w:name="_Toc296944507"/>
      <w:r>
        <w:rPr>
          <w:rFonts w:hint="eastAsia" w:cs="宋体"/>
          <w:color w:val="auto"/>
          <w:sz w:val="21"/>
          <w:szCs w:val="21"/>
          <w:highlight w:val="none"/>
        </w:rPr>
        <w:t>.4.1 发包人供应的材料设备的保管费用的承担：</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承包人承担</w:t>
      </w:r>
      <w:r>
        <w:rPr>
          <w:rFonts w:hint="eastAsia" w:cs="宋体"/>
          <w:color w:val="auto"/>
          <w:sz w:val="21"/>
          <w:szCs w:val="21"/>
          <w:highlight w:val="none"/>
          <w:u w:val="single"/>
          <w:lang w:eastAsia="zh-CN"/>
        </w:rPr>
        <w:t>，</w:t>
      </w:r>
      <w:r>
        <w:rPr>
          <w:rFonts w:hint="eastAsia" w:cs="宋体"/>
          <w:color w:val="auto"/>
          <w:sz w:val="21"/>
          <w:szCs w:val="21"/>
          <w:highlight w:val="none"/>
          <w:u w:val="single"/>
          <w:lang w:val="en-US" w:eastAsia="zh-CN"/>
        </w:rPr>
        <w:t>含在工程费用内</w:t>
      </w:r>
      <w:r>
        <w:rPr>
          <w:rFonts w:hint="eastAsia" w:cs="宋体"/>
          <w:color w:val="auto"/>
          <w:sz w:val="21"/>
          <w:szCs w:val="21"/>
          <w:highlight w:val="none"/>
          <w:u w:val="single"/>
        </w:rPr>
        <w:t xml:space="preserve"> </w:t>
      </w:r>
      <w:r>
        <w:rPr>
          <w:rFonts w:hint="eastAsia" w:cs="宋体"/>
          <w:color w:val="auto"/>
          <w:sz w:val="21"/>
          <w:szCs w:val="21"/>
          <w:highlight w:val="none"/>
        </w:rPr>
        <w:t>。</w:t>
      </w:r>
      <w:bookmarkEnd w:id="244"/>
      <w:bookmarkEnd w:id="245"/>
    </w:p>
    <w:p w14:paraId="47EA50F8">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8.6 样品</w:t>
      </w:r>
    </w:p>
    <w:p w14:paraId="22E1945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8.6.1 样品的报送与封存</w:t>
      </w:r>
    </w:p>
    <w:p w14:paraId="13A1E2E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需要承包人报送样品的材料或工程设备，样品的种类、名称、规格、数量要求：</w:t>
      </w:r>
      <w:r>
        <w:rPr>
          <w:rFonts w:hint="eastAsia" w:cs="宋体"/>
          <w:color w:val="auto"/>
          <w:sz w:val="21"/>
          <w:szCs w:val="21"/>
          <w:highlight w:val="none"/>
          <w:u w:val="single"/>
        </w:rPr>
        <w:t xml:space="preserve">  按监理或发包人要求确定 </w:t>
      </w:r>
      <w:r>
        <w:rPr>
          <w:rFonts w:hint="eastAsia" w:cs="宋体"/>
          <w:color w:val="auto"/>
          <w:sz w:val="21"/>
          <w:szCs w:val="21"/>
          <w:highlight w:val="none"/>
        </w:rPr>
        <w:t>。</w:t>
      </w:r>
    </w:p>
    <w:p w14:paraId="7B2407E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8.8 施工设备和临时设施</w:t>
      </w:r>
    </w:p>
    <w:p w14:paraId="3DE55D0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8.8.1 承包人提供的施工设备和临时设施</w:t>
      </w:r>
    </w:p>
    <w:p w14:paraId="35D9AB1C">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关于修建临时设施费用承担的约定：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由承包人自行承担费用 </w:t>
      </w:r>
      <w:r>
        <w:rPr>
          <w:rFonts w:hint="eastAsia" w:cs="宋体"/>
          <w:color w:val="auto"/>
          <w:sz w:val="21"/>
          <w:szCs w:val="21"/>
          <w:highlight w:val="none"/>
          <w:u w:val="single"/>
          <w:lang w:eastAsia="zh-CN"/>
        </w:rPr>
        <w:t>，</w:t>
      </w:r>
      <w:r>
        <w:rPr>
          <w:rFonts w:hint="eastAsia" w:cs="宋体"/>
          <w:color w:val="auto"/>
          <w:sz w:val="21"/>
          <w:szCs w:val="21"/>
          <w:highlight w:val="none"/>
          <w:u w:val="single"/>
          <w:lang w:val="en-US" w:eastAsia="zh-CN"/>
        </w:rPr>
        <w:t>费用含在工程款内</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14:paraId="35EFDDC4">
      <w:pPr>
        <w:snapToGrid w:val="0"/>
        <w:spacing w:before="312" w:beforeLines="100" w:after="312" w:afterLines="100" w:line="360" w:lineRule="auto"/>
        <w:outlineLvl w:val="2"/>
        <w:rPr>
          <w:rFonts w:cs="宋体"/>
          <w:color w:val="auto"/>
          <w:sz w:val="21"/>
          <w:szCs w:val="21"/>
          <w:highlight w:val="none"/>
        </w:rPr>
      </w:pPr>
      <w:bookmarkStart w:id="262" w:name="_Toc351203641"/>
      <w:r>
        <w:rPr>
          <w:rFonts w:hint="eastAsia" w:cs="宋体"/>
          <w:color w:val="auto"/>
          <w:sz w:val="21"/>
          <w:szCs w:val="21"/>
          <w:highlight w:val="none"/>
        </w:rPr>
        <w:t>9</w:t>
      </w:r>
      <w:bookmarkEnd w:id="241"/>
      <w:bookmarkEnd w:id="242"/>
      <w:bookmarkEnd w:id="243"/>
      <w:bookmarkStart w:id="263" w:name="_Toc300934982"/>
      <w:bookmarkStart w:id="264" w:name="_Toc303539139"/>
      <w:bookmarkStart w:id="265" w:name="_Toc304295559"/>
      <w:bookmarkStart w:id="266" w:name="_Toc312677495"/>
      <w:bookmarkStart w:id="267" w:name="_Toc297216192"/>
      <w:bookmarkStart w:id="268" w:name="_Toc297123533"/>
      <w:bookmarkStart w:id="269" w:name="_Toc312678021"/>
      <w:bookmarkStart w:id="270" w:name="_Toc292559883"/>
      <w:bookmarkStart w:id="271" w:name="_Toc296503173"/>
      <w:bookmarkStart w:id="272" w:name="_Toc267251428"/>
      <w:bookmarkStart w:id="273" w:name="_Toc267251427"/>
      <w:bookmarkStart w:id="274" w:name="_Toc297048359"/>
      <w:bookmarkStart w:id="275" w:name="_Toc296891213"/>
      <w:bookmarkStart w:id="276" w:name="_Toc296944512"/>
      <w:bookmarkStart w:id="277" w:name="_Toc296891001"/>
      <w:bookmarkStart w:id="278" w:name="_Toc297120473"/>
      <w:bookmarkStart w:id="279" w:name="_Toc296347172"/>
      <w:bookmarkStart w:id="280" w:name="_Toc292559378"/>
      <w:bookmarkStart w:id="281" w:name="_Toc296346674"/>
      <w:r>
        <w:rPr>
          <w:rFonts w:hint="eastAsia" w:cs="宋体"/>
          <w:color w:val="auto"/>
          <w:sz w:val="21"/>
          <w:szCs w:val="21"/>
          <w:highlight w:val="none"/>
        </w:rPr>
        <w:t>. 试验与检验</w:t>
      </w:r>
      <w:bookmarkEnd w:id="262"/>
    </w:p>
    <w:bookmarkEnd w:id="263"/>
    <w:bookmarkEnd w:id="264"/>
    <w:bookmarkEnd w:id="265"/>
    <w:bookmarkEnd w:id="266"/>
    <w:bookmarkEnd w:id="267"/>
    <w:bookmarkEnd w:id="268"/>
    <w:bookmarkEnd w:id="269"/>
    <w:p w14:paraId="21934BD1">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9</w:t>
      </w:r>
      <w:bookmarkStart w:id="282" w:name="_Toc300934983"/>
      <w:bookmarkStart w:id="283" w:name="_Toc303539140"/>
      <w:bookmarkStart w:id="284" w:name="_Toc297123534"/>
      <w:bookmarkStart w:id="285" w:name="_Toc297216193"/>
      <w:bookmarkStart w:id="286" w:name="_Toc312677496"/>
      <w:bookmarkStart w:id="287" w:name="_Toc312678022"/>
      <w:bookmarkStart w:id="288" w:name="_Toc304295560"/>
      <w:r>
        <w:rPr>
          <w:rFonts w:hint="eastAsia" w:cs="宋体"/>
          <w:bCs/>
          <w:color w:val="auto"/>
          <w:sz w:val="21"/>
          <w:szCs w:val="21"/>
          <w:highlight w:val="none"/>
        </w:rPr>
        <w:t>.1 试验设备与试验人员</w:t>
      </w:r>
    </w:p>
    <w:bookmarkEnd w:id="282"/>
    <w:bookmarkEnd w:id="283"/>
    <w:bookmarkEnd w:id="284"/>
    <w:bookmarkEnd w:id="285"/>
    <w:bookmarkEnd w:id="286"/>
    <w:bookmarkEnd w:id="287"/>
    <w:bookmarkEnd w:id="288"/>
    <w:p w14:paraId="37D87E4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9</w:t>
      </w:r>
      <w:bookmarkStart w:id="289" w:name="_Toc300934984"/>
      <w:bookmarkStart w:id="290" w:name="_Toc303539141"/>
      <w:bookmarkStart w:id="291" w:name="_Toc312677497"/>
      <w:bookmarkStart w:id="292" w:name="_Toc304295561"/>
      <w:bookmarkStart w:id="293" w:name="_Toc312678023"/>
      <w:bookmarkStart w:id="294" w:name="_Toc297216194"/>
      <w:bookmarkStart w:id="295" w:name="_Toc297123535"/>
      <w:bookmarkStart w:id="296" w:name="_Toc318581174"/>
      <w:r>
        <w:rPr>
          <w:rFonts w:hint="eastAsia" w:cs="宋体"/>
          <w:color w:val="auto"/>
          <w:sz w:val="21"/>
          <w:szCs w:val="21"/>
          <w:highlight w:val="none"/>
        </w:rPr>
        <w:t>.1.2 试验设备</w:t>
      </w:r>
    </w:p>
    <w:bookmarkEnd w:id="289"/>
    <w:bookmarkEnd w:id="290"/>
    <w:bookmarkEnd w:id="291"/>
    <w:bookmarkEnd w:id="292"/>
    <w:bookmarkEnd w:id="293"/>
    <w:bookmarkEnd w:id="294"/>
    <w:bookmarkEnd w:id="295"/>
    <w:p w14:paraId="00D710C5">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bookmarkStart w:id="297" w:name="_Toc312678024"/>
      <w:bookmarkStart w:id="298" w:name="_Toc303539142"/>
      <w:bookmarkStart w:id="299" w:name="_Toc297123536"/>
      <w:bookmarkStart w:id="300" w:name="_Toc300934985"/>
      <w:bookmarkStart w:id="301" w:name="_Toc312677498"/>
      <w:bookmarkStart w:id="302" w:name="_Toc304295562"/>
      <w:bookmarkStart w:id="303" w:name="_Toc297216195"/>
      <w:r>
        <w:rPr>
          <w:rFonts w:hint="eastAsia" w:cs="宋体"/>
          <w:color w:val="auto"/>
          <w:sz w:val="21"/>
          <w:szCs w:val="21"/>
          <w:highlight w:val="none"/>
        </w:rPr>
        <w:t xml:space="preserve">施工现场需要配置的试验场所：  </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rPr>
        <w:t>。</w:t>
      </w:r>
    </w:p>
    <w:p w14:paraId="3B0B3B8C">
      <w:pPr>
        <w:pageBreakBefore w:val="0"/>
        <w:kinsoku/>
        <w:wordWrap/>
        <w:topLinePunct w:val="0"/>
        <w:bidi w:val="0"/>
        <w:adjustRightInd w:val="0"/>
        <w:snapToGrid w:val="0"/>
        <w:spacing w:beforeAutospacing="0" w:line="520" w:lineRule="exact"/>
        <w:ind w:firstLine="420" w:firstLineChars="200"/>
        <w:rPr>
          <w:rFonts w:cs="宋体"/>
          <w:color w:val="auto"/>
          <w:sz w:val="21"/>
          <w:szCs w:val="21"/>
          <w:highlight w:val="none"/>
          <w:u w:val="single"/>
        </w:rPr>
      </w:pPr>
      <w:r>
        <w:rPr>
          <w:rFonts w:hint="eastAsia" w:cs="宋体"/>
          <w:color w:val="auto"/>
          <w:sz w:val="21"/>
          <w:szCs w:val="21"/>
          <w:highlight w:val="none"/>
        </w:rPr>
        <w:t>施工现场需要配备的试验设备：</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rPr>
        <w:t>。</w:t>
      </w:r>
    </w:p>
    <w:p w14:paraId="3B64FC4A">
      <w:pPr>
        <w:keepNext/>
        <w:keepLines/>
        <w:snapToGrid w:val="0"/>
        <w:spacing w:before="120" w:after="120" w:line="360" w:lineRule="auto"/>
        <w:ind w:firstLine="420" w:firstLineChars="200"/>
        <w:outlineLvl w:val="3"/>
        <w:rPr>
          <w:rFonts w:hint="eastAsia" w:cs="宋体"/>
          <w:color w:val="auto"/>
          <w:sz w:val="21"/>
          <w:szCs w:val="21"/>
          <w:highlight w:val="none"/>
        </w:rPr>
      </w:pPr>
      <w:r>
        <w:rPr>
          <w:rFonts w:hint="eastAsia" w:cs="宋体"/>
          <w:color w:val="auto"/>
          <w:sz w:val="21"/>
          <w:szCs w:val="21"/>
          <w:highlight w:val="none"/>
        </w:rPr>
        <w:t>施工现场需要具备的其他试验条件：</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0599E05">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 xml:space="preserve">9.4 现场工艺试验 </w:t>
      </w:r>
    </w:p>
    <w:p w14:paraId="6A5D71E0">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现场工艺试验的有关约定：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296"/>
    <w:bookmarkEnd w:id="297"/>
    <w:bookmarkEnd w:id="298"/>
    <w:bookmarkEnd w:id="299"/>
    <w:bookmarkEnd w:id="300"/>
    <w:bookmarkEnd w:id="301"/>
    <w:bookmarkEnd w:id="302"/>
    <w:bookmarkEnd w:id="303"/>
    <w:p w14:paraId="56F431E1">
      <w:pPr>
        <w:snapToGrid w:val="0"/>
        <w:spacing w:before="312" w:beforeLines="100" w:after="312" w:afterLines="100" w:line="360" w:lineRule="auto"/>
        <w:outlineLvl w:val="2"/>
        <w:rPr>
          <w:rFonts w:cs="宋体"/>
          <w:color w:val="auto"/>
          <w:sz w:val="21"/>
          <w:szCs w:val="21"/>
          <w:highlight w:val="none"/>
        </w:rPr>
      </w:pPr>
      <w:bookmarkStart w:id="304" w:name="_Toc351203642"/>
      <w:r>
        <w:rPr>
          <w:rFonts w:hint="eastAsia" w:cs="宋体"/>
          <w:color w:val="auto"/>
          <w:sz w:val="21"/>
          <w:szCs w:val="21"/>
          <w:highlight w:val="none"/>
        </w:rPr>
        <w:t>1</w:t>
      </w:r>
      <w:bookmarkEnd w:id="270"/>
      <w:bookmarkEnd w:id="271"/>
      <w:bookmarkEnd w:id="272"/>
      <w:bookmarkEnd w:id="273"/>
      <w:bookmarkEnd w:id="274"/>
      <w:bookmarkEnd w:id="275"/>
      <w:bookmarkEnd w:id="276"/>
      <w:bookmarkEnd w:id="277"/>
      <w:bookmarkEnd w:id="278"/>
      <w:bookmarkEnd w:id="279"/>
      <w:bookmarkEnd w:id="280"/>
      <w:bookmarkEnd w:id="281"/>
      <w:bookmarkStart w:id="305" w:name="_Toc304295566"/>
      <w:bookmarkStart w:id="306" w:name="_Toc296891233"/>
      <w:bookmarkStart w:id="307" w:name="_Toc292559398"/>
      <w:bookmarkStart w:id="308" w:name="_Toc300934989"/>
      <w:bookmarkStart w:id="309" w:name="_Toc297216199"/>
      <w:bookmarkStart w:id="310" w:name="_Toc292559903"/>
      <w:bookmarkStart w:id="311" w:name="_Toc296346694"/>
      <w:bookmarkStart w:id="312" w:name="_Toc297048379"/>
      <w:bookmarkStart w:id="313" w:name="_Toc297123540"/>
      <w:bookmarkStart w:id="314" w:name="_Toc296891021"/>
      <w:bookmarkStart w:id="315" w:name="_Toc296347192"/>
      <w:bookmarkStart w:id="316" w:name="_Toc296944532"/>
      <w:bookmarkStart w:id="317" w:name="_Toc296503193"/>
      <w:bookmarkStart w:id="318" w:name="_Toc303539146"/>
      <w:bookmarkStart w:id="319" w:name="_Toc297120493"/>
      <w:bookmarkStart w:id="320" w:name="_Toc312677499"/>
      <w:bookmarkStart w:id="321" w:name="_Toc312678025"/>
      <w:bookmarkStart w:id="322" w:name="_Toc267251441"/>
      <w:bookmarkStart w:id="323" w:name="_Toc267251440"/>
      <w:bookmarkStart w:id="324" w:name="_Toc267251439"/>
      <w:bookmarkStart w:id="325" w:name="_Toc267251433"/>
      <w:bookmarkStart w:id="326" w:name="_Toc267251437"/>
      <w:bookmarkStart w:id="327" w:name="_Toc267251435"/>
      <w:bookmarkStart w:id="328" w:name="_Toc267251442"/>
      <w:r>
        <w:rPr>
          <w:rFonts w:hint="eastAsia" w:cs="宋体"/>
          <w:color w:val="auto"/>
          <w:sz w:val="21"/>
          <w:szCs w:val="21"/>
          <w:highlight w:val="none"/>
        </w:rPr>
        <w:t>0. 变更</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bookmarkEnd w:id="320"/>
    <w:bookmarkEnd w:id="321"/>
    <w:p w14:paraId="151D2A73">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w:t>
      </w:r>
      <w:bookmarkStart w:id="329" w:name="_Toc312677500"/>
      <w:bookmarkStart w:id="330" w:name="_Toc296347193"/>
      <w:bookmarkStart w:id="331" w:name="_Toc297048380"/>
      <w:bookmarkStart w:id="332" w:name="_Toc296891022"/>
      <w:bookmarkStart w:id="333" w:name="_Toc312678026"/>
      <w:bookmarkStart w:id="334" w:name="_Toc297120494"/>
      <w:bookmarkStart w:id="335" w:name="_Toc292559904"/>
      <w:bookmarkStart w:id="336" w:name="_Toc297216200"/>
      <w:bookmarkStart w:id="337" w:name="_Toc304295567"/>
      <w:bookmarkStart w:id="338" w:name="_Toc303539147"/>
      <w:bookmarkStart w:id="339" w:name="_Toc296503194"/>
      <w:bookmarkStart w:id="340" w:name="_Toc292559399"/>
      <w:bookmarkStart w:id="341" w:name="_Toc296944533"/>
      <w:bookmarkStart w:id="342" w:name="_Toc297123541"/>
      <w:bookmarkStart w:id="343" w:name="_Toc296346695"/>
      <w:bookmarkStart w:id="344" w:name="_Toc300934990"/>
      <w:bookmarkStart w:id="345" w:name="_Toc296891234"/>
      <w:r>
        <w:rPr>
          <w:rFonts w:hint="eastAsia" w:cs="宋体"/>
          <w:bCs/>
          <w:color w:val="auto"/>
          <w:sz w:val="21"/>
          <w:szCs w:val="21"/>
          <w:highlight w:val="none"/>
        </w:rPr>
        <w:t>0.1 变更的范围</w:t>
      </w:r>
    </w:p>
    <w:p w14:paraId="6EBF1A34">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关于变更的范围的约定：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按有关规定执行，承包人自行承担费用</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BE4116C">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10.4 变更估价</w:t>
      </w:r>
    </w:p>
    <w:p w14:paraId="5B9DED8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10.4.1 变更估价原则</w:t>
      </w:r>
    </w:p>
    <w:p w14:paraId="08863B7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关于变更估价的约定：</w:t>
      </w:r>
    </w:p>
    <w:p w14:paraId="7EB38AD0">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10.4.1.1 因工程变更引起已标价工程量清单项目或其工程数量发生变化时，按下列规定调整：</w:t>
      </w:r>
    </w:p>
    <w:p w14:paraId="34373866">
      <w:pPr>
        <w:pageBreakBefore w:val="0"/>
        <w:kinsoku/>
        <w:wordWrap/>
        <w:topLinePunct w:val="0"/>
        <w:bidi w:val="0"/>
        <w:snapToGrid w:val="0"/>
        <w:spacing w:beforeAutospacing="0" w:line="520" w:lineRule="exact"/>
        <w:ind w:firstLine="422" w:firstLineChars="20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1）合同中有类似工程项目的，变更导致结算工程量减少0-100%或增加15%以内部分，执行中标单价；若清单子目实际工程量增加超出清单工程量的15％的，超出15％以外部分，若中标综合单价高于（最高投标限价中综合单价×投标让利幅度）时，按（最高投标限价中综合单价×投标让利幅度）计算；若中标综合单价低于（最高投标限价中综合单价×投标让利幅度）时，执行中标单价(组价明显错误的予以纠正) 。</w:t>
      </w:r>
    </w:p>
    <w:p w14:paraId="5C84C1EB">
      <w:pPr>
        <w:pageBreakBefore w:val="0"/>
        <w:kinsoku/>
        <w:wordWrap/>
        <w:topLinePunct w:val="0"/>
        <w:bidi w:val="0"/>
        <w:snapToGrid w:val="0"/>
        <w:spacing w:beforeAutospacing="0" w:line="520" w:lineRule="exact"/>
        <w:ind w:firstLine="422" w:firstLineChars="20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注：投标让利幅度为中标价/最高投标限价，其中中标价和最高投标限价均扣除暂定金额、暂估价。</w:t>
      </w:r>
    </w:p>
    <w:p w14:paraId="19BE1808">
      <w:pPr>
        <w:pageBreakBefore w:val="0"/>
        <w:kinsoku/>
        <w:wordWrap/>
        <w:topLinePunct w:val="0"/>
        <w:bidi w:val="0"/>
        <w:snapToGrid w:val="0"/>
        <w:spacing w:beforeAutospacing="0" w:line="520" w:lineRule="exact"/>
        <w:ind w:firstLine="422" w:firstLineChars="200"/>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 xml:space="preserve">（2）合同中没有类似工程项目的，由承包人参考“清单计价依据”提出适当的综合单价，报工程造价咨询机构审定后乘以中标价/最高投标限价作为结算依据。（中标价和最高投标限价均应扣除暂列金额和暂估价部分） </w:t>
      </w:r>
    </w:p>
    <w:p w14:paraId="6A865B87">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技术措施费调整：</w:t>
      </w:r>
      <w:r>
        <w:rPr>
          <w:rFonts w:hint="eastAsia" w:ascii="宋体" w:hAnsi="宋体" w:eastAsia="宋体" w:cs="宋体"/>
          <w:b/>
          <w:color w:val="auto"/>
          <w:sz w:val="21"/>
          <w:szCs w:val="21"/>
          <w:highlight w:val="none"/>
          <w:u w:val="single"/>
        </w:rPr>
        <w:t>因承包人擅自改变施工技术措施，造成的价格变动，措施费不予调整。因工程量清单错误必须改变原来施工技术措施，履行变更手续，按照工程变更条款执行。</w:t>
      </w:r>
    </w:p>
    <w:p w14:paraId="1599912C">
      <w:pPr>
        <w:pageBreakBefore w:val="0"/>
        <w:kinsoku/>
        <w:wordWrap/>
        <w:topLinePunct w:val="0"/>
        <w:bidi w:val="0"/>
        <w:snapToGrid w:val="0"/>
        <w:spacing w:beforeAutospacing="0" w:line="520" w:lineRule="exact"/>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组织措施费调整：</w:t>
      </w:r>
      <w:r>
        <w:rPr>
          <w:rFonts w:hint="eastAsia" w:ascii="宋体" w:hAnsi="宋体" w:eastAsia="宋体" w:cs="宋体"/>
          <w:color w:val="auto"/>
          <w:sz w:val="21"/>
          <w:szCs w:val="21"/>
          <w:highlight w:val="none"/>
          <w:u w:val="single"/>
        </w:rPr>
        <w:t xml:space="preserve"> 按实调整。</w:t>
      </w:r>
    </w:p>
    <w:p w14:paraId="6C5E0282">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Start w:id="346" w:name="_Toc303539150"/>
      <w:bookmarkStart w:id="347" w:name="_Toc300934993"/>
      <w:bookmarkStart w:id="348" w:name="_Toc296891237"/>
      <w:bookmarkStart w:id="349" w:name="_Toc296944536"/>
      <w:bookmarkStart w:id="350" w:name="_Toc297120497"/>
      <w:bookmarkStart w:id="351" w:name="_Toc296891025"/>
      <w:bookmarkStart w:id="352" w:name="_Toc292559402"/>
      <w:bookmarkStart w:id="353" w:name="_Toc296347196"/>
      <w:bookmarkStart w:id="354" w:name="_Toc292559907"/>
      <w:bookmarkStart w:id="355" w:name="_Toc296346698"/>
      <w:bookmarkStart w:id="356" w:name="_Toc297216203"/>
      <w:bookmarkStart w:id="357" w:name="_Toc297048383"/>
      <w:bookmarkStart w:id="358" w:name="_Toc296503197"/>
      <w:bookmarkStart w:id="359" w:name="_Toc297123544"/>
      <w:bookmarkStart w:id="360" w:name="_Toc312677503"/>
      <w:bookmarkStart w:id="361" w:name="_Toc312678029"/>
      <w:bookmarkStart w:id="362" w:name="_Toc304295570"/>
      <w:r>
        <w:rPr>
          <w:rFonts w:hint="eastAsia" w:cs="宋体"/>
          <w:bCs/>
          <w:color w:val="auto"/>
          <w:sz w:val="21"/>
          <w:szCs w:val="21"/>
          <w:highlight w:val="none"/>
        </w:rPr>
        <w:t>0.5 承</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Start w:id="363" w:name="_Toc297048389"/>
      <w:bookmarkStart w:id="364" w:name="_Toc296503203"/>
      <w:bookmarkStart w:id="365" w:name="_Toc300934994"/>
      <w:bookmarkStart w:id="366" w:name="_Toc296891243"/>
      <w:bookmarkStart w:id="367" w:name="_Toc297216204"/>
      <w:bookmarkStart w:id="368" w:name="_Toc296891031"/>
      <w:bookmarkStart w:id="369" w:name="_Toc292559913"/>
      <w:bookmarkStart w:id="370" w:name="_Toc296347202"/>
      <w:bookmarkStart w:id="371" w:name="_Toc303539151"/>
      <w:bookmarkStart w:id="372" w:name="_Toc297120503"/>
      <w:bookmarkStart w:id="373" w:name="_Toc296944542"/>
      <w:bookmarkStart w:id="374" w:name="_Toc292559408"/>
      <w:bookmarkStart w:id="375" w:name="_Toc297123545"/>
      <w:bookmarkStart w:id="376" w:name="_Toc296346704"/>
      <w:r>
        <w:rPr>
          <w:rFonts w:hint="eastAsia" w:cs="宋体"/>
          <w:bCs/>
          <w:color w:val="auto"/>
          <w:sz w:val="21"/>
          <w:szCs w:val="21"/>
          <w:highlight w:val="none"/>
        </w:rPr>
        <w:t>包人的合理化建议</w:t>
      </w:r>
    </w:p>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14:paraId="708EE685">
      <w:pPr>
        <w:pageBreakBefore w:val="0"/>
        <w:kinsoku/>
        <w:wordWrap/>
        <w:topLinePunct w:val="0"/>
        <w:bidi w:val="0"/>
        <w:snapToGrid w:val="0"/>
        <w:spacing w:beforeAutospacing="0" w:line="5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监理人应在收到承包人提交的合理化建议后7天内审查完毕并报送发包人，发现其中存在技术上的缺陷，应通知承包人修改。</w:t>
      </w:r>
    </w:p>
    <w:p w14:paraId="29C4485E">
      <w:pPr>
        <w:pageBreakBefore w:val="0"/>
        <w:kinsoku/>
        <w:wordWrap/>
        <w:topLinePunct w:val="0"/>
        <w:bidi w:val="0"/>
        <w:snapToGrid w:val="0"/>
        <w:spacing w:beforeAutospacing="0" w:line="5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021B392F">
      <w:pPr>
        <w:pageBreakBefore w:val="0"/>
        <w:kinsoku/>
        <w:wordWrap/>
        <w:topLinePunct w:val="0"/>
        <w:bidi w:val="0"/>
        <w:snapToGrid w:val="0"/>
        <w:spacing w:beforeAutospacing="0" w:line="520" w:lineRule="exact"/>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承包人提出的合理化建议降低了合同价格或者提高了工程经济效益的奖励的方法和金额为：</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2E216424">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w:t>
      </w:r>
      <w:bookmarkStart w:id="377" w:name="_Toc297216207"/>
      <w:bookmarkStart w:id="378" w:name="_Toc296346700"/>
      <w:bookmarkStart w:id="379" w:name="_Toc296347198"/>
      <w:bookmarkStart w:id="380" w:name="_Toc303539154"/>
      <w:bookmarkStart w:id="381" w:name="_Toc297123548"/>
      <w:bookmarkStart w:id="382" w:name="_Toc296891239"/>
      <w:bookmarkStart w:id="383" w:name="_Toc296891027"/>
      <w:bookmarkStart w:id="384" w:name="_Toc296503199"/>
      <w:bookmarkStart w:id="385" w:name="_Toc312678033"/>
      <w:bookmarkStart w:id="386" w:name="_Toc304295574"/>
      <w:bookmarkStart w:id="387" w:name="_Toc300934997"/>
      <w:bookmarkStart w:id="388" w:name="_Toc312677507"/>
      <w:bookmarkStart w:id="389" w:name="_Toc297120499"/>
      <w:bookmarkStart w:id="390" w:name="_Toc297048385"/>
      <w:bookmarkStart w:id="391" w:name="_Toc292559909"/>
      <w:bookmarkStart w:id="392" w:name="_Toc296944538"/>
      <w:bookmarkStart w:id="393" w:name="_Toc292559404"/>
      <w:r>
        <w:rPr>
          <w:rFonts w:hint="eastAsia" w:cs="宋体"/>
          <w:bCs/>
          <w:color w:val="auto"/>
          <w:sz w:val="21"/>
          <w:szCs w:val="21"/>
          <w:highlight w:val="none"/>
        </w:rPr>
        <w:t>0.7 暂估价</w:t>
      </w:r>
    </w:p>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14:paraId="118432B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暂</w:t>
      </w:r>
      <w:bookmarkStart w:id="394" w:name="_Toc312678034"/>
      <w:bookmarkStart w:id="395" w:name="_Toc318581176"/>
      <w:bookmarkStart w:id="396" w:name="_Toc312677508"/>
      <w:r>
        <w:rPr>
          <w:rFonts w:hint="eastAsia" w:cs="宋体"/>
          <w:color w:val="auto"/>
          <w:sz w:val="21"/>
          <w:szCs w:val="21"/>
          <w:highlight w:val="none"/>
        </w:rPr>
        <w:t>估价材料和工程设备的明细见附件12：《暂估价一览表》。</w:t>
      </w:r>
    </w:p>
    <w:bookmarkEnd w:id="394"/>
    <w:bookmarkEnd w:id="395"/>
    <w:bookmarkEnd w:id="396"/>
    <w:p w14:paraId="6734994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w:t>
      </w:r>
      <w:bookmarkStart w:id="397" w:name="_Toc318581177"/>
      <w:bookmarkStart w:id="398" w:name="_Toc312678035"/>
      <w:bookmarkStart w:id="399" w:name="_Toc312677509"/>
      <w:r>
        <w:rPr>
          <w:rFonts w:hint="eastAsia" w:cs="宋体"/>
          <w:color w:val="auto"/>
          <w:sz w:val="21"/>
          <w:szCs w:val="21"/>
          <w:highlight w:val="none"/>
        </w:rPr>
        <w:t>0.7.1 依法必须招标的暂估价项目</w:t>
      </w:r>
    </w:p>
    <w:bookmarkEnd w:id="397"/>
    <w:bookmarkEnd w:id="398"/>
    <w:bookmarkEnd w:id="399"/>
    <w:p w14:paraId="216C395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对于依法必须招标的暂估价项目的确认和批准采取第</w:t>
      </w:r>
      <w:r>
        <w:rPr>
          <w:rFonts w:hint="eastAsia" w:cs="宋体"/>
          <w:color w:val="auto"/>
          <w:sz w:val="21"/>
          <w:szCs w:val="21"/>
          <w:highlight w:val="none"/>
          <w:u w:val="single"/>
        </w:rPr>
        <w:t>2</w:t>
      </w:r>
      <w:r>
        <w:rPr>
          <w:rFonts w:hint="eastAsia" w:cs="宋体"/>
          <w:color w:val="auto"/>
          <w:sz w:val="21"/>
          <w:szCs w:val="21"/>
          <w:highlight w:val="none"/>
        </w:rPr>
        <w:t>种方式确定。</w:t>
      </w:r>
      <w:r>
        <w:rPr>
          <w:rFonts w:hint="eastAsia" w:cs="宋体"/>
          <w:b/>
          <w:color w:val="auto"/>
          <w:sz w:val="21"/>
          <w:szCs w:val="21"/>
          <w:highlight w:val="none"/>
          <w:u w:val="single"/>
        </w:rPr>
        <w:t>并应按相关规定进行二次招标</w:t>
      </w:r>
      <w:r>
        <w:rPr>
          <w:rFonts w:hint="eastAsia" w:cs="宋体"/>
          <w:color w:val="auto"/>
          <w:sz w:val="21"/>
          <w:szCs w:val="21"/>
          <w:highlight w:val="none"/>
        </w:rPr>
        <w:t>。</w:t>
      </w:r>
    </w:p>
    <w:p w14:paraId="25235EC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10.7.2 不属于依法必须招标的暂估价项目</w:t>
      </w:r>
    </w:p>
    <w:p w14:paraId="17036AD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对于不属于依法必须招标的暂估价项目的确认和批准采取第</w:t>
      </w:r>
      <w:r>
        <w:rPr>
          <w:rFonts w:hint="eastAsia" w:cs="宋体"/>
          <w:color w:val="auto"/>
          <w:sz w:val="21"/>
          <w:szCs w:val="21"/>
          <w:highlight w:val="none"/>
          <w:u w:val="single"/>
        </w:rPr>
        <w:t>1</w:t>
      </w:r>
      <w:r>
        <w:rPr>
          <w:rFonts w:hint="eastAsia" w:cs="宋体"/>
          <w:color w:val="auto"/>
          <w:sz w:val="21"/>
          <w:szCs w:val="21"/>
          <w:highlight w:val="none"/>
        </w:rPr>
        <w:t>种方式确定。</w:t>
      </w:r>
    </w:p>
    <w:p w14:paraId="5F49FE2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第3种方式：承包人直接实施的暂估价项目</w:t>
      </w:r>
    </w:p>
    <w:p w14:paraId="4053C8C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承包人直接实施的暂估价项目的约定：</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3A092A5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10.8 暂列金额</w:t>
      </w:r>
    </w:p>
    <w:p w14:paraId="5A55F14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合同当事人关于暂列金额使用的约定：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暂列金是发包人为可能发生工程变更而暂列的金额，是发包人自行确定设立的，承包商无权使用此笔费用。此费用按实际发生经发包人签证后确定全部使用、部分使用或不使用。暂列金不计入工程款付款的基数</w:t>
      </w:r>
      <w:r>
        <w:rPr>
          <w:rFonts w:hint="eastAsia" w:cs="宋体"/>
          <w:color w:val="auto"/>
          <w:sz w:val="21"/>
          <w:szCs w:val="21"/>
          <w:highlight w:val="none"/>
        </w:rPr>
        <w:t>。</w:t>
      </w:r>
    </w:p>
    <w:p w14:paraId="7107E05A">
      <w:pPr>
        <w:snapToGrid w:val="0"/>
        <w:spacing w:before="312" w:beforeLines="100" w:after="312" w:afterLines="100" w:line="360" w:lineRule="auto"/>
        <w:outlineLvl w:val="2"/>
        <w:rPr>
          <w:rFonts w:cs="宋体"/>
          <w:color w:val="auto"/>
          <w:sz w:val="21"/>
          <w:szCs w:val="21"/>
          <w:highlight w:val="none"/>
        </w:rPr>
      </w:pPr>
      <w:bookmarkStart w:id="400" w:name="_Toc351203643"/>
      <w:r>
        <w:rPr>
          <w:rFonts w:hint="eastAsia" w:cs="宋体"/>
          <w:color w:val="auto"/>
          <w:sz w:val="21"/>
          <w:szCs w:val="21"/>
          <w:highlight w:val="none"/>
        </w:rPr>
        <w:t>11. 价格调整</w:t>
      </w:r>
      <w:bookmarkEnd w:id="400"/>
    </w:p>
    <w:p w14:paraId="02EF9EAB">
      <w:pPr>
        <w:keepNext/>
        <w:keepLines/>
        <w:snapToGrid w:val="0"/>
        <w:spacing w:before="120" w:after="120" w:line="360" w:lineRule="auto"/>
        <w:ind w:firstLine="420" w:firstLineChars="200"/>
        <w:outlineLvl w:val="3"/>
        <w:rPr>
          <w:rFonts w:cs="宋体"/>
          <w:bCs/>
          <w:color w:val="auto"/>
          <w:sz w:val="21"/>
          <w:szCs w:val="21"/>
          <w:highlight w:val="none"/>
        </w:rPr>
      </w:pPr>
      <w:bookmarkStart w:id="401" w:name="_Toc300935000"/>
      <w:bookmarkStart w:id="402" w:name="_Toc296944540"/>
      <w:bookmarkStart w:id="403" w:name="_Toc297216209"/>
      <w:bookmarkStart w:id="404" w:name="_Toc296346702"/>
      <w:bookmarkStart w:id="405" w:name="_Toc297120501"/>
      <w:bookmarkStart w:id="406" w:name="_Toc296891029"/>
      <w:bookmarkStart w:id="407" w:name="_Toc303539157"/>
      <w:bookmarkStart w:id="408" w:name="_Toc292559911"/>
      <w:bookmarkStart w:id="409" w:name="_Toc296503201"/>
      <w:bookmarkStart w:id="410" w:name="_Toc296347200"/>
      <w:bookmarkStart w:id="411" w:name="_Toc292559406"/>
      <w:bookmarkStart w:id="412" w:name="_Toc304295577"/>
      <w:bookmarkStart w:id="413" w:name="_Toc297123550"/>
      <w:bookmarkStart w:id="414" w:name="_Toc297048387"/>
      <w:bookmarkStart w:id="415" w:name="_Toc312678039"/>
      <w:bookmarkStart w:id="416" w:name="_Toc296891241"/>
      <w:r>
        <w:rPr>
          <w:rFonts w:hint="eastAsia" w:cs="宋体"/>
          <w:bCs/>
          <w:color w:val="auto"/>
          <w:sz w:val="21"/>
          <w:szCs w:val="21"/>
          <w:highlight w:val="none"/>
        </w:rPr>
        <w:t>11.1 市场价格波动引起的调整</w:t>
      </w:r>
    </w:p>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14:paraId="7E32BB9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市场价格波动是否调整合同价格的约定：</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175D2F7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因市场价格波动调整合同价格，采用以下第</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种方式对合同价格进行调整：</w:t>
      </w:r>
    </w:p>
    <w:p w14:paraId="5E94BD0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第1种方式：采用价格指数进行价格调整。</w:t>
      </w:r>
    </w:p>
    <w:p w14:paraId="2BD1CB7A">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关于各可调因子、定值和变值权重，以及基本价格指数及其来源的约定：</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7F038CA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第2种方式：采用造价信息进行价格调整。</w:t>
      </w:r>
    </w:p>
    <w:p w14:paraId="2B0AF3D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（1）可调整价格的主要材料范围的约定：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894BDD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（2）主要材料价差调整周期的约定：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F7C66E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（3）主要材料价差调整计算方法的约定：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CDF201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（4）主要材料价差调整时间的约定：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3E1A0C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（2）关于基准价格的约定：</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242A0A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①承包人在已标价工程量清单或预算书中载明的材料单价低于基准价格的：专用合同条款合同履行期间材料单价涨幅以基准价格为基础超过</w:t>
      </w:r>
      <w:r>
        <w:rPr>
          <w:rFonts w:hint="eastAsia" w:cs="宋体"/>
          <w:color w:val="auto"/>
          <w:sz w:val="21"/>
          <w:szCs w:val="21"/>
          <w:highlight w:val="none"/>
          <w:u w:val="single"/>
        </w:rPr>
        <w:t xml:space="preserve">    </w:t>
      </w:r>
      <w:r>
        <w:rPr>
          <w:rFonts w:hint="eastAsia" w:cs="宋体"/>
          <w:color w:val="auto"/>
          <w:sz w:val="21"/>
          <w:szCs w:val="21"/>
          <w:highlight w:val="none"/>
        </w:rPr>
        <w:t>%时，或材料单价跌幅以已标价工程量清单或预算书中载明材料单价为基础超过</w:t>
      </w:r>
      <w:r>
        <w:rPr>
          <w:rFonts w:hint="eastAsia" w:cs="宋体"/>
          <w:color w:val="auto"/>
          <w:sz w:val="21"/>
          <w:szCs w:val="21"/>
          <w:highlight w:val="none"/>
          <w:u w:val="single"/>
        </w:rPr>
        <w:t xml:space="preserve">     </w:t>
      </w:r>
      <w:r>
        <w:rPr>
          <w:rFonts w:hint="eastAsia" w:cs="宋体"/>
          <w:color w:val="auto"/>
          <w:sz w:val="21"/>
          <w:szCs w:val="21"/>
          <w:highlight w:val="none"/>
        </w:rPr>
        <w:t>%时，其超过部分据实调整。</w:t>
      </w:r>
    </w:p>
    <w:p w14:paraId="4BF2C55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②承包人在已标价工程量清单或预算书中载明的材料单价高于基准价格的：专用合同条款合同履行期间材料单价跌幅以基准价格为基础超过</w:t>
      </w:r>
      <w:r>
        <w:rPr>
          <w:rFonts w:hint="eastAsia" w:cs="宋体"/>
          <w:color w:val="auto"/>
          <w:sz w:val="21"/>
          <w:szCs w:val="21"/>
          <w:highlight w:val="none"/>
          <w:u w:val="single"/>
        </w:rPr>
        <w:t xml:space="preserve">    </w:t>
      </w:r>
      <w:r>
        <w:rPr>
          <w:rFonts w:hint="eastAsia" w:cs="宋体"/>
          <w:color w:val="auto"/>
          <w:sz w:val="21"/>
          <w:szCs w:val="21"/>
          <w:highlight w:val="none"/>
        </w:rPr>
        <w:t>%时，材料单价涨幅以已标价工程量清单或预算书中载明材料单价为基础超过</w:t>
      </w:r>
      <w:r>
        <w:rPr>
          <w:rFonts w:hint="eastAsia" w:cs="宋体"/>
          <w:color w:val="auto"/>
          <w:sz w:val="21"/>
          <w:szCs w:val="21"/>
          <w:highlight w:val="none"/>
          <w:u w:val="single"/>
        </w:rPr>
        <w:t xml:space="preserve">     </w:t>
      </w:r>
      <w:r>
        <w:rPr>
          <w:rFonts w:hint="eastAsia" w:cs="宋体"/>
          <w:color w:val="auto"/>
          <w:sz w:val="21"/>
          <w:szCs w:val="21"/>
          <w:highlight w:val="none"/>
        </w:rPr>
        <w:t>%时，其超过部分据实调整。</w:t>
      </w:r>
    </w:p>
    <w:p w14:paraId="2233EEA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③承包人在已标价工程量清单或预算书中载明的材料单价等于基准单价的：专用合同条款合同履行期间材料单价涨跌幅以基准单价为基础超过±</w:t>
      </w:r>
      <w:r>
        <w:rPr>
          <w:rFonts w:hint="eastAsia" w:cs="宋体"/>
          <w:color w:val="auto"/>
          <w:sz w:val="21"/>
          <w:szCs w:val="21"/>
          <w:highlight w:val="none"/>
          <w:u w:val="single"/>
        </w:rPr>
        <w:t xml:space="preserve">    </w:t>
      </w:r>
      <w:r>
        <w:rPr>
          <w:rFonts w:hint="eastAsia" w:cs="宋体"/>
          <w:color w:val="auto"/>
          <w:sz w:val="21"/>
          <w:szCs w:val="21"/>
          <w:highlight w:val="none"/>
        </w:rPr>
        <w:t>%时，其超过部分据实调整。</w:t>
      </w:r>
    </w:p>
    <w:p w14:paraId="6DDED94F">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第3种方式：其他价格调整方式：</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322"/>
    <w:bookmarkEnd w:id="323"/>
    <w:bookmarkEnd w:id="324"/>
    <w:bookmarkEnd w:id="325"/>
    <w:bookmarkEnd w:id="326"/>
    <w:bookmarkEnd w:id="327"/>
    <w:p w14:paraId="5660AA18">
      <w:pPr>
        <w:snapToGrid w:val="0"/>
        <w:spacing w:before="312" w:beforeLines="100" w:after="312" w:afterLines="100" w:line="360" w:lineRule="auto"/>
        <w:outlineLvl w:val="2"/>
        <w:rPr>
          <w:rFonts w:cs="宋体"/>
          <w:color w:val="auto"/>
          <w:sz w:val="21"/>
          <w:szCs w:val="21"/>
          <w:highlight w:val="none"/>
        </w:rPr>
      </w:pPr>
      <w:bookmarkStart w:id="417" w:name="_Toc296347204"/>
      <w:bookmarkStart w:id="418" w:name="_Toc292559410"/>
      <w:bookmarkStart w:id="419" w:name="_Toc296891245"/>
      <w:bookmarkStart w:id="420" w:name="_Toc296944544"/>
      <w:bookmarkStart w:id="421" w:name="_Toc297048391"/>
      <w:bookmarkStart w:id="422" w:name="_Toc296891033"/>
      <w:bookmarkStart w:id="423" w:name="_Toc292559915"/>
      <w:bookmarkStart w:id="424" w:name="_Toc296346706"/>
      <w:bookmarkStart w:id="425" w:name="_Toc296503205"/>
      <w:bookmarkStart w:id="426" w:name="_Toc297120505"/>
      <w:bookmarkStart w:id="427" w:name="_Toc351203644"/>
      <w:bookmarkStart w:id="428" w:name="_Toc297123552"/>
      <w:bookmarkStart w:id="429" w:name="_Toc304295579"/>
      <w:bookmarkStart w:id="430" w:name="_Toc300935002"/>
      <w:bookmarkStart w:id="431" w:name="_Toc303539159"/>
      <w:bookmarkStart w:id="432" w:name="_Toc297216211"/>
      <w:bookmarkStart w:id="433" w:name="_Toc312678040"/>
      <w:r>
        <w:rPr>
          <w:rFonts w:hint="eastAsia" w:cs="宋体"/>
          <w:color w:val="auto"/>
          <w:sz w:val="21"/>
          <w:szCs w:val="21"/>
          <w:highlight w:val="none"/>
        </w:rPr>
        <w:t xml:space="preserve">12. </w:t>
      </w:r>
      <w:bookmarkEnd w:id="417"/>
      <w:bookmarkEnd w:id="418"/>
      <w:bookmarkEnd w:id="419"/>
      <w:bookmarkEnd w:id="420"/>
      <w:bookmarkEnd w:id="421"/>
      <w:bookmarkEnd w:id="422"/>
      <w:bookmarkEnd w:id="423"/>
      <w:bookmarkEnd w:id="424"/>
      <w:bookmarkEnd w:id="425"/>
      <w:bookmarkEnd w:id="426"/>
      <w:r>
        <w:rPr>
          <w:rFonts w:hint="eastAsia" w:cs="宋体"/>
          <w:color w:val="auto"/>
          <w:sz w:val="21"/>
          <w:szCs w:val="21"/>
          <w:highlight w:val="none"/>
        </w:rPr>
        <w:t>合同价格、计量与支付</w:t>
      </w:r>
      <w:bookmarkEnd w:id="427"/>
    </w:p>
    <w:bookmarkEnd w:id="428"/>
    <w:bookmarkEnd w:id="429"/>
    <w:bookmarkEnd w:id="430"/>
    <w:bookmarkEnd w:id="431"/>
    <w:bookmarkEnd w:id="432"/>
    <w:bookmarkEnd w:id="433"/>
    <w:p w14:paraId="09F863A0">
      <w:pPr>
        <w:keepNext/>
        <w:keepLines/>
        <w:snapToGrid w:val="0"/>
        <w:spacing w:before="120" w:after="120" w:line="360" w:lineRule="auto"/>
        <w:ind w:firstLine="420" w:firstLineChars="200"/>
        <w:outlineLvl w:val="3"/>
        <w:rPr>
          <w:rFonts w:cs="宋体"/>
          <w:bCs/>
          <w:color w:val="auto"/>
          <w:sz w:val="21"/>
          <w:szCs w:val="21"/>
          <w:highlight w:val="none"/>
        </w:rPr>
      </w:pPr>
      <w:bookmarkStart w:id="434" w:name="_Toc292559411"/>
      <w:bookmarkStart w:id="435" w:name="_Toc267251461"/>
      <w:bookmarkStart w:id="436" w:name="_Toc292559916"/>
      <w:bookmarkStart w:id="437" w:name="_Toc296944545"/>
      <w:bookmarkStart w:id="438" w:name="_Toc296347205"/>
      <w:bookmarkStart w:id="439" w:name="_Toc296503206"/>
      <w:bookmarkStart w:id="440" w:name="_Toc296891034"/>
      <w:bookmarkStart w:id="441" w:name="_Toc296346707"/>
      <w:bookmarkStart w:id="442" w:name="_Toc296891246"/>
      <w:bookmarkStart w:id="443" w:name="_Toc297120506"/>
      <w:bookmarkStart w:id="444" w:name="_Toc297048392"/>
      <w:bookmarkStart w:id="445" w:name="_Toc312678041"/>
      <w:bookmarkStart w:id="446" w:name="_Toc304295580"/>
      <w:bookmarkStart w:id="447" w:name="_Toc300935003"/>
      <w:bookmarkStart w:id="448" w:name="_Toc297123553"/>
      <w:bookmarkStart w:id="449" w:name="_Toc297216212"/>
      <w:bookmarkStart w:id="450" w:name="_Toc303539160"/>
      <w:r>
        <w:rPr>
          <w:rFonts w:hint="eastAsia" w:cs="宋体"/>
          <w:bCs/>
          <w:color w:val="auto"/>
          <w:sz w:val="21"/>
          <w:szCs w:val="21"/>
          <w:highlight w:val="none"/>
        </w:rPr>
        <w:t>12.1 合</w:t>
      </w:r>
      <w:bookmarkEnd w:id="434"/>
      <w:bookmarkEnd w:id="435"/>
      <w:bookmarkEnd w:id="436"/>
      <w:r>
        <w:rPr>
          <w:rFonts w:hint="eastAsia" w:cs="宋体"/>
          <w:bCs/>
          <w:color w:val="auto"/>
          <w:sz w:val="21"/>
          <w:szCs w:val="21"/>
          <w:highlight w:val="none"/>
        </w:rPr>
        <w:t>同价</w:t>
      </w:r>
      <w:bookmarkEnd w:id="437"/>
      <w:bookmarkEnd w:id="438"/>
      <w:bookmarkEnd w:id="439"/>
      <w:bookmarkEnd w:id="440"/>
      <w:bookmarkEnd w:id="441"/>
      <w:bookmarkEnd w:id="442"/>
      <w:bookmarkEnd w:id="443"/>
      <w:bookmarkEnd w:id="444"/>
      <w:r>
        <w:rPr>
          <w:rFonts w:hint="eastAsia" w:cs="宋体"/>
          <w:bCs/>
          <w:color w:val="auto"/>
          <w:sz w:val="21"/>
          <w:szCs w:val="21"/>
          <w:highlight w:val="none"/>
        </w:rPr>
        <w:t>格形式</w:t>
      </w:r>
    </w:p>
    <w:bookmarkEnd w:id="445"/>
    <w:bookmarkEnd w:id="446"/>
    <w:bookmarkEnd w:id="447"/>
    <w:bookmarkEnd w:id="448"/>
    <w:bookmarkEnd w:id="449"/>
    <w:bookmarkEnd w:id="450"/>
    <w:p w14:paraId="6B0DA73E">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（1）单价合同。</w:t>
      </w:r>
    </w:p>
    <w:p w14:paraId="2F669196">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综合单价包含的风险范围：</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0180A15">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风险费用的计算方法：</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7242D3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风险范围以外合同价格的调整方法：</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C41E11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（2）总价合同。</w:t>
      </w:r>
    </w:p>
    <w:p w14:paraId="4B563814">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总价包含的风险范围：</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19CB160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风险费用的计算方法：</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35B630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风险范围以外合同价格的调整方法：</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971DA1F">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（3）其他价格方式：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1E391DF">
      <w:pPr>
        <w:keepNext/>
        <w:keepLines/>
        <w:snapToGrid w:val="0"/>
        <w:spacing w:before="120" w:after="120" w:line="360" w:lineRule="auto"/>
        <w:ind w:firstLine="420" w:firstLineChars="200"/>
        <w:outlineLvl w:val="3"/>
        <w:rPr>
          <w:rFonts w:cs="宋体"/>
          <w:bCs/>
          <w:color w:val="auto"/>
          <w:sz w:val="21"/>
          <w:szCs w:val="21"/>
          <w:highlight w:val="none"/>
        </w:rPr>
      </w:pPr>
      <w:bookmarkStart w:id="451" w:name="_Toc297123554"/>
      <w:bookmarkStart w:id="452" w:name="_Toc304295581"/>
      <w:bookmarkStart w:id="453" w:name="_Toc312678042"/>
      <w:bookmarkStart w:id="454" w:name="_Toc303539161"/>
      <w:bookmarkStart w:id="455" w:name="_Toc297216213"/>
      <w:bookmarkStart w:id="456" w:name="_Toc300935004"/>
      <w:bookmarkStart w:id="457" w:name="_Toc292559917"/>
      <w:bookmarkStart w:id="458" w:name="_Toc296503207"/>
      <w:bookmarkStart w:id="459" w:name="_Toc296891035"/>
      <w:bookmarkStart w:id="460" w:name="_Toc297048393"/>
      <w:bookmarkStart w:id="461" w:name="_Toc296891247"/>
      <w:bookmarkStart w:id="462" w:name="_Toc296347206"/>
      <w:bookmarkStart w:id="463" w:name="_Toc296944546"/>
      <w:bookmarkStart w:id="464" w:name="_Toc297120507"/>
      <w:bookmarkStart w:id="465" w:name="_Toc292559412"/>
      <w:bookmarkStart w:id="466" w:name="_Toc296346708"/>
      <w:r>
        <w:rPr>
          <w:rFonts w:hint="eastAsia" w:cs="宋体"/>
          <w:bCs/>
          <w:color w:val="auto"/>
          <w:sz w:val="21"/>
          <w:szCs w:val="21"/>
          <w:highlight w:val="none"/>
        </w:rPr>
        <w:t>12.2 预付款</w:t>
      </w:r>
    </w:p>
    <w:bookmarkEnd w:id="451"/>
    <w:bookmarkEnd w:id="452"/>
    <w:bookmarkEnd w:id="453"/>
    <w:bookmarkEnd w:id="454"/>
    <w:bookmarkEnd w:id="455"/>
    <w:bookmarkEnd w:id="456"/>
    <w:p w14:paraId="6180BDF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12.2.1 预付款的支付</w:t>
      </w:r>
    </w:p>
    <w:p w14:paraId="01AD1B5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预付款支付比例或金额：</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F316C0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预付款支付期限：</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8C6064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预付款扣回的方式：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190E18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12.2.2 预付款担保</w:t>
      </w:r>
    </w:p>
    <w:p w14:paraId="02641BD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承包人提交预付款担保的期限：</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609210D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预付款担保的形式为：</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bookmarkEnd w:id="457"/>
    <w:bookmarkEnd w:id="458"/>
    <w:bookmarkEnd w:id="459"/>
    <w:bookmarkEnd w:id="460"/>
    <w:bookmarkEnd w:id="461"/>
    <w:bookmarkEnd w:id="462"/>
    <w:bookmarkEnd w:id="463"/>
    <w:bookmarkEnd w:id="464"/>
    <w:bookmarkEnd w:id="465"/>
    <w:bookmarkEnd w:id="466"/>
    <w:p w14:paraId="304FED3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12.3 计量</w:t>
      </w:r>
    </w:p>
    <w:p w14:paraId="7BE9877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12.3.1 计量原则</w:t>
      </w:r>
    </w:p>
    <w:p w14:paraId="5A6D0054">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工程量计算规则：</w:t>
      </w:r>
      <w:r>
        <w:rPr>
          <w:rFonts w:hint="eastAsia" w:cs="宋体"/>
          <w:color w:val="auto"/>
          <w:sz w:val="21"/>
          <w:szCs w:val="21"/>
          <w:highlight w:val="none"/>
          <w:u w:val="single"/>
        </w:rPr>
        <w:t>按招标工程量清单及最高投标限价所采用的工程量清单计价规范及配套文件等</w:t>
      </w:r>
      <w:r>
        <w:rPr>
          <w:rFonts w:hint="eastAsia" w:cs="宋体"/>
          <w:b/>
          <w:color w:val="auto"/>
          <w:sz w:val="21"/>
          <w:szCs w:val="21"/>
          <w:highlight w:val="none"/>
        </w:rPr>
        <w:t>。</w:t>
      </w:r>
    </w:p>
    <w:p w14:paraId="39A6E7C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12.3.2 计量周期</w:t>
      </w:r>
    </w:p>
    <w:p w14:paraId="61CC642E">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关于计量周期的约定</w:t>
      </w:r>
      <w:r>
        <w:rPr>
          <w:rFonts w:hint="eastAsia" w:cs="宋体"/>
          <w:b/>
          <w:color w:val="auto"/>
          <w:sz w:val="21"/>
          <w:szCs w:val="21"/>
          <w:highlight w:val="none"/>
        </w:rPr>
        <w:t>：</w:t>
      </w:r>
      <w:r>
        <w:rPr>
          <w:rFonts w:hint="eastAsia" w:cs="宋体"/>
          <w:color w:val="auto"/>
          <w:sz w:val="21"/>
          <w:szCs w:val="21"/>
          <w:highlight w:val="none"/>
          <w:u w:val="single"/>
        </w:rPr>
        <w:t xml:space="preserve"> 见《专用合同条款数据表》  </w:t>
      </w:r>
      <w:r>
        <w:rPr>
          <w:rFonts w:hint="eastAsia" w:cs="宋体"/>
          <w:b/>
          <w:color w:val="auto"/>
          <w:sz w:val="21"/>
          <w:szCs w:val="21"/>
          <w:highlight w:val="none"/>
        </w:rPr>
        <w:t>。</w:t>
      </w:r>
    </w:p>
    <w:p w14:paraId="2B1619E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12.3.3 单价合同的计量</w:t>
      </w:r>
    </w:p>
    <w:p w14:paraId="03E8E44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关于单价合同计量的约定：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 xml:space="preserve">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FAF807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12.3.4 总价合同的计量</w:t>
      </w:r>
    </w:p>
    <w:p w14:paraId="24753FD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关于总价合同计量的约定：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2E3D22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12.3.5 总价合同采用支付分解表计量支付的，是否适用第12.3.4项〔总价合同的计量〕约定进行计量：</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不执行</w:t>
      </w:r>
      <w:r>
        <w:rPr>
          <w:rFonts w:hint="eastAsia" w:cs="宋体"/>
          <w:b/>
          <w:color w:val="auto"/>
          <w:sz w:val="21"/>
          <w:szCs w:val="21"/>
          <w:highlight w:val="none"/>
        </w:rPr>
        <w:t>。</w:t>
      </w:r>
    </w:p>
    <w:p w14:paraId="39F25A3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12.3.6 其他价格形式合同的计量</w:t>
      </w:r>
    </w:p>
    <w:p w14:paraId="64A226A5">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其他价格形式的计量方式和程序：</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290002D">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12.4 工程进度款支付</w:t>
      </w:r>
    </w:p>
    <w:p w14:paraId="523EE2DE">
      <w:pPr>
        <w:adjustRightInd w:val="0"/>
        <w:snapToGrid w:val="0"/>
        <w:spacing w:line="360" w:lineRule="auto"/>
        <w:ind w:firstLine="420" w:firstLineChars="200"/>
        <w:rPr>
          <w:rFonts w:cs="宋体"/>
          <w:color w:val="auto"/>
          <w:sz w:val="21"/>
          <w:szCs w:val="21"/>
          <w:highlight w:val="none"/>
        </w:rPr>
      </w:pPr>
      <w:bookmarkStart w:id="467" w:name="_Toc303539163"/>
      <w:bookmarkStart w:id="468" w:name="_Toc296944550"/>
      <w:bookmarkStart w:id="469" w:name="_Toc297216215"/>
      <w:bookmarkStart w:id="470" w:name="_Toc296891251"/>
      <w:bookmarkStart w:id="471" w:name="_Toc296346712"/>
      <w:bookmarkStart w:id="472" w:name="_Toc300935006"/>
      <w:bookmarkStart w:id="473" w:name="_Toc296503211"/>
      <w:bookmarkStart w:id="474" w:name="_Toc296891039"/>
      <w:bookmarkStart w:id="475" w:name="_Toc297048397"/>
      <w:bookmarkStart w:id="476" w:name="_Toc296347210"/>
      <w:bookmarkStart w:id="477" w:name="_Toc297120511"/>
      <w:bookmarkStart w:id="478" w:name="_Toc292559416"/>
      <w:bookmarkStart w:id="479" w:name="_Toc297123556"/>
      <w:bookmarkStart w:id="480" w:name="_Toc292559921"/>
      <w:r>
        <w:rPr>
          <w:rFonts w:hint="eastAsia" w:cs="宋体"/>
          <w:color w:val="auto"/>
          <w:sz w:val="21"/>
          <w:szCs w:val="21"/>
          <w:highlight w:val="none"/>
        </w:rPr>
        <w:t>12.4.1 付款周期</w:t>
      </w:r>
    </w:p>
    <w:p w14:paraId="5681A1C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关于付款周期的约定：</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3D0C78F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12.4.2 进度付款申请单的编制</w:t>
      </w:r>
    </w:p>
    <w:p w14:paraId="21FD54D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关于进度付款申请单编制的约定：</w:t>
      </w:r>
      <w:r>
        <w:rPr>
          <w:rFonts w:hint="eastAsia" w:cs="宋体"/>
          <w:color w:val="auto"/>
          <w:sz w:val="21"/>
          <w:szCs w:val="21"/>
          <w:highlight w:val="none"/>
          <w:u w:val="single"/>
        </w:rPr>
        <w:t xml:space="preserve"> </w:t>
      </w:r>
      <w:r>
        <w:rPr>
          <w:color w:val="auto"/>
          <w:spacing w:val="-7"/>
          <w:sz w:val="21"/>
          <w:szCs w:val="21"/>
          <w:highlight w:val="none"/>
          <w:u w:val="single" w:color="auto"/>
        </w:rPr>
        <w:t>按监理要求</w:t>
      </w:r>
      <w:r>
        <w:rPr>
          <w:rFonts w:hint="eastAsia" w:cs="宋体"/>
          <w:color w:val="auto"/>
          <w:sz w:val="21"/>
          <w:szCs w:val="21"/>
          <w:highlight w:val="none"/>
        </w:rPr>
        <w:t>。</w:t>
      </w:r>
    </w:p>
    <w:p w14:paraId="26DDCCC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Fonts w:hint="eastAsia" w:cs="宋体"/>
          <w:color w:val="auto"/>
          <w:sz w:val="21"/>
          <w:szCs w:val="21"/>
          <w:highlight w:val="none"/>
        </w:rPr>
        <w:t>2.4.3 进度付款申请单的提交</w:t>
      </w:r>
    </w:p>
    <w:p w14:paraId="0AF6BF9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（1）单价合同进度付款申请单提交的约定：</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292C2A0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（2）总价合同进度付款申请单提交的约定：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不执行</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4B5D73B">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（3）其他价格形式合同进度付款申请单提交的约定：</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1DE56E4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12.4.4 进度款审核和支付</w:t>
      </w:r>
    </w:p>
    <w:p w14:paraId="49071E58">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（1）监理人审查并报送发包人的期限：</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执行通用条款</w:t>
      </w:r>
      <w:r>
        <w:rPr>
          <w:rFonts w:hint="eastAsia" w:cs="宋体"/>
          <w:color w:val="auto"/>
          <w:sz w:val="21"/>
          <w:szCs w:val="21"/>
          <w:highlight w:val="none"/>
        </w:rPr>
        <w:t>。</w:t>
      </w:r>
    </w:p>
    <w:p w14:paraId="2C204786">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发包人完成审批并签发进度款支付证书的期限：</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45BE4CE">
      <w:pPr>
        <w:pageBreakBefore w:val="0"/>
        <w:kinsoku/>
        <w:wordWrap/>
        <w:topLinePunct w:val="0"/>
        <w:bidi w:val="0"/>
        <w:adjustRightInd w:val="0"/>
        <w:snapToGrid w:val="0"/>
        <w:spacing w:beforeAutospacing="0" w:line="520" w:lineRule="exact"/>
        <w:ind w:firstLine="420" w:firstLineChars="200"/>
        <w:rPr>
          <w:rFonts w:hint="eastAsia" w:eastAsia="宋体" w:cs="宋体"/>
          <w:b/>
          <w:bCs/>
          <w:color w:val="auto"/>
          <w:sz w:val="21"/>
          <w:szCs w:val="21"/>
          <w:highlight w:val="none"/>
          <w:lang w:eastAsia="zh-CN"/>
        </w:rPr>
      </w:pPr>
      <w:r>
        <w:rPr>
          <w:rFonts w:hint="eastAsia" w:cs="宋体"/>
          <w:color w:val="auto"/>
          <w:sz w:val="21"/>
          <w:szCs w:val="21"/>
          <w:highlight w:val="none"/>
        </w:rPr>
        <w:t>（2）发包人支付进度款的期限：</w:t>
      </w:r>
      <w:r>
        <w:rPr>
          <w:rFonts w:hint="eastAsia" w:cs="宋体"/>
          <w:b/>
          <w:bCs/>
          <w:color w:val="auto"/>
          <w:sz w:val="21"/>
          <w:szCs w:val="21"/>
          <w:highlight w:val="none"/>
          <w:u w:val="single"/>
          <w:lang w:eastAsia="zh-CN"/>
        </w:rPr>
        <w:t>全部工程完成并经招标人验收合格后支付已完合格工程量价款的80%，结算审核完成后付至结算价款的98%，剩余2%作为工程质量保证金，工程质量保证金在工程缺陷责任期（缺陷责任期：两年，从验收合格之日起计算）满回访合格后一个月内付清。</w:t>
      </w:r>
    </w:p>
    <w:p w14:paraId="657892A5">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发包人逾期支付进度款的违约金的计算方式</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不采用</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8A14D5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12.4.6 支付分解表的编制</w:t>
      </w:r>
    </w:p>
    <w:p w14:paraId="73B2A7AC">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（2）总价合同支付分解表的编制与审批：</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5CF0D9E1">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（3）单价合同的总价项目支付分解表的编制与审批：</w:t>
      </w:r>
      <w:r>
        <w:rPr>
          <w:rFonts w:hint="eastAsia" w:cs="宋体"/>
          <w:color w:val="auto"/>
          <w:sz w:val="21"/>
          <w:szCs w:val="21"/>
          <w:highlight w:val="none"/>
          <w:u w:val="single"/>
        </w:rPr>
        <w:t xml:space="preserve">  /  </w:t>
      </w:r>
      <w:r>
        <w:rPr>
          <w:rFonts w:hint="eastAsia" w:cs="宋体"/>
          <w:color w:val="auto"/>
          <w:sz w:val="21"/>
          <w:szCs w:val="21"/>
          <w:highlight w:val="none"/>
        </w:rPr>
        <w:t>。</w:t>
      </w:r>
    </w:p>
    <w:p w14:paraId="40E175E5">
      <w:pPr>
        <w:adjustRightInd w:val="0"/>
        <w:snapToGrid w:val="0"/>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12.4.7 农民工工资管理</w:t>
      </w:r>
    </w:p>
    <w:p w14:paraId="33318C6D">
      <w:pPr>
        <w:adjustRightInd w:val="0"/>
        <w:snapToGrid w:val="0"/>
        <w:spacing w:line="360" w:lineRule="auto"/>
        <w:ind w:firstLine="420" w:firstLineChars="200"/>
        <w:rPr>
          <w:rFonts w:cs="宋体"/>
          <w:bCs/>
          <w:color w:val="auto"/>
          <w:sz w:val="21"/>
          <w:szCs w:val="21"/>
          <w:highlight w:val="none"/>
        </w:rPr>
      </w:pPr>
      <w:r>
        <w:rPr>
          <w:rFonts w:hint="eastAsia" w:cs="宋体"/>
          <w:color w:val="auto"/>
          <w:sz w:val="21"/>
          <w:szCs w:val="21"/>
          <w:highlight w:val="none"/>
        </w:rPr>
        <w:t>（1）</w:t>
      </w:r>
      <w:r>
        <w:rPr>
          <w:rFonts w:hint="eastAsia" w:cs="宋体"/>
          <w:bCs/>
          <w:color w:val="auto"/>
          <w:sz w:val="21"/>
          <w:szCs w:val="21"/>
          <w:highlight w:val="none"/>
        </w:rPr>
        <w:t>本工程农民工工资实行专用账户管理，承包人设立的专用账户开户行为</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cs="宋体"/>
          <w:bCs/>
          <w:color w:val="auto"/>
          <w:sz w:val="21"/>
          <w:szCs w:val="21"/>
          <w:highlight w:val="none"/>
        </w:rPr>
        <w:t>，账号：</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cs="宋体"/>
          <w:bCs/>
          <w:color w:val="auto"/>
          <w:sz w:val="21"/>
          <w:szCs w:val="21"/>
          <w:highlight w:val="none"/>
        </w:rPr>
        <w:t>;</w:t>
      </w:r>
    </w:p>
    <w:p w14:paraId="53C8F094">
      <w:pPr>
        <w:adjustRightInd w:val="0"/>
        <w:snapToGrid w:val="0"/>
        <w:spacing w:line="360" w:lineRule="auto"/>
        <w:ind w:firstLine="420" w:firstLineChars="200"/>
        <w:rPr>
          <w:rFonts w:cs="宋体"/>
          <w:bCs/>
          <w:color w:val="auto"/>
          <w:sz w:val="21"/>
          <w:szCs w:val="21"/>
          <w:highlight w:val="none"/>
        </w:rPr>
      </w:pPr>
      <w:r>
        <w:rPr>
          <w:rFonts w:hint="eastAsia" w:cs="宋体"/>
          <w:color w:val="auto"/>
          <w:sz w:val="21"/>
          <w:szCs w:val="21"/>
          <w:highlight w:val="none"/>
        </w:rPr>
        <w:t>（2）</w:t>
      </w:r>
      <w:r>
        <w:rPr>
          <w:rFonts w:hint="eastAsia" w:cs="宋体"/>
          <w:bCs/>
          <w:color w:val="auto"/>
          <w:sz w:val="21"/>
          <w:szCs w:val="21"/>
          <w:highlight w:val="none"/>
        </w:rPr>
        <w:t>本工程工资性工程款</w:t>
      </w:r>
      <w:r>
        <w:rPr>
          <w:rFonts w:hint="eastAsia" w:cs="宋体"/>
          <w:bCs/>
          <w:color w:val="auto"/>
          <w:sz w:val="21"/>
          <w:szCs w:val="21"/>
          <w:highlight w:val="none"/>
          <w:u w:val="single"/>
        </w:rPr>
        <w:t xml:space="preserve">     </w:t>
      </w:r>
      <w:r>
        <w:rPr>
          <w:rFonts w:hint="eastAsia" w:cs="宋体"/>
          <w:bCs/>
          <w:color w:val="auto"/>
          <w:sz w:val="21"/>
          <w:szCs w:val="21"/>
          <w:highlight w:val="none"/>
          <w:u w:val="single"/>
          <w:lang w:val="en-US" w:eastAsia="zh-CN"/>
        </w:rPr>
        <w:t>/</w:t>
      </w:r>
      <w:r>
        <w:rPr>
          <w:rFonts w:hint="eastAsia" w:cs="宋体"/>
          <w:bCs/>
          <w:color w:val="auto"/>
          <w:sz w:val="21"/>
          <w:szCs w:val="21"/>
          <w:highlight w:val="none"/>
          <w:u w:val="single"/>
        </w:rPr>
        <w:t xml:space="preserve">    </w:t>
      </w:r>
      <w:r>
        <w:rPr>
          <w:rFonts w:hint="eastAsia" w:cs="宋体"/>
          <w:bCs/>
          <w:color w:val="auto"/>
          <w:sz w:val="21"/>
          <w:szCs w:val="21"/>
          <w:highlight w:val="none"/>
        </w:rPr>
        <w:t>元。</w:t>
      </w:r>
    </w:p>
    <w:p w14:paraId="39ED8509">
      <w:pPr>
        <w:adjustRightInd w:val="0"/>
        <w:snapToGrid w:val="0"/>
        <w:spacing w:line="360" w:lineRule="auto"/>
        <w:ind w:firstLine="420" w:firstLineChars="200"/>
        <w:rPr>
          <w:rFonts w:cs="宋体"/>
          <w:bCs/>
          <w:color w:val="auto"/>
          <w:sz w:val="21"/>
          <w:szCs w:val="21"/>
          <w:highlight w:val="none"/>
        </w:rPr>
      </w:pPr>
      <w:r>
        <w:rPr>
          <w:rFonts w:hint="eastAsia" w:cs="宋体"/>
          <w:color w:val="auto"/>
          <w:sz w:val="21"/>
          <w:szCs w:val="21"/>
          <w:highlight w:val="none"/>
        </w:rPr>
        <w:t>（3）</w:t>
      </w:r>
      <w:r>
        <w:rPr>
          <w:rFonts w:hint="eastAsia" w:cs="宋体"/>
          <w:bCs/>
          <w:color w:val="auto"/>
          <w:sz w:val="21"/>
          <w:szCs w:val="21"/>
          <w:highlight w:val="none"/>
        </w:rPr>
        <w:t>发包人于每月25日前将工资性工程进度款转入农民工工资专用账户。</w:t>
      </w:r>
    </w:p>
    <w:p w14:paraId="2D9A46EA">
      <w:pPr>
        <w:adjustRightInd w:val="0"/>
        <w:snapToGrid w:val="0"/>
        <w:spacing w:line="360" w:lineRule="auto"/>
        <w:ind w:firstLine="420" w:firstLineChars="200"/>
        <w:rPr>
          <w:rFonts w:cs="宋体"/>
          <w:bCs/>
          <w:color w:val="auto"/>
          <w:sz w:val="21"/>
          <w:szCs w:val="21"/>
          <w:highlight w:val="none"/>
        </w:rPr>
      </w:pPr>
      <w:r>
        <w:rPr>
          <w:rFonts w:hint="eastAsia" w:cs="宋体"/>
          <w:color w:val="auto"/>
          <w:sz w:val="21"/>
          <w:szCs w:val="21"/>
          <w:highlight w:val="none"/>
        </w:rPr>
        <w:t>（4）</w:t>
      </w:r>
      <w:r>
        <w:rPr>
          <w:rFonts w:hint="eastAsia" w:cs="宋体"/>
          <w:bCs/>
          <w:color w:val="auto"/>
          <w:sz w:val="21"/>
          <w:szCs w:val="21"/>
          <w:highlight w:val="none"/>
        </w:rPr>
        <w:t>承包人每月25日前上报本工程农民工工资清单，每月10日前委托开设农民工工资专用账户的银行支付农民工工资。</w:t>
      </w:r>
    </w:p>
    <w:p w14:paraId="16CBB226">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（5）</w:t>
      </w:r>
      <w:r>
        <w:rPr>
          <w:rFonts w:hint="eastAsia" w:cs="宋体"/>
          <w:bCs/>
          <w:color w:val="auto"/>
          <w:sz w:val="21"/>
          <w:szCs w:val="21"/>
          <w:highlight w:val="none"/>
        </w:rPr>
        <w:t>工程竣工后，经项目部农民工维权组确认无农民工工资拖欠后，发、承双方办理农民工工资专用账户撤销手续，农民工工资专用账户余额划至本合同约定的承包人账户。</w:t>
      </w:r>
    </w:p>
    <w:bookmarkEnd w:id="328"/>
    <w:p w14:paraId="42F09FFE">
      <w:pPr>
        <w:snapToGrid w:val="0"/>
        <w:spacing w:before="312" w:beforeLines="100" w:after="312" w:afterLines="100" w:line="360" w:lineRule="auto"/>
        <w:outlineLvl w:val="2"/>
        <w:rPr>
          <w:rFonts w:cs="宋体"/>
          <w:color w:val="auto"/>
          <w:sz w:val="21"/>
          <w:szCs w:val="21"/>
          <w:highlight w:val="none"/>
        </w:rPr>
      </w:pPr>
      <w:bookmarkStart w:id="481" w:name="_Toc351203645"/>
      <w:bookmarkStart w:id="482" w:name="_Toc296503219"/>
      <w:bookmarkStart w:id="483" w:name="_Toc296944558"/>
      <w:bookmarkStart w:id="484" w:name="_Toc297120519"/>
      <w:bookmarkStart w:id="485" w:name="_Toc297216223"/>
      <w:bookmarkStart w:id="486" w:name="_Toc292559929"/>
      <w:bookmarkStart w:id="487" w:name="_Toc297048405"/>
      <w:bookmarkStart w:id="488" w:name="_Toc292559424"/>
      <w:bookmarkStart w:id="489" w:name="_Toc297123564"/>
      <w:bookmarkStart w:id="490" w:name="_Toc296346720"/>
      <w:bookmarkStart w:id="491" w:name="_Toc304295593"/>
      <w:bookmarkStart w:id="492" w:name="_Toc296891259"/>
      <w:bookmarkStart w:id="493" w:name="_Toc300935015"/>
      <w:bookmarkStart w:id="494" w:name="_Toc303539172"/>
      <w:bookmarkStart w:id="495" w:name="_Toc296347218"/>
      <w:bookmarkStart w:id="496" w:name="_Toc312678053"/>
      <w:bookmarkStart w:id="497" w:name="_Toc296891047"/>
      <w:r>
        <w:rPr>
          <w:rFonts w:hint="eastAsia" w:cs="宋体"/>
          <w:color w:val="auto"/>
          <w:sz w:val="21"/>
          <w:szCs w:val="21"/>
          <w:highlight w:val="none"/>
        </w:rPr>
        <w:t>13. 验收和工程试车</w:t>
      </w:r>
      <w:bookmarkEnd w:id="481"/>
    </w:p>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14:paraId="3E5C380E">
      <w:pPr>
        <w:keepNext/>
        <w:keepLines/>
        <w:snapToGrid w:val="0"/>
        <w:spacing w:before="120" w:after="120" w:line="360" w:lineRule="auto"/>
        <w:jc w:val="left"/>
        <w:outlineLvl w:val="2"/>
        <w:rPr>
          <w:rFonts w:cs="宋体"/>
          <w:bCs/>
          <w:color w:val="auto"/>
          <w:sz w:val="21"/>
          <w:szCs w:val="21"/>
          <w:highlight w:val="none"/>
        </w:rPr>
      </w:pPr>
      <w:r>
        <w:rPr>
          <w:rFonts w:hint="eastAsia" w:cs="宋体"/>
          <w:bCs/>
          <w:color w:val="auto"/>
          <w:sz w:val="21"/>
          <w:szCs w:val="21"/>
          <w:highlight w:val="none"/>
        </w:rPr>
        <w:t>13.1 分部分项工程验收</w:t>
      </w:r>
    </w:p>
    <w:p w14:paraId="7E26067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13.1.2 监理人不能按时进行验收时，应提前</w:t>
      </w:r>
      <w:r>
        <w:rPr>
          <w:rFonts w:hint="eastAsia" w:cs="宋体"/>
          <w:color w:val="auto"/>
          <w:sz w:val="21"/>
          <w:szCs w:val="21"/>
          <w:highlight w:val="none"/>
          <w:u w:val="single"/>
        </w:rPr>
        <w:t>24</w:t>
      </w:r>
      <w:r>
        <w:rPr>
          <w:rFonts w:hint="eastAsia" w:cs="宋体"/>
          <w:color w:val="auto"/>
          <w:sz w:val="21"/>
          <w:szCs w:val="21"/>
          <w:highlight w:val="none"/>
        </w:rPr>
        <w:t>小时提交书面延期要求。</w:t>
      </w:r>
    </w:p>
    <w:p w14:paraId="6A1B045E">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关于延期最长不得超过：</w:t>
      </w:r>
      <w:r>
        <w:rPr>
          <w:rFonts w:hint="eastAsia" w:cs="宋体"/>
          <w:color w:val="auto"/>
          <w:sz w:val="21"/>
          <w:szCs w:val="21"/>
          <w:highlight w:val="none"/>
          <w:u w:val="single"/>
        </w:rPr>
        <w:t>48</w:t>
      </w:r>
      <w:r>
        <w:rPr>
          <w:rFonts w:hint="eastAsia" w:cs="宋体"/>
          <w:color w:val="auto"/>
          <w:sz w:val="21"/>
          <w:szCs w:val="21"/>
          <w:highlight w:val="none"/>
        </w:rPr>
        <w:t>小时。</w:t>
      </w:r>
    </w:p>
    <w:p w14:paraId="68DD915A">
      <w:pPr>
        <w:keepNext/>
        <w:keepLines/>
        <w:snapToGrid w:val="0"/>
        <w:spacing w:before="120" w:after="120" w:line="360" w:lineRule="auto"/>
        <w:ind w:firstLine="420" w:firstLineChars="200"/>
        <w:outlineLvl w:val="3"/>
        <w:rPr>
          <w:rFonts w:cs="宋体"/>
          <w:bCs/>
          <w:color w:val="auto"/>
          <w:sz w:val="21"/>
          <w:szCs w:val="21"/>
          <w:highlight w:val="none"/>
        </w:rPr>
      </w:pPr>
      <w:bookmarkStart w:id="498" w:name="_Toc303539173"/>
      <w:bookmarkStart w:id="499" w:name="_Toc296891263"/>
      <w:bookmarkStart w:id="500" w:name="_Toc296346724"/>
      <w:bookmarkStart w:id="501" w:name="_Toc296944562"/>
      <w:bookmarkStart w:id="502" w:name="_Toc296503223"/>
      <w:bookmarkStart w:id="503" w:name="_Toc292559428"/>
      <w:bookmarkStart w:id="504" w:name="_Toc297120523"/>
      <w:bookmarkStart w:id="505" w:name="_Toc297048409"/>
      <w:bookmarkStart w:id="506" w:name="_Toc297216224"/>
      <w:bookmarkStart w:id="507" w:name="_Toc296891051"/>
      <w:bookmarkStart w:id="508" w:name="_Toc300935016"/>
      <w:bookmarkStart w:id="509" w:name="_Toc296347222"/>
      <w:bookmarkStart w:id="510" w:name="_Toc312678056"/>
      <w:bookmarkStart w:id="511" w:name="_Toc297123565"/>
      <w:bookmarkStart w:id="512" w:name="_Toc304295596"/>
      <w:bookmarkStart w:id="513" w:name="_Toc292559933"/>
      <w:bookmarkStart w:id="514" w:name="_Toc267251470"/>
      <w:bookmarkStart w:id="515" w:name="_Toc267251476"/>
      <w:bookmarkStart w:id="516" w:name="_Toc267251474"/>
      <w:bookmarkStart w:id="517" w:name="_Toc267251473"/>
      <w:bookmarkStart w:id="518" w:name="_Toc267251475"/>
      <w:bookmarkStart w:id="519" w:name="_Toc267251471"/>
      <w:bookmarkStart w:id="520" w:name="_Toc267251472"/>
      <w:r>
        <w:rPr>
          <w:rFonts w:hint="eastAsia" w:cs="宋体"/>
          <w:bCs/>
          <w:color w:val="auto"/>
          <w:sz w:val="21"/>
          <w:szCs w:val="21"/>
          <w:highlight w:val="none"/>
        </w:rPr>
        <w:t>13.2 竣工验收</w:t>
      </w:r>
    </w:p>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14:paraId="6E0B2230">
      <w:pPr>
        <w:adjustRightInd w:val="0"/>
        <w:snapToGrid w:val="0"/>
        <w:spacing w:line="360" w:lineRule="auto"/>
        <w:ind w:firstLine="420" w:firstLineChars="200"/>
        <w:rPr>
          <w:rFonts w:cs="宋体"/>
          <w:color w:val="auto"/>
          <w:sz w:val="21"/>
          <w:szCs w:val="21"/>
          <w:highlight w:val="none"/>
        </w:rPr>
      </w:pPr>
      <w:bookmarkStart w:id="521" w:name="_Toc280868704"/>
      <w:bookmarkStart w:id="522" w:name="_Toc280868705"/>
      <w:bookmarkStart w:id="523" w:name="_Toc280868706"/>
      <w:bookmarkStart w:id="524" w:name="_Toc280868707"/>
      <w:bookmarkStart w:id="525" w:name="_Toc280868708"/>
      <w:bookmarkStart w:id="526" w:name="_Toc280868709"/>
      <w:r>
        <w:rPr>
          <w:rFonts w:hint="eastAsia" w:cs="宋体"/>
          <w:color w:val="auto"/>
          <w:sz w:val="21"/>
          <w:szCs w:val="21"/>
          <w:highlight w:val="none"/>
        </w:rPr>
        <w:t>13.2.2 竣工验收程序</w:t>
      </w:r>
    </w:p>
    <w:bookmarkEnd w:id="521"/>
    <w:p w14:paraId="0C8F6255">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关于竣工验收程序的约定：</w:t>
      </w:r>
      <w:r>
        <w:rPr>
          <w:rFonts w:hint="eastAsia" w:cs="宋体"/>
          <w:color w:val="auto"/>
          <w:sz w:val="21"/>
          <w:szCs w:val="21"/>
          <w:highlight w:val="none"/>
          <w:u w:val="single"/>
        </w:rPr>
        <w:t>执行通用条款</w:t>
      </w:r>
      <w:r>
        <w:rPr>
          <w:rFonts w:hint="eastAsia" w:cs="宋体"/>
          <w:color w:val="auto"/>
          <w:sz w:val="21"/>
          <w:szCs w:val="21"/>
          <w:highlight w:val="none"/>
        </w:rPr>
        <w:t>。</w:t>
      </w:r>
    </w:p>
    <w:p w14:paraId="2FF2C7E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发包人不按照本项约定组织竣工验收、颁发工程接收证书的违约金的计算方法：</w:t>
      </w:r>
      <w:r>
        <w:rPr>
          <w:rFonts w:hint="eastAsia" w:cs="宋体"/>
          <w:color w:val="auto"/>
          <w:sz w:val="21"/>
          <w:szCs w:val="21"/>
          <w:highlight w:val="none"/>
          <w:u w:val="single"/>
        </w:rPr>
        <w:t>执行通用条款</w:t>
      </w:r>
      <w:r>
        <w:rPr>
          <w:rFonts w:hint="eastAsia" w:cs="宋体"/>
          <w:color w:val="auto"/>
          <w:sz w:val="21"/>
          <w:szCs w:val="21"/>
          <w:highlight w:val="none"/>
        </w:rPr>
        <w:t>。</w:t>
      </w:r>
    </w:p>
    <w:bookmarkEnd w:id="522"/>
    <w:p w14:paraId="50B1738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13.2.5 移交、接收全部与部分工程</w:t>
      </w:r>
    </w:p>
    <w:bookmarkEnd w:id="523"/>
    <w:p w14:paraId="7DC046E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承包人向发包人移交工程的期限：</w:t>
      </w:r>
      <w:r>
        <w:rPr>
          <w:rFonts w:hint="eastAsia" w:cs="宋体"/>
          <w:color w:val="auto"/>
          <w:sz w:val="21"/>
          <w:szCs w:val="21"/>
          <w:highlight w:val="none"/>
          <w:u w:val="single"/>
        </w:rPr>
        <w:t>颁发工程接收证书后7天内完成工程的移交</w:t>
      </w:r>
      <w:r>
        <w:rPr>
          <w:rFonts w:hint="eastAsia" w:cs="宋体"/>
          <w:color w:val="auto"/>
          <w:sz w:val="21"/>
          <w:szCs w:val="21"/>
          <w:highlight w:val="none"/>
        </w:rPr>
        <w:t>。</w:t>
      </w:r>
    </w:p>
    <w:p w14:paraId="6716384A">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发包人未按本合同约定接收全部或部分工程的，违约金的计算方法为：</w:t>
      </w:r>
      <w:r>
        <w:rPr>
          <w:rFonts w:hint="eastAsia" w:cs="宋体"/>
          <w:color w:val="auto"/>
          <w:sz w:val="21"/>
          <w:szCs w:val="21"/>
          <w:highlight w:val="none"/>
          <w:u w:val="single"/>
        </w:rPr>
        <w:t>发包人自应当接收工程之日起，承担工程照管、成品保护、保管等与工程有关的各项费用</w:t>
      </w:r>
      <w:r>
        <w:rPr>
          <w:rFonts w:hint="eastAsia" w:cs="宋体"/>
          <w:color w:val="auto"/>
          <w:sz w:val="21"/>
          <w:szCs w:val="21"/>
          <w:highlight w:val="none"/>
        </w:rPr>
        <w:t>。</w:t>
      </w:r>
    </w:p>
    <w:bookmarkEnd w:id="524"/>
    <w:p w14:paraId="1C8359EA">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承包人未按时移交工程的，违约金的计算方法为：</w:t>
      </w:r>
      <w:r>
        <w:rPr>
          <w:rFonts w:hint="eastAsia" w:cs="宋体"/>
          <w:color w:val="auto"/>
          <w:sz w:val="21"/>
          <w:szCs w:val="21"/>
          <w:highlight w:val="none"/>
          <w:u w:val="single"/>
        </w:rPr>
        <w:t>承包人应承担工程照管、成品保护、保管等与工程有关的各项费用</w:t>
      </w:r>
      <w:r>
        <w:rPr>
          <w:rFonts w:hint="eastAsia" w:cs="宋体"/>
          <w:color w:val="auto"/>
          <w:sz w:val="21"/>
          <w:szCs w:val="21"/>
          <w:highlight w:val="none"/>
        </w:rPr>
        <w:t>。</w:t>
      </w:r>
    </w:p>
    <w:p w14:paraId="52C7CF32">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13.3 工程试车</w:t>
      </w:r>
    </w:p>
    <w:bookmarkEnd w:id="525"/>
    <w:p w14:paraId="7FA6E5F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13.3.1 试车程序</w:t>
      </w:r>
    </w:p>
    <w:p w14:paraId="2EBA3D2C">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工程试车内容：</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w:t>
      </w:r>
      <w:r>
        <w:rPr>
          <w:rFonts w:hint="eastAsia" w:cs="宋体"/>
          <w:color w:val="auto"/>
          <w:sz w:val="21"/>
          <w:szCs w:val="21"/>
          <w:highlight w:val="none"/>
          <w:u w:val="single"/>
        </w:rPr>
        <w:t xml:space="preserve">                         </w:t>
      </w:r>
      <w:r>
        <w:rPr>
          <w:rFonts w:hint="eastAsia" w:cs="宋体"/>
          <w:color w:val="auto"/>
          <w:sz w:val="21"/>
          <w:szCs w:val="21"/>
          <w:highlight w:val="none"/>
        </w:rPr>
        <w:t>。</w:t>
      </w:r>
    </w:p>
    <w:p w14:paraId="734174C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（1）单机无负荷试车费用由</w:t>
      </w:r>
      <w:r>
        <w:rPr>
          <w:rFonts w:hint="eastAsia" w:cs="宋体"/>
          <w:color w:val="auto"/>
          <w:sz w:val="21"/>
          <w:szCs w:val="21"/>
          <w:highlight w:val="none"/>
          <w:u w:val="single"/>
        </w:rPr>
        <w:t>试车消耗的生产性原材料由发包人承担；试车其他费用（包括试车所需水电油等费用）由承包人在投标报价中综合考虑并</w:t>
      </w:r>
      <w:r>
        <w:rPr>
          <w:rFonts w:hint="eastAsia" w:cs="宋体"/>
          <w:color w:val="auto"/>
          <w:sz w:val="21"/>
          <w:szCs w:val="21"/>
          <w:highlight w:val="none"/>
        </w:rPr>
        <w:t>承担；</w:t>
      </w:r>
    </w:p>
    <w:p w14:paraId="45BCDC2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（2）无负荷联动试车费用由</w:t>
      </w:r>
      <w:r>
        <w:rPr>
          <w:rFonts w:hint="eastAsia" w:cs="宋体"/>
          <w:color w:val="auto"/>
          <w:sz w:val="21"/>
          <w:szCs w:val="21"/>
          <w:highlight w:val="none"/>
          <w:u w:val="single"/>
        </w:rPr>
        <w:t>试车消耗的生产性原材料由发包人承担；试车其他费用（包括试车所需水电油等费用）由承包人在投标报价中综合考虑并</w:t>
      </w:r>
      <w:r>
        <w:rPr>
          <w:rFonts w:hint="eastAsia" w:cs="宋体"/>
          <w:color w:val="auto"/>
          <w:sz w:val="21"/>
          <w:szCs w:val="21"/>
          <w:highlight w:val="none"/>
        </w:rPr>
        <w:t>承担。</w:t>
      </w:r>
    </w:p>
    <w:p w14:paraId="69AF392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13.3.3 投料试车</w:t>
      </w:r>
    </w:p>
    <w:p w14:paraId="2E506BC0">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关于投料试车相关事项的约定：</w:t>
      </w:r>
      <w:r>
        <w:rPr>
          <w:rFonts w:hint="eastAsia" w:cs="宋体"/>
          <w:color w:val="auto"/>
          <w:sz w:val="21"/>
          <w:szCs w:val="21"/>
          <w:highlight w:val="none"/>
          <w:u w:val="single"/>
        </w:rPr>
        <w:t>执行通用条款</w:t>
      </w:r>
      <w:r>
        <w:rPr>
          <w:rFonts w:hint="eastAsia" w:cs="宋体"/>
          <w:color w:val="auto"/>
          <w:sz w:val="21"/>
          <w:szCs w:val="21"/>
          <w:highlight w:val="none"/>
        </w:rPr>
        <w:t>。</w:t>
      </w:r>
    </w:p>
    <w:p w14:paraId="7E875CD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13.6 竣工退场</w:t>
      </w:r>
    </w:p>
    <w:p w14:paraId="31EE4AC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13.6.1 竣工退场</w:t>
      </w:r>
    </w:p>
    <w:p w14:paraId="0702D79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承包人完成竣工退场的期限：</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竣工之日起15日内</w:t>
      </w:r>
      <w:r>
        <w:rPr>
          <w:rFonts w:hint="eastAsia" w:ascii="宋体" w:hAnsi="宋体" w:eastAsia="宋体" w:cs="宋体"/>
          <w:color w:val="auto"/>
          <w:sz w:val="21"/>
          <w:szCs w:val="21"/>
          <w:highlight w:val="none"/>
          <w:u w:val="single"/>
          <w:lang w:val="en-US" w:eastAsia="zh-CN"/>
        </w:rPr>
        <w:t xml:space="preserve"> </w:t>
      </w:r>
      <w:r>
        <w:rPr>
          <w:rFonts w:hint="eastAsia" w:cs="宋体"/>
          <w:color w:val="auto"/>
          <w:sz w:val="21"/>
          <w:szCs w:val="21"/>
          <w:highlight w:val="none"/>
        </w:rPr>
        <w:t>。</w:t>
      </w:r>
    </w:p>
    <w:p w14:paraId="6B418B90">
      <w:pPr>
        <w:snapToGrid w:val="0"/>
        <w:spacing w:before="312" w:beforeLines="100" w:after="312" w:afterLines="100" w:line="360" w:lineRule="auto"/>
        <w:outlineLvl w:val="2"/>
        <w:rPr>
          <w:rFonts w:cs="宋体"/>
          <w:color w:val="auto"/>
          <w:sz w:val="21"/>
          <w:szCs w:val="21"/>
          <w:highlight w:val="none"/>
        </w:rPr>
      </w:pPr>
      <w:bookmarkStart w:id="527" w:name="_Toc351203646"/>
      <w:r>
        <w:rPr>
          <w:rFonts w:hint="eastAsia" w:cs="宋体"/>
          <w:color w:val="auto"/>
          <w:sz w:val="21"/>
          <w:szCs w:val="21"/>
          <w:highlight w:val="none"/>
        </w:rPr>
        <w:t>14. 竣工结算</w:t>
      </w:r>
      <w:bookmarkEnd w:id="527"/>
    </w:p>
    <w:p w14:paraId="11522E7B">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14.1 竣工结算申请</w:t>
      </w:r>
    </w:p>
    <w:p w14:paraId="1067E23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承包人提交竣工结算申请单的期限：</w:t>
      </w:r>
      <w:r>
        <w:rPr>
          <w:rFonts w:hint="eastAsia" w:cs="宋体"/>
          <w:color w:val="auto"/>
          <w:sz w:val="21"/>
          <w:szCs w:val="21"/>
          <w:highlight w:val="none"/>
          <w:u w:val="single"/>
        </w:rPr>
        <w:t>承包人应在工程竣工验收合格后28天内</w:t>
      </w:r>
      <w:r>
        <w:rPr>
          <w:rFonts w:hint="eastAsia" w:cs="宋体"/>
          <w:color w:val="auto"/>
          <w:sz w:val="21"/>
          <w:szCs w:val="21"/>
          <w:highlight w:val="none"/>
        </w:rPr>
        <w:t>。</w:t>
      </w:r>
    </w:p>
    <w:p w14:paraId="2930012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竣工结算申请单应包括的内容：</w:t>
      </w:r>
      <w:r>
        <w:rPr>
          <w:rFonts w:hint="eastAsia" w:cs="宋体"/>
          <w:color w:val="auto"/>
          <w:sz w:val="21"/>
          <w:szCs w:val="21"/>
          <w:highlight w:val="none"/>
          <w:u w:val="single"/>
        </w:rPr>
        <w:t>执行通用条款</w:t>
      </w:r>
      <w:r>
        <w:rPr>
          <w:rFonts w:hint="eastAsia" w:cs="宋体"/>
          <w:color w:val="auto"/>
          <w:sz w:val="21"/>
          <w:szCs w:val="21"/>
          <w:highlight w:val="none"/>
        </w:rPr>
        <w:t>。</w:t>
      </w:r>
    </w:p>
    <w:p w14:paraId="5F8DDB8A">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14.2 竣工结算审核</w:t>
      </w:r>
    </w:p>
    <w:p w14:paraId="559A427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发包人审批竣工付款申请单的期限：</w:t>
      </w:r>
      <w:r>
        <w:rPr>
          <w:rFonts w:hint="eastAsia" w:cs="宋体"/>
          <w:color w:val="auto"/>
          <w:sz w:val="21"/>
          <w:szCs w:val="21"/>
          <w:highlight w:val="none"/>
          <w:u w:val="single"/>
        </w:rPr>
        <w:t>发包人应在收到监理人提交的经审核的竣工结算申请单后14天内完成审批</w:t>
      </w:r>
      <w:r>
        <w:rPr>
          <w:rFonts w:hint="eastAsia" w:cs="宋体"/>
          <w:color w:val="auto"/>
          <w:sz w:val="21"/>
          <w:szCs w:val="21"/>
          <w:highlight w:val="none"/>
        </w:rPr>
        <w:t>。</w:t>
      </w:r>
    </w:p>
    <w:p w14:paraId="11DDE718">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发包人完成竣工付款的期限：</w:t>
      </w:r>
      <w:r>
        <w:rPr>
          <w:rFonts w:hint="eastAsia" w:cs="宋体"/>
          <w:color w:val="auto"/>
          <w:sz w:val="21"/>
          <w:szCs w:val="21"/>
          <w:highlight w:val="none"/>
          <w:u w:val="single"/>
        </w:rPr>
        <w:t>发包人应在签发竣工付款证书后的14 天内，完成对承包人的竣工付款</w:t>
      </w:r>
      <w:r>
        <w:rPr>
          <w:rFonts w:hint="eastAsia" w:cs="宋体"/>
          <w:color w:val="auto"/>
          <w:sz w:val="21"/>
          <w:szCs w:val="21"/>
          <w:highlight w:val="none"/>
        </w:rPr>
        <w:t>。</w:t>
      </w:r>
    </w:p>
    <w:p w14:paraId="72BF9FCF">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关于竣工付款证书异议部分复核的方式和程序：</w:t>
      </w:r>
      <w:r>
        <w:rPr>
          <w:rFonts w:hint="eastAsia" w:cs="宋体"/>
          <w:color w:val="auto"/>
          <w:sz w:val="21"/>
          <w:szCs w:val="21"/>
          <w:highlight w:val="none"/>
          <w:u w:val="single"/>
        </w:rPr>
        <w:t>执行通用条款</w:t>
      </w:r>
      <w:r>
        <w:rPr>
          <w:rFonts w:hint="eastAsia" w:cs="宋体"/>
          <w:color w:val="auto"/>
          <w:sz w:val="21"/>
          <w:szCs w:val="21"/>
          <w:highlight w:val="none"/>
        </w:rPr>
        <w:t>。</w:t>
      </w:r>
    </w:p>
    <w:p w14:paraId="1B89236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14.4 最终结清</w:t>
      </w:r>
    </w:p>
    <w:p w14:paraId="7E41019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14.4.1 最终结清申请单</w:t>
      </w:r>
    </w:p>
    <w:p w14:paraId="2BB7492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承包人提交最终结清申请单的份数：</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按</w:t>
      </w:r>
      <w:r>
        <w:rPr>
          <w:color w:val="auto"/>
          <w:sz w:val="21"/>
          <w:szCs w:val="21"/>
          <w:highlight w:val="none"/>
          <w:u w:val="single" w:color="auto"/>
        </w:rPr>
        <w:t>监理要求</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E826579">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承包人提交最终结算申请单的期限：</w:t>
      </w:r>
      <w:r>
        <w:rPr>
          <w:rFonts w:hint="eastAsia" w:cs="宋体"/>
          <w:color w:val="auto"/>
          <w:sz w:val="21"/>
          <w:szCs w:val="21"/>
          <w:highlight w:val="none"/>
          <w:u w:val="single"/>
        </w:rPr>
        <w:t>缺陷责任期终止证书颁发后7天内</w:t>
      </w:r>
      <w:r>
        <w:rPr>
          <w:rFonts w:hint="eastAsia" w:cs="宋体"/>
          <w:color w:val="auto"/>
          <w:sz w:val="21"/>
          <w:szCs w:val="21"/>
          <w:highlight w:val="none"/>
        </w:rPr>
        <w:t xml:space="preserve">。 </w:t>
      </w:r>
    </w:p>
    <w:p w14:paraId="66397B46">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14.4.2 最终结清证书和支付</w:t>
      </w:r>
    </w:p>
    <w:p w14:paraId="5EC6DE2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（1）发包人完成最终结清申请单的审批并颁发最终结清证书的期限：</w:t>
      </w:r>
      <w:r>
        <w:rPr>
          <w:rFonts w:hint="eastAsia" w:cs="宋体"/>
          <w:color w:val="auto"/>
          <w:sz w:val="21"/>
          <w:szCs w:val="21"/>
          <w:highlight w:val="none"/>
          <w:u w:val="single"/>
        </w:rPr>
        <w:t>收到承包人提交的最终结清申请单后14天内</w:t>
      </w:r>
      <w:r>
        <w:rPr>
          <w:rFonts w:hint="eastAsia" w:cs="宋体"/>
          <w:color w:val="auto"/>
          <w:sz w:val="21"/>
          <w:szCs w:val="21"/>
          <w:highlight w:val="none"/>
        </w:rPr>
        <w:t>。</w:t>
      </w:r>
    </w:p>
    <w:p w14:paraId="3F2E141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（2）发包人完成支付的期限：</w:t>
      </w:r>
      <w:r>
        <w:rPr>
          <w:rFonts w:hint="eastAsia" w:cs="宋体"/>
          <w:color w:val="auto"/>
          <w:sz w:val="21"/>
          <w:szCs w:val="21"/>
          <w:highlight w:val="none"/>
          <w:u w:val="single"/>
        </w:rPr>
        <w:t>颁发最终结清证书后7天内完成支付</w:t>
      </w:r>
      <w:r>
        <w:rPr>
          <w:rFonts w:hint="eastAsia" w:cs="宋体"/>
          <w:color w:val="auto"/>
          <w:sz w:val="21"/>
          <w:szCs w:val="21"/>
          <w:highlight w:val="none"/>
        </w:rPr>
        <w:t>。</w:t>
      </w:r>
    </w:p>
    <w:bookmarkEnd w:id="514"/>
    <w:bookmarkEnd w:id="515"/>
    <w:bookmarkEnd w:id="516"/>
    <w:bookmarkEnd w:id="517"/>
    <w:bookmarkEnd w:id="518"/>
    <w:bookmarkEnd w:id="519"/>
    <w:bookmarkEnd w:id="520"/>
    <w:bookmarkEnd w:id="526"/>
    <w:p w14:paraId="134A1766">
      <w:pPr>
        <w:snapToGrid w:val="0"/>
        <w:spacing w:before="312" w:beforeLines="100" w:after="312" w:afterLines="100" w:line="360" w:lineRule="auto"/>
        <w:outlineLvl w:val="2"/>
        <w:rPr>
          <w:rFonts w:cs="宋体"/>
          <w:color w:val="auto"/>
          <w:sz w:val="21"/>
          <w:szCs w:val="21"/>
          <w:highlight w:val="none"/>
        </w:rPr>
      </w:pPr>
      <w:bookmarkStart w:id="528" w:name="_Toc351203647"/>
      <w:bookmarkStart w:id="529" w:name="_Toc267251483"/>
      <w:bookmarkStart w:id="530" w:name="_Toc267251484"/>
      <w:bookmarkStart w:id="531" w:name="_Toc267251482"/>
      <w:bookmarkStart w:id="532" w:name="_Toc267251485"/>
      <w:bookmarkStart w:id="533" w:name="_Toc267251488"/>
      <w:bookmarkStart w:id="534" w:name="_Toc267251486"/>
      <w:bookmarkStart w:id="535" w:name="_Toc267251490"/>
      <w:bookmarkStart w:id="536" w:name="_Toc267251489"/>
      <w:bookmarkStart w:id="537" w:name="_Toc267251498"/>
      <w:bookmarkStart w:id="538" w:name="_Toc267251491"/>
      <w:bookmarkStart w:id="539" w:name="_Toc267251493"/>
      <w:bookmarkStart w:id="540" w:name="_Toc267251492"/>
      <w:bookmarkStart w:id="541" w:name="_Toc267251496"/>
      <w:bookmarkStart w:id="542" w:name="_Toc267251495"/>
      <w:bookmarkStart w:id="543" w:name="_Toc267251499"/>
      <w:bookmarkStart w:id="544" w:name="_Toc267251503"/>
      <w:bookmarkStart w:id="545" w:name="_Toc267251502"/>
      <w:bookmarkStart w:id="546" w:name="_Toc267251501"/>
      <w:bookmarkStart w:id="547" w:name="_Toc267251497"/>
      <w:bookmarkStart w:id="548" w:name="_Toc267251494"/>
      <w:bookmarkStart w:id="549" w:name="_Toc267251504"/>
      <w:bookmarkStart w:id="550" w:name="_Toc267251506"/>
      <w:bookmarkStart w:id="551" w:name="_Toc267251507"/>
      <w:bookmarkStart w:id="552" w:name="_Toc267251508"/>
      <w:bookmarkStart w:id="553" w:name="_Toc267251510"/>
      <w:bookmarkStart w:id="554" w:name="_Toc267251511"/>
      <w:bookmarkStart w:id="555" w:name="_Toc267251513"/>
      <w:bookmarkStart w:id="556" w:name="_Toc267251514"/>
      <w:bookmarkStart w:id="557" w:name="_Toc267251509"/>
      <w:bookmarkStart w:id="558" w:name="_Toc267251515"/>
      <w:r>
        <w:rPr>
          <w:rFonts w:hint="eastAsia" w:cs="宋体"/>
          <w:color w:val="auto"/>
          <w:sz w:val="21"/>
          <w:szCs w:val="21"/>
          <w:highlight w:val="none"/>
        </w:rPr>
        <w:t>15. 缺陷责任期与保修</w:t>
      </w:r>
      <w:bookmarkEnd w:id="528"/>
    </w:p>
    <w:p w14:paraId="07EE295A">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15.2 缺陷责任期</w:t>
      </w:r>
      <w:bookmarkEnd w:id="529"/>
    </w:p>
    <w:p w14:paraId="0C339B21">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缺陷责任期的具体期限：</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D72C5C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15.3 质量保证金</w:t>
      </w:r>
    </w:p>
    <w:p w14:paraId="33799AA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关于是否扣留质量保证金的约定：</w:t>
      </w:r>
      <w:r>
        <w:rPr>
          <w:rFonts w:hint="eastAsia" w:cs="宋体"/>
          <w:color w:val="auto"/>
          <w:sz w:val="21"/>
          <w:szCs w:val="21"/>
          <w:highlight w:val="none"/>
          <w:u w:val="single"/>
        </w:rPr>
        <w:t xml:space="preserve">  见《专用合同条款数据表》 </w:t>
      </w:r>
      <w:r>
        <w:rPr>
          <w:rFonts w:hint="eastAsia" w:cs="宋体"/>
          <w:color w:val="auto"/>
          <w:sz w:val="21"/>
          <w:szCs w:val="21"/>
          <w:highlight w:val="none"/>
        </w:rPr>
        <w:t>。在工程项目竣工前，承包人按专用合同条款第3.7款提供履约保证金的，发包人不得同时预留工程质量保证金。</w:t>
      </w:r>
    </w:p>
    <w:p w14:paraId="604C172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15.3.1 承包人提供质量保证金的方式</w:t>
      </w:r>
    </w:p>
    <w:p w14:paraId="3869C70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质量保证金可采用以下任意一种方式：</w:t>
      </w:r>
    </w:p>
    <w:p w14:paraId="5E58129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（1）由银行业金融机构、工程担保公司、保险机构出具银行保函、工程质量保险等担保方式，担保/保证金额为：</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D8F3AF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7EC60AD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（3）其他方式：</w:t>
      </w:r>
      <w:r>
        <w:rPr>
          <w:rFonts w:hint="eastAsia" w:cs="宋体"/>
          <w:color w:val="auto"/>
          <w:sz w:val="21"/>
          <w:szCs w:val="21"/>
          <w:highlight w:val="none"/>
          <w:u w:val="single"/>
        </w:rPr>
        <w:t>见《专用合同条款数据表》</w:t>
      </w:r>
      <w:r>
        <w:rPr>
          <w:rFonts w:hint="eastAsia" w:cs="宋体"/>
          <w:color w:val="auto"/>
          <w:sz w:val="21"/>
          <w:szCs w:val="21"/>
          <w:highlight w:val="none"/>
        </w:rPr>
        <w:t>。</w:t>
      </w:r>
    </w:p>
    <w:p w14:paraId="471A5E2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15.3.2 质量保证金的扣留 </w:t>
      </w:r>
    </w:p>
    <w:p w14:paraId="73812E7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质量保证金的扣留采取以下第</w:t>
      </w:r>
      <w:r>
        <w:rPr>
          <w:rFonts w:hint="eastAsia" w:cs="宋体"/>
          <w:color w:val="auto"/>
          <w:sz w:val="21"/>
          <w:szCs w:val="21"/>
          <w:highlight w:val="none"/>
          <w:u w:val="single"/>
        </w:rPr>
        <w:t xml:space="preserve">   </w:t>
      </w:r>
      <w:r>
        <w:rPr>
          <w:rFonts w:hint="eastAsia" w:cs="宋体"/>
          <w:color w:val="auto"/>
          <w:sz w:val="21"/>
          <w:szCs w:val="21"/>
          <w:highlight w:val="none"/>
        </w:rPr>
        <w:t>种方式：</w:t>
      </w:r>
    </w:p>
    <w:p w14:paraId="1926F90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（1）在支付工程进度款时逐次扣留，在此情形下，质量保证金的计算基数不包括预付款的支付、扣回以及价格调整的金额；</w:t>
      </w:r>
    </w:p>
    <w:p w14:paraId="0CD3AAE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（2）工程竣工结算时一次性扣留质量保证金；</w:t>
      </w:r>
    </w:p>
    <w:p w14:paraId="33D8F0B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（3）其他扣留方式：</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F52D80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关于质量保证金的补充约定：</w:t>
      </w:r>
    </w:p>
    <w:p w14:paraId="6EBBB4F7">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u w:val="single"/>
        </w:rPr>
        <w:t>①在工程项目竣工前，承包人按专用合同条款第3.7款提供履约保证金的，可在工程进入缺陷责任期时按照多退少补原则转为质量保证金；</w:t>
      </w:r>
    </w:p>
    <w:bookmarkEnd w:id="530"/>
    <w:bookmarkEnd w:id="531"/>
    <w:p w14:paraId="0A542BF8">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15.4 保修</w:t>
      </w:r>
    </w:p>
    <w:bookmarkEnd w:id="532"/>
    <w:p w14:paraId="702E983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15.4.1 保修责任</w:t>
      </w:r>
    </w:p>
    <w:p w14:paraId="73183162">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工程保修期为：</w:t>
      </w:r>
      <w:r>
        <w:rPr>
          <w:rFonts w:hint="eastAsia" w:cs="宋体"/>
          <w:color w:val="auto"/>
          <w:sz w:val="21"/>
          <w:szCs w:val="21"/>
          <w:highlight w:val="none"/>
          <w:u w:val="single"/>
        </w:rPr>
        <w:t>执行《工程质量保修书》规定</w:t>
      </w:r>
      <w:r>
        <w:rPr>
          <w:rFonts w:hint="eastAsia" w:cs="宋体"/>
          <w:color w:val="auto"/>
          <w:sz w:val="21"/>
          <w:szCs w:val="21"/>
          <w:highlight w:val="none"/>
        </w:rPr>
        <w:t>。</w:t>
      </w:r>
    </w:p>
    <w:p w14:paraId="261E3FE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15.4.3 修复通知</w:t>
      </w:r>
    </w:p>
    <w:p w14:paraId="4D210F0A">
      <w:pPr>
        <w:pStyle w:val="50"/>
        <w:keepNext w:val="0"/>
        <w:keepLines w:val="0"/>
        <w:widowControl/>
        <w:suppressLineNumbers w:val="0"/>
        <w:spacing w:line="240" w:lineRule="auto"/>
        <w:ind w:left="0" w:firstLine="428"/>
        <w:jc w:val="left"/>
        <w:textAlignment w:val="center"/>
        <w:rPr>
          <w:rFonts w:cs="宋体"/>
          <w:color w:val="auto"/>
          <w:sz w:val="21"/>
          <w:szCs w:val="21"/>
          <w:highlight w:val="none"/>
          <w:u w:val="single"/>
        </w:rPr>
      </w:pPr>
      <w:r>
        <w:rPr>
          <w:rFonts w:hint="eastAsia" w:cs="宋体"/>
          <w:color w:val="auto"/>
          <w:sz w:val="21"/>
          <w:szCs w:val="21"/>
          <w:highlight w:val="none"/>
        </w:rPr>
        <w:t>承包人收到保修通知并到达工程现场的合理时间：</w:t>
      </w:r>
      <w:r>
        <w:rPr>
          <w:rFonts w:hint="eastAsia" w:cs="宋体"/>
          <w:color w:val="auto"/>
          <w:sz w:val="21"/>
          <w:szCs w:val="21"/>
          <w:highlight w:val="none"/>
          <w:u w:val="single"/>
        </w:rPr>
        <w:t xml:space="preserve">  </w:t>
      </w:r>
      <w:r>
        <w:rPr>
          <w:rFonts w:hint="eastAsia" w:ascii="宋体" w:hAnsi="宋体" w:eastAsia="宋体" w:cs="宋体"/>
          <w:color w:val="auto"/>
          <w:spacing w:val="0"/>
          <w:position w:val="0"/>
          <w:sz w:val="21"/>
          <w:szCs w:val="21"/>
          <w:highlight w:val="none"/>
          <w:u w:val="single"/>
        </w:rPr>
        <w:t>自承包人收到保修通知起24 小时内到达工程现场</w:t>
      </w:r>
      <w:r>
        <w:rPr>
          <w:rFonts w:hint="eastAsia" w:cs="宋体"/>
          <w:color w:val="auto"/>
          <w:sz w:val="21"/>
          <w:szCs w:val="21"/>
          <w:highlight w:val="none"/>
          <w:u w:val="single"/>
        </w:rPr>
        <w:t xml:space="preserve"> </w:t>
      </w:r>
      <w:r>
        <w:rPr>
          <w:rFonts w:hint="eastAsia" w:cs="宋体"/>
          <w:color w:val="auto"/>
          <w:sz w:val="21"/>
          <w:szCs w:val="21"/>
          <w:highlight w:val="none"/>
        </w:rPr>
        <w:t>。</w:t>
      </w:r>
    </w:p>
    <w:bookmarkEnd w:id="533"/>
    <w:bookmarkEnd w:id="534"/>
    <w:bookmarkEnd w:id="535"/>
    <w:bookmarkEnd w:id="536"/>
    <w:p w14:paraId="75723A99">
      <w:pPr>
        <w:snapToGrid w:val="0"/>
        <w:spacing w:before="312" w:beforeLines="100" w:after="312" w:afterLines="100" w:line="360" w:lineRule="auto"/>
        <w:outlineLvl w:val="2"/>
        <w:rPr>
          <w:rFonts w:cs="宋体"/>
          <w:color w:val="auto"/>
          <w:sz w:val="21"/>
          <w:szCs w:val="21"/>
          <w:highlight w:val="none"/>
        </w:rPr>
      </w:pPr>
      <w:bookmarkStart w:id="559" w:name="_Toc351203648"/>
      <w:bookmarkStart w:id="560" w:name="_Toc280868717"/>
      <w:bookmarkStart w:id="561" w:name="_Toc280868718"/>
      <w:r>
        <w:rPr>
          <w:rFonts w:hint="eastAsia" w:cs="宋体"/>
          <w:color w:val="auto"/>
          <w:sz w:val="21"/>
          <w:szCs w:val="21"/>
          <w:highlight w:val="none"/>
        </w:rPr>
        <w:t>16. 违约</w:t>
      </w:r>
      <w:bookmarkEnd w:id="559"/>
    </w:p>
    <w:p w14:paraId="7A5F2907">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16.1 发包人违约</w:t>
      </w:r>
    </w:p>
    <w:p w14:paraId="0F5DBCE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16.1.1 发包人违约的情形</w:t>
      </w:r>
    </w:p>
    <w:p w14:paraId="165E543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发包人违约的其他情形：</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827C62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16.1.2 发包人违约的责任</w:t>
      </w:r>
    </w:p>
    <w:p w14:paraId="2D48FA1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发包人违约责任的承担方式和计算方法：</w:t>
      </w:r>
    </w:p>
    <w:p w14:paraId="178E4E0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（1）因发包人原因未能在计划开工日期前7天内下达开工通知的违约责任：</w:t>
      </w:r>
      <w:r>
        <w:rPr>
          <w:rFonts w:hint="eastAsia" w:cs="宋体"/>
          <w:color w:val="auto"/>
          <w:sz w:val="21"/>
          <w:szCs w:val="21"/>
          <w:highlight w:val="none"/>
          <w:u w:val="single"/>
        </w:rPr>
        <w:t xml:space="preserve"> </w:t>
      </w:r>
      <w:r>
        <w:rPr>
          <w:rFonts w:hint="eastAsia" w:ascii="宋体" w:cs="宋体"/>
          <w:color w:val="auto"/>
          <w:kern w:val="0"/>
          <w:sz w:val="21"/>
          <w:szCs w:val="21"/>
          <w:highlight w:val="none"/>
          <w:u w:val="single"/>
        </w:rPr>
        <w:t>对工期造成影响的可顺延工期</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6CAA92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（2）因发包人原因未能按合同约定支付合同价款的违约责任：</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9CF0BAF">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（3）发包人违反第10.1款〔变更的范围〕第（2）项约定，自行实施被取消的工作或转由他人实施的违约责任：</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3D1B6B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（4）发包人提供的材料、工程设备的规格、数量或质量不符合合同约定，或因发包人原因导致交货日期延误或交货地点变更等情况的违约责任：</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992ED59">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（5）因发包人违反合同约定造成暂停施工的违约责任：</w:t>
      </w:r>
      <w:r>
        <w:rPr>
          <w:rFonts w:hint="eastAsia" w:cs="宋体"/>
          <w:color w:val="auto"/>
          <w:sz w:val="21"/>
          <w:szCs w:val="21"/>
          <w:highlight w:val="none"/>
          <w:u w:val="single"/>
        </w:rPr>
        <w:t xml:space="preserve"> </w:t>
      </w:r>
      <w:r>
        <w:rPr>
          <w:rFonts w:hint="eastAsia" w:ascii="宋体" w:cs="宋体"/>
          <w:color w:val="auto"/>
          <w:kern w:val="0"/>
          <w:szCs w:val="21"/>
          <w:highlight w:val="none"/>
          <w:u w:val="single"/>
        </w:rPr>
        <w:t>对工期造成影响的可顺延工期</w:t>
      </w:r>
      <w:r>
        <w:rPr>
          <w:rFonts w:hint="eastAsia" w:cs="宋体"/>
          <w:color w:val="auto"/>
          <w:sz w:val="21"/>
          <w:szCs w:val="21"/>
          <w:highlight w:val="none"/>
        </w:rPr>
        <w:t>。</w:t>
      </w:r>
    </w:p>
    <w:p w14:paraId="071D7B18">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（6）发包人无正当理由没有在约定期限内发出复工指示，导致承包人无法复工的违约责任：</w:t>
      </w:r>
      <w:r>
        <w:rPr>
          <w:rFonts w:hint="eastAsia" w:cs="宋体"/>
          <w:color w:val="auto"/>
          <w:sz w:val="21"/>
          <w:szCs w:val="21"/>
          <w:highlight w:val="none"/>
          <w:u w:val="single"/>
        </w:rPr>
        <w:t xml:space="preserve"> </w:t>
      </w:r>
      <w:r>
        <w:rPr>
          <w:rFonts w:hint="eastAsia" w:ascii="宋体" w:cs="宋体"/>
          <w:color w:val="auto"/>
          <w:kern w:val="0"/>
          <w:szCs w:val="21"/>
          <w:highlight w:val="none"/>
          <w:u w:val="single"/>
        </w:rPr>
        <w:t>对工期造成影响的可顺延工期</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59DCB7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（7）其他：</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14ADB3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16.1.3 因发包人违约解除合同</w:t>
      </w:r>
    </w:p>
    <w:p w14:paraId="166B3D8A">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承包人按16.1.1项〔发包人违约的情形〕约定暂停施工满</w:t>
      </w:r>
      <w:r>
        <w:rPr>
          <w:rFonts w:hint="eastAsia" w:cs="宋体"/>
          <w:color w:val="auto"/>
          <w:sz w:val="21"/>
          <w:szCs w:val="21"/>
          <w:highlight w:val="none"/>
          <w:u w:val="single"/>
        </w:rPr>
        <w:t>28</w:t>
      </w:r>
      <w:r>
        <w:rPr>
          <w:rFonts w:hint="eastAsia" w:cs="宋体"/>
          <w:color w:val="auto"/>
          <w:sz w:val="21"/>
          <w:szCs w:val="21"/>
          <w:highlight w:val="none"/>
        </w:rPr>
        <w:t>天后发包人仍不纠正其违约行为并致使合同目的不能实现的，承包人有权解除合同。</w:t>
      </w:r>
    </w:p>
    <w:p w14:paraId="6387DDD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16.2 承包人违约</w:t>
      </w:r>
    </w:p>
    <w:p w14:paraId="3FB0A99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16.2.1 承包人违约的情形</w:t>
      </w:r>
    </w:p>
    <w:p w14:paraId="1792758E">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承包人违约的其他情形：</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FB3589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16.2.2 承包人违约的责任</w:t>
      </w:r>
    </w:p>
    <w:p w14:paraId="3D3DD1F4">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承包人违约责任的承担方式和计算方法：</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由承包人承担全部费用并承担相关法律责任</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67BDA9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16.2.3 因承包人违约解除合同</w:t>
      </w:r>
    </w:p>
    <w:p w14:paraId="2106946D">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关于承包人违约解除合同的特别约定：</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除专用条款约定情形外，其余执行通用条款</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F8E024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发包人继续使用承包人在施工现场的材料、设备、临时工程、承包人文件和由承包人或以其名义编制的其他文件的费用承担方式：</w:t>
      </w:r>
      <w:r>
        <w:rPr>
          <w:rFonts w:hint="eastAsia"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承包人承担费用</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66A6F6C">
      <w:pPr>
        <w:snapToGrid w:val="0"/>
        <w:spacing w:before="312" w:beforeLines="100" w:after="312" w:afterLines="100" w:line="360" w:lineRule="auto"/>
        <w:outlineLvl w:val="2"/>
        <w:rPr>
          <w:rFonts w:cs="宋体"/>
          <w:color w:val="auto"/>
          <w:sz w:val="21"/>
          <w:szCs w:val="21"/>
          <w:highlight w:val="none"/>
        </w:rPr>
      </w:pPr>
      <w:bookmarkStart w:id="562" w:name="_Toc351203649"/>
      <w:r>
        <w:rPr>
          <w:rFonts w:hint="eastAsia" w:cs="宋体"/>
          <w:color w:val="auto"/>
          <w:sz w:val="21"/>
          <w:szCs w:val="21"/>
          <w:highlight w:val="none"/>
        </w:rPr>
        <w:t>17. 不可抗力</w:t>
      </w:r>
      <w:bookmarkEnd w:id="562"/>
      <w:r>
        <w:rPr>
          <w:rFonts w:hint="eastAsia" w:cs="宋体"/>
          <w:color w:val="auto"/>
          <w:sz w:val="21"/>
          <w:szCs w:val="21"/>
          <w:highlight w:val="none"/>
        </w:rPr>
        <w:t xml:space="preserve"> </w:t>
      </w:r>
      <w:bookmarkEnd w:id="560"/>
    </w:p>
    <w:p w14:paraId="1A6B8FFE">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17.1 不可抗力的确认</w:t>
      </w:r>
    </w:p>
    <w:p w14:paraId="226324FA">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除通用合同条款约定的不可抗力事件之外，视为不可抗力的其他情形：</w:t>
      </w:r>
      <w:r>
        <w:rPr>
          <w:rFonts w:hint="eastAsia" w:cs="宋体"/>
          <w:color w:val="auto"/>
          <w:sz w:val="21"/>
          <w:szCs w:val="21"/>
          <w:highlight w:val="none"/>
          <w:u w:val="single"/>
        </w:rPr>
        <w:t>执行通用条款</w:t>
      </w:r>
      <w:r>
        <w:rPr>
          <w:rFonts w:hint="eastAsia" w:cs="宋体"/>
          <w:color w:val="auto"/>
          <w:sz w:val="21"/>
          <w:szCs w:val="21"/>
          <w:highlight w:val="none"/>
        </w:rPr>
        <w:t>。</w:t>
      </w:r>
    </w:p>
    <w:p w14:paraId="6C6E2D95">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17.4 因不可抗力解除合同</w:t>
      </w:r>
    </w:p>
    <w:p w14:paraId="7E130D23">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合同解除后，发包人应在商定或确定发包人应支付款项后</w:t>
      </w:r>
      <w:r>
        <w:rPr>
          <w:rFonts w:hint="eastAsia" w:cs="宋体"/>
          <w:color w:val="auto"/>
          <w:sz w:val="21"/>
          <w:szCs w:val="21"/>
          <w:highlight w:val="none"/>
          <w:u w:val="single"/>
        </w:rPr>
        <w:t>28</w:t>
      </w:r>
      <w:r>
        <w:rPr>
          <w:rFonts w:hint="eastAsia" w:cs="宋体"/>
          <w:color w:val="auto"/>
          <w:sz w:val="21"/>
          <w:szCs w:val="21"/>
          <w:highlight w:val="none"/>
        </w:rPr>
        <w:t>天内完成款项的支付。</w:t>
      </w:r>
    </w:p>
    <w:p w14:paraId="582BF499">
      <w:pPr>
        <w:snapToGrid w:val="0"/>
        <w:spacing w:before="312" w:beforeLines="100" w:after="312" w:afterLines="100" w:line="360" w:lineRule="auto"/>
        <w:outlineLvl w:val="2"/>
        <w:rPr>
          <w:rFonts w:cs="宋体"/>
          <w:color w:val="auto"/>
          <w:sz w:val="21"/>
          <w:szCs w:val="21"/>
          <w:highlight w:val="none"/>
        </w:rPr>
      </w:pPr>
      <w:bookmarkStart w:id="563" w:name="_Toc351203650"/>
      <w:r>
        <w:rPr>
          <w:rFonts w:hint="eastAsia" w:cs="宋体"/>
          <w:color w:val="auto"/>
          <w:sz w:val="21"/>
          <w:szCs w:val="21"/>
          <w:highlight w:val="none"/>
        </w:rPr>
        <w:t>18. 保险</w:t>
      </w:r>
      <w:bookmarkEnd w:id="563"/>
    </w:p>
    <w:bookmarkEnd w:id="561"/>
    <w:p w14:paraId="408817EE">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18.1 工程保险</w:t>
      </w:r>
    </w:p>
    <w:p w14:paraId="646E94A2">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关于工程保险的特别约定：</w:t>
      </w:r>
      <w:r>
        <w:rPr>
          <w:rFonts w:hint="eastAsia" w:cs="宋体"/>
          <w:b/>
          <w:color w:val="auto"/>
          <w:sz w:val="21"/>
          <w:szCs w:val="21"/>
          <w:highlight w:val="none"/>
          <w:u w:val="single"/>
        </w:rPr>
        <w:t xml:space="preserve">  </w:t>
      </w:r>
      <w:r>
        <w:rPr>
          <w:rFonts w:hint="eastAsia" w:ascii="宋体" w:hAnsi="宋体" w:eastAsia="宋体" w:cs="宋体"/>
          <w:color w:val="auto"/>
          <w:sz w:val="21"/>
          <w:szCs w:val="21"/>
          <w:highlight w:val="none"/>
          <w:u w:val="single"/>
        </w:rPr>
        <w:t>承包人自行考虑</w:t>
      </w:r>
      <w:r>
        <w:rPr>
          <w:rFonts w:hint="eastAsia" w:cs="宋体"/>
          <w:b/>
          <w:color w:val="auto"/>
          <w:sz w:val="21"/>
          <w:szCs w:val="21"/>
          <w:highlight w:val="none"/>
          <w:u w:val="single"/>
        </w:rPr>
        <w:t xml:space="preserve"> </w:t>
      </w:r>
      <w:r>
        <w:rPr>
          <w:rFonts w:hint="eastAsia" w:cs="宋体"/>
          <w:b/>
          <w:color w:val="auto"/>
          <w:sz w:val="21"/>
          <w:szCs w:val="21"/>
          <w:highlight w:val="none"/>
        </w:rPr>
        <w:t>。</w:t>
      </w:r>
    </w:p>
    <w:p w14:paraId="19B6D29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18.3 其他保险</w:t>
      </w:r>
    </w:p>
    <w:p w14:paraId="0CB33E2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关于其他保险的约定：</w:t>
      </w:r>
      <w:r>
        <w:rPr>
          <w:rFonts w:hint="eastAsia" w:cs="宋体"/>
          <w:color w:val="auto"/>
          <w:sz w:val="21"/>
          <w:szCs w:val="21"/>
          <w:highlight w:val="none"/>
          <w:u w:val="single"/>
        </w:rPr>
        <w:t>承包人须为其施工现场的全部人员办理意外伤害保险并支付保险费，包括其员工及为履行合同聘请的第三方的人员</w:t>
      </w:r>
      <w:r>
        <w:rPr>
          <w:rFonts w:hint="eastAsia" w:cs="宋体"/>
          <w:color w:val="auto"/>
          <w:sz w:val="21"/>
          <w:szCs w:val="21"/>
          <w:highlight w:val="none"/>
        </w:rPr>
        <w:t>。</w:t>
      </w:r>
    </w:p>
    <w:p w14:paraId="076F6EFB">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承包人是否应为其施工设备等办理财产保险：</w:t>
      </w:r>
      <w:r>
        <w:rPr>
          <w:rFonts w:hint="eastAsia" w:cs="宋体"/>
          <w:color w:val="auto"/>
          <w:sz w:val="21"/>
          <w:szCs w:val="21"/>
          <w:highlight w:val="none"/>
          <w:u w:val="single"/>
        </w:rPr>
        <w:t>执行通用条款</w:t>
      </w:r>
      <w:r>
        <w:rPr>
          <w:rFonts w:hint="eastAsia" w:cs="宋体"/>
          <w:color w:val="auto"/>
          <w:sz w:val="21"/>
          <w:szCs w:val="21"/>
          <w:highlight w:val="none"/>
        </w:rPr>
        <w:t>。</w:t>
      </w:r>
    </w:p>
    <w:p w14:paraId="4184601F">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18.7 通知义务</w:t>
      </w:r>
    </w:p>
    <w:p w14:paraId="4126B450">
      <w:pPr>
        <w:adjustRightInd w:val="0"/>
        <w:snapToGrid w:val="0"/>
        <w:spacing w:line="360" w:lineRule="auto"/>
        <w:ind w:firstLine="420" w:firstLineChars="200"/>
        <w:rPr>
          <w:rFonts w:cs="宋体"/>
          <w:b/>
          <w:color w:val="auto"/>
          <w:sz w:val="21"/>
          <w:szCs w:val="21"/>
          <w:highlight w:val="none"/>
          <w:u w:val="single"/>
        </w:rPr>
      </w:pPr>
      <w:r>
        <w:rPr>
          <w:rFonts w:hint="eastAsia" w:cs="宋体"/>
          <w:color w:val="auto"/>
          <w:sz w:val="21"/>
          <w:szCs w:val="21"/>
          <w:highlight w:val="none"/>
        </w:rPr>
        <w:t>关于变更保险合同时的通知义务的约定：</w:t>
      </w:r>
      <w:r>
        <w:rPr>
          <w:rFonts w:hint="eastAsia" w:cs="宋体"/>
          <w:color w:val="auto"/>
          <w:sz w:val="21"/>
          <w:szCs w:val="21"/>
          <w:highlight w:val="none"/>
          <w:u w:val="single"/>
        </w:rPr>
        <w:t>执行通用条款</w:t>
      </w:r>
      <w:r>
        <w:rPr>
          <w:rFonts w:hint="eastAsia" w:cs="宋体"/>
          <w:color w:val="auto"/>
          <w:sz w:val="21"/>
          <w:szCs w:val="21"/>
          <w:highlight w:val="none"/>
        </w:rPr>
        <w:t>。</w:t>
      </w:r>
    </w:p>
    <w:bookmarkEnd w:id="537"/>
    <w:bookmarkEnd w:id="538"/>
    <w:bookmarkEnd w:id="539"/>
    <w:bookmarkEnd w:id="540"/>
    <w:bookmarkEnd w:id="541"/>
    <w:bookmarkEnd w:id="542"/>
    <w:bookmarkEnd w:id="543"/>
    <w:bookmarkEnd w:id="544"/>
    <w:bookmarkEnd w:id="545"/>
    <w:bookmarkEnd w:id="546"/>
    <w:bookmarkEnd w:id="547"/>
    <w:bookmarkEnd w:id="548"/>
    <w:p w14:paraId="62EC3682">
      <w:pPr>
        <w:snapToGrid w:val="0"/>
        <w:spacing w:before="312" w:beforeLines="100" w:after="312" w:afterLines="100" w:line="360" w:lineRule="auto"/>
        <w:outlineLvl w:val="2"/>
        <w:rPr>
          <w:rFonts w:cs="宋体"/>
          <w:color w:val="auto"/>
          <w:sz w:val="21"/>
          <w:szCs w:val="21"/>
          <w:highlight w:val="none"/>
        </w:rPr>
      </w:pPr>
      <w:bookmarkStart w:id="564" w:name="_Toc351203651"/>
      <w:r>
        <w:rPr>
          <w:rFonts w:hint="eastAsia" w:cs="宋体"/>
          <w:color w:val="auto"/>
          <w:sz w:val="21"/>
          <w:szCs w:val="21"/>
          <w:highlight w:val="none"/>
        </w:rPr>
        <w:t>20. 争议解决</w:t>
      </w:r>
      <w:bookmarkEnd w:id="564"/>
    </w:p>
    <w:bookmarkEnd w:id="549"/>
    <w:bookmarkEnd w:id="550"/>
    <w:p w14:paraId="0F44FB49">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20.3 争</w:t>
      </w:r>
      <w:bookmarkEnd w:id="551"/>
      <w:r>
        <w:rPr>
          <w:rFonts w:hint="eastAsia" w:cs="宋体"/>
          <w:bCs/>
          <w:color w:val="auto"/>
          <w:sz w:val="21"/>
          <w:szCs w:val="21"/>
          <w:highlight w:val="none"/>
        </w:rPr>
        <w:t>议评审</w:t>
      </w:r>
    </w:p>
    <w:p w14:paraId="5327B179">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合同当事人是否同意将工程争议提交争议评审小组决定：</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不同意 </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BBD214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20.3.1 争议评审小组的确定</w:t>
      </w:r>
    </w:p>
    <w:p w14:paraId="1BB6D918">
      <w:pPr>
        <w:adjustRightInd w:val="0"/>
        <w:snapToGrid w:val="0"/>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争议评审小组成员的确定：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14BC5E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选定争议评审员的期限：</w:t>
      </w:r>
      <w:r>
        <w:rPr>
          <w:rFonts w:hint="eastAsia"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bidi="ar-SA"/>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E94983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争议评审小组成员的报酬承担方式：</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68B7C87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其他事项的约定：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1261D7D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20.3.2 争议评审小组的决定</w:t>
      </w:r>
    </w:p>
    <w:p w14:paraId="2CCAB3BF">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合同当事人关于本项的约定：</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无</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1EEAFF0">
      <w:pPr>
        <w:keepNext/>
        <w:keepLines/>
        <w:snapToGrid w:val="0"/>
        <w:spacing w:before="120" w:after="120" w:line="360" w:lineRule="auto"/>
        <w:ind w:firstLine="420" w:firstLineChars="200"/>
        <w:outlineLvl w:val="3"/>
        <w:rPr>
          <w:rFonts w:cs="宋体"/>
          <w:bCs/>
          <w:color w:val="auto"/>
          <w:sz w:val="21"/>
          <w:szCs w:val="21"/>
          <w:highlight w:val="none"/>
        </w:rPr>
      </w:pPr>
      <w:r>
        <w:rPr>
          <w:rFonts w:hint="eastAsia" w:cs="宋体"/>
          <w:bCs/>
          <w:color w:val="auto"/>
          <w:sz w:val="21"/>
          <w:szCs w:val="21"/>
          <w:highlight w:val="none"/>
        </w:rPr>
        <w:t>20.4 仲裁或诉讼</w:t>
      </w:r>
      <w:bookmarkEnd w:id="552"/>
    </w:p>
    <w:bookmarkEnd w:id="553"/>
    <w:bookmarkEnd w:id="554"/>
    <w:bookmarkEnd w:id="555"/>
    <w:bookmarkEnd w:id="556"/>
    <w:bookmarkEnd w:id="557"/>
    <w:bookmarkEnd w:id="558"/>
    <w:p w14:paraId="6369EEB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因合同及合同有关事项发生的争议，按下列</w:t>
      </w:r>
      <w:r>
        <w:rPr>
          <w:rFonts w:hint="eastAsia" w:cs="宋体"/>
          <w:b/>
          <w:bCs/>
          <w:color w:val="auto"/>
          <w:sz w:val="21"/>
          <w:szCs w:val="21"/>
          <w:highlight w:val="none"/>
        </w:rPr>
        <w:t>第</w:t>
      </w:r>
      <w:r>
        <w:rPr>
          <w:rFonts w:hint="eastAsia" w:cs="宋体"/>
          <w:b/>
          <w:bCs/>
          <w:color w:val="auto"/>
          <w:sz w:val="21"/>
          <w:szCs w:val="21"/>
          <w:highlight w:val="none"/>
          <w:u w:val="single"/>
        </w:rPr>
        <w:t xml:space="preserve"> </w:t>
      </w:r>
      <w:r>
        <w:rPr>
          <w:rFonts w:hint="eastAsia" w:cs="宋体"/>
          <w:b/>
          <w:bCs/>
          <w:color w:val="auto"/>
          <w:sz w:val="21"/>
          <w:szCs w:val="21"/>
          <w:highlight w:val="none"/>
          <w:u w:val="single"/>
          <w:lang w:val="en-US" w:eastAsia="zh-CN"/>
        </w:rPr>
        <w:t>1</w:t>
      </w:r>
      <w:r>
        <w:rPr>
          <w:rFonts w:hint="eastAsia" w:cs="宋体"/>
          <w:b/>
          <w:bCs/>
          <w:color w:val="auto"/>
          <w:sz w:val="21"/>
          <w:szCs w:val="21"/>
          <w:highlight w:val="none"/>
          <w:u w:val="single"/>
        </w:rPr>
        <w:t xml:space="preserve"> </w:t>
      </w:r>
      <w:r>
        <w:rPr>
          <w:rFonts w:hint="eastAsia" w:cs="宋体"/>
          <w:b/>
          <w:bCs/>
          <w:color w:val="auto"/>
          <w:sz w:val="21"/>
          <w:szCs w:val="21"/>
          <w:highlight w:val="none"/>
        </w:rPr>
        <w:t>种</w:t>
      </w:r>
      <w:r>
        <w:rPr>
          <w:rFonts w:hint="eastAsia" w:cs="宋体"/>
          <w:color w:val="auto"/>
          <w:sz w:val="21"/>
          <w:szCs w:val="21"/>
          <w:highlight w:val="none"/>
        </w:rPr>
        <w:t>方式解决：</w:t>
      </w:r>
    </w:p>
    <w:p w14:paraId="5F5D8A49">
      <w:pPr>
        <w:numPr>
          <w:ilvl w:val="0"/>
          <w:numId w:val="4"/>
        </w:num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向</w:t>
      </w:r>
      <w:r>
        <w:rPr>
          <w:rFonts w:hint="eastAsia" w:cs="宋体"/>
          <w:color w:val="auto"/>
          <w:sz w:val="21"/>
          <w:szCs w:val="21"/>
          <w:highlight w:val="none"/>
          <w:u w:val="single"/>
        </w:rPr>
        <w:t xml:space="preserve"> </w:t>
      </w:r>
      <w:r>
        <w:rPr>
          <w:rFonts w:hint="eastAsia" w:cs="宋体"/>
          <w:color w:val="auto"/>
          <w:sz w:val="21"/>
          <w:szCs w:val="21"/>
          <w:highlight w:val="none"/>
          <w:u w:val="single"/>
          <w:lang w:val="en-US" w:eastAsia="zh-CN"/>
        </w:rPr>
        <w:t>滁州</w:t>
      </w:r>
      <w:r>
        <w:rPr>
          <w:rFonts w:hint="eastAsia" w:cs="宋体"/>
          <w:color w:val="auto"/>
          <w:sz w:val="21"/>
          <w:szCs w:val="21"/>
          <w:highlight w:val="none"/>
          <w:u w:val="single"/>
        </w:rPr>
        <w:t xml:space="preserve"> </w:t>
      </w:r>
      <w:r>
        <w:rPr>
          <w:rFonts w:hint="eastAsia" w:cs="宋体"/>
          <w:color w:val="auto"/>
          <w:sz w:val="21"/>
          <w:szCs w:val="21"/>
          <w:highlight w:val="none"/>
        </w:rPr>
        <w:t>仲裁委员会申请仲裁；</w:t>
      </w:r>
    </w:p>
    <w:p w14:paraId="4DC92B0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（2）向</w:t>
      </w:r>
      <w:r>
        <w:rPr>
          <w:rFonts w:hint="eastAsia" w:cs="宋体"/>
          <w:color w:val="auto"/>
          <w:sz w:val="21"/>
          <w:szCs w:val="21"/>
          <w:highlight w:val="none"/>
          <w:u w:val="single"/>
        </w:rPr>
        <w:t>工程所在地</w:t>
      </w:r>
      <w:r>
        <w:rPr>
          <w:rFonts w:hint="eastAsia" w:cs="宋体"/>
          <w:color w:val="auto"/>
          <w:sz w:val="21"/>
          <w:szCs w:val="21"/>
          <w:highlight w:val="none"/>
        </w:rPr>
        <w:t>人民法院起诉。</w:t>
      </w:r>
    </w:p>
    <w:p w14:paraId="248098D7">
      <w:pPr>
        <w:snapToGrid w:val="0"/>
        <w:spacing w:before="312" w:beforeLines="100" w:after="312" w:afterLines="100" w:line="360" w:lineRule="auto"/>
        <w:outlineLvl w:val="2"/>
        <w:rPr>
          <w:rFonts w:cs="宋体"/>
          <w:color w:val="auto"/>
          <w:sz w:val="21"/>
          <w:szCs w:val="21"/>
          <w:highlight w:val="none"/>
        </w:rPr>
      </w:pPr>
      <w:r>
        <w:rPr>
          <w:rFonts w:hint="eastAsia" w:cs="宋体"/>
          <w:color w:val="auto"/>
          <w:sz w:val="21"/>
          <w:szCs w:val="21"/>
          <w:highlight w:val="none"/>
        </w:rPr>
        <w:t xml:space="preserve">21. 补充条款 </w:t>
      </w:r>
    </w:p>
    <w:p w14:paraId="59C8525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cs="宋体"/>
          <w:b/>
          <w:color w:val="auto"/>
          <w:sz w:val="21"/>
          <w:szCs w:val="21"/>
          <w:highlight w:val="none"/>
        </w:rPr>
      </w:pPr>
      <w:r>
        <w:rPr>
          <w:rFonts w:hint="eastAsia" w:cs="宋体"/>
          <w:color w:val="auto"/>
          <w:sz w:val="21"/>
          <w:szCs w:val="21"/>
          <w:highlight w:val="none"/>
          <w:u w:val="single"/>
        </w:rPr>
        <w:t xml:space="preserve">                                     </w:t>
      </w:r>
    </w:p>
    <w:p w14:paraId="6EECED1D">
      <w:pPr>
        <w:pStyle w:val="19"/>
        <w:rPr>
          <w:color w:val="auto"/>
          <w:highlight w:val="none"/>
        </w:rPr>
      </w:pPr>
    </w:p>
    <w:p w14:paraId="182CD073">
      <w:pPr>
        <w:snapToGrid w:val="0"/>
        <w:spacing w:line="360" w:lineRule="auto"/>
        <w:rPr>
          <w:rFonts w:cs="宋体"/>
          <w:color w:val="auto"/>
          <w:sz w:val="21"/>
          <w:szCs w:val="21"/>
          <w:highlight w:val="none"/>
        </w:rPr>
      </w:pPr>
      <w:r>
        <w:rPr>
          <w:rFonts w:hint="eastAsia" w:cs="宋体"/>
          <w:color w:val="auto"/>
          <w:sz w:val="21"/>
          <w:szCs w:val="21"/>
          <w:highlight w:val="none"/>
        </w:rPr>
        <w:t>发包人：  （公章）                           承包人：  （公章）</w:t>
      </w:r>
    </w:p>
    <w:p w14:paraId="6EEA7605">
      <w:pPr>
        <w:snapToGrid w:val="0"/>
        <w:spacing w:line="360" w:lineRule="auto"/>
        <w:rPr>
          <w:rFonts w:cs="宋体"/>
          <w:color w:val="auto"/>
          <w:sz w:val="21"/>
          <w:szCs w:val="21"/>
          <w:highlight w:val="none"/>
        </w:rPr>
      </w:pPr>
      <w:r>
        <w:rPr>
          <w:rFonts w:hint="eastAsia" w:cs="宋体"/>
          <w:color w:val="auto"/>
          <w:sz w:val="21"/>
          <w:szCs w:val="21"/>
          <w:highlight w:val="none"/>
        </w:rPr>
        <w:t>法定代表人或其委托代理人：                 法定代表人或其委托代理人：</w:t>
      </w:r>
    </w:p>
    <w:p w14:paraId="3C47DF09">
      <w:pPr>
        <w:snapToGrid w:val="0"/>
        <w:spacing w:line="360" w:lineRule="auto"/>
        <w:rPr>
          <w:rFonts w:cs="宋体"/>
          <w:color w:val="auto"/>
          <w:sz w:val="21"/>
          <w:szCs w:val="21"/>
          <w:highlight w:val="none"/>
        </w:rPr>
      </w:pPr>
      <w:r>
        <w:rPr>
          <w:rFonts w:hint="eastAsia" w:cs="宋体"/>
          <w:color w:val="auto"/>
          <w:sz w:val="21"/>
          <w:szCs w:val="21"/>
          <w:highlight w:val="none"/>
        </w:rPr>
        <w:t>（签字）                                  （签字）</w:t>
      </w:r>
    </w:p>
    <w:p w14:paraId="110F263F">
      <w:pPr>
        <w:snapToGrid w:val="0"/>
        <w:spacing w:line="360" w:lineRule="auto"/>
        <w:rPr>
          <w:rFonts w:cs="宋体"/>
          <w:color w:val="auto"/>
          <w:sz w:val="21"/>
          <w:szCs w:val="21"/>
          <w:highlight w:val="none"/>
        </w:rPr>
      </w:pPr>
      <w:r>
        <w:rPr>
          <w:rFonts w:hint="eastAsia" w:cs="宋体"/>
          <w:color w:val="auto"/>
          <w:sz w:val="21"/>
          <w:szCs w:val="21"/>
          <w:highlight w:val="none"/>
        </w:rPr>
        <w:t>组织机构代码：</w:t>
      </w:r>
      <w:r>
        <w:rPr>
          <w:rFonts w:hint="eastAsia" w:cs="宋体"/>
          <w:color w:val="auto"/>
          <w:sz w:val="21"/>
          <w:szCs w:val="21"/>
          <w:highlight w:val="none"/>
          <w:u w:val="single"/>
        </w:rPr>
        <w:t xml:space="preserve">       </w:t>
      </w:r>
      <w:r>
        <w:rPr>
          <w:rFonts w:hint="eastAsia" w:cs="宋体"/>
          <w:color w:val="auto"/>
          <w:sz w:val="21"/>
          <w:szCs w:val="21"/>
          <w:highlight w:val="none"/>
        </w:rPr>
        <w:t xml:space="preserve">                组织机构代码：</w:t>
      </w:r>
      <w:r>
        <w:rPr>
          <w:rFonts w:hint="eastAsia" w:cs="宋体"/>
          <w:color w:val="auto"/>
          <w:sz w:val="21"/>
          <w:szCs w:val="21"/>
          <w:highlight w:val="none"/>
          <w:u w:val="single"/>
        </w:rPr>
        <w:t xml:space="preserve">          </w:t>
      </w:r>
      <w:r>
        <w:rPr>
          <w:rFonts w:hint="eastAsia" w:cs="宋体"/>
          <w:color w:val="auto"/>
          <w:sz w:val="21"/>
          <w:szCs w:val="21"/>
          <w:highlight w:val="none"/>
        </w:rPr>
        <w:t xml:space="preserve"> </w:t>
      </w:r>
    </w:p>
    <w:p w14:paraId="2456294D">
      <w:pPr>
        <w:snapToGrid w:val="0"/>
        <w:spacing w:line="360" w:lineRule="auto"/>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    </w:t>
      </w:r>
      <w:r>
        <w:rPr>
          <w:rFonts w:hint="eastAsia" w:cs="宋体"/>
          <w:color w:val="auto"/>
          <w:sz w:val="21"/>
          <w:szCs w:val="21"/>
          <w:highlight w:val="none"/>
        </w:rPr>
        <w:t xml:space="preserve">                地  址：</w:t>
      </w:r>
      <w:r>
        <w:rPr>
          <w:rFonts w:hint="eastAsia" w:cs="宋体"/>
          <w:color w:val="auto"/>
          <w:sz w:val="21"/>
          <w:szCs w:val="21"/>
          <w:highlight w:val="none"/>
          <w:u w:val="single"/>
        </w:rPr>
        <w:t xml:space="preserve">        </w:t>
      </w:r>
    </w:p>
    <w:p w14:paraId="2F555FCB">
      <w:pPr>
        <w:snapToGrid w:val="0"/>
        <w:spacing w:line="360" w:lineRule="auto"/>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     </w:t>
      </w:r>
      <w:r>
        <w:rPr>
          <w:rFonts w:hint="eastAsia" w:cs="宋体"/>
          <w:color w:val="auto"/>
          <w:sz w:val="21"/>
          <w:szCs w:val="21"/>
          <w:highlight w:val="none"/>
        </w:rPr>
        <w:t xml:space="preserve">               邮政编码：</w:t>
      </w:r>
      <w:r>
        <w:rPr>
          <w:rFonts w:hint="eastAsia" w:cs="宋体"/>
          <w:color w:val="auto"/>
          <w:sz w:val="21"/>
          <w:szCs w:val="21"/>
          <w:highlight w:val="none"/>
          <w:u w:val="single"/>
        </w:rPr>
        <w:t xml:space="preserve">   </w:t>
      </w:r>
    </w:p>
    <w:p w14:paraId="47E277C2">
      <w:pPr>
        <w:snapToGrid w:val="0"/>
        <w:spacing w:line="360" w:lineRule="auto"/>
        <w:rPr>
          <w:rFonts w:cs="宋体"/>
          <w:color w:val="auto"/>
          <w:sz w:val="21"/>
          <w:szCs w:val="21"/>
          <w:highlight w:val="none"/>
        </w:rPr>
      </w:pPr>
      <w:r>
        <w:rPr>
          <w:rFonts w:hint="eastAsia" w:cs="宋体"/>
          <w:color w:val="auto"/>
          <w:sz w:val="21"/>
          <w:szCs w:val="21"/>
          <w:highlight w:val="none"/>
        </w:rPr>
        <w:t>法定代表人：</w:t>
      </w:r>
      <w:r>
        <w:rPr>
          <w:rFonts w:hint="eastAsia" w:cs="宋体"/>
          <w:color w:val="auto"/>
          <w:sz w:val="21"/>
          <w:szCs w:val="21"/>
          <w:highlight w:val="none"/>
          <w:u w:val="single"/>
        </w:rPr>
        <w:t xml:space="preserve">           </w:t>
      </w:r>
      <w:r>
        <w:rPr>
          <w:rFonts w:hint="eastAsia" w:cs="宋体"/>
          <w:color w:val="auto"/>
          <w:sz w:val="21"/>
          <w:szCs w:val="21"/>
          <w:highlight w:val="none"/>
        </w:rPr>
        <w:t xml:space="preserve">                法定代表人：</w:t>
      </w:r>
      <w:r>
        <w:rPr>
          <w:rFonts w:hint="eastAsia" w:cs="宋体"/>
          <w:color w:val="auto"/>
          <w:sz w:val="21"/>
          <w:szCs w:val="21"/>
          <w:highlight w:val="none"/>
          <w:u w:val="single"/>
        </w:rPr>
        <w:t xml:space="preserve">             </w:t>
      </w:r>
    </w:p>
    <w:p w14:paraId="6FADF203">
      <w:pPr>
        <w:snapToGrid w:val="0"/>
        <w:spacing w:line="360" w:lineRule="auto"/>
        <w:rPr>
          <w:rFonts w:cs="宋体"/>
          <w:color w:val="auto"/>
          <w:sz w:val="21"/>
          <w:szCs w:val="21"/>
          <w:highlight w:val="none"/>
        </w:rPr>
      </w:pPr>
      <w:r>
        <w:rPr>
          <w:rFonts w:hint="eastAsia" w:cs="宋体"/>
          <w:color w:val="auto"/>
          <w:sz w:val="21"/>
          <w:szCs w:val="21"/>
          <w:highlight w:val="none"/>
        </w:rPr>
        <w:t>委托代理人：</w:t>
      </w:r>
      <w:r>
        <w:rPr>
          <w:rFonts w:hint="eastAsia" w:cs="宋体"/>
          <w:color w:val="auto"/>
          <w:sz w:val="21"/>
          <w:szCs w:val="21"/>
          <w:highlight w:val="none"/>
          <w:u w:val="single"/>
        </w:rPr>
        <w:t xml:space="preserve">           </w:t>
      </w:r>
      <w:r>
        <w:rPr>
          <w:rFonts w:hint="eastAsia" w:cs="宋体"/>
          <w:color w:val="auto"/>
          <w:sz w:val="21"/>
          <w:szCs w:val="21"/>
          <w:highlight w:val="none"/>
        </w:rPr>
        <w:t xml:space="preserve">                委托代理人：</w:t>
      </w:r>
      <w:r>
        <w:rPr>
          <w:rFonts w:hint="eastAsia" w:cs="宋体"/>
          <w:color w:val="auto"/>
          <w:sz w:val="21"/>
          <w:szCs w:val="21"/>
          <w:highlight w:val="none"/>
          <w:u w:val="single"/>
        </w:rPr>
        <w:t xml:space="preserve">             </w:t>
      </w:r>
    </w:p>
    <w:p w14:paraId="6044C25C">
      <w:pPr>
        <w:snapToGrid w:val="0"/>
        <w:spacing w:line="360" w:lineRule="auto"/>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r>
        <w:rPr>
          <w:rFonts w:hint="eastAsia" w:cs="宋体"/>
          <w:color w:val="auto"/>
          <w:sz w:val="21"/>
          <w:szCs w:val="21"/>
          <w:highlight w:val="none"/>
        </w:rPr>
        <w:t xml:space="preserve">                电  话：</w:t>
      </w:r>
      <w:r>
        <w:rPr>
          <w:rFonts w:hint="eastAsia" w:cs="宋体"/>
          <w:color w:val="auto"/>
          <w:sz w:val="21"/>
          <w:szCs w:val="21"/>
          <w:highlight w:val="none"/>
          <w:u w:val="single"/>
        </w:rPr>
        <w:t xml:space="preserve">     </w:t>
      </w:r>
    </w:p>
    <w:p w14:paraId="70A62C34">
      <w:pPr>
        <w:snapToGrid w:val="0"/>
        <w:spacing w:line="360" w:lineRule="auto"/>
        <w:rPr>
          <w:rFonts w:cs="宋体"/>
          <w:color w:val="auto"/>
          <w:sz w:val="21"/>
          <w:szCs w:val="21"/>
          <w:highlight w:val="none"/>
        </w:rPr>
      </w:pPr>
      <w:r>
        <w:rPr>
          <w:rFonts w:hint="eastAsia" w:cs="宋体"/>
          <w:color w:val="auto"/>
          <w:sz w:val="21"/>
          <w:szCs w:val="21"/>
          <w:highlight w:val="none"/>
        </w:rPr>
        <w:t>传  真：</w:t>
      </w:r>
      <w:r>
        <w:rPr>
          <w:rFonts w:hint="eastAsia" w:cs="宋体"/>
          <w:color w:val="auto"/>
          <w:sz w:val="21"/>
          <w:szCs w:val="21"/>
          <w:highlight w:val="none"/>
          <w:u w:val="single"/>
        </w:rPr>
        <w:t xml:space="preserve">   </w:t>
      </w:r>
      <w:r>
        <w:rPr>
          <w:rFonts w:hint="eastAsia" w:cs="宋体"/>
          <w:color w:val="auto"/>
          <w:sz w:val="21"/>
          <w:szCs w:val="21"/>
          <w:highlight w:val="none"/>
        </w:rPr>
        <w:t xml:space="preserve">                传  真：</w:t>
      </w:r>
      <w:r>
        <w:rPr>
          <w:rFonts w:hint="eastAsia" w:cs="宋体"/>
          <w:color w:val="auto"/>
          <w:sz w:val="21"/>
          <w:szCs w:val="21"/>
          <w:highlight w:val="none"/>
          <w:u w:val="single"/>
        </w:rPr>
        <w:t xml:space="preserve">     </w:t>
      </w:r>
    </w:p>
    <w:p w14:paraId="6F005146">
      <w:pPr>
        <w:snapToGrid w:val="0"/>
        <w:spacing w:line="360" w:lineRule="auto"/>
        <w:rPr>
          <w:rFonts w:cs="宋体"/>
          <w:color w:val="auto"/>
          <w:sz w:val="21"/>
          <w:szCs w:val="21"/>
          <w:highlight w:val="none"/>
        </w:rPr>
      </w:pPr>
      <w:r>
        <w:rPr>
          <w:rFonts w:hint="eastAsia" w:cs="宋体"/>
          <w:color w:val="auto"/>
          <w:sz w:val="21"/>
          <w:szCs w:val="21"/>
          <w:highlight w:val="none"/>
        </w:rPr>
        <w:t>电子信箱：</w:t>
      </w:r>
      <w:r>
        <w:rPr>
          <w:rFonts w:hint="eastAsia" w:cs="宋体"/>
          <w:color w:val="auto"/>
          <w:sz w:val="21"/>
          <w:szCs w:val="21"/>
          <w:highlight w:val="none"/>
          <w:u w:val="single"/>
        </w:rPr>
        <w:t xml:space="preserve">                 </w:t>
      </w:r>
      <w:r>
        <w:rPr>
          <w:rFonts w:hint="eastAsia" w:cs="宋体"/>
          <w:color w:val="auto"/>
          <w:sz w:val="21"/>
          <w:szCs w:val="21"/>
          <w:highlight w:val="none"/>
        </w:rPr>
        <w:t xml:space="preserve">                电子信箱：</w:t>
      </w:r>
      <w:r>
        <w:rPr>
          <w:rFonts w:hint="eastAsia" w:cs="宋体"/>
          <w:color w:val="auto"/>
          <w:sz w:val="21"/>
          <w:szCs w:val="21"/>
          <w:highlight w:val="none"/>
          <w:u w:val="single"/>
        </w:rPr>
        <w:t xml:space="preserve">   </w:t>
      </w:r>
    </w:p>
    <w:p w14:paraId="4B86FB91">
      <w:pPr>
        <w:snapToGrid w:val="0"/>
        <w:spacing w:line="360" w:lineRule="auto"/>
        <w:rPr>
          <w:rFonts w:cs="宋体"/>
          <w:color w:val="auto"/>
          <w:sz w:val="21"/>
          <w:szCs w:val="21"/>
          <w:highlight w:val="none"/>
        </w:rPr>
      </w:pPr>
      <w:r>
        <w:rPr>
          <w:rFonts w:hint="eastAsia" w:cs="宋体"/>
          <w:color w:val="auto"/>
          <w:sz w:val="21"/>
          <w:szCs w:val="21"/>
          <w:highlight w:val="none"/>
        </w:rPr>
        <w:t>开户银行：</w:t>
      </w:r>
      <w:r>
        <w:rPr>
          <w:rFonts w:hint="eastAsia" w:cs="宋体"/>
          <w:color w:val="auto"/>
          <w:sz w:val="21"/>
          <w:szCs w:val="21"/>
          <w:highlight w:val="none"/>
          <w:u w:val="single"/>
        </w:rPr>
        <w:t xml:space="preserve">   </w:t>
      </w:r>
      <w:r>
        <w:rPr>
          <w:rFonts w:hint="eastAsia" w:cs="宋体"/>
          <w:color w:val="auto"/>
          <w:sz w:val="21"/>
          <w:szCs w:val="21"/>
          <w:highlight w:val="none"/>
        </w:rPr>
        <w:t xml:space="preserve">                开户银行：</w:t>
      </w:r>
      <w:r>
        <w:rPr>
          <w:rFonts w:hint="eastAsia" w:cs="宋体"/>
          <w:color w:val="auto"/>
          <w:sz w:val="21"/>
          <w:szCs w:val="21"/>
          <w:highlight w:val="none"/>
          <w:u w:val="single"/>
        </w:rPr>
        <w:t xml:space="preserve">   </w:t>
      </w:r>
    </w:p>
    <w:p w14:paraId="76837B42">
      <w:pPr>
        <w:snapToGrid w:val="0"/>
        <w:spacing w:line="360" w:lineRule="auto"/>
        <w:rPr>
          <w:rFonts w:cs="宋体"/>
          <w:color w:val="auto"/>
          <w:sz w:val="21"/>
          <w:szCs w:val="21"/>
          <w:highlight w:val="none"/>
        </w:rPr>
      </w:pPr>
      <w:r>
        <w:rPr>
          <w:rFonts w:hint="eastAsia" w:cs="宋体"/>
          <w:color w:val="auto"/>
          <w:sz w:val="21"/>
          <w:szCs w:val="21"/>
          <w:highlight w:val="none"/>
        </w:rPr>
        <w:t>账  号：</w:t>
      </w:r>
      <w:r>
        <w:rPr>
          <w:rFonts w:hint="eastAsia" w:cs="宋体"/>
          <w:color w:val="auto"/>
          <w:sz w:val="21"/>
          <w:szCs w:val="21"/>
          <w:highlight w:val="none"/>
          <w:u w:val="single"/>
        </w:rPr>
        <w:t xml:space="preserve">       </w:t>
      </w:r>
      <w:r>
        <w:rPr>
          <w:rFonts w:hint="eastAsia" w:cs="宋体"/>
          <w:color w:val="auto"/>
          <w:sz w:val="21"/>
          <w:szCs w:val="21"/>
          <w:highlight w:val="none"/>
        </w:rPr>
        <w:t xml:space="preserve">                账  号：</w:t>
      </w:r>
      <w:r>
        <w:rPr>
          <w:rFonts w:hint="eastAsia" w:cs="宋体"/>
          <w:color w:val="auto"/>
          <w:sz w:val="21"/>
          <w:szCs w:val="21"/>
          <w:highlight w:val="none"/>
          <w:u w:val="single"/>
        </w:rPr>
        <w:t xml:space="preserve">     </w:t>
      </w:r>
    </w:p>
    <w:bookmarkEnd w:id="59"/>
    <w:p w14:paraId="75EDD1F6">
      <w:pPr>
        <w:rPr>
          <w:rFonts w:hint="eastAsia" w:cs="宋体"/>
          <w:b/>
          <w:color w:val="auto"/>
          <w:sz w:val="21"/>
          <w:szCs w:val="21"/>
          <w:highlight w:val="none"/>
        </w:rPr>
      </w:pPr>
      <w:r>
        <w:rPr>
          <w:rFonts w:hint="eastAsia" w:cs="宋体"/>
          <w:b/>
          <w:color w:val="auto"/>
          <w:sz w:val="21"/>
          <w:szCs w:val="21"/>
          <w:highlight w:val="none"/>
        </w:rPr>
        <w:br w:type="page"/>
      </w:r>
    </w:p>
    <w:p w14:paraId="10D0628F">
      <w:pPr>
        <w:snapToGrid w:val="0"/>
        <w:spacing w:line="360" w:lineRule="auto"/>
        <w:rPr>
          <w:rFonts w:cs="宋体"/>
          <w:b/>
          <w:color w:val="auto"/>
          <w:sz w:val="21"/>
          <w:szCs w:val="21"/>
          <w:highlight w:val="none"/>
        </w:rPr>
      </w:pPr>
      <w:r>
        <w:rPr>
          <w:rFonts w:hint="eastAsia" w:cs="宋体"/>
          <w:b/>
          <w:color w:val="auto"/>
          <w:sz w:val="21"/>
          <w:szCs w:val="21"/>
          <w:highlight w:val="none"/>
        </w:rPr>
        <w:t>附件</w:t>
      </w:r>
    </w:p>
    <w:p w14:paraId="67A4C7FE">
      <w:pPr>
        <w:snapToGrid w:val="0"/>
        <w:spacing w:line="360" w:lineRule="auto"/>
        <w:rPr>
          <w:rFonts w:cs="宋体"/>
          <w:color w:val="auto"/>
          <w:sz w:val="21"/>
          <w:szCs w:val="21"/>
          <w:highlight w:val="none"/>
        </w:rPr>
      </w:pPr>
      <w:r>
        <w:rPr>
          <w:rFonts w:hint="eastAsia" w:cs="宋体"/>
          <w:color w:val="auto"/>
          <w:sz w:val="21"/>
          <w:szCs w:val="21"/>
          <w:highlight w:val="none"/>
        </w:rPr>
        <w:t>协议书附件：</w:t>
      </w:r>
    </w:p>
    <w:p w14:paraId="42BB03C5">
      <w:pPr>
        <w:snapToGrid w:val="0"/>
        <w:spacing w:line="360" w:lineRule="auto"/>
        <w:rPr>
          <w:rFonts w:cs="宋体"/>
          <w:color w:val="auto"/>
          <w:sz w:val="21"/>
          <w:szCs w:val="21"/>
          <w:highlight w:val="none"/>
        </w:rPr>
      </w:pPr>
      <w:bookmarkStart w:id="565" w:name="_Toc128950221"/>
      <w:r>
        <w:rPr>
          <w:rFonts w:hint="eastAsia" w:cs="宋体"/>
          <w:color w:val="auto"/>
          <w:sz w:val="21"/>
          <w:szCs w:val="21"/>
          <w:highlight w:val="none"/>
        </w:rPr>
        <w:t>附件1：承包人承揽工程项目一览表</w:t>
      </w:r>
      <w:bookmarkEnd w:id="565"/>
    </w:p>
    <w:p w14:paraId="09752AA1">
      <w:pPr>
        <w:snapToGrid w:val="0"/>
        <w:spacing w:line="360" w:lineRule="auto"/>
        <w:rPr>
          <w:rFonts w:cs="宋体"/>
          <w:color w:val="auto"/>
          <w:sz w:val="21"/>
          <w:szCs w:val="21"/>
          <w:highlight w:val="none"/>
        </w:rPr>
      </w:pPr>
    </w:p>
    <w:p w14:paraId="291D0204">
      <w:pPr>
        <w:snapToGrid w:val="0"/>
        <w:spacing w:line="360" w:lineRule="auto"/>
        <w:rPr>
          <w:rFonts w:cs="宋体"/>
          <w:color w:val="auto"/>
          <w:sz w:val="21"/>
          <w:szCs w:val="21"/>
          <w:highlight w:val="none"/>
        </w:rPr>
      </w:pPr>
      <w:r>
        <w:rPr>
          <w:rFonts w:hint="eastAsia" w:cs="宋体"/>
          <w:color w:val="auto"/>
          <w:sz w:val="21"/>
          <w:szCs w:val="21"/>
          <w:highlight w:val="none"/>
        </w:rPr>
        <w:t>专用合同条款附件：</w:t>
      </w:r>
    </w:p>
    <w:p w14:paraId="08288DA5">
      <w:pPr>
        <w:snapToGrid w:val="0"/>
        <w:spacing w:line="360" w:lineRule="auto"/>
        <w:rPr>
          <w:rFonts w:cs="宋体"/>
          <w:color w:val="auto"/>
          <w:sz w:val="21"/>
          <w:szCs w:val="21"/>
          <w:highlight w:val="none"/>
        </w:rPr>
      </w:pPr>
      <w:bookmarkStart w:id="566" w:name="_Toc128950222"/>
      <w:r>
        <w:rPr>
          <w:rFonts w:hint="eastAsia" w:cs="宋体"/>
          <w:color w:val="auto"/>
          <w:sz w:val="21"/>
          <w:szCs w:val="21"/>
          <w:highlight w:val="none"/>
        </w:rPr>
        <w:t>附件2：发包人供应材料设备一览表</w:t>
      </w:r>
      <w:bookmarkEnd w:id="566"/>
    </w:p>
    <w:p w14:paraId="550721C3">
      <w:pPr>
        <w:snapToGrid w:val="0"/>
        <w:spacing w:line="360" w:lineRule="auto"/>
        <w:rPr>
          <w:rFonts w:cs="宋体"/>
          <w:color w:val="auto"/>
          <w:sz w:val="21"/>
          <w:szCs w:val="21"/>
          <w:highlight w:val="none"/>
        </w:rPr>
      </w:pPr>
      <w:bookmarkStart w:id="567" w:name="_Toc128950223"/>
      <w:r>
        <w:rPr>
          <w:rFonts w:hint="eastAsia" w:cs="宋体"/>
          <w:color w:val="auto"/>
          <w:sz w:val="21"/>
          <w:szCs w:val="21"/>
          <w:highlight w:val="none"/>
        </w:rPr>
        <w:t>附件3：工程质量保修书</w:t>
      </w:r>
      <w:bookmarkEnd w:id="567"/>
    </w:p>
    <w:p w14:paraId="7321248B">
      <w:pPr>
        <w:snapToGrid w:val="0"/>
        <w:spacing w:line="360" w:lineRule="auto"/>
        <w:rPr>
          <w:rFonts w:cs="宋体"/>
          <w:color w:val="auto"/>
          <w:sz w:val="21"/>
          <w:szCs w:val="21"/>
          <w:highlight w:val="none"/>
        </w:rPr>
      </w:pPr>
      <w:bookmarkStart w:id="568" w:name="_Toc128950224"/>
      <w:r>
        <w:rPr>
          <w:rFonts w:hint="eastAsia" w:cs="宋体"/>
          <w:color w:val="auto"/>
          <w:sz w:val="21"/>
          <w:szCs w:val="21"/>
          <w:highlight w:val="none"/>
        </w:rPr>
        <w:t>附件4：主要建设工程文件目录</w:t>
      </w:r>
      <w:bookmarkEnd w:id="568"/>
    </w:p>
    <w:p w14:paraId="0E6C258E">
      <w:pPr>
        <w:snapToGrid w:val="0"/>
        <w:spacing w:line="360" w:lineRule="auto"/>
        <w:rPr>
          <w:rFonts w:cs="宋体"/>
          <w:color w:val="auto"/>
          <w:sz w:val="21"/>
          <w:szCs w:val="21"/>
          <w:highlight w:val="none"/>
        </w:rPr>
      </w:pPr>
      <w:bookmarkStart w:id="569" w:name="_Toc128950225"/>
      <w:r>
        <w:rPr>
          <w:rFonts w:hint="eastAsia" w:cs="宋体"/>
          <w:color w:val="auto"/>
          <w:sz w:val="21"/>
          <w:szCs w:val="21"/>
          <w:highlight w:val="none"/>
        </w:rPr>
        <w:t>附件5：承包人用于本工程施工的机械设备表</w:t>
      </w:r>
      <w:bookmarkEnd w:id="569"/>
    </w:p>
    <w:p w14:paraId="08A11290">
      <w:pPr>
        <w:snapToGrid w:val="0"/>
        <w:spacing w:line="360" w:lineRule="auto"/>
        <w:rPr>
          <w:rFonts w:cs="宋体"/>
          <w:color w:val="auto"/>
          <w:sz w:val="21"/>
          <w:szCs w:val="21"/>
          <w:highlight w:val="none"/>
        </w:rPr>
      </w:pPr>
      <w:bookmarkStart w:id="570" w:name="_Toc128950226"/>
      <w:r>
        <w:rPr>
          <w:rFonts w:hint="eastAsia" w:cs="宋体"/>
          <w:color w:val="auto"/>
          <w:sz w:val="21"/>
          <w:szCs w:val="21"/>
          <w:highlight w:val="none"/>
        </w:rPr>
        <w:t>附件6：承包人主要施工管理人员表</w:t>
      </w:r>
      <w:bookmarkEnd w:id="570"/>
    </w:p>
    <w:p w14:paraId="1E65AECA">
      <w:pPr>
        <w:snapToGrid w:val="0"/>
        <w:spacing w:line="360" w:lineRule="auto"/>
        <w:rPr>
          <w:rFonts w:cs="宋体"/>
          <w:color w:val="auto"/>
          <w:sz w:val="21"/>
          <w:szCs w:val="21"/>
          <w:highlight w:val="none"/>
        </w:rPr>
      </w:pPr>
      <w:bookmarkStart w:id="571" w:name="_Toc128950227"/>
      <w:r>
        <w:rPr>
          <w:rFonts w:hint="eastAsia" w:cs="宋体"/>
          <w:color w:val="auto"/>
          <w:sz w:val="21"/>
          <w:szCs w:val="21"/>
          <w:highlight w:val="none"/>
        </w:rPr>
        <w:t>附件7：分包人主要施工管理人员表</w:t>
      </w:r>
      <w:bookmarkEnd w:id="571"/>
    </w:p>
    <w:p w14:paraId="282F8986">
      <w:pPr>
        <w:snapToGrid w:val="0"/>
        <w:spacing w:line="360" w:lineRule="auto"/>
        <w:rPr>
          <w:rFonts w:cs="宋体"/>
          <w:color w:val="auto"/>
          <w:sz w:val="21"/>
          <w:szCs w:val="21"/>
          <w:highlight w:val="none"/>
        </w:rPr>
      </w:pPr>
      <w:bookmarkStart w:id="572" w:name="_Toc128950228"/>
      <w:r>
        <w:rPr>
          <w:rFonts w:hint="eastAsia" w:cs="宋体"/>
          <w:color w:val="auto"/>
          <w:sz w:val="21"/>
          <w:szCs w:val="21"/>
          <w:highlight w:val="none"/>
        </w:rPr>
        <w:t>附件8：廉政协议</w:t>
      </w:r>
      <w:bookmarkEnd w:id="572"/>
    </w:p>
    <w:p w14:paraId="09A705EC">
      <w:pPr>
        <w:snapToGrid w:val="0"/>
        <w:spacing w:line="360" w:lineRule="auto"/>
        <w:rPr>
          <w:rFonts w:cs="宋体"/>
          <w:color w:val="auto"/>
          <w:sz w:val="21"/>
          <w:szCs w:val="21"/>
          <w:highlight w:val="none"/>
        </w:rPr>
      </w:pPr>
      <w:bookmarkStart w:id="573" w:name="_Toc128950229"/>
      <w:r>
        <w:rPr>
          <w:rFonts w:hint="eastAsia" w:cs="宋体"/>
          <w:color w:val="auto"/>
          <w:sz w:val="21"/>
          <w:szCs w:val="21"/>
          <w:highlight w:val="none"/>
        </w:rPr>
        <w:t>附件9：履约保证金格式</w:t>
      </w:r>
      <w:bookmarkEnd w:id="573"/>
    </w:p>
    <w:p w14:paraId="00EC21C0">
      <w:pPr>
        <w:snapToGrid w:val="0"/>
        <w:spacing w:line="360" w:lineRule="auto"/>
        <w:rPr>
          <w:rFonts w:cs="宋体"/>
          <w:color w:val="auto"/>
          <w:sz w:val="21"/>
          <w:szCs w:val="21"/>
          <w:highlight w:val="none"/>
        </w:rPr>
      </w:pPr>
      <w:bookmarkStart w:id="574" w:name="_Toc128950230"/>
      <w:r>
        <w:rPr>
          <w:rFonts w:hint="eastAsia" w:cs="宋体"/>
          <w:color w:val="auto"/>
          <w:sz w:val="21"/>
          <w:szCs w:val="21"/>
          <w:highlight w:val="none"/>
        </w:rPr>
        <w:t>附件10：预付款担保格式</w:t>
      </w:r>
      <w:bookmarkEnd w:id="574"/>
    </w:p>
    <w:p w14:paraId="270DCF65">
      <w:pPr>
        <w:snapToGrid w:val="0"/>
        <w:spacing w:line="360" w:lineRule="auto"/>
        <w:rPr>
          <w:rFonts w:cs="宋体"/>
          <w:color w:val="auto"/>
          <w:sz w:val="21"/>
          <w:szCs w:val="21"/>
          <w:highlight w:val="none"/>
        </w:rPr>
      </w:pPr>
      <w:bookmarkStart w:id="575" w:name="_Toc128950231"/>
      <w:r>
        <w:rPr>
          <w:rFonts w:hint="eastAsia" w:cs="宋体"/>
          <w:color w:val="auto"/>
          <w:sz w:val="21"/>
          <w:szCs w:val="21"/>
          <w:highlight w:val="none"/>
        </w:rPr>
        <w:t>附件11：支付担保格式</w:t>
      </w:r>
      <w:bookmarkEnd w:id="575"/>
    </w:p>
    <w:p w14:paraId="2C941591">
      <w:pPr>
        <w:snapToGrid w:val="0"/>
        <w:spacing w:line="360" w:lineRule="auto"/>
        <w:rPr>
          <w:rFonts w:cs="宋体"/>
          <w:color w:val="auto"/>
          <w:sz w:val="21"/>
          <w:szCs w:val="21"/>
          <w:highlight w:val="none"/>
        </w:rPr>
      </w:pPr>
      <w:bookmarkStart w:id="576" w:name="_Toc128950232"/>
      <w:r>
        <w:rPr>
          <w:rFonts w:hint="eastAsia" w:cs="宋体"/>
          <w:color w:val="auto"/>
          <w:sz w:val="21"/>
          <w:szCs w:val="21"/>
          <w:highlight w:val="none"/>
        </w:rPr>
        <w:t>附件12：暂估价一览表</w:t>
      </w:r>
      <w:bookmarkEnd w:id="576"/>
    </w:p>
    <w:p w14:paraId="0D2829DC">
      <w:pPr>
        <w:snapToGrid w:val="0"/>
        <w:spacing w:line="360" w:lineRule="auto"/>
        <w:rPr>
          <w:rFonts w:cs="宋体"/>
          <w:color w:val="auto"/>
          <w:sz w:val="21"/>
          <w:szCs w:val="21"/>
          <w:highlight w:val="none"/>
        </w:rPr>
      </w:pPr>
      <w:bookmarkStart w:id="577" w:name="_Toc128950233"/>
      <w:r>
        <w:rPr>
          <w:rFonts w:hint="eastAsia" w:cs="宋体"/>
          <w:color w:val="auto"/>
          <w:sz w:val="21"/>
          <w:szCs w:val="21"/>
          <w:highlight w:val="none"/>
        </w:rPr>
        <w:t>附件13：安全生产合同</w:t>
      </w:r>
      <w:bookmarkEnd w:id="577"/>
    </w:p>
    <w:p w14:paraId="0570D687">
      <w:pPr>
        <w:snapToGrid w:val="0"/>
        <w:spacing w:line="360" w:lineRule="auto"/>
        <w:rPr>
          <w:rFonts w:cs="宋体"/>
          <w:color w:val="auto"/>
          <w:sz w:val="21"/>
          <w:szCs w:val="21"/>
          <w:highlight w:val="none"/>
        </w:rPr>
      </w:pPr>
      <w:bookmarkStart w:id="578" w:name="_Toc128950234"/>
      <w:r>
        <w:rPr>
          <w:rFonts w:hint="eastAsia" w:cs="宋体"/>
          <w:color w:val="auto"/>
          <w:sz w:val="21"/>
          <w:szCs w:val="21"/>
          <w:highlight w:val="none"/>
        </w:rPr>
        <w:t>附件14：项目经理质量终身责任制承诺</w:t>
      </w:r>
      <w:bookmarkEnd w:id="578"/>
    </w:p>
    <w:p w14:paraId="1186EAA1">
      <w:pPr>
        <w:snapToGrid w:val="0"/>
        <w:spacing w:before="312" w:beforeLines="100" w:after="312" w:afterLines="100" w:line="360" w:lineRule="auto"/>
        <w:outlineLvl w:val="2"/>
        <w:rPr>
          <w:rFonts w:ascii="Times New Roman" w:eastAsia="黑体"/>
          <w:color w:val="auto"/>
          <w:szCs w:val="24"/>
          <w:highlight w:val="none"/>
        </w:rPr>
      </w:pPr>
      <w:r>
        <w:rPr>
          <w:rFonts w:hint="eastAsia" w:cs="宋体"/>
          <w:bCs/>
          <w:color w:val="auto"/>
          <w:sz w:val="21"/>
          <w:szCs w:val="21"/>
          <w:highlight w:val="none"/>
        </w:rPr>
        <w:br w:type="page"/>
      </w:r>
      <w:bookmarkStart w:id="579" w:name="_Toc128950235"/>
      <w:r>
        <w:rPr>
          <w:rFonts w:hint="eastAsia" w:ascii="Times New Roman" w:eastAsia="黑体"/>
          <w:color w:val="auto"/>
          <w:szCs w:val="24"/>
          <w:highlight w:val="none"/>
        </w:rPr>
        <w:t>附件</w:t>
      </w:r>
      <w:r>
        <w:rPr>
          <w:rFonts w:ascii="Times New Roman" w:eastAsia="黑体"/>
          <w:color w:val="auto"/>
          <w:szCs w:val="24"/>
          <w:highlight w:val="none"/>
        </w:rPr>
        <w:t>1</w:t>
      </w:r>
      <w:r>
        <w:rPr>
          <w:rFonts w:hint="eastAsia" w:ascii="Times New Roman" w:eastAsia="黑体"/>
          <w:color w:val="auto"/>
          <w:szCs w:val="24"/>
          <w:highlight w:val="none"/>
        </w:rPr>
        <w:t>：承包人承揽工程项目一览表</w:t>
      </w:r>
      <w:bookmarkEnd w:id="579"/>
    </w:p>
    <w:p w14:paraId="716F23ED">
      <w:pPr>
        <w:spacing w:line="360" w:lineRule="auto"/>
        <w:jc w:val="center"/>
        <w:rPr>
          <w:rFonts w:cs="宋体"/>
          <w:color w:val="auto"/>
          <w:sz w:val="22"/>
          <w:szCs w:val="21"/>
          <w:highlight w:val="none"/>
        </w:rPr>
      </w:pPr>
      <w:r>
        <w:rPr>
          <w:rFonts w:hint="eastAsia" w:cs="宋体"/>
          <w:color w:val="auto"/>
          <w:sz w:val="22"/>
          <w:szCs w:val="21"/>
          <w:highlight w:val="none"/>
        </w:rPr>
        <w:t>承包人承揽工程项目一览表</w:t>
      </w:r>
    </w:p>
    <w:tbl>
      <w:tblPr>
        <w:tblStyle w:val="5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79"/>
        <w:gridCol w:w="691"/>
        <w:gridCol w:w="1301"/>
        <w:gridCol w:w="691"/>
        <w:gridCol w:w="401"/>
        <w:gridCol w:w="691"/>
        <w:gridCol w:w="982"/>
        <w:gridCol w:w="1244"/>
        <w:gridCol w:w="691"/>
        <w:gridCol w:w="691"/>
      </w:tblGrid>
      <w:tr w14:paraId="39050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86" w:type="pct"/>
            <w:tcBorders>
              <w:top w:val="single" w:color="auto" w:sz="12" w:space="0"/>
              <w:bottom w:val="double" w:color="auto" w:sz="6" w:space="0"/>
            </w:tcBorders>
            <w:vAlign w:val="center"/>
          </w:tcPr>
          <w:p w14:paraId="511B8782">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单位工程名称</w:t>
            </w:r>
          </w:p>
        </w:tc>
        <w:tc>
          <w:tcPr>
            <w:tcW w:w="413" w:type="pct"/>
            <w:tcBorders>
              <w:top w:val="single" w:color="auto" w:sz="12" w:space="0"/>
              <w:bottom w:val="double" w:color="auto" w:sz="6" w:space="0"/>
            </w:tcBorders>
            <w:vAlign w:val="center"/>
          </w:tcPr>
          <w:p w14:paraId="1F916FC5">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建设规模</w:t>
            </w:r>
          </w:p>
        </w:tc>
        <w:tc>
          <w:tcPr>
            <w:tcW w:w="778" w:type="pct"/>
            <w:tcBorders>
              <w:top w:val="single" w:color="auto" w:sz="12" w:space="0"/>
              <w:bottom w:val="double" w:color="auto" w:sz="6" w:space="0"/>
            </w:tcBorders>
            <w:vAlign w:val="center"/>
          </w:tcPr>
          <w:p w14:paraId="115E0641">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建筑面积（平方米）</w:t>
            </w:r>
          </w:p>
        </w:tc>
        <w:tc>
          <w:tcPr>
            <w:tcW w:w="413" w:type="pct"/>
            <w:tcBorders>
              <w:top w:val="single" w:color="auto" w:sz="12" w:space="0"/>
              <w:bottom w:val="double" w:color="auto" w:sz="6" w:space="0"/>
            </w:tcBorders>
            <w:vAlign w:val="center"/>
          </w:tcPr>
          <w:p w14:paraId="10A6CCEA">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结构形式</w:t>
            </w:r>
          </w:p>
        </w:tc>
        <w:tc>
          <w:tcPr>
            <w:tcW w:w="240" w:type="pct"/>
            <w:tcBorders>
              <w:top w:val="single" w:color="auto" w:sz="12" w:space="0"/>
              <w:bottom w:val="double" w:color="auto" w:sz="6" w:space="0"/>
            </w:tcBorders>
            <w:vAlign w:val="center"/>
          </w:tcPr>
          <w:p w14:paraId="6B874D75">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层数</w:t>
            </w:r>
          </w:p>
        </w:tc>
        <w:tc>
          <w:tcPr>
            <w:tcW w:w="413" w:type="pct"/>
            <w:tcBorders>
              <w:top w:val="single" w:color="auto" w:sz="12" w:space="0"/>
              <w:bottom w:val="double" w:color="auto" w:sz="6" w:space="0"/>
            </w:tcBorders>
            <w:vAlign w:val="center"/>
          </w:tcPr>
          <w:p w14:paraId="6C730C11">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生产能力</w:t>
            </w:r>
          </w:p>
        </w:tc>
        <w:tc>
          <w:tcPr>
            <w:tcW w:w="587" w:type="pct"/>
            <w:tcBorders>
              <w:top w:val="single" w:color="auto" w:sz="12" w:space="0"/>
              <w:bottom w:val="double" w:color="auto" w:sz="6" w:space="0"/>
            </w:tcBorders>
            <w:vAlign w:val="center"/>
          </w:tcPr>
          <w:p w14:paraId="0CA04F54">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设备安装内容</w:t>
            </w:r>
          </w:p>
        </w:tc>
        <w:tc>
          <w:tcPr>
            <w:tcW w:w="744" w:type="pct"/>
            <w:tcBorders>
              <w:top w:val="single" w:color="auto" w:sz="12" w:space="0"/>
              <w:bottom w:val="double" w:color="auto" w:sz="6" w:space="0"/>
            </w:tcBorders>
            <w:vAlign w:val="center"/>
          </w:tcPr>
          <w:p w14:paraId="5FA08EB3">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合同价格（元）</w:t>
            </w:r>
          </w:p>
        </w:tc>
        <w:tc>
          <w:tcPr>
            <w:tcW w:w="413" w:type="pct"/>
            <w:tcBorders>
              <w:top w:val="single" w:color="auto" w:sz="12" w:space="0"/>
              <w:bottom w:val="double" w:color="auto" w:sz="6" w:space="0"/>
            </w:tcBorders>
            <w:vAlign w:val="center"/>
          </w:tcPr>
          <w:p w14:paraId="2AC0FB50">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开工日期</w:t>
            </w:r>
          </w:p>
        </w:tc>
        <w:tc>
          <w:tcPr>
            <w:tcW w:w="413" w:type="pct"/>
            <w:tcBorders>
              <w:top w:val="single" w:color="auto" w:sz="12" w:space="0"/>
              <w:bottom w:val="double" w:color="auto" w:sz="6" w:space="0"/>
            </w:tcBorders>
            <w:vAlign w:val="center"/>
          </w:tcPr>
          <w:p w14:paraId="5F2E5F46">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竣工日期</w:t>
            </w:r>
          </w:p>
        </w:tc>
      </w:tr>
      <w:tr w14:paraId="2DBECA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86" w:type="pct"/>
            <w:tcBorders>
              <w:top w:val="double" w:color="auto" w:sz="6" w:space="0"/>
            </w:tcBorders>
            <w:vAlign w:val="center"/>
          </w:tcPr>
          <w:p w14:paraId="6AC78FE7">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1DC76796">
            <w:pPr>
              <w:keepNext/>
              <w:snapToGrid w:val="0"/>
              <w:spacing w:line="360" w:lineRule="auto"/>
              <w:jc w:val="center"/>
              <w:rPr>
                <w:rFonts w:cs="宋体"/>
                <w:color w:val="auto"/>
                <w:sz w:val="22"/>
                <w:szCs w:val="21"/>
                <w:highlight w:val="none"/>
              </w:rPr>
            </w:pPr>
          </w:p>
        </w:tc>
        <w:tc>
          <w:tcPr>
            <w:tcW w:w="778" w:type="pct"/>
            <w:tcBorders>
              <w:top w:val="double" w:color="auto" w:sz="6" w:space="0"/>
            </w:tcBorders>
            <w:vAlign w:val="center"/>
          </w:tcPr>
          <w:p w14:paraId="779B5478">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6A8252E5">
            <w:pPr>
              <w:keepNext/>
              <w:snapToGrid w:val="0"/>
              <w:spacing w:line="360" w:lineRule="auto"/>
              <w:jc w:val="center"/>
              <w:rPr>
                <w:rFonts w:cs="宋体"/>
                <w:color w:val="auto"/>
                <w:sz w:val="22"/>
                <w:szCs w:val="21"/>
                <w:highlight w:val="none"/>
              </w:rPr>
            </w:pPr>
          </w:p>
        </w:tc>
        <w:tc>
          <w:tcPr>
            <w:tcW w:w="240" w:type="pct"/>
            <w:tcBorders>
              <w:top w:val="double" w:color="auto" w:sz="6" w:space="0"/>
            </w:tcBorders>
            <w:vAlign w:val="center"/>
          </w:tcPr>
          <w:p w14:paraId="2B68CB5C">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1E05FEE4">
            <w:pPr>
              <w:keepNext/>
              <w:snapToGrid w:val="0"/>
              <w:spacing w:line="360" w:lineRule="auto"/>
              <w:jc w:val="center"/>
              <w:rPr>
                <w:rFonts w:cs="宋体"/>
                <w:color w:val="auto"/>
                <w:sz w:val="22"/>
                <w:szCs w:val="21"/>
                <w:highlight w:val="none"/>
              </w:rPr>
            </w:pPr>
          </w:p>
        </w:tc>
        <w:tc>
          <w:tcPr>
            <w:tcW w:w="587" w:type="pct"/>
            <w:tcBorders>
              <w:top w:val="double" w:color="auto" w:sz="6" w:space="0"/>
            </w:tcBorders>
            <w:vAlign w:val="center"/>
          </w:tcPr>
          <w:p w14:paraId="7D9588B2">
            <w:pPr>
              <w:keepNext/>
              <w:snapToGrid w:val="0"/>
              <w:spacing w:line="360" w:lineRule="auto"/>
              <w:jc w:val="center"/>
              <w:rPr>
                <w:rFonts w:cs="宋体"/>
                <w:color w:val="auto"/>
                <w:sz w:val="22"/>
                <w:szCs w:val="21"/>
                <w:highlight w:val="none"/>
              </w:rPr>
            </w:pPr>
          </w:p>
        </w:tc>
        <w:tc>
          <w:tcPr>
            <w:tcW w:w="744" w:type="pct"/>
            <w:tcBorders>
              <w:top w:val="double" w:color="auto" w:sz="6" w:space="0"/>
            </w:tcBorders>
            <w:vAlign w:val="center"/>
          </w:tcPr>
          <w:p w14:paraId="7444B0B2">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239DC546">
            <w:pPr>
              <w:keepNext/>
              <w:snapToGrid w:val="0"/>
              <w:spacing w:line="360" w:lineRule="auto"/>
              <w:jc w:val="center"/>
              <w:rPr>
                <w:rFonts w:cs="宋体"/>
                <w:color w:val="auto"/>
                <w:sz w:val="22"/>
                <w:szCs w:val="21"/>
                <w:highlight w:val="none"/>
              </w:rPr>
            </w:pPr>
          </w:p>
        </w:tc>
        <w:tc>
          <w:tcPr>
            <w:tcW w:w="413" w:type="pct"/>
            <w:tcBorders>
              <w:top w:val="double" w:color="auto" w:sz="6" w:space="0"/>
            </w:tcBorders>
            <w:vAlign w:val="center"/>
          </w:tcPr>
          <w:p w14:paraId="7AE6334B">
            <w:pPr>
              <w:keepNext/>
              <w:snapToGrid w:val="0"/>
              <w:spacing w:line="360" w:lineRule="auto"/>
              <w:jc w:val="center"/>
              <w:rPr>
                <w:rFonts w:cs="宋体"/>
                <w:color w:val="auto"/>
                <w:sz w:val="22"/>
                <w:szCs w:val="21"/>
                <w:highlight w:val="none"/>
              </w:rPr>
            </w:pPr>
          </w:p>
        </w:tc>
      </w:tr>
      <w:tr w14:paraId="29301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86" w:type="pct"/>
            <w:tcBorders>
              <w:top w:val="nil"/>
            </w:tcBorders>
            <w:vAlign w:val="center"/>
          </w:tcPr>
          <w:p w14:paraId="68ADB4CA">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414A07F1">
            <w:pPr>
              <w:keepNext/>
              <w:snapToGrid w:val="0"/>
              <w:spacing w:line="360" w:lineRule="auto"/>
              <w:jc w:val="center"/>
              <w:rPr>
                <w:rFonts w:cs="宋体"/>
                <w:color w:val="auto"/>
                <w:sz w:val="22"/>
                <w:szCs w:val="21"/>
                <w:highlight w:val="none"/>
              </w:rPr>
            </w:pPr>
          </w:p>
        </w:tc>
        <w:tc>
          <w:tcPr>
            <w:tcW w:w="778" w:type="pct"/>
            <w:tcBorders>
              <w:top w:val="nil"/>
            </w:tcBorders>
            <w:vAlign w:val="center"/>
          </w:tcPr>
          <w:p w14:paraId="33A11D59">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6A52B770">
            <w:pPr>
              <w:keepNext/>
              <w:snapToGrid w:val="0"/>
              <w:spacing w:line="360" w:lineRule="auto"/>
              <w:jc w:val="center"/>
              <w:rPr>
                <w:rFonts w:cs="宋体"/>
                <w:color w:val="auto"/>
                <w:sz w:val="22"/>
                <w:szCs w:val="21"/>
                <w:highlight w:val="none"/>
              </w:rPr>
            </w:pPr>
          </w:p>
        </w:tc>
        <w:tc>
          <w:tcPr>
            <w:tcW w:w="240" w:type="pct"/>
            <w:tcBorders>
              <w:top w:val="nil"/>
            </w:tcBorders>
            <w:vAlign w:val="center"/>
          </w:tcPr>
          <w:p w14:paraId="406FB0B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2B2BB25E">
            <w:pPr>
              <w:keepNext/>
              <w:snapToGrid w:val="0"/>
              <w:spacing w:line="360" w:lineRule="auto"/>
              <w:jc w:val="center"/>
              <w:rPr>
                <w:rFonts w:cs="宋体"/>
                <w:color w:val="auto"/>
                <w:sz w:val="22"/>
                <w:szCs w:val="21"/>
                <w:highlight w:val="none"/>
              </w:rPr>
            </w:pPr>
          </w:p>
        </w:tc>
        <w:tc>
          <w:tcPr>
            <w:tcW w:w="587" w:type="pct"/>
            <w:tcBorders>
              <w:top w:val="nil"/>
            </w:tcBorders>
            <w:vAlign w:val="center"/>
          </w:tcPr>
          <w:p w14:paraId="24A85CB9">
            <w:pPr>
              <w:keepNext/>
              <w:snapToGrid w:val="0"/>
              <w:spacing w:line="360" w:lineRule="auto"/>
              <w:jc w:val="center"/>
              <w:rPr>
                <w:rFonts w:cs="宋体"/>
                <w:color w:val="auto"/>
                <w:sz w:val="22"/>
                <w:szCs w:val="21"/>
                <w:highlight w:val="none"/>
              </w:rPr>
            </w:pPr>
          </w:p>
        </w:tc>
        <w:tc>
          <w:tcPr>
            <w:tcW w:w="744" w:type="pct"/>
            <w:tcBorders>
              <w:top w:val="nil"/>
            </w:tcBorders>
            <w:vAlign w:val="center"/>
          </w:tcPr>
          <w:p w14:paraId="144B27C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02DF7DD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28C28BE2">
            <w:pPr>
              <w:keepNext/>
              <w:snapToGrid w:val="0"/>
              <w:spacing w:line="360" w:lineRule="auto"/>
              <w:jc w:val="center"/>
              <w:rPr>
                <w:rFonts w:cs="宋体"/>
                <w:color w:val="auto"/>
                <w:sz w:val="22"/>
                <w:szCs w:val="21"/>
                <w:highlight w:val="none"/>
              </w:rPr>
            </w:pPr>
          </w:p>
        </w:tc>
      </w:tr>
      <w:tr w14:paraId="18607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86" w:type="pct"/>
            <w:tcBorders>
              <w:top w:val="nil"/>
            </w:tcBorders>
            <w:vAlign w:val="center"/>
          </w:tcPr>
          <w:p w14:paraId="39558BB9">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66FEDAEC">
            <w:pPr>
              <w:keepNext/>
              <w:snapToGrid w:val="0"/>
              <w:spacing w:line="360" w:lineRule="auto"/>
              <w:jc w:val="center"/>
              <w:rPr>
                <w:rFonts w:cs="宋体"/>
                <w:color w:val="auto"/>
                <w:sz w:val="22"/>
                <w:szCs w:val="21"/>
                <w:highlight w:val="none"/>
              </w:rPr>
            </w:pPr>
          </w:p>
        </w:tc>
        <w:tc>
          <w:tcPr>
            <w:tcW w:w="778" w:type="pct"/>
            <w:tcBorders>
              <w:top w:val="nil"/>
            </w:tcBorders>
            <w:vAlign w:val="center"/>
          </w:tcPr>
          <w:p w14:paraId="3F603F8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627A8D3A">
            <w:pPr>
              <w:keepNext/>
              <w:snapToGrid w:val="0"/>
              <w:spacing w:line="360" w:lineRule="auto"/>
              <w:jc w:val="center"/>
              <w:rPr>
                <w:rFonts w:cs="宋体"/>
                <w:color w:val="auto"/>
                <w:sz w:val="22"/>
                <w:szCs w:val="21"/>
                <w:highlight w:val="none"/>
              </w:rPr>
            </w:pPr>
          </w:p>
        </w:tc>
        <w:tc>
          <w:tcPr>
            <w:tcW w:w="240" w:type="pct"/>
            <w:tcBorders>
              <w:top w:val="nil"/>
            </w:tcBorders>
            <w:vAlign w:val="center"/>
          </w:tcPr>
          <w:p w14:paraId="3CDA576A">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4F6A29AD">
            <w:pPr>
              <w:keepNext/>
              <w:snapToGrid w:val="0"/>
              <w:spacing w:line="360" w:lineRule="auto"/>
              <w:jc w:val="center"/>
              <w:rPr>
                <w:rFonts w:cs="宋体"/>
                <w:color w:val="auto"/>
                <w:sz w:val="22"/>
                <w:szCs w:val="21"/>
                <w:highlight w:val="none"/>
              </w:rPr>
            </w:pPr>
          </w:p>
        </w:tc>
        <w:tc>
          <w:tcPr>
            <w:tcW w:w="587" w:type="pct"/>
            <w:tcBorders>
              <w:top w:val="nil"/>
            </w:tcBorders>
            <w:vAlign w:val="center"/>
          </w:tcPr>
          <w:p w14:paraId="4FF10F6B">
            <w:pPr>
              <w:keepNext/>
              <w:snapToGrid w:val="0"/>
              <w:spacing w:line="360" w:lineRule="auto"/>
              <w:jc w:val="center"/>
              <w:rPr>
                <w:rFonts w:cs="宋体"/>
                <w:color w:val="auto"/>
                <w:sz w:val="22"/>
                <w:szCs w:val="21"/>
                <w:highlight w:val="none"/>
              </w:rPr>
            </w:pPr>
          </w:p>
        </w:tc>
        <w:tc>
          <w:tcPr>
            <w:tcW w:w="744" w:type="pct"/>
            <w:tcBorders>
              <w:top w:val="nil"/>
            </w:tcBorders>
            <w:vAlign w:val="center"/>
          </w:tcPr>
          <w:p w14:paraId="0B633491">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47917CE4">
            <w:pPr>
              <w:keepNext/>
              <w:snapToGrid w:val="0"/>
              <w:spacing w:line="360" w:lineRule="auto"/>
              <w:jc w:val="center"/>
              <w:rPr>
                <w:rFonts w:cs="宋体"/>
                <w:color w:val="auto"/>
                <w:sz w:val="22"/>
                <w:szCs w:val="21"/>
                <w:highlight w:val="none"/>
              </w:rPr>
            </w:pPr>
          </w:p>
        </w:tc>
        <w:tc>
          <w:tcPr>
            <w:tcW w:w="413" w:type="pct"/>
            <w:tcBorders>
              <w:top w:val="nil"/>
            </w:tcBorders>
            <w:vAlign w:val="center"/>
          </w:tcPr>
          <w:p w14:paraId="64514E31">
            <w:pPr>
              <w:keepNext/>
              <w:snapToGrid w:val="0"/>
              <w:spacing w:line="360" w:lineRule="auto"/>
              <w:jc w:val="center"/>
              <w:rPr>
                <w:rFonts w:cs="宋体"/>
                <w:color w:val="auto"/>
                <w:sz w:val="22"/>
                <w:szCs w:val="21"/>
                <w:highlight w:val="none"/>
              </w:rPr>
            </w:pPr>
          </w:p>
        </w:tc>
      </w:tr>
      <w:tr w14:paraId="48C7D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86" w:type="pct"/>
            <w:tcBorders>
              <w:bottom w:val="single" w:color="auto" w:sz="12" w:space="0"/>
            </w:tcBorders>
            <w:vAlign w:val="center"/>
          </w:tcPr>
          <w:p w14:paraId="21F0ACC3">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42C619CF">
            <w:pPr>
              <w:keepNext/>
              <w:snapToGrid w:val="0"/>
              <w:spacing w:line="360" w:lineRule="auto"/>
              <w:jc w:val="center"/>
              <w:rPr>
                <w:rFonts w:cs="宋体"/>
                <w:color w:val="auto"/>
                <w:sz w:val="22"/>
                <w:szCs w:val="21"/>
                <w:highlight w:val="none"/>
              </w:rPr>
            </w:pPr>
          </w:p>
        </w:tc>
        <w:tc>
          <w:tcPr>
            <w:tcW w:w="778" w:type="pct"/>
            <w:tcBorders>
              <w:bottom w:val="single" w:color="auto" w:sz="12" w:space="0"/>
            </w:tcBorders>
            <w:vAlign w:val="center"/>
          </w:tcPr>
          <w:p w14:paraId="411DE9DC">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3718B8E4">
            <w:pPr>
              <w:keepNext/>
              <w:snapToGrid w:val="0"/>
              <w:spacing w:line="360" w:lineRule="auto"/>
              <w:jc w:val="center"/>
              <w:rPr>
                <w:rFonts w:cs="宋体"/>
                <w:color w:val="auto"/>
                <w:sz w:val="22"/>
                <w:szCs w:val="21"/>
                <w:highlight w:val="none"/>
              </w:rPr>
            </w:pPr>
          </w:p>
        </w:tc>
        <w:tc>
          <w:tcPr>
            <w:tcW w:w="240" w:type="pct"/>
            <w:tcBorders>
              <w:bottom w:val="single" w:color="auto" w:sz="12" w:space="0"/>
            </w:tcBorders>
            <w:vAlign w:val="center"/>
          </w:tcPr>
          <w:p w14:paraId="017FD37E">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0B26B70D">
            <w:pPr>
              <w:keepNext/>
              <w:snapToGrid w:val="0"/>
              <w:spacing w:line="360" w:lineRule="auto"/>
              <w:jc w:val="center"/>
              <w:rPr>
                <w:rFonts w:cs="宋体"/>
                <w:color w:val="auto"/>
                <w:sz w:val="22"/>
                <w:szCs w:val="21"/>
                <w:highlight w:val="none"/>
              </w:rPr>
            </w:pPr>
          </w:p>
        </w:tc>
        <w:tc>
          <w:tcPr>
            <w:tcW w:w="587" w:type="pct"/>
            <w:tcBorders>
              <w:bottom w:val="single" w:color="auto" w:sz="12" w:space="0"/>
            </w:tcBorders>
            <w:vAlign w:val="center"/>
          </w:tcPr>
          <w:p w14:paraId="1CBC9543">
            <w:pPr>
              <w:keepNext/>
              <w:snapToGrid w:val="0"/>
              <w:spacing w:line="360" w:lineRule="auto"/>
              <w:jc w:val="center"/>
              <w:rPr>
                <w:rFonts w:cs="宋体"/>
                <w:color w:val="auto"/>
                <w:sz w:val="22"/>
                <w:szCs w:val="21"/>
                <w:highlight w:val="none"/>
              </w:rPr>
            </w:pPr>
          </w:p>
        </w:tc>
        <w:tc>
          <w:tcPr>
            <w:tcW w:w="744" w:type="pct"/>
            <w:tcBorders>
              <w:bottom w:val="single" w:color="auto" w:sz="12" w:space="0"/>
            </w:tcBorders>
            <w:vAlign w:val="center"/>
          </w:tcPr>
          <w:p w14:paraId="7EEA8158">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52BA0D70">
            <w:pPr>
              <w:keepNext/>
              <w:snapToGrid w:val="0"/>
              <w:spacing w:line="360" w:lineRule="auto"/>
              <w:jc w:val="center"/>
              <w:rPr>
                <w:rFonts w:cs="宋体"/>
                <w:color w:val="auto"/>
                <w:sz w:val="22"/>
                <w:szCs w:val="21"/>
                <w:highlight w:val="none"/>
              </w:rPr>
            </w:pPr>
          </w:p>
        </w:tc>
        <w:tc>
          <w:tcPr>
            <w:tcW w:w="413" w:type="pct"/>
            <w:tcBorders>
              <w:bottom w:val="single" w:color="auto" w:sz="12" w:space="0"/>
            </w:tcBorders>
            <w:vAlign w:val="center"/>
          </w:tcPr>
          <w:p w14:paraId="61CB6E18">
            <w:pPr>
              <w:keepNext/>
              <w:snapToGrid w:val="0"/>
              <w:spacing w:line="360" w:lineRule="auto"/>
              <w:jc w:val="center"/>
              <w:rPr>
                <w:rFonts w:cs="宋体"/>
                <w:color w:val="auto"/>
                <w:sz w:val="22"/>
                <w:szCs w:val="21"/>
                <w:highlight w:val="none"/>
              </w:rPr>
            </w:pPr>
          </w:p>
        </w:tc>
      </w:tr>
    </w:tbl>
    <w:p w14:paraId="5F089595">
      <w:pPr>
        <w:spacing w:before="312" w:beforeLines="100" w:after="312" w:afterLines="100"/>
        <w:outlineLvl w:val="2"/>
        <w:rPr>
          <w:rFonts w:ascii="Times New Roman" w:eastAsia="黑体"/>
          <w:color w:val="auto"/>
          <w:szCs w:val="24"/>
          <w:highlight w:val="none"/>
        </w:rPr>
      </w:pPr>
      <w:r>
        <w:rPr>
          <w:rFonts w:hint="eastAsia" w:ascii="Times New Roman" w:eastAsia="黑体"/>
          <w:bCs/>
          <w:color w:val="auto"/>
          <w:highlight w:val="none"/>
        </w:rPr>
        <w:br w:type="page"/>
      </w:r>
      <w:bookmarkStart w:id="580" w:name="_Toc128950236"/>
      <w:r>
        <w:rPr>
          <w:rFonts w:hint="eastAsia" w:ascii="Times New Roman" w:eastAsia="黑体"/>
          <w:color w:val="auto"/>
          <w:szCs w:val="24"/>
          <w:highlight w:val="none"/>
        </w:rPr>
        <w:t>附</w:t>
      </w:r>
      <w:bookmarkStart w:id="581" w:name="_Toc296891265"/>
      <w:bookmarkStart w:id="582" w:name="_Toc267261692"/>
      <w:bookmarkStart w:id="583" w:name="_Toc296891053"/>
      <w:bookmarkStart w:id="584" w:name="_Toc296347224"/>
      <w:bookmarkStart w:id="585" w:name="_Toc296346726"/>
      <w:bookmarkStart w:id="586" w:name="_Toc296503225"/>
      <w:bookmarkStart w:id="587" w:name="_Toc296944564"/>
      <w:r>
        <w:rPr>
          <w:rFonts w:hint="eastAsia" w:ascii="Times New Roman" w:eastAsia="黑体"/>
          <w:color w:val="auto"/>
          <w:szCs w:val="24"/>
          <w:highlight w:val="none"/>
        </w:rPr>
        <w:t>件</w:t>
      </w:r>
      <w:r>
        <w:rPr>
          <w:rFonts w:ascii="Times New Roman" w:eastAsia="黑体"/>
          <w:color w:val="auto"/>
          <w:szCs w:val="24"/>
          <w:highlight w:val="none"/>
        </w:rPr>
        <w:t>2</w:t>
      </w:r>
      <w:r>
        <w:rPr>
          <w:rFonts w:hint="eastAsia" w:ascii="Times New Roman" w:eastAsia="黑体"/>
          <w:color w:val="auto"/>
          <w:szCs w:val="24"/>
          <w:highlight w:val="none"/>
        </w:rPr>
        <w:t>：发包人供应材料设备一览表</w:t>
      </w:r>
      <w:bookmarkEnd w:id="580"/>
    </w:p>
    <w:bookmarkEnd w:id="581"/>
    <w:bookmarkEnd w:id="582"/>
    <w:bookmarkEnd w:id="583"/>
    <w:bookmarkEnd w:id="584"/>
    <w:bookmarkEnd w:id="585"/>
    <w:bookmarkEnd w:id="586"/>
    <w:bookmarkEnd w:id="587"/>
    <w:p w14:paraId="0B502AB9">
      <w:pPr>
        <w:spacing w:line="360" w:lineRule="auto"/>
        <w:jc w:val="center"/>
        <w:rPr>
          <w:rFonts w:cs="宋体"/>
          <w:color w:val="auto"/>
          <w:sz w:val="22"/>
          <w:szCs w:val="21"/>
          <w:highlight w:val="none"/>
        </w:rPr>
      </w:pPr>
      <w:r>
        <w:rPr>
          <w:rFonts w:hint="eastAsia" w:cs="宋体"/>
          <w:color w:val="auto"/>
          <w:sz w:val="22"/>
          <w:szCs w:val="21"/>
          <w:highlight w:val="none"/>
        </w:rPr>
        <w:t>发包人供应材料设备一览表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488"/>
        <w:gridCol w:w="1574"/>
        <w:gridCol w:w="923"/>
        <w:gridCol w:w="488"/>
        <w:gridCol w:w="488"/>
        <w:gridCol w:w="1141"/>
        <w:gridCol w:w="923"/>
        <w:gridCol w:w="924"/>
        <w:gridCol w:w="924"/>
        <w:gridCol w:w="489"/>
      </w:tblGrid>
      <w:tr w14:paraId="4CA1D2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292" w:type="pct"/>
            <w:tcBorders>
              <w:top w:val="single" w:color="auto" w:sz="12" w:space="0"/>
              <w:bottom w:val="double" w:color="auto" w:sz="6" w:space="0"/>
            </w:tcBorders>
            <w:vAlign w:val="center"/>
          </w:tcPr>
          <w:p w14:paraId="6F9FAFD8">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序号</w:t>
            </w:r>
          </w:p>
        </w:tc>
        <w:tc>
          <w:tcPr>
            <w:tcW w:w="941" w:type="pct"/>
            <w:tcBorders>
              <w:top w:val="single" w:color="auto" w:sz="12" w:space="0"/>
              <w:bottom w:val="double" w:color="auto" w:sz="6" w:space="0"/>
            </w:tcBorders>
            <w:vAlign w:val="center"/>
          </w:tcPr>
          <w:p w14:paraId="3F904473">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材料、设备品种</w:t>
            </w:r>
          </w:p>
        </w:tc>
        <w:tc>
          <w:tcPr>
            <w:tcW w:w="552" w:type="pct"/>
            <w:tcBorders>
              <w:top w:val="single" w:color="auto" w:sz="12" w:space="0"/>
              <w:bottom w:val="double" w:color="auto" w:sz="6" w:space="0"/>
            </w:tcBorders>
            <w:vAlign w:val="center"/>
          </w:tcPr>
          <w:p w14:paraId="51504F17">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规格型号</w:t>
            </w:r>
          </w:p>
        </w:tc>
        <w:tc>
          <w:tcPr>
            <w:tcW w:w="292" w:type="pct"/>
            <w:tcBorders>
              <w:top w:val="single" w:color="auto" w:sz="12" w:space="0"/>
              <w:bottom w:val="double" w:color="auto" w:sz="6" w:space="0"/>
            </w:tcBorders>
            <w:vAlign w:val="center"/>
          </w:tcPr>
          <w:p w14:paraId="3C505E8B">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单位</w:t>
            </w:r>
          </w:p>
        </w:tc>
        <w:tc>
          <w:tcPr>
            <w:tcW w:w="292" w:type="pct"/>
            <w:tcBorders>
              <w:top w:val="single" w:color="auto" w:sz="12" w:space="0"/>
              <w:bottom w:val="double" w:color="auto" w:sz="6" w:space="0"/>
            </w:tcBorders>
            <w:vAlign w:val="center"/>
          </w:tcPr>
          <w:p w14:paraId="22419952">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数量</w:t>
            </w:r>
          </w:p>
        </w:tc>
        <w:tc>
          <w:tcPr>
            <w:tcW w:w="682" w:type="pct"/>
            <w:tcBorders>
              <w:top w:val="single" w:color="auto" w:sz="12" w:space="0"/>
              <w:bottom w:val="double" w:color="auto" w:sz="6" w:space="0"/>
            </w:tcBorders>
            <w:vAlign w:val="center"/>
          </w:tcPr>
          <w:p w14:paraId="5119E783">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单价（元）</w:t>
            </w:r>
          </w:p>
        </w:tc>
        <w:tc>
          <w:tcPr>
            <w:tcW w:w="552" w:type="pct"/>
            <w:tcBorders>
              <w:top w:val="single" w:color="auto" w:sz="12" w:space="0"/>
              <w:bottom w:val="double" w:color="auto" w:sz="6" w:space="0"/>
            </w:tcBorders>
            <w:vAlign w:val="center"/>
          </w:tcPr>
          <w:p w14:paraId="670BC82D">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质量等级</w:t>
            </w:r>
          </w:p>
        </w:tc>
        <w:tc>
          <w:tcPr>
            <w:tcW w:w="552" w:type="pct"/>
            <w:tcBorders>
              <w:top w:val="single" w:color="auto" w:sz="12" w:space="0"/>
              <w:bottom w:val="double" w:color="auto" w:sz="6" w:space="0"/>
            </w:tcBorders>
            <w:vAlign w:val="center"/>
          </w:tcPr>
          <w:p w14:paraId="590F00BF">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供应时间</w:t>
            </w:r>
          </w:p>
        </w:tc>
        <w:tc>
          <w:tcPr>
            <w:tcW w:w="552" w:type="pct"/>
            <w:tcBorders>
              <w:top w:val="single" w:color="auto" w:sz="12" w:space="0"/>
              <w:bottom w:val="double" w:color="auto" w:sz="6" w:space="0"/>
            </w:tcBorders>
            <w:vAlign w:val="center"/>
          </w:tcPr>
          <w:p w14:paraId="27F52C1A">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送达地点</w:t>
            </w:r>
          </w:p>
        </w:tc>
        <w:tc>
          <w:tcPr>
            <w:tcW w:w="292" w:type="pct"/>
            <w:tcBorders>
              <w:top w:val="single" w:color="auto" w:sz="12" w:space="0"/>
              <w:bottom w:val="double" w:color="auto" w:sz="6" w:space="0"/>
            </w:tcBorders>
            <w:vAlign w:val="center"/>
          </w:tcPr>
          <w:p w14:paraId="02F7293E">
            <w:pPr>
              <w:keepNext/>
              <w:snapToGrid w:val="0"/>
              <w:spacing w:line="360" w:lineRule="auto"/>
              <w:jc w:val="center"/>
              <w:rPr>
                <w:rFonts w:cs="宋体"/>
                <w:color w:val="auto"/>
                <w:sz w:val="22"/>
                <w:szCs w:val="21"/>
                <w:highlight w:val="none"/>
              </w:rPr>
            </w:pPr>
            <w:r>
              <w:rPr>
                <w:rFonts w:hint="eastAsia" w:cs="宋体"/>
                <w:color w:val="auto"/>
                <w:sz w:val="22"/>
                <w:szCs w:val="21"/>
                <w:highlight w:val="none"/>
              </w:rPr>
              <w:t>备注</w:t>
            </w:r>
          </w:p>
        </w:tc>
      </w:tr>
      <w:tr w14:paraId="481FC1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292" w:type="pct"/>
            <w:tcBorders>
              <w:top w:val="double" w:color="auto" w:sz="6" w:space="0"/>
            </w:tcBorders>
            <w:vAlign w:val="center"/>
          </w:tcPr>
          <w:p w14:paraId="0F53B32E">
            <w:pPr>
              <w:keepNext/>
              <w:snapToGrid w:val="0"/>
              <w:spacing w:line="360" w:lineRule="auto"/>
              <w:jc w:val="center"/>
              <w:rPr>
                <w:rFonts w:cs="宋体"/>
                <w:color w:val="auto"/>
                <w:sz w:val="22"/>
                <w:szCs w:val="21"/>
                <w:highlight w:val="none"/>
              </w:rPr>
            </w:pPr>
          </w:p>
        </w:tc>
        <w:tc>
          <w:tcPr>
            <w:tcW w:w="941" w:type="pct"/>
            <w:tcBorders>
              <w:top w:val="double" w:color="auto" w:sz="6" w:space="0"/>
            </w:tcBorders>
            <w:vAlign w:val="center"/>
          </w:tcPr>
          <w:p w14:paraId="59AAD72E">
            <w:pPr>
              <w:keepNext/>
              <w:snapToGrid w:val="0"/>
              <w:spacing w:line="360" w:lineRule="auto"/>
              <w:jc w:val="center"/>
              <w:rPr>
                <w:rFonts w:cs="宋体"/>
                <w:color w:val="auto"/>
                <w:sz w:val="22"/>
                <w:szCs w:val="21"/>
                <w:highlight w:val="none"/>
              </w:rPr>
            </w:pPr>
          </w:p>
        </w:tc>
        <w:tc>
          <w:tcPr>
            <w:tcW w:w="552" w:type="pct"/>
            <w:tcBorders>
              <w:top w:val="double" w:color="auto" w:sz="6" w:space="0"/>
            </w:tcBorders>
            <w:vAlign w:val="center"/>
          </w:tcPr>
          <w:p w14:paraId="451E5B9C">
            <w:pPr>
              <w:keepNext/>
              <w:snapToGrid w:val="0"/>
              <w:spacing w:line="360" w:lineRule="auto"/>
              <w:jc w:val="center"/>
              <w:rPr>
                <w:rFonts w:cs="宋体"/>
                <w:color w:val="auto"/>
                <w:sz w:val="22"/>
                <w:szCs w:val="21"/>
                <w:highlight w:val="none"/>
              </w:rPr>
            </w:pPr>
          </w:p>
        </w:tc>
        <w:tc>
          <w:tcPr>
            <w:tcW w:w="292" w:type="pct"/>
            <w:tcBorders>
              <w:top w:val="double" w:color="auto" w:sz="6" w:space="0"/>
            </w:tcBorders>
            <w:vAlign w:val="center"/>
          </w:tcPr>
          <w:p w14:paraId="69EDC336">
            <w:pPr>
              <w:keepNext/>
              <w:snapToGrid w:val="0"/>
              <w:spacing w:line="360" w:lineRule="auto"/>
              <w:jc w:val="center"/>
              <w:rPr>
                <w:rFonts w:cs="宋体"/>
                <w:color w:val="auto"/>
                <w:sz w:val="22"/>
                <w:szCs w:val="21"/>
                <w:highlight w:val="none"/>
              </w:rPr>
            </w:pPr>
          </w:p>
        </w:tc>
        <w:tc>
          <w:tcPr>
            <w:tcW w:w="292" w:type="pct"/>
            <w:tcBorders>
              <w:top w:val="double" w:color="auto" w:sz="6" w:space="0"/>
            </w:tcBorders>
            <w:vAlign w:val="center"/>
          </w:tcPr>
          <w:p w14:paraId="7F03A0E8">
            <w:pPr>
              <w:keepNext/>
              <w:snapToGrid w:val="0"/>
              <w:spacing w:line="360" w:lineRule="auto"/>
              <w:jc w:val="center"/>
              <w:rPr>
                <w:rFonts w:cs="宋体"/>
                <w:color w:val="auto"/>
                <w:sz w:val="22"/>
                <w:szCs w:val="21"/>
                <w:highlight w:val="none"/>
              </w:rPr>
            </w:pPr>
          </w:p>
        </w:tc>
        <w:tc>
          <w:tcPr>
            <w:tcW w:w="682" w:type="pct"/>
            <w:tcBorders>
              <w:top w:val="double" w:color="auto" w:sz="6" w:space="0"/>
            </w:tcBorders>
            <w:vAlign w:val="center"/>
          </w:tcPr>
          <w:p w14:paraId="3298F6AA">
            <w:pPr>
              <w:keepNext/>
              <w:snapToGrid w:val="0"/>
              <w:spacing w:line="360" w:lineRule="auto"/>
              <w:jc w:val="center"/>
              <w:rPr>
                <w:rFonts w:cs="宋体"/>
                <w:color w:val="auto"/>
                <w:sz w:val="22"/>
                <w:szCs w:val="21"/>
                <w:highlight w:val="none"/>
              </w:rPr>
            </w:pPr>
          </w:p>
        </w:tc>
        <w:tc>
          <w:tcPr>
            <w:tcW w:w="552" w:type="pct"/>
            <w:tcBorders>
              <w:top w:val="double" w:color="auto" w:sz="6" w:space="0"/>
            </w:tcBorders>
            <w:vAlign w:val="center"/>
          </w:tcPr>
          <w:p w14:paraId="13975D79">
            <w:pPr>
              <w:keepNext/>
              <w:snapToGrid w:val="0"/>
              <w:spacing w:line="360" w:lineRule="auto"/>
              <w:jc w:val="center"/>
              <w:rPr>
                <w:rFonts w:cs="宋体"/>
                <w:color w:val="auto"/>
                <w:sz w:val="22"/>
                <w:szCs w:val="21"/>
                <w:highlight w:val="none"/>
              </w:rPr>
            </w:pPr>
          </w:p>
        </w:tc>
        <w:tc>
          <w:tcPr>
            <w:tcW w:w="552" w:type="pct"/>
            <w:tcBorders>
              <w:top w:val="double" w:color="auto" w:sz="6" w:space="0"/>
            </w:tcBorders>
            <w:vAlign w:val="center"/>
          </w:tcPr>
          <w:p w14:paraId="6D042702">
            <w:pPr>
              <w:keepNext/>
              <w:snapToGrid w:val="0"/>
              <w:spacing w:line="360" w:lineRule="auto"/>
              <w:jc w:val="center"/>
              <w:rPr>
                <w:rFonts w:cs="宋体"/>
                <w:color w:val="auto"/>
                <w:sz w:val="22"/>
                <w:szCs w:val="21"/>
                <w:highlight w:val="none"/>
              </w:rPr>
            </w:pPr>
          </w:p>
        </w:tc>
        <w:tc>
          <w:tcPr>
            <w:tcW w:w="552" w:type="pct"/>
            <w:tcBorders>
              <w:top w:val="double" w:color="auto" w:sz="6" w:space="0"/>
            </w:tcBorders>
            <w:vAlign w:val="center"/>
          </w:tcPr>
          <w:p w14:paraId="43AA748F">
            <w:pPr>
              <w:keepNext/>
              <w:snapToGrid w:val="0"/>
              <w:spacing w:line="360" w:lineRule="auto"/>
              <w:jc w:val="center"/>
              <w:rPr>
                <w:rFonts w:cs="宋体"/>
                <w:color w:val="auto"/>
                <w:sz w:val="22"/>
                <w:szCs w:val="21"/>
                <w:highlight w:val="none"/>
              </w:rPr>
            </w:pPr>
          </w:p>
        </w:tc>
        <w:tc>
          <w:tcPr>
            <w:tcW w:w="292" w:type="pct"/>
            <w:tcBorders>
              <w:top w:val="double" w:color="auto" w:sz="6" w:space="0"/>
            </w:tcBorders>
            <w:vAlign w:val="center"/>
          </w:tcPr>
          <w:p w14:paraId="7E88C27C">
            <w:pPr>
              <w:keepNext/>
              <w:snapToGrid w:val="0"/>
              <w:spacing w:line="360" w:lineRule="auto"/>
              <w:jc w:val="center"/>
              <w:rPr>
                <w:rFonts w:cs="宋体"/>
                <w:color w:val="auto"/>
                <w:sz w:val="22"/>
                <w:szCs w:val="21"/>
                <w:highlight w:val="none"/>
              </w:rPr>
            </w:pPr>
          </w:p>
        </w:tc>
      </w:tr>
      <w:tr w14:paraId="690E5C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292" w:type="pct"/>
            <w:vAlign w:val="center"/>
          </w:tcPr>
          <w:p w14:paraId="16B74E93">
            <w:pPr>
              <w:snapToGrid w:val="0"/>
              <w:spacing w:line="360" w:lineRule="auto"/>
              <w:jc w:val="center"/>
              <w:rPr>
                <w:rFonts w:cs="宋体"/>
                <w:color w:val="auto"/>
                <w:sz w:val="22"/>
                <w:szCs w:val="21"/>
                <w:highlight w:val="none"/>
              </w:rPr>
            </w:pPr>
          </w:p>
        </w:tc>
        <w:tc>
          <w:tcPr>
            <w:tcW w:w="941" w:type="pct"/>
            <w:vAlign w:val="center"/>
          </w:tcPr>
          <w:p w14:paraId="704FD3B4">
            <w:pPr>
              <w:snapToGrid w:val="0"/>
              <w:spacing w:line="360" w:lineRule="auto"/>
              <w:jc w:val="center"/>
              <w:rPr>
                <w:rFonts w:cs="宋体"/>
                <w:color w:val="auto"/>
                <w:sz w:val="22"/>
                <w:szCs w:val="21"/>
                <w:highlight w:val="none"/>
              </w:rPr>
            </w:pPr>
          </w:p>
        </w:tc>
        <w:tc>
          <w:tcPr>
            <w:tcW w:w="552" w:type="pct"/>
            <w:vAlign w:val="center"/>
          </w:tcPr>
          <w:p w14:paraId="187BE5B8">
            <w:pPr>
              <w:snapToGrid w:val="0"/>
              <w:spacing w:line="360" w:lineRule="auto"/>
              <w:jc w:val="center"/>
              <w:rPr>
                <w:rFonts w:cs="宋体"/>
                <w:color w:val="auto"/>
                <w:sz w:val="22"/>
                <w:szCs w:val="21"/>
                <w:highlight w:val="none"/>
              </w:rPr>
            </w:pPr>
          </w:p>
        </w:tc>
        <w:tc>
          <w:tcPr>
            <w:tcW w:w="292" w:type="pct"/>
            <w:vAlign w:val="center"/>
          </w:tcPr>
          <w:p w14:paraId="1492954D">
            <w:pPr>
              <w:snapToGrid w:val="0"/>
              <w:spacing w:line="360" w:lineRule="auto"/>
              <w:jc w:val="center"/>
              <w:rPr>
                <w:rFonts w:cs="宋体"/>
                <w:color w:val="auto"/>
                <w:sz w:val="22"/>
                <w:szCs w:val="21"/>
                <w:highlight w:val="none"/>
              </w:rPr>
            </w:pPr>
          </w:p>
        </w:tc>
        <w:tc>
          <w:tcPr>
            <w:tcW w:w="292" w:type="pct"/>
            <w:vAlign w:val="center"/>
          </w:tcPr>
          <w:p w14:paraId="4385FE45">
            <w:pPr>
              <w:snapToGrid w:val="0"/>
              <w:spacing w:line="360" w:lineRule="auto"/>
              <w:jc w:val="center"/>
              <w:rPr>
                <w:rFonts w:cs="宋体"/>
                <w:color w:val="auto"/>
                <w:sz w:val="22"/>
                <w:szCs w:val="21"/>
                <w:highlight w:val="none"/>
              </w:rPr>
            </w:pPr>
          </w:p>
        </w:tc>
        <w:tc>
          <w:tcPr>
            <w:tcW w:w="682" w:type="pct"/>
            <w:vAlign w:val="center"/>
          </w:tcPr>
          <w:p w14:paraId="4DF75AE4">
            <w:pPr>
              <w:snapToGrid w:val="0"/>
              <w:spacing w:line="360" w:lineRule="auto"/>
              <w:jc w:val="center"/>
              <w:rPr>
                <w:rFonts w:cs="宋体"/>
                <w:color w:val="auto"/>
                <w:sz w:val="22"/>
                <w:szCs w:val="21"/>
                <w:highlight w:val="none"/>
              </w:rPr>
            </w:pPr>
          </w:p>
        </w:tc>
        <w:tc>
          <w:tcPr>
            <w:tcW w:w="552" w:type="pct"/>
            <w:vAlign w:val="center"/>
          </w:tcPr>
          <w:p w14:paraId="22E6A2D2">
            <w:pPr>
              <w:snapToGrid w:val="0"/>
              <w:spacing w:line="360" w:lineRule="auto"/>
              <w:jc w:val="center"/>
              <w:rPr>
                <w:rFonts w:cs="宋体"/>
                <w:color w:val="auto"/>
                <w:sz w:val="22"/>
                <w:szCs w:val="21"/>
                <w:highlight w:val="none"/>
              </w:rPr>
            </w:pPr>
          </w:p>
        </w:tc>
        <w:tc>
          <w:tcPr>
            <w:tcW w:w="552" w:type="pct"/>
            <w:vAlign w:val="center"/>
          </w:tcPr>
          <w:p w14:paraId="34698A63">
            <w:pPr>
              <w:snapToGrid w:val="0"/>
              <w:spacing w:line="360" w:lineRule="auto"/>
              <w:jc w:val="center"/>
              <w:rPr>
                <w:rFonts w:cs="宋体"/>
                <w:color w:val="auto"/>
                <w:sz w:val="22"/>
                <w:szCs w:val="21"/>
                <w:highlight w:val="none"/>
              </w:rPr>
            </w:pPr>
          </w:p>
        </w:tc>
        <w:tc>
          <w:tcPr>
            <w:tcW w:w="552" w:type="pct"/>
            <w:vAlign w:val="center"/>
          </w:tcPr>
          <w:p w14:paraId="63B5C4F0">
            <w:pPr>
              <w:snapToGrid w:val="0"/>
              <w:spacing w:line="360" w:lineRule="auto"/>
              <w:jc w:val="center"/>
              <w:rPr>
                <w:rFonts w:cs="宋体"/>
                <w:color w:val="auto"/>
                <w:sz w:val="22"/>
                <w:szCs w:val="21"/>
                <w:highlight w:val="none"/>
              </w:rPr>
            </w:pPr>
          </w:p>
        </w:tc>
        <w:tc>
          <w:tcPr>
            <w:tcW w:w="292" w:type="pct"/>
            <w:vAlign w:val="center"/>
          </w:tcPr>
          <w:p w14:paraId="1C726FB1">
            <w:pPr>
              <w:snapToGrid w:val="0"/>
              <w:spacing w:line="360" w:lineRule="auto"/>
              <w:jc w:val="center"/>
              <w:rPr>
                <w:rFonts w:cs="宋体"/>
                <w:color w:val="auto"/>
                <w:sz w:val="22"/>
                <w:szCs w:val="21"/>
                <w:highlight w:val="none"/>
              </w:rPr>
            </w:pPr>
          </w:p>
        </w:tc>
      </w:tr>
      <w:tr w14:paraId="31ACE4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292" w:type="pct"/>
            <w:tcBorders>
              <w:bottom w:val="single" w:color="auto" w:sz="12" w:space="0"/>
            </w:tcBorders>
            <w:vAlign w:val="center"/>
          </w:tcPr>
          <w:p w14:paraId="1EF8A787">
            <w:pPr>
              <w:snapToGrid w:val="0"/>
              <w:spacing w:line="360" w:lineRule="auto"/>
              <w:jc w:val="center"/>
              <w:rPr>
                <w:rFonts w:cs="宋体"/>
                <w:color w:val="auto"/>
                <w:sz w:val="22"/>
                <w:szCs w:val="21"/>
                <w:highlight w:val="none"/>
              </w:rPr>
            </w:pPr>
          </w:p>
        </w:tc>
        <w:tc>
          <w:tcPr>
            <w:tcW w:w="941" w:type="pct"/>
            <w:tcBorders>
              <w:bottom w:val="single" w:color="auto" w:sz="12" w:space="0"/>
            </w:tcBorders>
            <w:vAlign w:val="center"/>
          </w:tcPr>
          <w:p w14:paraId="266D0F9D">
            <w:pPr>
              <w:snapToGrid w:val="0"/>
              <w:spacing w:line="360" w:lineRule="auto"/>
              <w:jc w:val="center"/>
              <w:rPr>
                <w:rFonts w:cs="宋体"/>
                <w:color w:val="auto"/>
                <w:sz w:val="22"/>
                <w:szCs w:val="21"/>
                <w:highlight w:val="none"/>
              </w:rPr>
            </w:pPr>
          </w:p>
        </w:tc>
        <w:tc>
          <w:tcPr>
            <w:tcW w:w="552" w:type="pct"/>
            <w:tcBorders>
              <w:bottom w:val="single" w:color="auto" w:sz="12" w:space="0"/>
            </w:tcBorders>
            <w:vAlign w:val="center"/>
          </w:tcPr>
          <w:p w14:paraId="0EDD1848">
            <w:pPr>
              <w:snapToGrid w:val="0"/>
              <w:spacing w:line="360" w:lineRule="auto"/>
              <w:jc w:val="center"/>
              <w:rPr>
                <w:rFonts w:cs="宋体"/>
                <w:color w:val="auto"/>
                <w:sz w:val="22"/>
                <w:szCs w:val="21"/>
                <w:highlight w:val="none"/>
              </w:rPr>
            </w:pPr>
          </w:p>
        </w:tc>
        <w:tc>
          <w:tcPr>
            <w:tcW w:w="292" w:type="pct"/>
            <w:tcBorders>
              <w:bottom w:val="single" w:color="auto" w:sz="12" w:space="0"/>
            </w:tcBorders>
            <w:vAlign w:val="center"/>
          </w:tcPr>
          <w:p w14:paraId="1E0AA253">
            <w:pPr>
              <w:snapToGrid w:val="0"/>
              <w:spacing w:line="360" w:lineRule="auto"/>
              <w:jc w:val="center"/>
              <w:rPr>
                <w:rFonts w:cs="宋体"/>
                <w:color w:val="auto"/>
                <w:sz w:val="22"/>
                <w:szCs w:val="21"/>
                <w:highlight w:val="none"/>
              </w:rPr>
            </w:pPr>
          </w:p>
        </w:tc>
        <w:tc>
          <w:tcPr>
            <w:tcW w:w="292" w:type="pct"/>
            <w:tcBorders>
              <w:bottom w:val="single" w:color="auto" w:sz="12" w:space="0"/>
            </w:tcBorders>
            <w:vAlign w:val="center"/>
          </w:tcPr>
          <w:p w14:paraId="7DA427DC">
            <w:pPr>
              <w:snapToGrid w:val="0"/>
              <w:spacing w:line="360" w:lineRule="auto"/>
              <w:jc w:val="center"/>
              <w:rPr>
                <w:rFonts w:cs="宋体"/>
                <w:color w:val="auto"/>
                <w:sz w:val="22"/>
                <w:szCs w:val="21"/>
                <w:highlight w:val="none"/>
              </w:rPr>
            </w:pPr>
          </w:p>
        </w:tc>
        <w:tc>
          <w:tcPr>
            <w:tcW w:w="682" w:type="pct"/>
            <w:tcBorders>
              <w:bottom w:val="single" w:color="auto" w:sz="12" w:space="0"/>
            </w:tcBorders>
            <w:vAlign w:val="center"/>
          </w:tcPr>
          <w:p w14:paraId="30BCDAAD">
            <w:pPr>
              <w:snapToGrid w:val="0"/>
              <w:spacing w:line="360" w:lineRule="auto"/>
              <w:jc w:val="center"/>
              <w:rPr>
                <w:rFonts w:cs="宋体"/>
                <w:color w:val="auto"/>
                <w:sz w:val="22"/>
                <w:szCs w:val="21"/>
                <w:highlight w:val="none"/>
              </w:rPr>
            </w:pPr>
          </w:p>
        </w:tc>
        <w:tc>
          <w:tcPr>
            <w:tcW w:w="552" w:type="pct"/>
            <w:tcBorders>
              <w:bottom w:val="single" w:color="auto" w:sz="12" w:space="0"/>
            </w:tcBorders>
            <w:vAlign w:val="center"/>
          </w:tcPr>
          <w:p w14:paraId="135C659F">
            <w:pPr>
              <w:snapToGrid w:val="0"/>
              <w:spacing w:line="360" w:lineRule="auto"/>
              <w:jc w:val="center"/>
              <w:rPr>
                <w:rFonts w:cs="宋体"/>
                <w:color w:val="auto"/>
                <w:sz w:val="22"/>
                <w:szCs w:val="21"/>
                <w:highlight w:val="none"/>
              </w:rPr>
            </w:pPr>
          </w:p>
        </w:tc>
        <w:tc>
          <w:tcPr>
            <w:tcW w:w="552" w:type="pct"/>
            <w:tcBorders>
              <w:bottom w:val="single" w:color="auto" w:sz="12" w:space="0"/>
            </w:tcBorders>
            <w:vAlign w:val="center"/>
          </w:tcPr>
          <w:p w14:paraId="12C2402F">
            <w:pPr>
              <w:snapToGrid w:val="0"/>
              <w:spacing w:line="360" w:lineRule="auto"/>
              <w:jc w:val="center"/>
              <w:rPr>
                <w:rFonts w:cs="宋体"/>
                <w:color w:val="auto"/>
                <w:sz w:val="22"/>
                <w:szCs w:val="21"/>
                <w:highlight w:val="none"/>
              </w:rPr>
            </w:pPr>
          </w:p>
        </w:tc>
        <w:tc>
          <w:tcPr>
            <w:tcW w:w="552" w:type="pct"/>
            <w:tcBorders>
              <w:bottom w:val="single" w:color="auto" w:sz="12" w:space="0"/>
            </w:tcBorders>
            <w:vAlign w:val="center"/>
          </w:tcPr>
          <w:p w14:paraId="63426461">
            <w:pPr>
              <w:snapToGrid w:val="0"/>
              <w:spacing w:line="360" w:lineRule="auto"/>
              <w:jc w:val="center"/>
              <w:rPr>
                <w:rFonts w:cs="宋体"/>
                <w:color w:val="auto"/>
                <w:sz w:val="22"/>
                <w:szCs w:val="21"/>
                <w:highlight w:val="none"/>
              </w:rPr>
            </w:pPr>
          </w:p>
        </w:tc>
        <w:tc>
          <w:tcPr>
            <w:tcW w:w="292" w:type="pct"/>
            <w:tcBorders>
              <w:bottom w:val="single" w:color="auto" w:sz="12" w:space="0"/>
            </w:tcBorders>
            <w:vAlign w:val="center"/>
          </w:tcPr>
          <w:p w14:paraId="3D104FFA">
            <w:pPr>
              <w:snapToGrid w:val="0"/>
              <w:spacing w:line="360" w:lineRule="auto"/>
              <w:jc w:val="center"/>
              <w:rPr>
                <w:rFonts w:cs="宋体"/>
                <w:color w:val="auto"/>
                <w:sz w:val="22"/>
                <w:szCs w:val="21"/>
                <w:highlight w:val="none"/>
              </w:rPr>
            </w:pPr>
          </w:p>
        </w:tc>
      </w:tr>
    </w:tbl>
    <w:p w14:paraId="4F6E982B">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588" w:name="_Toc128950237"/>
      <w:r>
        <w:rPr>
          <w:rFonts w:hint="eastAsia" w:ascii="Times New Roman" w:eastAsia="黑体"/>
          <w:color w:val="auto"/>
          <w:szCs w:val="24"/>
          <w:highlight w:val="none"/>
        </w:rPr>
        <w:t>附件3：工程质量保修书（房屋建筑工程）</w:t>
      </w:r>
      <w:bookmarkEnd w:id="588"/>
    </w:p>
    <w:p w14:paraId="78BA9598">
      <w:pPr>
        <w:adjustRightInd w:val="0"/>
        <w:snapToGrid w:val="0"/>
        <w:spacing w:before="156" w:beforeLines="50" w:after="156" w:afterLines="50" w:line="360" w:lineRule="auto"/>
        <w:jc w:val="center"/>
        <w:rPr>
          <w:rFonts w:cs="宋体"/>
          <w:b/>
          <w:color w:val="auto"/>
          <w:highlight w:val="none"/>
        </w:rPr>
      </w:pPr>
      <w:r>
        <w:rPr>
          <w:rFonts w:hint="eastAsia" w:cs="宋体"/>
          <w:b/>
          <w:color w:val="auto"/>
          <w:highlight w:val="none"/>
        </w:rPr>
        <w:t>工程质量保修书</w:t>
      </w:r>
    </w:p>
    <w:p w14:paraId="7434D4E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发包人（全称）：</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4E05676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承包人（全称）：</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6FA78E6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发包人和承包人根据《中华人民共和国建筑法》和《建设工程质量管理条例》，经协商一致就_______________（工程全称）签订工程质量保修书。</w:t>
      </w:r>
    </w:p>
    <w:p w14:paraId="327759CA">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一、工程质量保修范围和内容</w:t>
      </w:r>
    </w:p>
    <w:p w14:paraId="64D6E1F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承包人在质量保修期内，按照有关法律规定和合同约定，承担工程质量保修责任。</w:t>
      </w:r>
    </w:p>
    <w:p w14:paraId="661820F7">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cs="宋体"/>
          <w:color w:val="auto"/>
          <w:sz w:val="21"/>
          <w:szCs w:val="21"/>
          <w:highlight w:val="none"/>
          <w:u w:val="single"/>
        </w:rPr>
        <w:t xml:space="preserve">                </w:t>
      </w:r>
      <w:r>
        <w:rPr>
          <w:rFonts w:hint="eastAsia" w:cs="宋体"/>
          <w:color w:val="auto"/>
          <w:sz w:val="21"/>
          <w:szCs w:val="21"/>
          <w:highlight w:val="none"/>
        </w:rPr>
        <w:t>。</w:t>
      </w:r>
    </w:p>
    <w:p w14:paraId="41FA0075">
      <w:pPr>
        <w:adjustRightInd w:val="0"/>
        <w:snapToGrid w:val="0"/>
        <w:spacing w:line="360" w:lineRule="auto"/>
        <w:ind w:firstLine="413" w:firstLineChars="196"/>
        <w:rPr>
          <w:rFonts w:cs="宋体"/>
          <w:b/>
          <w:color w:val="auto"/>
          <w:sz w:val="21"/>
          <w:szCs w:val="21"/>
          <w:highlight w:val="none"/>
        </w:rPr>
      </w:pPr>
      <w:r>
        <w:rPr>
          <w:rFonts w:hint="eastAsia" w:cs="宋体"/>
          <w:b/>
          <w:color w:val="auto"/>
          <w:sz w:val="21"/>
          <w:szCs w:val="21"/>
          <w:highlight w:val="none"/>
        </w:rPr>
        <w:t>二、质量保修期</w:t>
      </w:r>
    </w:p>
    <w:p w14:paraId="327896C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根据《建设工程质量管理条例》及有关规定，工程的质量保修期如下：</w:t>
      </w:r>
    </w:p>
    <w:p w14:paraId="28F6439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1. 地基基础工程和主体结构工程为设计文件规定的工程合理使用年限；</w:t>
      </w:r>
    </w:p>
    <w:p w14:paraId="07CF726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2. 屋面防水工程、有防水要求的卫生间、房间和外墙面的防渗为</w:t>
      </w:r>
      <w:r>
        <w:rPr>
          <w:rFonts w:hint="eastAsia" w:cs="宋体"/>
          <w:color w:val="auto"/>
          <w:sz w:val="21"/>
          <w:szCs w:val="21"/>
          <w:highlight w:val="none"/>
          <w:u w:val="single"/>
        </w:rPr>
        <w:t>5</w:t>
      </w:r>
      <w:r>
        <w:rPr>
          <w:rFonts w:hint="eastAsia" w:cs="宋体"/>
          <w:color w:val="auto"/>
          <w:sz w:val="21"/>
          <w:szCs w:val="21"/>
          <w:highlight w:val="none"/>
        </w:rPr>
        <w:t>年；</w:t>
      </w:r>
    </w:p>
    <w:p w14:paraId="405F8534">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3. 装修工程为</w:t>
      </w:r>
      <w:r>
        <w:rPr>
          <w:rFonts w:hint="eastAsia" w:cs="宋体"/>
          <w:color w:val="auto"/>
          <w:sz w:val="21"/>
          <w:szCs w:val="21"/>
          <w:highlight w:val="none"/>
          <w:u w:val="single"/>
        </w:rPr>
        <w:t>2</w:t>
      </w:r>
      <w:r>
        <w:rPr>
          <w:rFonts w:hint="eastAsia" w:cs="宋体"/>
          <w:color w:val="auto"/>
          <w:sz w:val="21"/>
          <w:szCs w:val="21"/>
          <w:highlight w:val="none"/>
        </w:rPr>
        <w:t>年；</w:t>
      </w:r>
    </w:p>
    <w:p w14:paraId="0962379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4. 电气管线、给排水管道、设备安装工程为</w:t>
      </w:r>
      <w:r>
        <w:rPr>
          <w:rFonts w:hint="eastAsia" w:cs="宋体"/>
          <w:color w:val="auto"/>
          <w:sz w:val="21"/>
          <w:szCs w:val="21"/>
          <w:highlight w:val="none"/>
          <w:u w:val="single"/>
        </w:rPr>
        <w:t>2</w:t>
      </w:r>
      <w:r>
        <w:rPr>
          <w:rFonts w:hint="eastAsia" w:cs="宋体"/>
          <w:color w:val="auto"/>
          <w:sz w:val="21"/>
          <w:szCs w:val="21"/>
          <w:highlight w:val="none"/>
        </w:rPr>
        <w:t>年；</w:t>
      </w:r>
    </w:p>
    <w:p w14:paraId="7FB9D9FB">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5. 供热与供冷系统为</w:t>
      </w:r>
      <w:r>
        <w:rPr>
          <w:rFonts w:hint="eastAsia" w:cs="宋体"/>
          <w:color w:val="auto"/>
          <w:sz w:val="21"/>
          <w:szCs w:val="21"/>
          <w:highlight w:val="none"/>
          <w:u w:val="single"/>
        </w:rPr>
        <w:t>2</w:t>
      </w:r>
      <w:r>
        <w:rPr>
          <w:rFonts w:hint="eastAsia" w:cs="宋体"/>
          <w:color w:val="auto"/>
          <w:sz w:val="21"/>
          <w:szCs w:val="21"/>
          <w:highlight w:val="none"/>
        </w:rPr>
        <w:t>个采暖期、供冷期；</w:t>
      </w:r>
    </w:p>
    <w:p w14:paraId="0B82D950">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6. 住宅小区内的给排水设施、道路等配套工程为</w:t>
      </w:r>
      <w:r>
        <w:rPr>
          <w:rFonts w:hint="eastAsia" w:cs="宋体"/>
          <w:color w:val="auto"/>
          <w:sz w:val="21"/>
          <w:szCs w:val="21"/>
          <w:highlight w:val="none"/>
          <w:u w:val="single"/>
        </w:rPr>
        <w:t>2</w:t>
      </w:r>
      <w:r>
        <w:rPr>
          <w:rFonts w:hint="eastAsia" w:cs="宋体"/>
          <w:color w:val="auto"/>
          <w:sz w:val="21"/>
          <w:szCs w:val="21"/>
          <w:highlight w:val="none"/>
        </w:rPr>
        <w:t>年；</w:t>
      </w:r>
    </w:p>
    <w:p w14:paraId="401802A2">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7. 其他项目保修期限约定如下：</w:t>
      </w:r>
      <w:r>
        <w:rPr>
          <w:rFonts w:hint="eastAsia" w:cs="宋体"/>
          <w:color w:val="auto"/>
          <w:sz w:val="21"/>
          <w:szCs w:val="21"/>
          <w:highlight w:val="none"/>
          <w:u w:val="single"/>
        </w:rPr>
        <w:t>保温工程5年</w:t>
      </w:r>
      <w:r>
        <w:rPr>
          <w:rFonts w:hint="eastAsia" w:cs="宋体"/>
          <w:color w:val="auto"/>
          <w:sz w:val="21"/>
          <w:szCs w:val="21"/>
          <w:highlight w:val="none"/>
        </w:rPr>
        <w:t>。</w:t>
      </w:r>
    </w:p>
    <w:p w14:paraId="4A28A82D">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质量保修期自工程竣工验收合格之日起计算。</w:t>
      </w:r>
    </w:p>
    <w:p w14:paraId="0C483C78">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三、缺陷责任期</w:t>
      </w:r>
    </w:p>
    <w:p w14:paraId="27B93ECC">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工程缺陷责任期为</w:t>
      </w:r>
      <w:r>
        <w:rPr>
          <w:rFonts w:hint="eastAsia" w:cs="宋体"/>
          <w:color w:val="auto"/>
          <w:sz w:val="21"/>
          <w:szCs w:val="21"/>
          <w:highlight w:val="none"/>
          <w:u w:val="single"/>
        </w:rPr>
        <w:t xml:space="preserve">          </w:t>
      </w:r>
      <w:r>
        <w:rPr>
          <w:rFonts w:hint="eastAsia" w:cs="宋体"/>
          <w:color w:val="auto"/>
          <w:sz w:val="21"/>
          <w:szCs w:val="21"/>
          <w:highlight w:val="none"/>
        </w:rPr>
        <w:t>，缺陷责任期自工程竣工验收合格之日起计算。单位工程先于全部工程进行验收，单位工程缺陷责任期自单位工程验收合格之日起算。</w:t>
      </w:r>
    </w:p>
    <w:p w14:paraId="68C8625C">
      <w:pPr>
        <w:adjustRightInd w:val="0"/>
        <w:snapToGrid w:val="0"/>
        <w:spacing w:line="360" w:lineRule="auto"/>
        <w:ind w:firstLine="420" w:firstLineChars="200"/>
        <w:rPr>
          <w:rFonts w:cs="宋体"/>
          <w:b/>
          <w:color w:val="auto"/>
          <w:sz w:val="21"/>
          <w:szCs w:val="21"/>
          <w:highlight w:val="none"/>
        </w:rPr>
      </w:pPr>
      <w:r>
        <w:rPr>
          <w:rFonts w:hint="eastAsia" w:cs="宋体"/>
          <w:color w:val="auto"/>
          <w:sz w:val="21"/>
          <w:szCs w:val="21"/>
          <w:highlight w:val="none"/>
        </w:rPr>
        <w:t>缺陷责任期终止后，发包人应退还剩余的质量保证金。</w:t>
      </w:r>
    </w:p>
    <w:p w14:paraId="76803AB5">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四、质量保修责任</w:t>
      </w:r>
    </w:p>
    <w:p w14:paraId="23BD24D6">
      <w:pPr>
        <w:adjustRightInd w:val="0"/>
        <w:snapToGrid w:val="0"/>
        <w:spacing w:line="360" w:lineRule="auto"/>
        <w:ind w:firstLine="430" w:firstLineChars="205"/>
        <w:rPr>
          <w:rFonts w:cs="宋体"/>
          <w:color w:val="auto"/>
          <w:sz w:val="21"/>
          <w:szCs w:val="21"/>
          <w:highlight w:val="none"/>
        </w:rPr>
      </w:pPr>
      <w:r>
        <w:rPr>
          <w:rFonts w:hint="eastAsia" w:cs="宋体"/>
          <w:color w:val="auto"/>
          <w:sz w:val="21"/>
          <w:szCs w:val="21"/>
          <w:highlight w:val="none"/>
        </w:rPr>
        <w:t>1. 属于保修范围、内容的项目，承包人应当在接到保修通知之日起7天内派人保修。承包人不在约定期限内派人保修的，发包人可以委托他人修理。</w:t>
      </w:r>
    </w:p>
    <w:p w14:paraId="5407EDAB">
      <w:pPr>
        <w:adjustRightInd w:val="0"/>
        <w:snapToGrid w:val="0"/>
        <w:spacing w:line="360" w:lineRule="auto"/>
        <w:ind w:firstLine="430" w:firstLineChars="205"/>
        <w:rPr>
          <w:rFonts w:cs="宋体"/>
          <w:color w:val="auto"/>
          <w:sz w:val="21"/>
          <w:szCs w:val="21"/>
          <w:highlight w:val="none"/>
        </w:rPr>
      </w:pPr>
      <w:r>
        <w:rPr>
          <w:rFonts w:hint="eastAsia" w:cs="宋体"/>
          <w:color w:val="auto"/>
          <w:sz w:val="21"/>
          <w:szCs w:val="21"/>
          <w:highlight w:val="none"/>
        </w:rPr>
        <w:t>2. 发生紧急事故需抢修的，承包人在接到事故通知后，应当立即到达事故现场抢修。</w:t>
      </w:r>
    </w:p>
    <w:p w14:paraId="5185E5D5">
      <w:pPr>
        <w:adjustRightInd w:val="0"/>
        <w:snapToGrid w:val="0"/>
        <w:spacing w:line="360" w:lineRule="auto"/>
        <w:ind w:firstLine="430" w:firstLineChars="205"/>
        <w:rPr>
          <w:rFonts w:cs="宋体"/>
          <w:color w:val="auto"/>
          <w:sz w:val="21"/>
          <w:szCs w:val="21"/>
          <w:highlight w:val="none"/>
        </w:rPr>
      </w:pPr>
      <w:r>
        <w:rPr>
          <w:rFonts w:hint="eastAsia" w:cs="宋体"/>
          <w:color w:val="auto"/>
          <w:sz w:val="21"/>
          <w:szCs w:val="21"/>
          <w:highlight w:val="none"/>
        </w:rPr>
        <w:t>3. 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E38F9D7">
      <w:pPr>
        <w:adjustRightInd w:val="0"/>
        <w:snapToGrid w:val="0"/>
        <w:spacing w:line="360" w:lineRule="auto"/>
        <w:ind w:firstLine="430" w:firstLineChars="205"/>
        <w:rPr>
          <w:rFonts w:cs="宋体"/>
          <w:color w:val="auto"/>
          <w:sz w:val="21"/>
          <w:szCs w:val="21"/>
          <w:highlight w:val="none"/>
        </w:rPr>
      </w:pPr>
      <w:r>
        <w:rPr>
          <w:rFonts w:hint="eastAsia" w:cs="宋体"/>
          <w:color w:val="auto"/>
          <w:sz w:val="21"/>
          <w:szCs w:val="21"/>
          <w:highlight w:val="none"/>
        </w:rPr>
        <w:t>4. 质量保修完成后，由发包人组织验收。</w:t>
      </w:r>
    </w:p>
    <w:p w14:paraId="0D2116E1">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五、保修费用</w:t>
      </w:r>
    </w:p>
    <w:p w14:paraId="18629115">
      <w:pPr>
        <w:adjustRightInd w:val="0"/>
        <w:snapToGrid w:val="0"/>
        <w:spacing w:line="360" w:lineRule="auto"/>
        <w:ind w:firstLine="420" w:firstLineChars="200"/>
        <w:rPr>
          <w:rFonts w:cs="宋体"/>
          <w:color w:val="auto"/>
          <w:sz w:val="21"/>
          <w:szCs w:val="21"/>
          <w:highlight w:val="none"/>
        </w:rPr>
      </w:pPr>
      <w:r>
        <w:rPr>
          <w:rFonts w:hint="eastAsia" w:cs="宋体"/>
          <w:color w:val="auto"/>
          <w:sz w:val="21"/>
          <w:szCs w:val="21"/>
          <w:highlight w:val="none"/>
        </w:rPr>
        <w:t>保修费用由造成质量缺陷的责任方承担。</w:t>
      </w:r>
    </w:p>
    <w:p w14:paraId="516F34B1">
      <w:pPr>
        <w:adjustRightInd w:val="0"/>
        <w:snapToGrid w:val="0"/>
        <w:spacing w:line="360" w:lineRule="auto"/>
        <w:ind w:firstLine="422" w:firstLineChars="200"/>
        <w:rPr>
          <w:rFonts w:cs="宋体"/>
          <w:b/>
          <w:color w:val="auto"/>
          <w:sz w:val="21"/>
          <w:szCs w:val="21"/>
          <w:highlight w:val="none"/>
        </w:rPr>
      </w:pPr>
      <w:r>
        <w:rPr>
          <w:rFonts w:hint="eastAsia" w:cs="宋体"/>
          <w:b/>
          <w:color w:val="auto"/>
          <w:sz w:val="21"/>
          <w:szCs w:val="21"/>
          <w:highlight w:val="none"/>
        </w:rPr>
        <w:t>六、双方约定的其他工程质量保修事项：</w:t>
      </w:r>
      <w:r>
        <w:rPr>
          <w:rFonts w:hint="eastAsia" w:cs="宋体"/>
          <w:b/>
          <w:color w:val="auto"/>
          <w:sz w:val="21"/>
          <w:szCs w:val="21"/>
          <w:highlight w:val="none"/>
          <w:u w:val="single"/>
        </w:rPr>
        <w:t xml:space="preserve">             </w:t>
      </w:r>
      <w:r>
        <w:rPr>
          <w:rFonts w:hint="eastAsia" w:cs="宋体"/>
          <w:b/>
          <w:color w:val="auto"/>
          <w:sz w:val="21"/>
          <w:szCs w:val="21"/>
          <w:highlight w:val="none"/>
        </w:rPr>
        <w:t>。</w:t>
      </w:r>
    </w:p>
    <w:p w14:paraId="6FBCCF9D">
      <w:pPr>
        <w:adjustRightInd w:val="0"/>
        <w:snapToGrid w:val="0"/>
        <w:spacing w:line="360" w:lineRule="auto"/>
        <w:ind w:firstLine="399" w:firstLineChars="190"/>
        <w:rPr>
          <w:rFonts w:cs="宋体"/>
          <w:color w:val="auto"/>
          <w:sz w:val="21"/>
          <w:szCs w:val="21"/>
          <w:highlight w:val="none"/>
        </w:rPr>
      </w:pPr>
      <w:r>
        <w:rPr>
          <w:rFonts w:hint="eastAsia" w:cs="宋体"/>
          <w:color w:val="auto"/>
          <w:sz w:val="21"/>
          <w:szCs w:val="21"/>
          <w:highlight w:val="none"/>
        </w:rPr>
        <w:t>工程质量保修书由发包人、承包人在工程竣工验收前共同签署，作为施工合同附件，其有效期限至保修期满。</w:t>
      </w:r>
    </w:p>
    <w:p w14:paraId="2E85BEF1">
      <w:pPr>
        <w:adjustRightInd w:val="0"/>
        <w:snapToGrid w:val="0"/>
        <w:spacing w:line="360" w:lineRule="auto"/>
        <w:ind w:firstLine="420"/>
        <w:rPr>
          <w:rFonts w:cs="宋体"/>
          <w:color w:val="auto"/>
          <w:sz w:val="21"/>
          <w:szCs w:val="21"/>
          <w:highlight w:val="none"/>
        </w:rPr>
      </w:pPr>
    </w:p>
    <w:p w14:paraId="364BBF71">
      <w:pPr>
        <w:adjustRightInd w:val="0"/>
        <w:snapToGrid w:val="0"/>
        <w:spacing w:line="360" w:lineRule="auto"/>
        <w:ind w:firstLine="420"/>
        <w:rPr>
          <w:rFonts w:cs="宋体"/>
          <w:color w:val="auto"/>
          <w:sz w:val="21"/>
          <w:szCs w:val="21"/>
          <w:highlight w:val="none"/>
        </w:rPr>
      </w:pPr>
    </w:p>
    <w:p w14:paraId="7F64FB29">
      <w:pPr>
        <w:adjustRightInd w:val="0"/>
        <w:snapToGrid w:val="0"/>
        <w:spacing w:line="360" w:lineRule="auto"/>
        <w:rPr>
          <w:rFonts w:cs="宋体"/>
          <w:color w:val="auto"/>
          <w:sz w:val="21"/>
          <w:szCs w:val="21"/>
          <w:highlight w:val="none"/>
          <w:u w:val="single"/>
        </w:rPr>
      </w:pPr>
      <w:r>
        <w:rPr>
          <w:rFonts w:hint="eastAsia" w:cs="宋体"/>
          <w:color w:val="auto"/>
          <w:sz w:val="21"/>
          <w:szCs w:val="21"/>
          <w:highlight w:val="none"/>
        </w:rPr>
        <w:t>发包人（公章）：</w:t>
      </w:r>
      <w:r>
        <w:rPr>
          <w:rFonts w:hint="eastAsia" w:cs="宋体"/>
          <w:color w:val="auto"/>
          <w:sz w:val="21"/>
          <w:szCs w:val="21"/>
          <w:highlight w:val="none"/>
          <w:u w:val="single"/>
        </w:rPr>
        <w:t xml:space="preserve">      </w:t>
      </w:r>
      <w:r>
        <w:rPr>
          <w:rFonts w:hint="eastAsia" w:cs="宋体"/>
          <w:color w:val="auto"/>
          <w:sz w:val="21"/>
          <w:szCs w:val="21"/>
          <w:highlight w:val="none"/>
        </w:rPr>
        <w:t xml:space="preserve">           承包人（公章）：</w:t>
      </w:r>
      <w:r>
        <w:rPr>
          <w:rFonts w:hint="eastAsia" w:cs="宋体"/>
          <w:color w:val="auto"/>
          <w:sz w:val="21"/>
          <w:szCs w:val="21"/>
          <w:highlight w:val="none"/>
          <w:u w:val="single"/>
        </w:rPr>
        <w:t>          </w:t>
      </w:r>
    </w:p>
    <w:p w14:paraId="5D6A18E8">
      <w:pPr>
        <w:adjustRightInd w:val="0"/>
        <w:snapToGrid w:val="0"/>
        <w:spacing w:line="360" w:lineRule="auto"/>
        <w:rPr>
          <w:rFonts w:cs="宋体"/>
          <w:color w:val="auto"/>
          <w:sz w:val="21"/>
          <w:szCs w:val="21"/>
          <w:highlight w:val="none"/>
          <w:u w:val="single"/>
        </w:rPr>
      </w:pPr>
      <w:r>
        <w:rPr>
          <w:rFonts w:hint="eastAsia" w:cs="宋体"/>
          <w:color w:val="auto"/>
          <w:sz w:val="21"/>
          <w:szCs w:val="21"/>
          <w:highlight w:val="none"/>
        </w:rPr>
        <w:t>地  址：</w:t>
      </w:r>
      <w:r>
        <w:rPr>
          <w:rFonts w:hint="eastAsia" w:cs="宋体"/>
          <w:color w:val="auto"/>
          <w:sz w:val="21"/>
          <w:szCs w:val="21"/>
          <w:highlight w:val="none"/>
          <w:u w:val="single"/>
        </w:rPr>
        <w:t xml:space="preserve">     </w:t>
      </w:r>
      <w:r>
        <w:rPr>
          <w:rFonts w:hint="eastAsia" w:cs="宋体"/>
          <w:color w:val="auto"/>
          <w:sz w:val="21"/>
          <w:szCs w:val="21"/>
          <w:highlight w:val="none"/>
        </w:rPr>
        <w:t xml:space="preserve">            地  址：</w:t>
      </w:r>
      <w:r>
        <w:rPr>
          <w:rFonts w:hint="eastAsia" w:cs="宋体"/>
          <w:color w:val="auto"/>
          <w:sz w:val="21"/>
          <w:szCs w:val="21"/>
          <w:highlight w:val="none"/>
          <w:u w:val="single"/>
        </w:rPr>
        <w:t xml:space="preserve">    </w:t>
      </w:r>
    </w:p>
    <w:p w14:paraId="42E80577">
      <w:pPr>
        <w:adjustRightInd w:val="0"/>
        <w:snapToGrid w:val="0"/>
        <w:spacing w:line="360" w:lineRule="auto"/>
        <w:rPr>
          <w:rFonts w:cs="宋体"/>
          <w:color w:val="auto"/>
          <w:sz w:val="21"/>
          <w:szCs w:val="21"/>
          <w:highlight w:val="none"/>
          <w:u w:val="single"/>
        </w:rPr>
      </w:pPr>
      <w:r>
        <w:rPr>
          <w:rFonts w:hint="eastAsia" w:cs="宋体"/>
          <w:color w:val="auto"/>
          <w:sz w:val="21"/>
          <w:szCs w:val="21"/>
          <w:highlight w:val="none"/>
        </w:rPr>
        <w:t>法定代表人（签字）：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法定代表人（签字）：</w:t>
      </w:r>
      <w:r>
        <w:rPr>
          <w:rFonts w:hint="eastAsia" w:cs="宋体"/>
          <w:color w:val="auto"/>
          <w:sz w:val="21"/>
          <w:szCs w:val="21"/>
          <w:highlight w:val="none"/>
          <w:u w:val="single"/>
        </w:rPr>
        <w:t xml:space="preserve">    </w:t>
      </w:r>
    </w:p>
    <w:p w14:paraId="5915A216">
      <w:pPr>
        <w:adjustRightInd w:val="0"/>
        <w:snapToGrid w:val="0"/>
        <w:spacing w:line="360" w:lineRule="auto"/>
        <w:rPr>
          <w:rFonts w:cs="宋体"/>
          <w:color w:val="auto"/>
          <w:sz w:val="21"/>
          <w:szCs w:val="21"/>
          <w:highlight w:val="none"/>
          <w:u w:val="single"/>
        </w:rPr>
      </w:pPr>
      <w:r>
        <w:rPr>
          <w:rFonts w:hint="eastAsia" w:cs="宋体"/>
          <w:color w:val="auto"/>
          <w:sz w:val="21"/>
          <w:szCs w:val="21"/>
          <w:highlight w:val="none"/>
        </w:rPr>
        <w:t>委托代理人（签字）：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委托代理人（签字）：</w:t>
      </w:r>
      <w:r>
        <w:rPr>
          <w:rFonts w:hint="eastAsia" w:cs="宋体"/>
          <w:color w:val="auto"/>
          <w:sz w:val="21"/>
          <w:szCs w:val="21"/>
          <w:highlight w:val="none"/>
          <w:u w:val="single"/>
        </w:rPr>
        <w:t xml:space="preserve">    </w:t>
      </w:r>
    </w:p>
    <w:p w14:paraId="6D3AB038">
      <w:pPr>
        <w:adjustRightInd w:val="0"/>
        <w:snapToGrid w:val="0"/>
        <w:spacing w:line="360" w:lineRule="auto"/>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r>
        <w:rPr>
          <w:rFonts w:hint="eastAsia" w:cs="宋体"/>
          <w:color w:val="auto"/>
          <w:sz w:val="21"/>
          <w:szCs w:val="21"/>
          <w:highlight w:val="none"/>
        </w:rPr>
        <w:t xml:space="preserve">            电  话：</w:t>
      </w:r>
      <w:r>
        <w:rPr>
          <w:rFonts w:hint="eastAsia" w:cs="宋体"/>
          <w:color w:val="auto"/>
          <w:sz w:val="21"/>
          <w:szCs w:val="21"/>
          <w:highlight w:val="none"/>
          <w:u w:val="single"/>
        </w:rPr>
        <w:t xml:space="preserve">  </w:t>
      </w:r>
    </w:p>
    <w:p w14:paraId="09F42DB0">
      <w:pPr>
        <w:adjustRightInd w:val="0"/>
        <w:snapToGrid w:val="0"/>
        <w:spacing w:line="360" w:lineRule="auto"/>
        <w:rPr>
          <w:rFonts w:cs="宋体"/>
          <w:color w:val="auto"/>
          <w:sz w:val="21"/>
          <w:szCs w:val="21"/>
          <w:highlight w:val="none"/>
        </w:rPr>
      </w:pPr>
      <w:r>
        <w:rPr>
          <w:rFonts w:hint="eastAsia" w:cs="宋体"/>
          <w:color w:val="auto"/>
          <w:sz w:val="21"/>
          <w:szCs w:val="21"/>
          <w:highlight w:val="none"/>
        </w:rPr>
        <w:t>传  真：</w:t>
      </w:r>
      <w:r>
        <w:rPr>
          <w:rFonts w:hint="eastAsia" w:cs="宋体"/>
          <w:color w:val="auto"/>
          <w:sz w:val="21"/>
          <w:szCs w:val="21"/>
          <w:highlight w:val="none"/>
          <w:u w:val="single"/>
        </w:rPr>
        <w:t xml:space="preserve">   </w:t>
      </w:r>
      <w:r>
        <w:rPr>
          <w:rFonts w:hint="eastAsia" w:cs="宋体"/>
          <w:color w:val="auto"/>
          <w:sz w:val="21"/>
          <w:szCs w:val="21"/>
          <w:highlight w:val="none"/>
        </w:rPr>
        <w:t xml:space="preserve">            传  真：</w:t>
      </w:r>
      <w:r>
        <w:rPr>
          <w:rFonts w:hint="eastAsia" w:cs="宋体"/>
          <w:color w:val="auto"/>
          <w:sz w:val="21"/>
          <w:szCs w:val="21"/>
          <w:highlight w:val="none"/>
          <w:u w:val="single"/>
        </w:rPr>
        <w:t>  </w:t>
      </w:r>
    </w:p>
    <w:p w14:paraId="4F7D52D9">
      <w:pPr>
        <w:adjustRightInd w:val="0"/>
        <w:snapToGrid w:val="0"/>
        <w:spacing w:line="360" w:lineRule="auto"/>
        <w:rPr>
          <w:rFonts w:cs="宋体"/>
          <w:color w:val="auto"/>
          <w:sz w:val="21"/>
          <w:szCs w:val="21"/>
          <w:highlight w:val="none"/>
        </w:rPr>
      </w:pPr>
      <w:r>
        <w:rPr>
          <w:rFonts w:hint="eastAsia" w:cs="宋体"/>
          <w:color w:val="auto"/>
          <w:sz w:val="21"/>
          <w:szCs w:val="21"/>
          <w:highlight w:val="none"/>
        </w:rPr>
        <w:t>开户银行：</w:t>
      </w:r>
      <w:r>
        <w:rPr>
          <w:rFonts w:hint="eastAsia" w:cs="宋体"/>
          <w:color w:val="auto"/>
          <w:sz w:val="21"/>
          <w:szCs w:val="21"/>
          <w:highlight w:val="none"/>
          <w:u w:val="single"/>
        </w:rPr>
        <w:t xml:space="preserve">   </w:t>
      </w:r>
      <w:r>
        <w:rPr>
          <w:rFonts w:hint="eastAsia" w:cs="宋体"/>
          <w:color w:val="auto"/>
          <w:sz w:val="21"/>
          <w:szCs w:val="21"/>
          <w:highlight w:val="none"/>
        </w:rPr>
        <w:t xml:space="preserve">            开户银行：</w:t>
      </w:r>
      <w:r>
        <w:rPr>
          <w:rFonts w:hint="eastAsia" w:cs="宋体"/>
          <w:color w:val="auto"/>
          <w:sz w:val="21"/>
          <w:szCs w:val="21"/>
          <w:highlight w:val="none"/>
          <w:u w:val="single"/>
        </w:rPr>
        <w:t></w:t>
      </w:r>
    </w:p>
    <w:p w14:paraId="22BD919D">
      <w:pPr>
        <w:adjustRightInd w:val="0"/>
        <w:snapToGrid w:val="0"/>
        <w:spacing w:line="360" w:lineRule="auto"/>
        <w:rPr>
          <w:rFonts w:cs="宋体"/>
          <w:color w:val="auto"/>
          <w:sz w:val="21"/>
          <w:szCs w:val="21"/>
          <w:highlight w:val="none"/>
        </w:rPr>
      </w:pPr>
      <w:r>
        <w:rPr>
          <w:rFonts w:hint="eastAsia" w:cs="宋体"/>
          <w:color w:val="auto"/>
          <w:sz w:val="21"/>
          <w:szCs w:val="21"/>
          <w:highlight w:val="none"/>
        </w:rPr>
        <w:t>账  号：</w:t>
      </w:r>
      <w:r>
        <w:rPr>
          <w:rFonts w:hint="eastAsia" w:cs="宋体"/>
          <w:color w:val="auto"/>
          <w:sz w:val="21"/>
          <w:szCs w:val="21"/>
          <w:highlight w:val="none"/>
          <w:u w:val="single"/>
        </w:rPr>
        <w:t xml:space="preserve">       </w:t>
      </w:r>
      <w:r>
        <w:rPr>
          <w:rFonts w:hint="eastAsia" w:cs="宋体"/>
          <w:color w:val="auto"/>
          <w:sz w:val="21"/>
          <w:szCs w:val="21"/>
          <w:highlight w:val="none"/>
        </w:rPr>
        <w:t xml:space="preserve">            账  号：</w:t>
      </w:r>
      <w:r>
        <w:rPr>
          <w:rFonts w:hint="eastAsia" w:cs="宋体"/>
          <w:color w:val="auto"/>
          <w:sz w:val="21"/>
          <w:szCs w:val="21"/>
          <w:highlight w:val="none"/>
          <w:u w:val="single"/>
        </w:rPr>
        <w:t xml:space="preserve">  </w:t>
      </w:r>
    </w:p>
    <w:p w14:paraId="190B869E">
      <w:pPr>
        <w:adjustRightInd w:val="0"/>
        <w:snapToGrid w:val="0"/>
        <w:spacing w:line="360" w:lineRule="auto"/>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    </w:t>
      </w:r>
      <w:r>
        <w:rPr>
          <w:rFonts w:hint="eastAsia" w:cs="宋体"/>
          <w:color w:val="auto"/>
          <w:sz w:val="21"/>
          <w:szCs w:val="21"/>
          <w:highlight w:val="none"/>
        </w:rPr>
        <w:t xml:space="preserve">            邮政编码：</w:t>
      </w:r>
      <w:r>
        <w:rPr>
          <w:rFonts w:hint="eastAsia" w:cs="宋体"/>
          <w:color w:val="auto"/>
          <w:sz w:val="21"/>
          <w:szCs w:val="21"/>
          <w:highlight w:val="none"/>
          <w:u w:val="single"/>
        </w:rPr>
        <w:t></w:t>
      </w:r>
    </w:p>
    <w:p w14:paraId="2F3873AA">
      <w:pPr>
        <w:spacing w:before="312" w:beforeLines="100" w:after="312" w:afterLines="100"/>
        <w:outlineLvl w:val="2"/>
        <w:rPr>
          <w:rFonts w:ascii="Times New Roman" w:eastAsia="黑体"/>
          <w:color w:val="auto"/>
          <w:szCs w:val="24"/>
          <w:highlight w:val="none"/>
        </w:rPr>
      </w:pPr>
      <w:r>
        <w:rPr>
          <w:rFonts w:hint="eastAsia" w:ascii="Times New Roman" w:eastAsia="黑体"/>
          <w:bCs/>
          <w:color w:val="auto"/>
          <w:highlight w:val="none"/>
        </w:rPr>
        <w:br w:type="page"/>
      </w:r>
      <w:bookmarkStart w:id="589" w:name="_Toc128950239"/>
      <w:r>
        <w:rPr>
          <w:rFonts w:hint="eastAsia" w:ascii="Times New Roman" w:eastAsia="黑体"/>
          <w:color w:val="auto"/>
          <w:szCs w:val="24"/>
          <w:highlight w:val="none"/>
        </w:rPr>
        <w:t>附件</w:t>
      </w:r>
      <w:r>
        <w:rPr>
          <w:rFonts w:ascii="Times New Roman" w:eastAsia="黑体"/>
          <w:color w:val="auto"/>
          <w:szCs w:val="24"/>
          <w:highlight w:val="none"/>
        </w:rPr>
        <w:t>4</w:t>
      </w:r>
      <w:r>
        <w:rPr>
          <w:rFonts w:hint="eastAsia" w:ascii="Times New Roman" w:eastAsia="黑体"/>
          <w:color w:val="auto"/>
          <w:szCs w:val="24"/>
          <w:highlight w:val="none"/>
        </w:rPr>
        <w:t>：主要建设工程文件目录</w:t>
      </w:r>
      <w:bookmarkEnd w:id="589"/>
    </w:p>
    <w:p w14:paraId="546444F0">
      <w:pPr>
        <w:spacing w:before="156" w:beforeLines="50" w:after="156" w:afterLines="50"/>
        <w:jc w:val="center"/>
        <w:rPr>
          <w:rFonts w:cs="宋体"/>
          <w:color w:val="auto"/>
          <w:szCs w:val="21"/>
          <w:highlight w:val="none"/>
        </w:rPr>
      </w:pPr>
      <w:r>
        <w:rPr>
          <w:rFonts w:hint="eastAsia" w:cs="宋体"/>
          <w:color w:val="auto"/>
          <w:szCs w:val="21"/>
          <w:highlight w:val="none"/>
        </w:rPr>
        <w:t>主要建设工程文件目录</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806"/>
        <w:gridCol w:w="1181"/>
        <w:gridCol w:w="1342"/>
        <w:gridCol w:w="1149"/>
        <w:gridCol w:w="1342"/>
        <w:gridCol w:w="1542"/>
      </w:tblGrid>
      <w:tr w14:paraId="7310D6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080" w:type="pct"/>
            <w:tcBorders>
              <w:top w:val="single" w:color="auto" w:sz="12" w:space="0"/>
              <w:bottom w:val="double" w:color="auto" w:sz="6" w:space="0"/>
            </w:tcBorders>
            <w:vAlign w:val="center"/>
          </w:tcPr>
          <w:p w14:paraId="4885BB88">
            <w:pPr>
              <w:keepNext/>
              <w:jc w:val="center"/>
              <w:rPr>
                <w:rFonts w:cs="宋体"/>
                <w:color w:val="auto"/>
                <w:szCs w:val="21"/>
                <w:highlight w:val="none"/>
              </w:rPr>
            </w:pPr>
            <w:r>
              <w:rPr>
                <w:rFonts w:hint="eastAsia" w:cs="宋体"/>
                <w:color w:val="auto"/>
                <w:szCs w:val="21"/>
                <w:highlight w:val="none"/>
              </w:rPr>
              <w:t>文件名称</w:t>
            </w:r>
          </w:p>
        </w:tc>
        <w:tc>
          <w:tcPr>
            <w:tcW w:w="706" w:type="pct"/>
            <w:tcBorders>
              <w:top w:val="single" w:color="auto" w:sz="12" w:space="0"/>
              <w:bottom w:val="double" w:color="auto" w:sz="6" w:space="0"/>
            </w:tcBorders>
            <w:vAlign w:val="center"/>
          </w:tcPr>
          <w:p w14:paraId="28B844A9">
            <w:pPr>
              <w:keepNext/>
              <w:jc w:val="center"/>
              <w:rPr>
                <w:rFonts w:cs="宋体"/>
                <w:color w:val="auto"/>
                <w:szCs w:val="21"/>
                <w:highlight w:val="none"/>
              </w:rPr>
            </w:pPr>
            <w:r>
              <w:rPr>
                <w:rFonts w:hint="eastAsia" w:cs="宋体"/>
                <w:color w:val="auto"/>
                <w:szCs w:val="21"/>
                <w:highlight w:val="none"/>
              </w:rPr>
              <w:t>套数</w:t>
            </w:r>
          </w:p>
        </w:tc>
        <w:tc>
          <w:tcPr>
            <w:tcW w:w="802" w:type="pct"/>
            <w:tcBorders>
              <w:top w:val="single" w:color="auto" w:sz="12" w:space="0"/>
              <w:bottom w:val="double" w:color="auto" w:sz="6" w:space="0"/>
            </w:tcBorders>
            <w:vAlign w:val="center"/>
          </w:tcPr>
          <w:p w14:paraId="21AD9CFF">
            <w:pPr>
              <w:keepNext/>
              <w:jc w:val="center"/>
              <w:rPr>
                <w:rFonts w:cs="宋体"/>
                <w:color w:val="auto"/>
                <w:szCs w:val="21"/>
                <w:highlight w:val="none"/>
              </w:rPr>
            </w:pPr>
            <w:r>
              <w:rPr>
                <w:rFonts w:hint="eastAsia" w:cs="宋体"/>
                <w:color w:val="auto"/>
                <w:szCs w:val="21"/>
                <w:highlight w:val="none"/>
              </w:rPr>
              <w:t>费用（元）</w:t>
            </w:r>
          </w:p>
        </w:tc>
        <w:tc>
          <w:tcPr>
            <w:tcW w:w="687" w:type="pct"/>
            <w:tcBorders>
              <w:top w:val="single" w:color="auto" w:sz="12" w:space="0"/>
              <w:bottom w:val="double" w:color="auto" w:sz="6" w:space="0"/>
            </w:tcBorders>
            <w:vAlign w:val="center"/>
          </w:tcPr>
          <w:p w14:paraId="74FFD33C">
            <w:pPr>
              <w:keepNext/>
              <w:jc w:val="center"/>
              <w:rPr>
                <w:rFonts w:cs="宋体"/>
                <w:color w:val="auto"/>
                <w:szCs w:val="21"/>
                <w:highlight w:val="none"/>
              </w:rPr>
            </w:pPr>
            <w:r>
              <w:rPr>
                <w:rFonts w:hint="eastAsia" w:cs="宋体"/>
                <w:color w:val="auto"/>
                <w:szCs w:val="21"/>
                <w:highlight w:val="none"/>
              </w:rPr>
              <w:t>质量</w:t>
            </w:r>
          </w:p>
        </w:tc>
        <w:tc>
          <w:tcPr>
            <w:tcW w:w="802" w:type="pct"/>
            <w:tcBorders>
              <w:top w:val="single" w:color="auto" w:sz="12" w:space="0"/>
              <w:bottom w:val="double" w:color="auto" w:sz="6" w:space="0"/>
            </w:tcBorders>
            <w:vAlign w:val="center"/>
          </w:tcPr>
          <w:p w14:paraId="798B1049">
            <w:pPr>
              <w:jc w:val="center"/>
              <w:rPr>
                <w:rFonts w:cs="宋体"/>
                <w:color w:val="auto"/>
                <w:szCs w:val="21"/>
                <w:highlight w:val="none"/>
              </w:rPr>
            </w:pPr>
            <w:r>
              <w:rPr>
                <w:rFonts w:hint="eastAsia" w:cs="宋体"/>
                <w:color w:val="auto"/>
                <w:szCs w:val="21"/>
                <w:highlight w:val="none"/>
              </w:rPr>
              <w:t>移交时间</w:t>
            </w:r>
          </w:p>
        </w:tc>
        <w:tc>
          <w:tcPr>
            <w:tcW w:w="922" w:type="pct"/>
            <w:tcBorders>
              <w:top w:val="single" w:color="auto" w:sz="12" w:space="0"/>
              <w:bottom w:val="double" w:color="auto" w:sz="6" w:space="0"/>
            </w:tcBorders>
            <w:vAlign w:val="center"/>
          </w:tcPr>
          <w:p w14:paraId="0E3D2FA0">
            <w:pPr>
              <w:jc w:val="center"/>
              <w:rPr>
                <w:rFonts w:cs="宋体"/>
                <w:color w:val="auto"/>
                <w:szCs w:val="21"/>
                <w:highlight w:val="none"/>
              </w:rPr>
            </w:pPr>
            <w:r>
              <w:rPr>
                <w:rFonts w:hint="eastAsia" w:cs="宋体"/>
                <w:color w:val="auto"/>
                <w:szCs w:val="21"/>
                <w:highlight w:val="none"/>
              </w:rPr>
              <w:t>责任人</w:t>
            </w:r>
          </w:p>
        </w:tc>
      </w:tr>
      <w:tr w14:paraId="79F28B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tcBorders>
              <w:top w:val="double" w:color="auto" w:sz="6" w:space="0"/>
            </w:tcBorders>
            <w:vAlign w:val="center"/>
          </w:tcPr>
          <w:p w14:paraId="3EC564AD">
            <w:pPr>
              <w:keepNext/>
              <w:jc w:val="center"/>
              <w:rPr>
                <w:rFonts w:cs="宋体"/>
                <w:color w:val="auto"/>
                <w:szCs w:val="21"/>
                <w:highlight w:val="none"/>
              </w:rPr>
            </w:pPr>
          </w:p>
        </w:tc>
        <w:tc>
          <w:tcPr>
            <w:tcW w:w="706" w:type="pct"/>
            <w:tcBorders>
              <w:top w:val="double" w:color="auto" w:sz="6" w:space="0"/>
            </w:tcBorders>
            <w:vAlign w:val="center"/>
          </w:tcPr>
          <w:p w14:paraId="55C663BC">
            <w:pPr>
              <w:keepNext/>
              <w:jc w:val="center"/>
              <w:rPr>
                <w:rFonts w:cs="宋体"/>
                <w:color w:val="auto"/>
                <w:szCs w:val="21"/>
                <w:highlight w:val="none"/>
              </w:rPr>
            </w:pPr>
          </w:p>
        </w:tc>
        <w:tc>
          <w:tcPr>
            <w:tcW w:w="802" w:type="pct"/>
            <w:tcBorders>
              <w:top w:val="double" w:color="auto" w:sz="6" w:space="0"/>
            </w:tcBorders>
            <w:vAlign w:val="center"/>
          </w:tcPr>
          <w:p w14:paraId="477BF30E">
            <w:pPr>
              <w:keepNext/>
              <w:jc w:val="center"/>
              <w:rPr>
                <w:rFonts w:cs="宋体"/>
                <w:color w:val="auto"/>
                <w:szCs w:val="21"/>
                <w:highlight w:val="none"/>
              </w:rPr>
            </w:pPr>
          </w:p>
        </w:tc>
        <w:tc>
          <w:tcPr>
            <w:tcW w:w="687" w:type="pct"/>
            <w:tcBorders>
              <w:top w:val="double" w:color="auto" w:sz="6" w:space="0"/>
            </w:tcBorders>
            <w:vAlign w:val="center"/>
          </w:tcPr>
          <w:p w14:paraId="2A2B3FE3">
            <w:pPr>
              <w:keepNext/>
              <w:jc w:val="center"/>
              <w:rPr>
                <w:rFonts w:cs="宋体"/>
                <w:color w:val="auto"/>
                <w:szCs w:val="21"/>
                <w:highlight w:val="none"/>
              </w:rPr>
            </w:pPr>
          </w:p>
        </w:tc>
        <w:tc>
          <w:tcPr>
            <w:tcW w:w="802" w:type="pct"/>
            <w:tcBorders>
              <w:top w:val="double" w:color="auto" w:sz="6" w:space="0"/>
            </w:tcBorders>
            <w:vAlign w:val="center"/>
          </w:tcPr>
          <w:p w14:paraId="43CF5014">
            <w:pPr>
              <w:keepNext/>
              <w:jc w:val="center"/>
              <w:rPr>
                <w:rFonts w:cs="宋体"/>
                <w:color w:val="auto"/>
                <w:szCs w:val="21"/>
                <w:highlight w:val="none"/>
              </w:rPr>
            </w:pPr>
          </w:p>
        </w:tc>
        <w:tc>
          <w:tcPr>
            <w:tcW w:w="922" w:type="pct"/>
            <w:tcBorders>
              <w:top w:val="double" w:color="auto" w:sz="6" w:space="0"/>
            </w:tcBorders>
            <w:vAlign w:val="center"/>
          </w:tcPr>
          <w:p w14:paraId="3E06BFAC">
            <w:pPr>
              <w:keepNext/>
              <w:jc w:val="center"/>
              <w:rPr>
                <w:rFonts w:cs="宋体"/>
                <w:color w:val="auto"/>
                <w:szCs w:val="21"/>
                <w:highlight w:val="none"/>
              </w:rPr>
            </w:pPr>
          </w:p>
        </w:tc>
      </w:tr>
      <w:tr w14:paraId="7D4C0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tcBorders>
              <w:top w:val="nil"/>
            </w:tcBorders>
            <w:vAlign w:val="center"/>
          </w:tcPr>
          <w:p w14:paraId="5D4D0E3A">
            <w:pPr>
              <w:keepNext/>
              <w:jc w:val="center"/>
              <w:rPr>
                <w:rFonts w:cs="宋体"/>
                <w:color w:val="auto"/>
                <w:szCs w:val="21"/>
                <w:highlight w:val="none"/>
              </w:rPr>
            </w:pPr>
          </w:p>
        </w:tc>
        <w:tc>
          <w:tcPr>
            <w:tcW w:w="706" w:type="pct"/>
            <w:tcBorders>
              <w:top w:val="nil"/>
            </w:tcBorders>
            <w:vAlign w:val="center"/>
          </w:tcPr>
          <w:p w14:paraId="167A566B">
            <w:pPr>
              <w:keepNext/>
              <w:jc w:val="center"/>
              <w:rPr>
                <w:rFonts w:cs="宋体"/>
                <w:color w:val="auto"/>
                <w:szCs w:val="21"/>
                <w:highlight w:val="none"/>
              </w:rPr>
            </w:pPr>
          </w:p>
        </w:tc>
        <w:tc>
          <w:tcPr>
            <w:tcW w:w="802" w:type="pct"/>
            <w:tcBorders>
              <w:top w:val="nil"/>
            </w:tcBorders>
            <w:vAlign w:val="center"/>
          </w:tcPr>
          <w:p w14:paraId="14678E41">
            <w:pPr>
              <w:keepNext/>
              <w:jc w:val="center"/>
              <w:rPr>
                <w:rFonts w:cs="宋体"/>
                <w:color w:val="auto"/>
                <w:szCs w:val="21"/>
                <w:highlight w:val="none"/>
              </w:rPr>
            </w:pPr>
          </w:p>
        </w:tc>
        <w:tc>
          <w:tcPr>
            <w:tcW w:w="687" w:type="pct"/>
            <w:tcBorders>
              <w:top w:val="nil"/>
            </w:tcBorders>
            <w:vAlign w:val="center"/>
          </w:tcPr>
          <w:p w14:paraId="135D4398">
            <w:pPr>
              <w:keepNext/>
              <w:jc w:val="center"/>
              <w:rPr>
                <w:rFonts w:cs="宋体"/>
                <w:color w:val="auto"/>
                <w:szCs w:val="21"/>
                <w:highlight w:val="none"/>
              </w:rPr>
            </w:pPr>
          </w:p>
        </w:tc>
        <w:tc>
          <w:tcPr>
            <w:tcW w:w="802" w:type="pct"/>
            <w:tcBorders>
              <w:top w:val="nil"/>
            </w:tcBorders>
            <w:vAlign w:val="center"/>
          </w:tcPr>
          <w:p w14:paraId="4C9CF7C9">
            <w:pPr>
              <w:keepNext/>
              <w:jc w:val="center"/>
              <w:rPr>
                <w:rFonts w:cs="宋体"/>
                <w:color w:val="auto"/>
                <w:szCs w:val="21"/>
                <w:highlight w:val="none"/>
              </w:rPr>
            </w:pPr>
          </w:p>
        </w:tc>
        <w:tc>
          <w:tcPr>
            <w:tcW w:w="922" w:type="pct"/>
            <w:tcBorders>
              <w:top w:val="nil"/>
            </w:tcBorders>
            <w:vAlign w:val="center"/>
          </w:tcPr>
          <w:p w14:paraId="2367EA0B">
            <w:pPr>
              <w:keepNext/>
              <w:jc w:val="center"/>
              <w:rPr>
                <w:rFonts w:cs="宋体"/>
                <w:color w:val="auto"/>
                <w:szCs w:val="21"/>
                <w:highlight w:val="none"/>
              </w:rPr>
            </w:pPr>
          </w:p>
        </w:tc>
      </w:tr>
      <w:tr w14:paraId="18A975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vAlign w:val="center"/>
          </w:tcPr>
          <w:p w14:paraId="24605BDB">
            <w:pPr>
              <w:jc w:val="center"/>
              <w:rPr>
                <w:rFonts w:cs="宋体"/>
                <w:color w:val="auto"/>
                <w:szCs w:val="21"/>
                <w:highlight w:val="none"/>
              </w:rPr>
            </w:pPr>
          </w:p>
        </w:tc>
        <w:tc>
          <w:tcPr>
            <w:tcW w:w="706" w:type="pct"/>
            <w:vAlign w:val="center"/>
          </w:tcPr>
          <w:p w14:paraId="1650B466">
            <w:pPr>
              <w:jc w:val="center"/>
              <w:rPr>
                <w:rFonts w:cs="宋体"/>
                <w:color w:val="auto"/>
                <w:szCs w:val="21"/>
                <w:highlight w:val="none"/>
              </w:rPr>
            </w:pPr>
          </w:p>
        </w:tc>
        <w:tc>
          <w:tcPr>
            <w:tcW w:w="802" w:type="pct"/>
            <w:vAlign w:val="center"/>
          </w:tcPr>
          <w:p w14:paraId="018F3435">
            <w:pPr>
              <w:jc w:val="center"/>
              <w:rPr>
                <w:rFonts w:cs="宋体"/>
                <w:color w:val="auto"/>
                <w:szCs w:val="21"/>
                <w:highlight w:val="none"/>
              </w:rPr>
            </w:pPr>
          </w:p>
        </w:tc>
        <w:tc>
          <w:tcPr>
            <w:tcW w:w="687" w:type="pct"/>
            <w:vAlign w:val="center"/>
          </w:tcPr>
          <w:p w14:paraId="1FEED1D3">
            <w:pPr>
              <w:jc w:val="center"/>
              <w:rPr>
                <w:rFonts w:cs="宋体"/>
                <w:color w:val="auto"/>
                <w:szCs w:val="21"/>
                <w:highlight w:val="none"/>
              </w:rPr>
            </w:pPr>
          </w:p>
        </w:tc>
        <w:tc>
          <w:tcPr>
            <w:tcW w:w="802" w:type="pct"/>
            <w:vAlign w:val="center"/>
          </w:tcPr>
          <w:p w14:paraId="60D9D3B0">
            <w:pPr>
              <w:jc w:val="center"/>
              <w:rPr>
                <w:rFonts w:cs="宋体"/>
                <w:color w:val="auto"/>
                <w:szCs w:val="21"/>
                <w:highlight w:val="none"/>
              </w:rPr>
            </w:pPr>
          </w:p>
        </w:tc>
        <w:tc>
          <w:tcPr>
            <w:tcW w:w="922" w:type="pct"/>
            <w:vAlign w:val="center"/>
          </w:tcPr>
          <w:p w14:paraId="397AACAF">
            <w:pPr>
              <w:jc w:val="center"/>
              <w:rPr>
                <w:rFonts w:cs="宋体"/>
                <w:color w:val="auto"/>
                <w:szCs w:val="21"/>
                <w:highlight w:val="none"/>
              </w:rPr>
            </w:pPr>
          </w:p>
        </w:tc>
      </w:tr>
      <w:tr w14:paraId="5FBAA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vAlign w:val="center"/>
          </w:tcPr>
          <w:p w14:paraId="4C86B570">
            <w:pPr>
              <w:jc w:val="center"/>
              <w:rPr>
                <w:rFonts w:cs="宋体"/>
                <w:color w:val="auto"/>
                <w:szCs w:val="21"/>
                <w:highlight w:val="none"/>
              </w:rPr>
            </w:pPr>
          </w:p>
        </w:tc>
        <w:tc>
          <w:tcPr>
            <w:tcW w:w="706" w:type="pct"/>
            <w:vAlign w:val="center"/>
          </w:tcPr>
          <w:p w14:paraId="11149CE6">
            <w:pPr>
              <w:jc w:val="center"/>
              <w:rPr>
                <w:rFonts w:cs="宋体"/>
                <w:color w:val="auto"/>
                <w:szCs w:val="21"/>
                <w:highlight w:val="none"/>
              </w:rPr>
            </w:pPr>
          </w:p>
        </w:tc>
        <w:tc>
          <w:tcPr>
            <w:tcW w:w="802" w:type="pct"/>
            <w:vAlign w:val="center"/>
          </w:tcPr>
          <w:p w14:paraId="7A8C8AFE">
            <w:pPr>
              <w:jc w:val="center"/>
              <w:rPr>
                <w:rFonts w:cs="宋体"/>
                <w:color w:val="auto"/>
                <w:szCs w:val="21"/>
                <w:highlight w:val="none"/>
              </w:rPr>
            </w:pPr>
          </w:p>
        </w:tc>
        <w:tc>
          <w:tcPr>
            <w:tcW w:w="687" w:type="pct"/>
            <w:vAlign w:val="center"/>
          </w:tcPr>
          <w:p w14:paraId="03784B19">
            <w:pPr>
              <w:jc w:val="center"/>
              <w:rPr>
                <w:rFonts w:cs="宋体"/>
                <w:color w:val="auto"/>
                <w:szCs w:val="21"/>
                <w:highlight w:val="none"/>
              </w:rPr>
            </w:pPr>
          </w:p>
        </w:tc>
        <w:tc>
          <w:tcPr>
            <w:tcW w:w="802" w:type="pct"/>
            <w:vAlign w:val="center"/>
          </w:tcPr>
          <w:p w14:paraId="3E5FDC53">
            <w:pPr>
              <w:jc w:val="center"/>
              <w:rPr>
                <w:rFonts w:cs="宋体"/>
                <w:color w:val="auto"/>
                <w:szCs w:val="21"/>
                <w:highlight w:val="none"/>
              </w:rPr>
            </w:pPr>
          </w:p>
        </w:tc>
        <w:tc>
          <w:tcPr>
            <w:tcW w:w="922" w:type="pct"/>
            <w:vAlign w:val="center"/>
          </w:tcPr>
          <w:p w14:paraId="377B59DE">
            <w:pPr>
              <w:jc w:val="center"/>
              <w:rPr>
                <w:rFonts w:cs="宋体"/>
                <w:color w:val="auto"/>
                <w:szCs w:val="21"/>
                <w:highlight w:val="none"/>
              </w:rPr>
            </w:pPr>
          </w:p>
        </w:tc>
      </w:tr>
      <w:tr w14:paraId="0B53F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080" w:type="pct"/>
            <w:tcBorders>
              <w:bottom w:val="single" w:color="auto" w:sz="12" w:space="0"/>
            </w:tcBorders>
            <w:vAlign w:val="center"/>
          </w:tcPr>
          <w:p w14:paraId="1534609B">
            <w:pPr>
              <w:jc w:val="center"/>
              <w:rPr>
                <w:rFonts w:cs="宋体"/>
                <w:color w:val="auto"/>
                <w:szCs w:val="21"/>
                <w:highlight w:val="none"/>
              </w:rPr>
            </w:pPr>
          </w:p>
        </w:tc>
        <w:tc>
          <w:tcPr>
            <w:tcW w:w="706" w:type="pct"/>
            <w:tcBorders>
              <w:bottom w:val="single" w:color="auto" w:sz="12" w:space="0"/>
            </w:tcBorders>
            <w:vAlign w:val="center"/>
          </w:tcPr>
          <w:p w14:paraId="3571F067">
            <w:pPr>
              <w:jc w:val="center"/>
              <w:rPr>
                <w:rFonts w:cs="宋体"/>
                <w:color w:val="auto"/>
                <w:szCs w:val="21"/>
                <w:highlight w:val="none"/>
              </w:rPr>
            </w:pPr>
          </w:p>
        </w:tc>
        <w:tc>
          <w:tcPr>
            <w:tcW w:w="802" w:type="pct"/>
            <w:tcBorders>
              <w:bottom w:val="single" w:color="auto" w:sz="12" w:space="0"/>
            </w:tcBorders>
            <w:vAlign w:val="center"/>
          </w:tcPr>
          <w:p w14:paraId="3747BA3F">
            <w:pPr>
              <w:jc w:val="center"/>
              <w:rPr>
                <w:rFonts w:cs="宋体"/>
                <w:color w:val="auto"/>
                <w:szCs w:val="21"/>
                <w:highlight w:val="none"/>
              </w:rPr>
            </w:pPr>
          </w:p>
        </w:tc>
        <w:tc>
          <w:tcPr>
            <w:tcW w:w="687" w:type="pct"/>
            <w:tcBorders>
              <w:bottom w:val="single" w:color="auto" w:sz="12" w:space="0"/>
            </w:tcBorders>
            <w:vAlign w:val="center"/>
          </w:tcPr>
          <w:p w14:paraId="1BD09C1F">
            <w:pPr>
              <w:jc w:val="center"/>
              <w:rPr>
                <w:rFonts w:cs="宋体"/>
                <w:color w:val="auto"/>
                <w:szCs w:val="21"/>
                <w:highlight w:val="none"/>
              </w:rPr>
            </w:pPr>
          </w:p>
        </w:tc>
        <w:tc>
          <w:tcPr>
            <w:tcW w:w="802" w:type="pct"/>
            <w:tcBorders>
              <w:bottom w:val="single" w:color="auto" w:sz="12" w:space="0"/>
            </w:tcBorders>
            <w:vAlign w:val="center"/>
          </w:tcPr>
          <w:p w14:paraId="34D0AB0E">
            <w:pPr>
              <w:jc w:val="center"/>
              <w:rPr>
                <w:rFonts w:cs="宋体"/>
                <w:color w:val="auto"/>
                <w:szCs w:val="21"/>
                <w:highlight w:val="none"/>
              </w:rPr>
            </w:pPr>
          </w:p>
        </w:tc>
        <w:tc>
          <w:tcPr>
            <w:tcW w:w="922" w:type="pct"/>
            <w:tcBorders>
              <w:bottom w:val="single" w:color="auto" w:sz="12" w:space="0"/>
            </w:tcBorders>
            <w:vAlign w:val="center"/>
          </w:tcPr>
          <w:p w14:paraId="1CEDA66C">
            <w:pPr>
              <w:jc w:val="center"/>
              <w:rPr>
                <w:rFonts w:cs="宋体"/>
                <w:color w:val="auto"/>
                <w:szCs w:val="21"/>
                <w:highlight w:val="none"/>
              </w:rPr>
            </w:pPr>
          </w:p>
        </w:tc>
      </w:tr>
    </w:tbl>
    <w:p w14:paraId="4216C299">
      <w:pPr>
        <w:spacing w:before="312" w:beforeLines="100" w:after="312" w:afterLines="100"/>
        <w:outlineLvl w:val="2"/>
        <w:rPr>
          <w:rFonts w:ascii="Times New Roman" w:eastAsia="黑体"/>
          <w:color w:val="auto"/>
          <w:szCs w:val="24"/>
          <w:highlight w:val="none"/>
        </w:rPr>
      </w:pPr>
      <w:r>
        <w:rPr>
          <w:rFonts w:hint="eastAsia" w:ascii="Times New Roman" w:eastAsia="黑体"/>
          <w:bCs/>
          <w:color w:val="auto"/>
          <w:highlight w:val="none"/>
        </w:rPr>
        <w:br w:type="page"/>
      </w:r>
      <w:bookmarkStart w:id="590" w:name="_Toc128950240"/>
      <w:r>
        <w:rPr>
          <w:rFonts w:hint="eastAsia" w:ascii="Times New Roman" w:eastAsia="黑体"/>
          <w:color w:val="auto"/>
          <w:szCs w:val="24"/>
          <w:highlight w:val="none"/>
        </w:rPr>
        <w:t>附</w:t>
      </w:r>
      <w:bookmarkStart w:id="591" w:name="_Toc296891267"/>
      <w:bookmarkStart w:id="592" w:name="_Toc267261698"/>
      <w:bookmarkStart w:id="593" w:name="_Toc296503227"/>
      <w:bookmarkStart w:id="594" w:name="_Toc296891055"/>
      <w:bookmarkStart w:id="595" w:name="_Toc296944566"/>
      <w:bookmarkStart w:id="596" w:name="_Toc296346728"/>
      <w:bookmarkStart w:id="597" w:name="_Toc296347226"/>
      <w:r>
        <w:rPr>
          <w:rFonts w:hint="eastAsia" w:ascii="Times New Roman" w:eastAsia="黑体"/>
          <w:color w:val="auto"/>
          <w:szCs w:val="24"/>
          <w:highlight w:val="none"/>
        </w:rPr>
        <w:t>件</w:t>
      </w:r>
      <w:r>
        <w:rPr>
          <w:rFonts w:ascii="Times New Roman" w:eastAsia="黑体"/>
          <w:color w:val="auto"/>
          <w:szCs w:val="24"/>
          <w:highlight w:val="none"/>
        </w:rPr>
        <w:t>5</w:t>
      </w:r>
      <w:r>
        <w:rPr>
          <w:rFonts w:hint="eastAsia" w:ascii="Times New Roman" w:eastAsia="黑体"/>
          <w:color w:val="auto"/>
          <w:szCs w:val="24"/>
          <w:highlight w:val="none"/>
        </w:rPr>
        <w:t>：承包人用于本工程施工的机械设备表</w:t>
      </w:r>
      <w:bookmarkEnd w:id="590"/>
    </w:p>
    <w:bookmarkEnd w:id="591"/>
    <w:bookmarkEnd w:id="592"/>
    <w:bookmarkEnd w:id="593"/>
    <w:bookmarkEnd w:id="594"/>
    <w:bookmarkEnd w:id="595"/>
    <w:bookmarkEnd w:id="596"/>
    <w:bookmarkEnd w:id="597"/>
    <w:p w14:paraId="6536EDFC">
      <w:pPr>
        <w:spacing w:before="156" w:beforeLines="50" w:after="156" w:afterLines="50"/>
        <w:jc w:val="center"/>
        <w:rPr>
          <w:rFonts w:cs="宋体"/>
          <w:color w:val="auto"/>
          <w:szCs w:val="21"/>
          <w:highlight w:val="none"/>
        </w:rPr>
      </w:pPr>
      <w:r>
        <w:rPr>
          <w:rFonts w:hint="eastAsia" w:cs="宋体"/>
          <w:color w:val="auto"/>
          <w:szCs w:val="21"/>
          <w:highlight w:val="none"/>
        </w:rPr>
        <w:t>承包人用于本工程施工的机械设备表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688"/>
        <w:gridCol w:w="1325"/>
        <w:gridCol w:w="793"/>
        <w:gridCol w:w="662"/>
        <w:gridCol w:w="793"/>
        <w:gridCol w:w="898"/>
        <w:gridCol w:w="1383"/>
        <w:gridCol w:w="952"/>
        <w:gridCol w:w="868"/>
      </w:tblGrid>
      <w:tr w14:paraId="1FAD6A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412" w:type="pct"/>
            <w:tcBorders>
              <w:top w:val="single" w:color="auto" w:sz="12" w:space="0"/>
              <w:bottom w:val="double" w:color="auto" w:sz="6" w:space="0"/>
            </w:tcBorders>
            <w:vAlign w:val="center"/>
          </w:tcPr>
          <w:p w14:paraId="04E1CDDC">
            <w:pPr>
              <w:keepNext/>
              <w:jc w:val="center"/>
              <w:rPr>
                <w:rFonts w:cs="宋体"/>
                <w:color w:val="auto"/>
                <w:szCs w:val="21"/>
                <w:highlight w:val="none"/>
              </w:rPr>
            </w:pPr>
            <w:r>
              <w:rPr>
                <w:rFonts w:hint="eastAsia" w:cs="宋体"/>
                <w:color w:val="auto"/>
                <w:szCs w:val="21"/>
                <w:highlight w:val="none"/>
              </w:rPr>
              <w:t>序号</w:t>
            </w:r>
          </w:p>
        </w:tc>
        <w:tc>
          <w:tcPr>
            <w:tcW w:w="792" w:type="pct"/>
            <w:tcBorders>
              <w:top w:val="single" w:color="auto" w:sz="12" w:space="0"/>
              <w:bottom w:val="double" w:color="auto" w:sz="6" w:space="0"/>
            </w:tcBorders>
            <w:vAlign w:val="center"/>
          </w:tcPr>
          <w:p w14:paraId="47BB5329">
            <w:pPr>
              <w:keepNext/>
              <w:jc w:val="center"/>
              <w:rPr>
                <w:rFonts w:cs="宋体"/>
                <w:color w:val="auto"/>
                <w:szCs w:val="21"/>
                <w:highlight w:val="none"/>
              </w:rPr>
            </w:pPr>
            <w:r>
              <w:rPr>
                <w:rFonts w:hint="eastAsia" w:cs="宋体"/>
                <w:color w:val="auto"/>
                <w:szCs w:val="21"/>
                <w:highlight w:val="none"/>
              </w:rPr>
              <w:t>机械或设备名称</w:t>
            </w:r>
          </w:p>
        </w:tc>
        <w:tc>
          <w:tcPr>
            <w:tcW w:w="474" w:type="pct"/>
            <w:tcBorders>
              <w:top w:val="single" w:color="auto" w:sz="12" w:space="0"/>
              <w:bottom w:val="double" w:color="auto" w:sz="6" w:space="0"/>
            </w:tcBorders>
            <w:vAlign w:val="center"/>
          </w:tcPr>
          <w:p w14:paraId="3D04F7E8">
            <w:pPr>
              <w:keepNext/>
              <w:jc w:val="center"/>
              <w:rPr>
                <w:rFonts w:cs="宋体"/>
                <w:color w:val="auto"/>
                <w:szCs w:val="21"/>
                <w:highlight w:val="none"/>
              </w:rPr>
            </w:pPr>
            <w:r>
              <w:rPr>
                <w:rFonts w:hint="eastAsia" w:cs="宋体"/>
                <w:color w:val="auto"/>
                <w:szCs w:val="21"/>
                <w:highlight w:val="none"/>
              </w:rPr>
              <w:t>规格型号</w:t>
            </w:r>
          </w:p>
        </w:tc>
        <w:tc>
          <w:tcPr>
            <w:tcW w:w="396" w:type="pct"/>
            <w:tcBorders>
              <w:top w:val="single" w:color="auto" w:sz="12" w:space="0"/>
              <w:bottom w:val="double" w:color="auto" w:sz="6" w:space="0"/>
            </w:tcBorders>
            <w:vAlign w:val="center"/>
          </w:tcPr>
          <w:p w14:paraId="0B372EE5">
            <w:pPr>
              <w:keepNext/>
              <w:jc w:val="center"/>
              <w:rPr>
                <w:rFonts w:cs="宋体"/>
                <w:color w:val="auto"/>
                <w:szCs w:val="21"/>
                <w:highlight w:val="none"/>
              </w:rPr>
            </w:pPr>
            <w:r>
              <w:rPr>
                <w:rFonts w:hint="eastAsia" w:cs="宋体"/>
                <w:color w:val="auto"/>
                <w:szCs w:val="21"/>
                <w:highlight w:val="none"/>
              </w:rPr>
              <w:t>数量</w:t>
            </w:r>
          </w:p>
        </w:tc>
        <w:tc>
          <w:tcPr>
            <w:tcW w:w="474" w:type="pct"/>
            <w:tcBorders>
              <w:top w:val="single" w:color="auto" w:sz="12" w:space="0"/>
              <w:bottom w:val="double" w:color="auto" w:sz="6" w:space="0"/>
            </w:tcBorders>
            <w:vAlign w:val="center"/>
          </w:tcPr>
          <w:p w14:paraId="0BBF18D6">
            <w:pPr>
              <w:keepNext/>
              <w:jc w:val="center"/>
              <w:rPr>
                <w:rFonts w:cs="宋体"/>
                <w:color w:val="auto"/>
                <w:szCs w:val="21"/>
                <w:highlight w:val="none"/>
              </w:rPr>
            </w:pPr>
            <w:r>
              <w:rPr>
                <w:rFonts w:hint="eastAsia" w:cs="宋体"/>
                <w:color w:val="auto"/>
                <w:szCs w:val="21"/>
                <w:highlight w:val="none"/>
              </w:rPr>
              <w:t>产地</w:t>
            </w:r>
          </w:p>
        </w:tc>
        <w:tc>
          <w:tcPr>
            <w:tcW w:w="537" w:type="pct"/>
            <w:tcBorders>
              <w:top w:val="single" w:color="auto" w:sz="12" w:space="0"/>
              <w:bottom w:val="double" w:color="auto" w:sz="6" w:space="0"/>
            </w:tcBorders>
            <w:vAlign w:val="center"/>
          </w:tcPr>
          <w:p w14:paraId="7BE92B9C">
            <w:pPr>
              <w:keepNext/>
              <w:jc w:val="center"/>
              <w:rPr>
                <w:rFonts w:cs="宋体"/>
                <w:color w:val="auto"/>
                <w:szCs w:val="21"/>
                <w:highlight w:val="none"/>
              </w:rPr>
            </w:pPr>
            <w:r>
              <w:rPr>
                <w:rFonts w:hint="eastAsia" w:cs="宋体"/>
                <w:color w:val="auto"/>
                <w:szCs w:val="21"/>
                <w:highlight w:val="none"/>
              </w:rPr>
              <w:t>制造年份</w:t>
            </w:r>
          </w:p>
        </w:tc>
        <w:tc>
          <w:tcPr>
            <w:tcW w:w="827" w:type="pct"/>
            <w:tcBorders>
              <w:top w:val="single" w:color="auto" w:sz="12" w:space="0"/>
              <w:bottom w:val="double" w:color="auto" w:sz="6" w:space="0"/>
            </w:tcBorders>
            <w:vAlign w:val="center"/>
          </w:tcPr>
          <w:p w14:paraId="767120F5">
            <w:pPr>
              <w:keepNext/>
              <w:jc w:val="center"/>
              <w:rPr>
                <w:rFonts w:cs="宋体"/>
                <w:color w:val="auto"/>
                <w:szCs w:val="21"/>
                <w:highlight w:val="none"/>
              </w:rPr>
            </w:pPr>
            <w:r>
              <w:rPr>
                <w:rFonts w:hint="eastAsia" w:cs="宋体"/>
                <w:color w:val="auto"/>
                <w:szCs w:val="21"/>
                <w:highlight w:val="none"/>
              </w:rPr>
              <w:t>额定功率（kW)</w:t>
            </w:r>
          </w:p>
        </w:tc>
        <w:tc>
          <w:tcPr>
            <w:tcW w:w="569" w:type="pct"/>
            <w:tcBorders>
              <w:top w:val="single" w:color="auto" w:sz="12" w:space="0"/>
              <w:bottom w:val="double" w:color="auto" w:sz="6" w:space="0"/>
            </w:tcBorders>
            <w:vAlign w:val="center"/>
          </w:tcPr>
          <w:p w14:paraId="3F984CEE">
            <w:pPr>
              <w:keepNext/>
              <w:jc w:val="center"/>
              <w:rPr>
                <w:rFonts w:cs="宋体"/>
                <w:color w:val="auto"/>
                <w:szCs w:val="21"/>
                <w:highlight w:val="none"/>
              </w:rPr>
            </w:pPr>
            <w:r>
              <w:rPr>
                <w:rFonts w:hint="eastAsia" w:cs="宋体"/>
                <w:color w:val="auto"/>
                <w:szCs w:val="21"/>
                <w:highlight w:val="none"/>
              </w:rPr>
              <w:t>生产能力</w:t>
            </w:r>
          </w:p>
        </w:tc>
        <w:tc>
          <w:tcPr>
            <w:tcW w:w="519" w:type="pct"/>
            <w:tcBorders>
              <w:top w:val="single" w:color="auto" w:sz="12" w:space="0"/>
              <w:bottom w:val="double" w:color="auto" w:sz="6" w:space="0"/>
            </w:tcBorders>
            <w:vAlign w:val="center"/>
          </w:tcPr>
          <w:p w14:paraId="5D9C6644">
            <w:pPr>
              <w:keepNext/>
              <w:jc w:val="center"/>
              <w:rPr>
                <w:rFonts w:cs="宋体"/>
                <w:color w:val="auto"/>
                <w:szCs w:val="21"/>
                <w:highlight w:val="none"/>
              </w:rPr>
            </w:pPr>
            <w:r>
              <w:rPr>
                <w:rFonts w:hint="eastAsia" w:cs="宋体"/>
                <w:color w:val="auto"/>
                <w:szCs w:val="21"/>
                <w:highlight w:val="none"/>
              </w:rPr>
              <w:t>备注</w:t>
            </w:r>
          </w:p>
        </w:tc>
      </w:tr>
      <w:tr w14:paraId="5AECF5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tcBorders>
              <w:top w:val="double" w:color="auto" w:sz="6" w:space="0"/>
            </w:tcBorders>
            <w:vAlign w:val="center"/>
          </w:tcPr>
          <w:p w14:paraId="1491A2CE">
            <w:pPr>
              <w:keepNext/>
              <w:jc w:val="center"/>
              <w:rPr>
                <w:rFonts w:cs="宋体"/>
                <w:color w:val="auto"/>
                <w:szCs w:val="21"/>
                <w:highlight w:val="none"/>
              </w:rPr>
            </w:pPr>
          </w:p>
        </w:tc>
        <w:tc>
          <w:tcPr>
            <w:tcW w:w="792" w:type="pct"/>
            <w:tcBorders>
              <w:top w:val="double" w:color="auto" w:sz="6" w:space="0"/>
            </w:tcBorders>
            <w:vAlign w:val="center"/>
          </w:tcPr>
          <w:p w14:paraId="44ACBECF">
            <w:pPr>
              <w:keepNext/>
              <w:jc w:val="center"/>
              <w:rPr>
                <w:rFonts w:cs="宋体"/>
                <w:color w:val="auto"/>
                <w:szCs w:val="21"/>
                <w:highlight w:val="none"/>
              </w:rPr>
            </w:pPr>
          </w:p>
        </w:tc>
        <w:tc>
          <w:tcPr>
            <w:tcW w:w="474" w:type="pct"/>
            <w:tcBorders>
              <w:top w:val="double" w:color="auto" w:sz="6" w:space="0"/>
            </w:tcBorders>
            <w:vAlign w:val="center"/>
          </w:tcPr>
          <w:p w14:paraId="79F32A3A">
            <w:pPr>
              <w:keepNext/>
              <w:jc w:val="center"/>
              <w:rPr>
                <w:rFonts w:cs="宋体"/>
                <w:color w:val="auto"/>
                <w:szCs w:val="21"/>
                <w:highlight w:val="none"/>
              </w:rPr>
            </w:pPr>
          </w:p>
        </w:tc>
        <w:tc>
          <w:tcPr>
            <w:tcW w:w="396" w:type="pct"/>
            <w:tcBorders>
              <w:top w:val="double" w:color="auto" w:sz="6" w:space="0"/>
            </w:tcBorders>
            <w:vAlign w:val="center"/>
          </w:tcPr>
          <w:p w14:paraId="49DEACA7">
            <w:pPr>
              <w:keepNext/>
              <w:jc w:val="center"/>
              <w:rPr>
                <w:rFonts w:cs="宋体"/>
                <w:color w:val="auto"/>
                <w:szCs w:val="21"/>
                <w:highlight w:val="none"/>
              </w:rPr>
            </w:pPr>
          </w:p>
        </w:tc>
        <w:tc>
          <w:tcPr>
            <w:tcW w:w="474" w:type="pct"/>
            <w:tcBorders>
              <w:top w:val="double" w:color="auto" w:sz="6" w:space="0"/>
            </w:tcBorders>
            <w:vAlign w:val="center"/>
          </w:tcPr>
          <w:p w14:paraId="287948F0">
            <w:pPr>
              <w:keepNext/>
              <w:jc w:val="center"/>
              <w:rPr>
                <w:rFonts w:cs="宋体"/>
                <w:color w:val="auto"/>
                <w:szCs w:val="21"/>
                <w:highlight w:val="none"/>
              </w:rPr>
            </w:pPr>
          </w:p>
        </w:tc>
        <w:tc>
          <w:tcPr>
            <w:tcW w:w="537" w:type="pct"/>
            <w:tcBorders>
              <w:top w:val="double" w:color="auto" w:sz="6" w:space="0"/>
            </w:tcBorders>
            <w:vAlign w:val="center"/>
          </w:tcPr>
          <w:p w14:paraId="7ACF56D5">
            <w:pPr>
              <w:keepNext/>
              <w:jc w:val="center"/>
              <w:rPr>
                <w:rFonts w:cs="宋体"/>
                <w:color w:val="auto"/>
                <w:szCs w:val="21"/>
                <w:highlight w:val="none"/>
              </w:rPr>
            </w:pPr>
          </w:p>
        </w:tc>
        <w:tc>
          <w:tcPr>
            <w:tcW w:w="827" w:type="pct"/>
            <w:tcBorders>
              <w:top w:val="double" w:color="auto" w:sz="6" w:space="0"/>
            </w:tcBorders>
            <w:vAlign w:val="center"/>
          </w:tcPr>
          <w:p w14:paraId="05345078">
            <w:pPr>
              <w:keepNext/>
              <w:jc w:val="center"/>
              <w:rPr>
                <w:rFonts w:cs="宋体"/>
                <w:color w:val="auto"/>
                <w:szCs w:val="21"/>
                <w:highlight w:val="none"/>
              </w:rPr>
            </w:pPr>
          </w:p>
        </w:tc>
        <w:tc>
          <w:tcPr>
            <w:tcW w:w="569" w:type="pct"/>
            <w:tcBorders>
              <w:top w:val="double" w:color="auto" w:sz="6" w:space="0"/>
            </w:tcBorders>
            <w:vAlign w:val="center"/>
          </w:tcPr>
          <w:p w14:paraId="3C95A003">
            <w:pPr>
              <w:keepNext/>
              <w:jc w:val="center"/>
              <w:rPr>
                <w:rFonts w:cs="宋体"/>
                <w:color w:val="auto"/>
                <w:szCs w:val="21"/>
                <w:highlight w:val="none"/>
              </w:rPr>
            </w:pPr>
          </w:p>
        </w:tc>
        <w:tc>
          <w:tcPr>
            <w:tcW w:w="519" w:type="pct"/>
            <w:tcBorders>
              <w:top w:val="double" w:color="auto" w:sz="6" w:space="0"/>
            </w:tcBorders>
            <w:vAlign w:val="center"/>
          </w:tcPr>
          <w:p w14:paraId="46F45177">
            <w:pPr>
              <w:keepNext/>
              <w:jc w:val="center"/>
              <w:rPr>
                <w:rFonts w:cs="宋体"/>
                <w:color w:val="auto"/>
                <w:szCs w:val="21"/>
                <w:highlight w:val="none"/>
              </w:rPr>
            </w:pPr>
          </w:p>
        </w:tc>
      </w:tr>
      <w:tr w14:paraId="30B74E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tcBorders>
              <w:top w:val="nil"/>
            </w:tcBorders>
            <w:vAlign w:val="center"/>
          </w:tcPr>
          <w:p w14:paraId="28DFFF3F">
            <w:pPr>
              <w:keepNext/>
              <w:jc w:val="center"/>
              <w:rPr>
                <w:rFonts w:cs="宋体"/>
                <w:color w:val="auto"/>
                <w:szCs w:val="21"/>
                <w:highlight w:val="none"/>
              </w:rPr>
            </w:pPr>
          </w:p>
        </w:tc>
        <w:tc>
          <w:tcPr>
            <w:tcW w:w="792" w:type="pct"/>
            <w:tcBorders>
              <w:top w:val="nil"/>
            </w:tcBorders>
            <w:vAlign w:val="center"/>
          </w:tcPr>
          <w:p w14:paraId="6ACC9EC1">
            <w:pPr>
              <w:keepNext/>
              <w:jc w:val="center"/>
              <w:rPr>
                <w:rFonts w:cs="宋体"/>
                <w:color w:val="auto"/>
                <w:szCs w:val="21"/>
                <w:highlight w:val="none"/>
              </w:rPr>
            </w:pPr>
          </w:p>
        </w:tc>
        <w:tc>
          <w:tcPr>
            <w:tcW w:w="474" w:type="pct"/>
            <w:tcBorders>
              <w:top w:val="nil"/>
            </w:tcBorders>
            <w:vAlign w:val="center"/>
          </w:tcPr>
          <w:p w14:paraId="51BDEB75">
            <w:pPr>
              <w:keepNext/>
              <w:jc w:val="center"/>
              <w:rPr>
                <w:rFonts w:cs="宋体"/>
                <w:color w:val="auto"/>
                <w:szCs w:val="21"/>
                <w:highlight w:val="none"/>
              </w:rPr>
            </w:pPr>
          </w:p>
        </w:tc>
        <w:tc>
          <w:tcPr>
            <w:tcW w:w="396" w:type="pct"/>
            <w:tcBorders>
              <w:top w:val="nil"/>
            </w:tcBorders>
            <w:vAlign w:val="center"/>
          </w:tcPr>
          <w:p w14:paraId="1662CFDD">
            <w:pPr>
              <w:keepNext/>
              <w:jc w:val="center"/>
              <w:rPr>
                <w:rFonts w:cs="宋体"/>
                <w:color w:val="auto"/>
                <w:szCs w:val="21"/>
                <w:highlight w:val="none"/>
              </w:rPr>
            </w:pPr>
          </w:p>
        </w:tc>
        <w:tc>
          <w:tcPr>
            <w:tcW w:w="474" w:type="pct"/>
            <w:tcBorders>
              <w:top w:val="nil"/>
            </w:tcBorders>
            <w:vAlign w:val="center"/>
          </w:tcPr>
          <w:p w14:paraId="45D9FA2C">
            <w:pPr>
              <w:keepNext/>
              <w:jc w:val="center"/>
              <w:rPr>
                <w:rFonts w:cs="宋体"/>
                <w:color w:val="auto"/>
                <w:szCs w:val="21"/>
                <w:highlight w:val="none"/>
              </w:rPr>
            </w:pPr>
          </w:p>
        </w:tc>
        <w:tc>
          <w:tcPr>
            <w:tcW w:w="537" w:type="pct"/>
            <w:tcBorders>
              <w:top w:val="nil"/>
            </w:tcBorders>
            <w:vAlign w:val="center"/>
          </w:tcPr>
          <w:p w14:paraId="674BAD19">
            <w:pPr>
              <w:keepNext/>
              <w:jc w:val="center"/>
              <w:rPr>
                <w:rFonts w:cs="宋体"/>
                <w:color w:val="auto"/>
                <w:szCs w:val="21"/>
                <w:highlight w:val="none"/>
              </w:rPr>
            </w:pPr>
          </w:p>
        </w:tc>
        <w:tc>
          <w:tcPr>
            <w:tcW w:w="827" w:type="pct"/>
            <w:tcBorders>
              <w:top w:val="nil"/>
            </w:tcBorders>
            <w:vAlign w:val="center"/>
          </w:tcPr>
          <w:p w14:paraId="10CC6C5C">
            <w:pPr>
              <w:keepNext/>
              <w:jc w:val="center"/>
              <w:rPr>
                <w:rFonts w:cs="宋体"/>
                <w:color w:val="auto"/>
                <w:szCs w:val="21"/>
                <w:highlight w:val="none"/>
              </w:rPr>
            </w:pPr>
          </w:p>
        </w:tc>
        <w:tc>
          <w:tcPr>
            <w:tcW w:w="569" w:type="pct"/>
            <w:tcBorders>
              <w:top w:val="nil"/>
            </w:tcBorders>
            <w:vAlign w:val="center"/>
          </w:tcPr>
          <w:p w14:paraId="1013C830">
            <w:pPr>
              <w:keepNext/>
              <w:jc w:val="center"/>
              <w:rPr>
                <w:rFonts w:cs="宋体"/>
                <w:color w:val="auto"/>
                <w:szCs w:val="21"/>
                <w:highlight w:val="none"/>
              </w:rPr>
            </w:pPr>
          </w:p>
        </w:tc>
        <w:tc>
          <w:tcPr>
            <w:tcW w:w="519" w:type="pct"/>
            <w:tcBorders>
              <w:top w:val="nil"/>
            </w:tcBorders>
            <w:vAlign w:val="center"/>
          </w:tcPr>
          <w:p w14:paraId="24FD4754">
            <w:pPr>
              <w:keepNext/>
              <w:jc w:val="center"/>
              <w:rPr>
                <w:rFonts w:cs="宋体"/>
                <w:color w:val="auto"/>
                <w:szCs w:val="21"/>
                <w:highlight w:val="none"/>
              </w:rPr>
            </w:pPr>
          </w:p>
        </w:tc>
      </w:tr>
      <w:tr w14:paraId="33D47E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vAlign w:val="center"/>
          </w:tcPr>
          <w:p w14:paraId="0D685276">
            <w:pPr>
              <w:jc w:val="center"/>
              <w:rPr>
                <w:rFonts w:cs="宋体"/>
                <w:color w:val="auto"/>
                <w:szCs w:val="21"/>
                <w:highlight w:val="none"/>
              </w:rPr>
            </w:pPr>
          </w:p>
        </w:tc>
        <w:tc>
          <w:tcPr>
            <w:tcW w:w="792" w:type="pct"/>
            <w:vAlign w:val="center"/>
          </w:tcPr>
          <w:p w14:paraId="31A0470A">
            <w:pPr>
              <w:jc w:val="center"/>
              <w:rPr>
                <w:rFonts w:cs="宋体"/>
                <w:color w:val="auto"/>
                <w:szCs w:val="21"/>
                <w:highlight w:val="none"/>
              </w:rPr>
            </w:pPr>
          </w:p>
        </w:tc>
        <w:tc>
          <w:tcPr>
            <w:tcW w:w="474" w:type="pct"/>
            <w:vAlign w:val="center"/>
          </w:tcPr>
          <w:p w14:paraId="2F555C23">
            <w:pPr>
              <w:jc w:val="center"/>
              <w:rPr>
                <w:rFonts w:cs="宋体"/>
                <w:color w:val="auto"/>
                <w:szCs w:val="21"/>
                <w:highlight w:val="none"/>
              </w:rPr>
            </w:pPr>
          </w:p>
        </w:tc>
        <w:tc>
          <w:tcPr>
            <w:tcW w:w="396" w:type="pct"/>
            <w:vAlign w:val="center"/>
          </w:tcPr>
          <w:p w14:paraId="5989C4B2">
            <w:pPr>
              <w:jc w:val="center"/>
              <w:rPr>
                <w:rFonts w:cs="宋体"/>
                <w:color w:val="auto"/>
                <w:szCs w:val="21"/>
                <w:highlight w:val="none"/>
              </w:rPr>
            </w:pPr>
          </w:p>
        </w:tc>
        <w:tc>
          <w:tcPr>
            <w:tcW w:w="474" w:type="pct"/>
            <w:vAlign w:val="center"/>
          </w:tcPr>
          <w:p w14:paraId="450E7B09">
            <w:pPr>
              <w:jc w:val="center"/>
              <w:rPr>
                <w:rFonts w:cs="宋体"/>
                <w:color w:val="auto"/>
                <w:szCs w:val="21"/>
                <w:highlight w:val="none"/>
              </w:rPr>
            </w:pPr>
          </w:p>
        </w:tc>
        <w:tc>
          <w:tcPr>
            <w:tcW w:w="537" w:type="pct"/>
            <w:vAlign w:val="center"/>
          </w:tcPr>
          <w:p w14:paraId="1EE35DD8">
            <w:pPr>
              <w:jc w:val="center"/>
              <w:rPr>
                <w:rFonts w:cs="宋体"/>
                <w:color w:val="auto"/>
                <w:szCs w:val="21"/>
                <w:highlight w:val="none"/>
              </w:rPr>
            </w:pPr>
          </w:p>
        </w:tc>
        <w:tc>
          <w:tcPr>
            <w:tcW w:w="827" w:type="pct"/>
            <w:vAlign w:val="center"/>
          </w:tcPr>
          <w:p w14:paraId="732C9A6D">
            <w:pPr>
              <w:jc w:val="center"/>
              <w:rPr>
                <w:rFonts w:cs="宋体"/>
                <w:color w:val="auto"/>
                <w:szCs w:val="21"/>
                <w:highlight w:val="none"/>
              </w:rPr>
            </w:pPr>
          </w:p>
        </w:tc>
        <w:tc>
          <w:tcPr>
            <w:tcW w:w="569" w:type="pct"/>
            <w:vAlign w:val="center"/>
          </w:tcPr>
          <w:p w14:paraId="275115F0">
            <w:pPr>
              <w:jc w:val="center"/>
              <w:rPr>
                <w:rFonts w:cs="宋体"/>
                <w:color w:val="auto"/>
                <w:szCs w:val="21"/>
                <w:highlight w:val="none"/>
              </w:rPr>
            </w:pPr>
          </w:p>
        </w:tc>
        <w:tc>
          <w:tcPr>
            <w:tcW w:w="519" w:type="pct"/>
            <w:vAlign w:val="center"/>
          </w:tcPr>
          <w:p w14:paraId="5B96CB07">
            <w:pPr>
              <w:jc w:val="center"/>
              <w:rPr>
                <w:rFonts w:cs="宋体"/>
                <w:color w:val="auto"/>
                <w:szCs w:val="21"/>
                <w:highlight w:val="none"/>
              </w:rPr>
            </w:pPr>
          </w:p>
        </w:tc>
      </w:tr>
      <w:tr w14:paraId="71C0CC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vAlign w:val="center"/>
          </w:tcPr>
          <w:p w14:paraId="17A69332">
            <w:pPr>
              <w:jc w:val="center"/>
              <w:rPr>
                <w:rFonts w:cs="宋体"/>
                <w:color w:val="auto"/>
                <w:szCs w:val="21"/>
                <w:highlight w:val="none"/>
              </w:rPr>
            </w:pPr>
          </w:p>
        </w:tc>
        <w:tc>
          <w:tcPr>
            <w:tcW w:w="792" w:type="pct"/>
            <w:vAlign w:val="center"/>
          </w:tcPr>
          <w:p w14:paraId="4D9160B0">
            <w:pPr>
              <w:jc w:val="center"/>
              <w:rPr>
                <w:rFonts w:cs="宋体"/>
                <w:color w:val="auto"/>
                <w:szCs w:val="21"/>
                <w:highlight w:val="none"/>
              </w:rPr>
            </w:pPr>
          </w:p>
        </w:tc>
        <w:tc>
          <w:tcPr>
            <w:tcW w:w="474" w:type="pct"/>
            <w:vAlign w:val="center"/>
          </w:tcPr>
          <w:p w14:paraId="76189914">
            <w:pPr>
              <w:jc w:val="center"/>
              <w:rPr>
                <w:rFonts w:cs="宋体"/>
                <w:color w:val="auto"/>
                <w:szCs w:val="21"/>
                <w:highlight w:val="none"/>
              </w:rPr>
            </w:pPr>
          </w:p>
        </w:tc>
        <w:tc>
          <w:tcPr>
            <w:tcW w:w="396" w:type="pct"/>
            <w:vAlign w:val="center"/>
          </w:tcPr>
          <w:p w14:paraId="3001C107">
            <w:pPr>
              <w:jc w:val="center"/>
              <w:rPr>
                <w:rFonts w:cs="宋体"/>
                <w:color w:val="auto"/>
                <w:szCs w:val="21"/>
                <w:highlight w:val="none"/>
              </w:rPr>
            </w:pPr>
          </w:p>
        </w:tc>
        <w:tc>
          <w:tcPr>
            <w:tcW w:w="474" w:type="pct"/>
            <w:vAlign w:val="center"/>
          </w:tcPr>
          <w:p w14:paraId="1CCFE88F">
            <w:pPr>
              <w:jc w:val="center"/>
              <w:rPr>
                <w:rFonts w:cs="宋体"/>
                <w:color w:val="auto"/>
                <w:szCs w:val="21"/>
                <w:highlight w:val="none"/>
              </w:rPr>
            </w:pPr>
          </w:p>
        </w:tc>
        <w:tc>
          <w:tcPr>
            <w:tcW w:w="537" w:type="pct"/>
            <w:vAlign w:val="center"/>
          </w:tcPr>
          <w:p w14:paraId="206CE8E8">
            <w:pPr>
              <w:jc w:val="center"/>
              <w:rPr>
                <w:rFonts w:cs="宋体"/>
                <w:color w:val="auto"/>
                <w:szCs w:val="21"/>
                <w:highlight w:val="none"/>
              </w:rPr>
            </w:pPr>
          </w:p>
        </w:tc>
        <w:tc>
          <w:tcPr>
            <w:tcW w:w="827" w:type="pct"/>
            <w:vAlign w:val="center"/>
          </w:tcPr>
          <w:p w14:paraId="29849C3A">
            <w:pPr>
              <w:jc w:val="center"/>
              <w:rPr>
                <w:rFonts w:cs="宋体"/>
                <w:color w:val="auto"/>
                <w:szCs w:val="21"/>
                <w:highlight w:val="none"/>
              </w:rPr>
            </w:pPr>
          </w:p>
        </w:tc>
        <w:tc>
          <w:tcPr>
            <w:tcW w:w="569" w:type="pct"/>
            <w:vAlign w:val="center"/>
          </w:tcPr>
          <w:p w14:paraId="18DD0C8D">
            <w:pPr>
              <w:jc w:val="center"/>
              <w:rPr>
                <w:rFonts w:cs="宋体"/>
                <w:color w:val="auto"/>
                <w:szCs w:val="21"/>
                <w:highlight w:val="none"/>
              </w:rPr>
            </w:pPr>
          </w:p>
        </w:tc>
        <w:tc>
          <w:tcPr>
            <w:tcW w:w="519" w:type="pct"/>
            <w:vAlign w:val="center"/>
          </w:tcPr>
          <w:p w14:paraId="618D85AF">
            <w:pPr>
              <w:jc w:val="center"/>
              <w:rPr>
                <w:rFonts w:cs="宋体"/>
                <w:color w:val="auto"/>
                <w:szCs w:val="21"/>
                <w:highlight w:val="none"/>
              </w:rPr>
            </w:pPr>
          </w:p>
        </w:tc>
      </w:tr>
      <w:tr w14:paraId="27B99C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412" w:type="pct"/>
            <w:tcBorders>
              <w:bottom w:val="single" w:color="auto" w:sz="12" w:space="0"/>
            </w:tcBorders>
            <w:vAlign w:val="center"/>
          </w:tcPr>
          <w:p w14:paraId="1E4AEDC3">
            <w:pPr>
              <w:jc w:val="center"/>
              <w:rPr>
                <w:rFonts w:cs="宋体"/>
                <w:color w:val="auto"/>
                <w:szCs w:val="21"/>
                <w:highlight w:val="none"/>
              </w:rPr>
            </w:pPr>
          </w:p>
        </w:tc>
        <w:tc>
          <w:tcPr>
            <w:tcW w:w="792" w:type="pct"/>
            <w:tcBorders>
              <w:bottom w:val="single" w:color="auto" w:sz="12" w:space="0"/>
            </w:tcBorders>
            <w:vAlign w:val="center"/>
          </w:tcPr>
          <w:p w14:paraId="18A02A04">
            <w:pPr>
              <w:jc w:val="center"/>
              <w:rPr>
                <w:rFonts w:cs="宋体"/>
                <w:color w:val="auto"/>
                <w:szCs w:val="21"/>
                <w:highlight w:val="none"/>
              </w:rPr>
            </w:pPr>
          </w:p>
        </w:tc>
        <w:tc>
          <w:tcPr>
            <w:tcW w:w="474" w:type="pct"/>
            <w:tcBorders>
              <w:bottom w:val="single" w:color="auto" w:sz="12" w:space="0"/>
            </w:tcBorders>
            <w:vAlign w:val="center"/>
          </w:tcPr>
          <w:p w14:paraId="16A3779B">
            <w:pPr>
              <w:jc w:val="center"/>
              <w:rPr>
                <w:rFonts w:cs="宋体"/>
                <w:color w:val="auto"/>
                <w:szCs w:val="21"/>
                <w:highlight w:val="none"/>
              </w:rPr>
            </w:pPr>
          </w:p>
        </w:tc>
        <w:tc>
          <w:tcPr>
            <w:tcW w:w="396" w:type="pct"/>
            <w:tcBorders>
              <w:bottom w:val="single" w:color="auto" w:sz="12" w:space="0"/>
            </w:tcBorders>
            <w:vAlign w:val="center"/>
          </w:tcPr>
          <w:p w14:paraId="7C6C8963">
            <w:pPr>
              <w:jc w:val="center"/>
              <w:rPr>
                <w:rFonts w:cs="宋体"/>
                <w:color w:val="auto"/>
                <w:szCs w:val="21"/>
                <w:highlight w:val="none"/>
              </w:rPr>
            </w:pPr>
          </w:p>
        </w:tc>
        <w:tc>
          <w:tcPr>
            <w:tcW w:w="474" w:type="pct"/>
            <w:tcBorders>
              <w:bottom w:val="single" w:color="auto" w:sz="12" w:space="0"/>
            </w:tcBorders>
            <w:vAlign w:val="center"/>
          </w:tcPr>
          <w:p w14:paraId="4234BBD0">
            <w:pPr>
              <w:jc w:val="center"/>
              <w:rPr>
                <w:rFonts w:cs="宋体"/>
                <w:color w:val="auto"/>
                <w:szCs w:val="21"/>
                <w:highlight w:val="none"/>
              </w:rPr>
            </w:pPr>
          </w:p>
        </w:tc>
        <w:tc>
          <w:tcPr>
            <w:tcW w:w="537" w:type="pct"/>
            <w:tcBorders>
              <w:bottom w:val="single" w:color="auto" w:sz="12" w:space="0"/>
            </w:tcBorders>
            <w:vAlign w:val="center"/>
          </w:tcPr>
          <w:p w14:paraId="2419101B">
            <w:pPr>
              <w:jc w:val="center"/>
              <w:rPr>
                <w:rFonts w:cs="宋体"/>
                <w:color w:val="auto"/>
                <w:szCs w:val="21"/>
                <w:highlight w:val="none"/>
              </w:rPr>
            </w:pPr>
          </w:p>
        </w:tc>
        <w:tc>
          <w:tcPr>
            <w:tcW w:w="827" w:type="pct"/>
            <w:tcBorders>
              <w:bottom w:val="single" w:color="auto" w:sz="12" w:space="0"/>
            </w:tcBorders>
            <w:vAlign w:val="center"/>
          </w:tcPr>
          <w:p w14:paraId="37E4D7C6">
            <w:pPr>
              <w:jc w:val="center"/>
              <w:rPr>
                <w:rFonts w:cs="宋体"/>
                <w:color w:val="auto"/>
                <w:szCs w:val="21"/>
                <w:highlight w:val="none"/>
              </w:rPr>
            </w:pPr>
          </w:p>
        </w:tc>
        <w:tc>
          <w:tcPr>
            <w:tcW w:w="569" w:type="pct"/>
            <w:tcBorders>
              <w:bottom w:val="single" w:color="auto" w:sz="12" w:space="0"/>
            </w:tcBorders>
            <w:vAlign w:val="center"/>
          </w:tcPr>
          <w:p w14:paraId="11F2D6EF">
            <w:pPr>
              <w:jc w:val="center"/>
              <w:rPr>
                <w:rFonts w:cs="宋体"/>
                <w:color w:val="auto"/>
                <w:szCs w:val="21"/>
                <w:highlight w:val="none"/>
              </w:rPr>
            </w:pPr>
          </w:p>
        </w:tc>
        <w:tc>
          <w:tcPr>
            <w:tcW w:w="519" w:type="pct"/>
            <w:tcBorders>
              <w:bottom w:val="single" w:color="auto" w:sz="12" w:space="0"/>
            </w:tcBorders>
            <w:vAlign w:val="center"/>
          </w:tcPr>
          <w:p w14:paraId="0AEB8917">
            <w:pPr>
              <w:jc w:val="center"/>
              <w:rPr>
                <w:rFonts w:cs="宋体"/>
                <w:color w:val="auto"/>
                <w:szCs w:val="21"/>
                <w:highlight w:val="none"/>
              </w:rPr>
            </w:pPr>
          </w:p>
        </w:tc>
      </w:tr>
    </w:tbl>
    <w:p w14:paraId="78BF3D10">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598" w:name="_Toc128950241"/>
      <w:r>
        <w:rPr>
          <w:rFonts w:hint="eastAsia" w:ascii="Times New Roman" w:eastAsia="黑体"/>
          <w:color w:val="auto"/>
          <w:szCs w:val="24"/>
          <w:highlight w:val="none"/>
        </w:rPr>
        <w:t>附</w:t>
      </w:r>
      <w:bookmarkStart w:id="599" w:name="_Toc296347227"/>
      <w:bookmarkStart w:id="600" w:name="_Toc296503228"/>
      <w:bookmarkStart w:id="601" w:name="_Toc296346729"/>
      <w:bookmarkStart w:id="602" w:name="_Toc296891056"/>
      <w:bookmarkStart w:id="603" w:name="_Toc267261699"/>
      <w:bookmarkStart w:id="604" w:name="_Toc296944567"/>
      <w:bookmarkStart w:id="605" w:name="_Toc296891268"/>
      <w:r>
        <w:rPr>
          <w:rFonts w:hint="eastAsia" w:ascii="Times New Roman" w:eastAsia="黑体"/>
          <w:color w:val="auto"/>
          <w:szCs w:val="24"/>
          <w:highlight w:val="none"/>
        </w:rPr>
        <w:t>件</w:t>
      </w:r>
      <w:bookmarkEnd w:id="599"/>
      <w:bookmarkEnd w:id="600"/>
      <w:bookmarkEnd w:id="601"/>
      <w:bookmarkEnd w:id="602"/>
      <w:bookmarkEnd w:id="603"/>
      <w:bookmarkEnd w:id="604"/>
      <w:bookmarkEnd w:id="605"/>
      <w:r>
        <w:rPr>
          <w:rFonts w:ascii="Times New Roman" w:eastAsia="黑体"/>
          <w:color w:val="auto"/>
          <w:szCs w:val="24"/>
          <w:highlight w:val="none"/>
        </w:rPr>
        <w:t>6</w:t>
      </w:r>
      <w:r>
        <w:rPr>
          <w:rFonts w:hint="eastAsia" w:ascii="Times New Roman" w:eastAsia="黑体"/>
          <w:color w:val="auto"/>
          <w:szCs w:val="24"/>
          <w:highlight w:val="none"/>
        </w:rPr>
        <w:t>：承包人主要施工管理人员表</w:t>
      </w:r>
      <w:bookmarkEnd w:id="598"/>
    </w:p>
    <w:p w14:paraId="3A2B35A4">
      <w:pPr>
        <w:spacing w:line="360" w:lineRule="auto"/>
        <w:jc w:val="center"/>
        <w:rPr>
          <w:rFonts w:cs="宋体"/>
          <w:color w:val="auto"/>
          <w:highlight w:val="none"/>
        </w:rPr>
      </w:pPr>
      <w:r>
        <w:rPr>
          <w:rFonts w:hint="eastAsia" w:cs="宋体"/>
          <w:color w:val="auto"/>
          <w:highlight w:val="none"/>
        </w:rPr>
        <w:t>承包人主要施工管理人员表</w:t>
      </w:r>
    </w:p>
    <w:tbl>
      <w:tblPr>
        <w:tblStyle w:val="5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566"/>
        <w:gridCol w:w="1049"/>
        <w:gridCol w:w="840"/>
        <w:gridCol w:w="840"/>
        <w:gridCol w:w="2142"/>
        <w:gridCol w:w="1925"/>
      </w:tblGrid>
      <w:tr w14:paraId="38043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tcBorders>
              <w:top w:val="single" w:color="auto" w:sz="12" w:space="0"/>
              <w:bottom w:val="double" w:color="auto" w:sz="6" w:space="0"/>
            </w:tcBorders>
            <w:vAlign w:val="center"/>
          </w:tcPr>
          <w:p w14:paraId="5EA66760">
            <w:pPr>
              <w:keepNext/>
              <w:spacing w:line="360" w:lineRule="auto"/>
              <w:jc w:val="center"/>
              <w:rPr>
                <w:rFonts w:cs="宋体"/>
                <w:color w:val="auto"/>
                <w:szCs w:val="21"/>
                <w:highlight w:val="none"/>
              </w:rPr>
            </w:pPr>
            <w:r>
              <w:rPr>
                <w:rFonts w:hint="eastAsia" w:cs="宋体"/>
                <w:color w:val="auto"/>
                <w:szCs w:val="21"/>
                <w:highlight w:val="none"/>
              </w:rPr>
              <w:t>名称</w:t>
            </w:r>
          </w:p>
        </w:tc>
        <w:tc>
          <w:tcPr>
            <w:tcW w:w="627" w:type="pct"/>
            <w:tcBorders>
              <w:top w:val="single" w:color="auto" w:sz="12" w:space="0"/>
              <w:bottom w:val="double" w:color="auto" w:sz="6" w:space="0"/>
            </w:tcBorders>
            <w:vAlign w:val="center"/>
          </w:tcPr>
          <w:p w14:paraId="69C822E2">
            <w:pPr>
              <w:keepNext/>
              <w:spacing w:line="360" w:lineRule="auto"/>
              <w:jc w:val="center"/>
              <w:rPr>
                <w:rFonts w:cs="宋体"/>
                <w:color w:val="auto"/>
                <w:szCs w:val="21"/>
                <w:highlight w:val="none"/>
              </w:rPr>
            </w:pPr>
            <w:r>
              <w:rPr>
                <w:rFonts w:hint="eastAsia" w:cs="宋体"/>
                <w:color w:val="auto"/>
                <w:szCs w:val="21"/>
                <w:highlight w:val="none"/>
              </w:rPr>
              <w:t>姓名</w:t>
            </w:r>
          </w:p>
        </w:tc>
        <w:tc>
          <w:tcPr>
            <w:tcW w:w="502" w:type="pct"/>
            <w:tcBorders>
              <w:top w:val="single" w:color="auto" w:sz="12" w:space="0"/>
              <w:bottom w:val="double" w:color="auto" w:sz="6" w:space="0"/>
            </w:tcBorders>
            <w:vAlign w:val="center"/>
          </w:tcPr>
          <w:p w14:paraId="2B4E4270">
            <w:pPr>
              <w:keepNext/>
              <w:spacing w:line="360" w:lineRule="auto"/>
              <w:jc w:val="center"/>
              <w:rPr>
                <w:rFonts w:cs="宋体"/>
                <w:color w:val="auto"/>
                <w:szCs w:val="21"/>
                <w:highlight w:val="none"/>
              </w:rPr>
            </w:pPr>
            <w:r>
              <w:rPr>
                <w:rFonts w:hint="eastAsia" w:cs="宋体"/>
                <w:color w:val="auto"/>
                <w:szCs w:val="21"/>
                <w:highlight w:val="none"/>
              </w:rPr>
              <w:t>职务</w:t>
            </w:r>
          </w:p>
        </w:tc>
        <w:tc>
          <w:tcPr>
            <w:tcW w:w="502" w:type="pct"/>
            <w:tcBorders>
              <w:top w:val="single" w:color="auto" w:sz="12" w:space="0"/>
              <w:bottom w:val="double" w:color="auto" w:sz="6" w:space="0"/>
            </w:tcBorders>
            <w:vAlign w:val="center"/>
          </w:tcPr>
          <w:p w14:paraId="27693F60">
            <w:pPr>
              <w:keepNext/>
              <w:spacing w:line="360" w:lineRule="auto"/>
              <w:jc w:val="center"/>
              <w:rPr>
                <w:rFonts w:cs="宋体"/>
                <w:color w:val="auto"/>
                <w:szCs w:val="21"/>
                <w:highlight w:val="none"/>
              </w:rPr>
            </w:pPr>
            <w:r>
              <w:rPr>
                <w:rFonts w:hint="eastAsia" w:cs="宋体"/>
                <w:color w:val="auto"/>
                <w:szCs w:val="21"/>
                <w:highlight w:val="none"/>
              </w:rPr>
              <w:t>职称</w:t>
            </w:r>
          </w:p>
        </w:tc>
        <w:tc>
          <w:tcPr>
            <w:tcW w:w="1281" w:type="pct"/>
            <w:tcBorders>
              <w:top w:val="single" w:color="auto" w:sz="12" w:space="0"/>
              <w:bottom w:val="double" w:color="auto" w:sz="6" w:space="0"/>
            </w:tcBorders>
            <w:vAlign w:val="center"/>
          </w:tcPr>
          <w:p w14:paraId="57F14844">
            <w:pPr>
              <w:keepNext/>
              <w:spacing w:line="360" w:lineRule="auto"/>
              <w:jc w:val="center"/>
              <w:rPr>
                <w:rFonts w:cs="宋体"/>
                <w:color w:val="auto"/>
                <w:szCs w:val="21"/>
                <w:highlight w:val="none"/>
              </w:rPr>
            </w:pPr>
            <w:r>
              <w:rPr>
                <w:rFonts w:hint="eastAsia" w:cs="宋体"/>
                <w:color w:val="auto"/>
                <w:szCs w:val="21"/>
                <w:highlight w:val="none"/>
              </w:rPr>
              <w:t>主要资历、经验及承担过的项目</w:t>
            </w:r>
          </w:p>
        </w:tc>
        <w:tc>
          <w:tcPr>
            <w:tcW w:w="1151" w:type="pct"/>
            <w:tcBorders>
              <w:top w:val="single" w:color="auto" w:sz="12" w:space="0"/>
              <w:bottom w:val="double" w:color="auto" w:sz="6" w:space="0"/>
            </w:tcBorders>
            <w:vAlign w:val="center"/>
          </w:tcPr>
          <w:p w14:paraId="04970DAD">
            <w:pPr>
              <w:keepNext/>
              <w:spacing w:line="360" w:lineRule="auto"/>
              <w:jc w:val="center"/>
              <w:rPr>
                <w:rFonts w:cs="宋体"/>
                <w:color w:val="auto"/>
                <w:szCs w:val="21"/>
                <w:highlight w:val="none"/>
              </w:rPr>
            </w:pPr>
            <w:r>
              <w:rPr>
                <w:rFonts w:hint="eastAsia" w:cs="宋体"/>
                <w:color w:val="auto"/>
                <w:szCs w:val="21"/>
                <w:highlight w:val="none"/>
              </w:rPr>
              <w:t>身份证号码</w:t>
            </w:r>
          </w:p>
        </w:tc>
      </w:tr>
      <w:tr w14:paraId="383786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9" w:type="pct"/>
            <w:gridSpan w:val="5"/>
            <w:tcBorders>
              <w:top w:val="double" w:color="auto" w:sz="6" w:space="0"/>
            </w:tcBorders>
            <w:vAlign w:val="center"/>
          </w:tcPr>
          <w:p w14:paraId="73B01442">
            <w:pPr>
              <w:keepNext/>
              <w:spacing w:line="360" w:lineRule="auto"/>
              <w:jc w:val="center"/>
              <w:rPr>
                <w:rFonts w:cs="宋体"/>
                <w:color w:val="auto"/>
                <w:szCs w:val="21"/>
                <w:highlight w:val="none"/>
              </w:rPr>
            </w:pPr>
            <w:r>
              <w:rPr>
                <w:rFonts w:hint="eastAsia" w:cs="宋体"/>
                <w:color w:val="auto"/>
                <w:szCs w:val="21"/>
                <w:highlight w:val="none"/>
              </w:rPr>
              <w:t>一、总部人员</w:t>
            </w:r>
          </w:p>
        </w:tc>
        <w:tc>
          <w:tcPr>
            <w:tcW w:w="1151" w:type="pct"/>
            <w:tcBorders>
              <w:top w:val="double" w:color="auto" w:sz="6" w:space="0"/>
            </w:tcBorders>
            <w:vAlign w:val="center"/>
          </w:tcPr>
          <w:p w14:paraId="2A60904E">
            <w:pPr>
              <w:keepNext/>
              <w:spacing w:line="360" w:lineRule="auto"/>
              <w:jc w:val="center"/>
              <w:rPr>
                <w:rFonts w:cs="宋体"/>
                <w:color w:val="auto"/>
                <w:szCs w:val="21"/>
                <w:highlight w:val="none"/>
              </w:rPr>
            </w:pPr>
          </w:p>
        </w:tc>
      </w:tr>
      <w:tr w14:paraId="6699B2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tcBorders>
              <w:top w:val="nil"/>
              <w:bottom w:val="nil"/>
            </w:tcBorders>
            <w:vAlign w:val="center"/>
          </w:tcPr>
          <w:p w14:paraId="2CE45A7C">
            <w:pPr>
              <w:spacing w:line="360" w:lineRule="auto"/>
              <w:jc w:val="center"/>
              <w:rPr>
                <w:rFonts w:cs="宋体"/>
                <w:color w:val="auto"/>
                <w:szCs w:val="21"/>
                <w:highlight w:val="none"/>
              </w:rPr>
            </w:pPr>
            <w:r>
              <w:rPr>
                <w:rFonts w:hint="eastAsia" w:cs="宋体"/>
                <w:color w:val="auto"/>
                <w:szCs w:val="21"/>
                <w:highlight w:val="none"/>
              </w:rPr>
              <w:t>项目主管</w:t>
            </w:r>
          </w:p>
        </w:tc>
        <w:tc>
          <w:tcPr>
            <w:tcW w:w="627" w:type="pct"/>
            <w:tcBorders>
              <w:top w:val="nil"/>
            </w:tcBorders>
            <w:vAlign w:val="center"/>
          </w:tcPr>
          <w:p w14:paraId="6AF4F0BC">
            <w:pPr>
              <w:keepNext/>
              <w:spacing w:line="360" w:lineRule="auto"/>
              <w:jc w:val="center"/>
              <w:rPr>
                <w:rFonts w:cs="宋体"/>
                <w:color w:val="auto"/>
                <w:szCs w:val="21"/>
                <w:highlight w:val="none"/>
              </w:rPr>
            </w:pPr>
          </w:p>
        </w:tc>
        <w:tc>
          <w:tcPr>
            <w:tcW w:w="502" w:type="pct"/>
            <w:tcBorders>
              <w:top w:val="nil"/>
            </w:tcBorders>
            <w:vAlign w:val="center"/>
          </w:tcPr>
          <w:p w14:paraId="4EB5A1F6">
            <w:pPr>
              <w:keepNext/>
              <w:spacing w:line="360" w:lineRule="auto"/>
              <w:jc w:val="center"/>
              <w:rPr>
                <w:rFonts w:cs="宋体"/>
                <w:color w:val="auto"/>
                <w:szCs w:val="21"/>
                <w:highlight w:val="none"/>
              </w:rPr>
            </w:pPr>
          </w:p>
        </w:tc>
        <w:tc>
          <w:tcPr>
            <w:tcW w:w="502" w:type="pct"/>
            <w:tcBorders>
              <w:top w:val="nil"/>
            </w:tcBorders>
            <w:vAlign w:val="center"/>
          </w:tcPr>
          <w:p w14:paraId="4E835071">
            <w:pPr>
              <w:keepNext/>
              <w:spacing w:line="360" w:lineRule="auto"/>
              <w:jc w:val="center"/>
              <w:rPr>
                <w:rFonts w:cs="宋体"/>
                <w:color w:val="auto"/>
                <w:szCs w:val="21"/>
                <w:highlight w:val="none"/>
              </w:rPr>
            </w:pPr>
          </w:p>
        </w:tc>
        <w:tc>
          <w:tcPr>
            <w:tcW w:w="1281" w:type="pct"/>
            <w:tcBorders>
              <w:top w:val="nil"/>
            </w:tcBorders>
            <w:vAlign w:val="center"/>
          </w:tcPr>
          <w:p w14:paraId="2DAD74D6">
            <w:pPr>
              <w:keepNext/>
              <w:spacing w:line="360" w:lineRule="auto"/>
              <w:jc w:val="center"/>
              <w:rPr>
                <w:rFonts w:cs="宋体"/>
                <w:color w:val="auto"/>
                <w:szCs w:val="21"/>
                <w:highlight w:val="none"/>
              </w:rPr>
            </w:pPr>
          </w:p>
        </w:tc>
        <w:tc>
          <w:tcPr>
            <w:tcW w:w="1151" w:type="pct"/>
            <w:tcBorders>
              <w:top w:val="nil"/>
            </w:tcBorders>
            <w:vAlign w:val="center"/>
          </w:tcPr>
          <w:p w14:paraId="115DD154">
            <w:pPr>
              <w:keepNext/>
              <w:spacing w:line="360" w:lineRule="auto"/>
              <w:jc w:val="center"/>
              <w:rPr>
                <w:rFonts w:cs="宋体"/>
                <w:color w:val="auto"/>
                <w:szCs w:val="21"/>
                <w:highlight w:val="none"/>
              </w:rPr>
            </w:pPr>
          </w:p>
        </w:tc>
      </w:tr>
      <w:tr w14:paraId="0283E3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restart"/>
            <w:vAlign w:val="center"/>
          </w:tcPr>
          <w:p w14:paraId="37B0031E">
            <w:pPr>
              <w:spacing w:line="360" w:lineRule="auto"/>
              <w:jc w:val="center"/>
              <w:rPr>
                <w:rFonts w:cs="宋体"/>
                <w:color w:val="auto"/>
                <w:szCs w:val="21"/>
                <w:highlight w:val="none"/>
              </w:rPr>
            </w:pPr>
            <w:r>
              <w:rPr>
                <w:rFonts w:hint="eastAsia" w:cs="宋体"/>
                <w:color w:val="auto"/>
                <w:szCs w:val="21"/>
                <w:highlight w:val="none"/>
              </w:rPr>
              <w:t>其他人员</w:t>
            </w:r>
          </w:p>
        </w:tc>
        <w:tc>
          <w:tcPr>
            <w:tcW w:w="627" w:type="pct"/>
            <w:vAlign w:val="center"/>
          </w:tcPr>
          <w:p w14:paraId="39C59DE3">
            <w:pPr>
              <w:keepNext/>
              <w:spacing w:line="360" w:lineRule="auto"/>
              <w:jc w:val="center"/>
              <w:rPr>
                <w:rFonts w:cs="宋体"/>
                <w:color w:val="auto"/>
                <w:szCs w:val="21"/>
                <w:highlight w:val="none"/>
              </w:rPr>
            </w:pPr>
          </w:p>
        </w:tc>
        <w:tc>
          <w:tcPr>
            <w:tcW w:w="502" w:type="pct"/>
            <w:vAlign w:val="center"/>
          </w:tcPr>
          <w:p w14:paraId="1442F977">
            <w:pPr>
              <w:keepNext/>
              <w:spacing w:line="360" w:lineRule="auto"/>
              <w:jc w:val="center"/>
              <w:rPr>
                <w:rFonts w:cs="宋体"/>
                <w:color w:val="auto"/>
                <w:szCs w:val="21"/>
                <w:highlight w:val="none"/>
              </w:rPr>
            </w:pPr>
          </w:p>
        </w:tc>
        <w:tc>
          <w:tcPr>
            <w:tcW w:w="502" w:type="pct"/>
            <w:vAlign w:val="center"/>
          </w:tcPr>
          <w:p w14:paraId="1F13BCC4">
            <w:pPr>
              <w:keepNext/>
              <w:spacing w:line="360" w:lineRule="auto"/>
              <w:jc w:val="center"/>
              <w:rPr>
                <w:rFonts w:cs="宋体"/>
                <w:color w:val="auto"/>
                <w:szCs w:val="21"/>
                <w:highlight w:val="none"/>
              </w:rPr>
            </w:pPr>
          </w:p>
        </w:tc>
        <w:tc>
          <w:tcPr>
            <w:tcW w:w="1281" w:type="pct"/>
            <w:vAlign w:val="center"/>
          </w:tcPr>
          <w:p w14:paraId="609A2DF1">
            <w:pPr>
              <w:keepNext/>
              <w:spacing w:line="360" w:lineRule="auto"/>
              <w:jc w:val="center"/>
              <w:rPr>
                <w:rFonts w:cs="宋体"/>
                <w:color w:val="auto"/>
                <w:szCs w:val="21"/>
                <w:highlight w:val="none"/>
              </w:rPr>
            </w:pPr>
          </w:p>
        </w:tc>
        <w:tc>
          <w:tcPr>
            <w:tcW w:w="1151" w:type="pct"/>
            <w:vAlign w:val="center"/>
          </w:tcPr>
          <w:p w14:paraId="163DB7E7">
            <w:pPr>
              <w:keepNext/>
              <w:spacing w:line="360" w:lineRule="auto"/>
              <w:jc w:val="center"/>
              <w:rPr>
                <w:rFonts w:cs="宋体"/>
                <w:color w:val="auto"/>
                <w:szCs w:val="21"/>
                <w:highlight w:val="none"/>
              </w:rPr>
            </w:pPr>
          </w:p>
        </w:tc>
      </w:tr>
      <w:tr w14:paraId="32C457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206D71DE">
            <w:pPr>
              <w:spacing w:line="360" w:lineRule="auto"/>
              <w:jc w:val="center"/>
              <w:rPr>
                <w:rFonts w:cs="宋体"/>
                <w:color w:val="auto"/>
                <w:szCs w:val="21"/>
                <w:highlight w:val="none"/>
              </w:rPr>
            </w:pPr>
          </w:p>
        </w:tc>
        <w:tc>
          <w:tcPr>
            <w:tcW w:w="627" w:type="pct"/>
            <w:vAlign w:val="center"/>
          </w:tcPr>
          <w:p w14:paraId="41D7A365">
            <w:pPr>
              <w:keepNext/>
              <w:spacing w:line="360" w:lineRule="auto"/>
              <w:jc w:val="center"/>
              <w:rPr>
                <w:rFonts w:cs="宋体"/>
                <w:color w:val="auto"/>
                <w:szCs w:val="21"/>
                <w:highlight w:val="none"/>
              </w:rPr>
            </w:pPr>
          </w:p>
        </w:tc>
        <w:tc>
          <w:tcPr>
            <w:tcW w:w="502" w:type="pct"/>
            <w:vAlign w:val="center"/>
          </w:tcPr>
          <w:p w14:paraId="43BF31B3">
            <w:pPr>
              <w:keepNext/>
              <w:spacing w:line="360" w:lineRule="auto"/>
              <w:jc w:val="center"/>
              <w:rPr>
                <w:rFonts w:cs="宋体"/>
                <w:color w:val="auto"/>
                <w:szCs w:val="21"/>
                <w:highlight w:val="none"/>
              </w:rPr>
            </w:pPr>
          </w:p>
        </w:tc>
        <w:tc>
          <w:tcPr>
            <w:tcW w:w="502" w:type="pct"/>
            <w:vAlign w:val="center"/>
          </w:tcPr>
          <w:p w14:paraId="38E2A69D">
            <w:pPr>
              <w:keepNext/>
              <w:spacing w:line="360" w:lineRule="auto"/>
              <w:jc w:val="center"/>
              <w:rPr>
                <w:rFonts w:cs="宋体"/>
                <w:color w:val="auto"/>
                <w:szCs w:val="21"/>
                <w:highlight w:val="none"/>
              </w:rPr>
            </w:pPr>
          </w:p>
        </w:tc>
        <w:tc>
          <w:tcPr>
            <w:tcW w:w="1281" w:type="pct"/>
            <w:vAlign w:val="center"/>
          </w:tcPr>
          <w:p w14:paraId="03900E02">
            <w:pPr>
              <w:keepNext/>
              <w:spacing w:line="360" w:lineRule="auto"/>
              <w:jc w:val="center"/>
              <w:rPr>
                <w:rFonts w:cs="宋体"/>
                <w:color w:val="auto"/>
                <w:szCs w:val="21"/>
                <w:highlight w:val="none"/>
              </w:rPr>
            </w:pPr>
          </w:p>
        </w:tc>
        <w:tc>
          <w:tcPr>
            <w:tcW w:w="1151" w:type="pct"/>
            <w:vAlign w:val="center"/>
          </w:tcPr>
          <w:p w14:paraId="5C6B9248">
            <w:pPr>
              <w:keepNext/>
              <w:spacing w:line="360" w:lineRule="auto"/>
              <w:jc w:val="center"/>
              <w:rPr>
                <w:rFonts w:cs="宋体"/>
                <w:color w:val="auto"/>
                <w:szCs w:val="21"/>
                <w:highlight w:val="none"/>
              </w:rPr>
            </w:pPr>
          </w:p>
        </w:tc>
      </w:tr>
      <w:tr w14:paraId="185923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tcBorders>
              <w:bottom w:val="nil"/>
            </w:tcBorders>
            <w:vAlign w:val="center"/>
          </w:tcPr>
          <w:p w14:paraId="373AC3D8">
            <w:pPr>
              <w:spacing w:line="360" w:lineRule="auto"/>
              <w:jc w:val="center"/>
              <w:rPr>
                <w:rFonts w:cs="宋体"/>
                <w:color w:val="auto"/>
                <w:szCs w:val="21"/>
                <w:highlight w:val="none"/>
              </w:rPr>
            </w:pPr>
          </w:p>
        </w:tc>
        <w:tc>
          <w:tcPr>
            <w:tcW w:w="627" w:type="pct"/>
            <w:vAlign w:val="center"/>
          </w:tcPr>
          <w:p w14:paraId="63C4069E">
            <w:pPr>
              <w:keepNext/>
              <w:spacing w:line="360" w:lineRule="auto"/>
              <w:jc w:val="center"/>
              <w:rPr>
                <w:rFonts w:cs="宋体"/>
                <w:color w:val="auto"/>
                <w:szCs w:val="21"/>
                <w:highlight w:val="none"/>
              </w:rPr>
            </w:pPr>
          </w:p>
        </w:tc>
        <w:tc>
          <w:tcPr>
            <w:tcW w:w="502" w:type="pct"/>
            <w:vAlign w:val="center"/>
          </w:tcPr>
          <w:p w14:paraId="33D2546F">
            <w:pPr>
              <w:keepNext/>
              <w:spacing w:line="360" w:lineRule="auto"/>
              <w:jc w:val="center"/>
              <w:rPr>
                <w:rFonts w:cs="宋体"/>
                <w:color w:val="auto"/>
                <w:szCs w:val="21"/>
                <w:highlight w:val="none"/>
              </w:rPr>
            </w:pPr>
          </w:p>
        </w:tc>
        <w:tc>
          <w:tcPr>
            <w:tcW w:w="502" w:type="pct"/>
            <w:vAlign w:val="center"/>
          </w:tcPr>
          <w:p w14:paraId="4406B6DE">
            <w:pPr>
              <w:keepNext/>
              <w:spacing w:line="360" w:lineRule="auto"/>
              <w:jc w:val="center"/>
              <w:rPr>
                <w:rFonts w:cs="宋体"/>
                <w:color w:val="auto"/>
                <w:szCs w:val="21"/>
                <w:highlight w:val="none"/>
              </w:rPr>
            </w:pPr>
          </w:p>
        </w:tc>
        <w:tc>
          <w:tcPr>
            <w:tcW w:w="1281" w:type="pct"/>
            <w:vAlign w:val="center"/>
          </w:tcPr>
          <w:p w14:paraId="251DE271">
            <w:pPr>
              <w:keepNext/>
              <w:spacing w:line="360" w:lineRule="auto"/>
              <w:jc w:val="center"/>
              <w:rPr>
                <w:rFonts w:cs="宋体"/>
                <w:color w:val="auto"/>
                <w:szCs w:val="21"/>
                <w:highlight w:val="none"/>
              </w:rPr>
            </w:pPr>
          </w:p>
        </w:tc>
        <w:tc>
          <w:tcPr>
            <w:tcW w:w="1151" w:type="pct"/>
            <w:vAlign w:val="center"/>
          </w:tcPr>
          <w:p w14:paraId="695B15F1">
            <w:pPr>
              <w:keepNext/>
              <w:spacing w:line="360" w:lineRule="auto"/>
              <w:jc w:val="center"/>
              <w:rPr>
                <w:rFonts w:cs="宋体"/>
                <w:color w:val="auto"/>
                <w:szCs w:val="21"/>
                <w:highlight w:val="none"/>
              </w:rPr>
            </w:pPr>
          </w:p>
        </w:tc>
      </w:tr>
      <w:tr w14:paraId="1CDA4C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9" w:type="pct"/>
            <w:gridSpan w:val="5"/>
            <w:vAlign w:val="center"/>
          </w:tcPr>
          <w:p w14:paraId="77D85E16">
            <w:pPr>
              <w:keepNext/>
              <w:spacing w:line="360" w:lineRule="auto"/>
              <w:jc w:val="center"/>
              <w:rPr>
                <w:rFonts w:cs="宋体"/>
                <w:color w:val="auto"/>
                <w:szCs w:val="21"/>
                <w:highlight w:val="none"/>
              </w:rPr>
            </w:pPr>
            <w:r>
              <w:rPr>
                <w:rFonts w:hint="eastAsia" w:cs="宋体"/>
                <w:color w:val="auto"/>
                <w:szCs w:val="21"/>
                <w:highlight w:val="none"/>
              </w:rPr>
              <w:t>二、现场人员</w:t>
            </w:r>
          </w:p>
        </w:tc>
        <w:tc>
          <w:tcPr>
            <w:tcW w:w="1151" w:type="pct"/>
            <w:vAlign w:val="center"/>
          </w:tcPr>
          <w:p w14:paraId="23AC29E2">
            <w:pPr>
              <w:keepNext/>
              <w:spacing w:line="360" w:lineRule="auto"/>
              <w:jc w:val="center"/>
              <w:rPr>
                <w:rFonts w:cs="宋体"/>
                <w:color w:val="auto"/>
                <w:szCs w:val="21"/>
                <w:highlight w:val="none"/>
              </w:rPr>
            </w:pPr>
          </w:p>
        </w:tc>
      </w:tr>
      <w:tr w14:paraId="13912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59D75355">
            <w:pPr>
              <w:spacing w:line="360" w:lineRule="auto"/>
              <w:jc w:val="center"/>
              <w:rPr>
                <w:rFonts w:cs="宋体"/>
                <w:color w:val="auto"/>
                <w:szCs w:val="21"/>
                <w:highlight w:val="none"/>
              </w:rPr>
            </w:pPr>
            <w:r>
              <w:rPr>
                <w:rFonts w:hint="eastAsia" w:cs="宋体"/>
                <w:color w:val="auto"/>
                <w:szCs w:val="21"/>
                <w:highlight w:val="none"/>
              </w:rPr>
              <w:t>项目经理</w:t>
            </w:r>
          </w:p>
        </w:tc>
        <w:tc>
          <w:tcPr>
            <w:tcW w:w="627" w:type="pct"/>
            <w:vAlign w:val="center"/>
          </w:tcPr>
          <w:p w14:paraId="2BC32127">
            <w:pPr>
              <w:keepNext/>
              <w:spacing w:line="360" w:lineRule="auto"/>
              <w:jc w:val="center"/>
              <w:rPr>
                <w:rFonts w:cs="宋体"/>
                <w:color w:val="auto"/>
                <w:szCs w:val="21"/>
                <w:highlight w:val="none"/>
              </w:rPr>
            </w:pPr>
          </w:p>
        </w:tc>
        <w:tc>
          <w:tcPr>
            <w:tcW w:w="502" w:type="pct"/>
            <w:vAlign w:val="center"/>
          </w:tcPr>
          <w:p w14:paraId="68187047">
            <w:pPr>
              <w:keepNext/>
              <w:spacing w:line="360" w:lineRule="auto"/>
              <w:jc w:val="center"/>
              <w:rPr>
                <w:rFonts w:cs="宋体"/>
                <w:color w:val="auto"/>
                <w:szCs w:val="21"/>
                <w:highlight w:val="none"/>
              </w:rPr>
            </w:pPr>
          </w:p>
        </w:tc>
        <w:tc>
          <w:tcPr>
            <w:tcW w:w="502" w:type="pct"/>
            <w:vAlign w:val="center"/>
          </w:tcPr>
          <w:p w14:paraId="3B48EFD1">
            <w:pPr>
              <w:keepNext/>
              <w:spacing w:line="360" w:lineRule="auto"/>
              <w:jc w:val="center"/>
              <w:rPr>
                <w:rFonts w:cs="宋体"/>
                <w:color w:val="auto"/>
                <w:szCs w:val="21"/>
                <w:highlight w:val="none"/>
              </w:rPr>
            </w:pPr>
          </w:p>
        </w:tc>
        <w:tc>
          <w:tcPr>
            <w:tcW w:w="1281" w:type="pct"/>
            <w:vAlign w:val="center"/>
          </w:tcPr>
          <w:p w14:paraId="65B38251">
            <w:pPr>
              <w:keepNext/>
              <w:spacing w:line="360" w:lineRule="auto"/>
              <w:jc w:val="center"/>
              <w:rPr>
                <w:rFonts w:cs="宋体"/>
                <w:color w:val="auto"/>
                <w:szCs w:val="21"/>
                <w:highlight w:val="none"/>
              </w:rPr>
            </w:pPr>
          </w:p>
        </w:tc>
        <w:tc>
          <w:tcPr>
            <w:tcW w:w="1151" w:type="pct"/>
            <w:vAlign w:val="center"/>
          </w:tcPr>
          <w:p w14:paraId="7F9E33E5">
            <w:pPr>
              <w:keepNext/>
              <w:spacing w:line="360" w:lineRule="auto"/>
              <w:jc w:val="center"/>
              <w:rPr>
                <w:rFonts w:cs="宋体"/>
                <w:color w:val="auto"/>
                <w:szCs w:val="21"/>
                <w:highlight w:val="none"/>
              </w:rPr>
            </w:pPr>
          </w:p>
        </w:tc>
      </w:tr>
      <w:tr w14:paraId="365C34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40591D6E">
            <w:pPr>
              <w:spacing w:line="360" w:lineRule="auto"/>
              <w:jc w:val="center"/>
              <w:rPr>
                <w:rFonts w:cs="宋体"/>
                <w:color w:val="auto"/>
                <w:szCs w:val="21"/>
                <w:highlight w:val="none"/>
              </w:rPr>
            </w:pPr>
            <w:r>
              <w:rPr>
                <w:rFonts w:hint="eastAsia" w:cs="宋体"/>
                <w:color w:val="auto"/>
                <w:szCs w:val="21"/>
                <w:highlight w:val="none"/>
              </w:rPr>
              <w:t>项目副经理</w:t>
            </w:r>
          </w:p>
        </w:tc>
        <w:tc>
          <w:tcPr>
            <w:tcW w:w="627" w:type="pct"/>
            <w:vAlign w:val="center"/>
          </w:tcPr>
          <w:p w14:paraId="6851E2D5">
            <w:pPr>
              <w:keepNext/>
              <w:spacing w:line="360" w:lineRule="auto"/>
              <w:jc w:val="center"/>
              <w:rPr>
                <w:rFonts w:cs="宋体"/>
                <w:color w:val="auto"/>
                <w:szCs w:val="21"/>
                <w:highlight w:val="none"/>
              </w:rPr>
            </w:pPr>
          </w:p>
        </w:tc>
        <w:tc>
          <w:tcPr>
            <w:tcW w:w="502" w:type="pct"/>
            <w:vAlign w:val="center"/>
          </w:tcPr>
          <w:p w14:paraId="4FA5CBC6">
            <w:pPr>
              <w:keepNext/>
              <w:spacing w:line="360" w:lineRule="auto"/>
              <w:jc w:val="center"/>
              <w:rPr>
                <w:rFonts w:cs="宋体"/>
                <w:color w:val="auto"/>
                <w:szCs w:val="21"/>
                <w:highlight w:val="none"/>
              </w:rPr>
            </w:pPr>
          </w:p>
        </w:tc>
        <w:tc>
          <w:tcPr>
            <w:tcW w:w="502" w:type="pct"/>
            <w:vAlign w:val="center"/>
          </w:tcPr>
          <w:p w14:paraId="339C4605">
            <w:pPr>
              <w:keepNext/>
              <w:spacing w:line="360" w:lineRule="auto"/>
              <w:jc w:val="center"/>
              <w:rPr>
                <w:rFonts w:cs="宋体"/>
                <w:color w:val="auto"/>
                <w:szCs w:val="21"/>
                <w:highlight w:val="none"/>
              </w:rPr>
            </w:pPr>
          </w:p>
        </w:tc>
        <w:tc>
          <w:tcPr>
            <w:tcW w:w="1281" w:type="pct"/>
            <w:vAlign w:val="center"/>
          </w:tcPr>
          <w:p w14:paraId="3560A7F3">
            <w:pPr>
              <w:keepNext/>
              <w:spacing w:line="360" w:lineRule="auto"/>
              <w:jc w:val="center"/>
              <w:rPr>
                <w:rFonts w:cs="宋体"/>
                <w:color w:val="auto"/>
                <w:szCs w:val="21"/>
                <w:highlight w:val="none"/>
              </w:rPr>
            </w:pPr>
          </w:p>
        </w:tc>
        <w:tc>
          <w:tcPr>
            <w:tcW w:w="1151" w:type="pct"/>
            <w:vAlign w:val="center"/>
          </w:tcPr>
          <w:p w14:paraId="115A34DF">
            <w:pPr>
              <w:keepNext/>
              <w:spacing w:line="360" w:lineRule="auto"/>
              <w:jc w:val="center"/>
              <w:rPr>
                <w:rFonts w:cs="宋体"/>
                <w:color w:val="auto"/>
                <w:szCs w:val="21"/>
                <w:highlight w:val="none"/>
              </w:rPr>
            </w:pPr>
          </w:p>
        </w:tc>
      </w:tr>
      <w:tr w14:paraId="282BF4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091E53E6">
            <w:pPr>
              <w:spacing w:line="360" w:lineRule="auto"/>
              <w:jc w:val="center"/>
              <w:rPr>
                <w:rFonts w:cs="宋体"/>
                <w:color w:val="auto"/>
                <w:szCs w:val="21"/>
                <w:highlight w:val="none"/>
              </w:rPr>
            </w:pPr>
            <w:r>
              <w:rPr>
                <w:rFonts w:hint="eastAsia" w:cs="宋体"/>
                <w:color w:val="auto"/>
                <w:szCs w:val="21"/>
                <w:highlight w:val="none"/>
              </w:rPr>
              <w:t>项目技术负责人</w:t>
            </w:r>
          </w:p>
        </w:tc>
        <w:tc>
          <w:tcPr>
            <w:tcW w:w="627" w:type="pct"/>
            <w:vAlign w:val="center"/>
          </w:tcPr>
          <w:p w14:paraId="2B784C1C">
            <w:pPr>
              <w:keepNext/>
              <w:spacing w:line="360" w:lineRule="auto"/>
              <w:jc w:val="center"/>
              <w:rPr>
                <w:rFonts w:cs="宋体"/>
                <w:color w:val="auto"/>
                <w:szCs w:val="21"/>
                <w:highlight w:val="none"/>
              </w:rPr>
            </w:pPr>
          </w:p>
        </w:tc>
        <w:tc>
          <w:tcPr>
            <w:tcW w:w="502" w:type="pct"/>
            <w:vAlign w:val="center"/>
          </w:tcPr>
          <w:p w14:paraId="53D5DD96">
            <w:pPr>
              <w:keepNext/>
              <w:spacing w:line="360" w:lineRule="auto"/>
              <w:jc w:val="center"/>
              <w:rPr>
                <w:rFonts w:cs="宋体"/>
                <w:color w:val="auto"/>
                <w:szCs w:val="21"/>
                <w:highlight w:val="none"/>
              </w:rPr>
            </w:pPr>
          </w:p>
        </w:tc>
        <w:tc>
          <w:tcPr>
            <w:tcW w:w="502" w:type="pct"/>
            <w:vAlign w:val="center"/>
          </w:tcPr>
          <w:p w14:paraId="60CE1FA9">
            <w:pPr>
              <w:keepNext/>
              <w:spacing w:line="360" w:lineRule="auto"/>
              <w:jc w:val="center"/>
              <w:rPr>
                <w:rFonts w:cs="宋体"/>
                <w:color w:val="auto"/>
                <w:szCs w:val="21"/>
                <w:highlight w:val="none"/>
              </w:rPr>
            </w:pPr>
          </w:p>
        </w:tc>
        <w:tc>
          <w:tcPr>
            <w:tcW w:w="1281" w:type="pct"/>
            <w:vAlign w:val="center"/>
          </w:tcPr>
          <w:p w14:paraId="75A58917">
            <w:pPr>
              <w:keepNext/>
              <w:spacing w:line="360" w:lineRule="auto"/>
              <w:jc w:val="center"/>
              <w:rPr>
                <w:rFonts w:cs="宋体"/>
                <w:color w:val="auto"/>
                <w:szCs w:val="21"/>
                <w:highlight w:val="none"/>
              </w:rPr>
            </w:pPr>
          </w:p>
        </w:tc>
        <w:tc>
          <w:tcPr>
            <w:tcW w:w="1151" w:type="pct"/>
            <w:vAlign w:val="center"/>
          </w:tcPr>
          <w:p w14:paraId="62E930DE">
            <w:pPr>
              <w:keepNext/>
              <w:spacing w:line="360" w:lineRule="auto"/>
              <w:jc w:val="center"/>
              <w:rPr>
                <w:rFonts w:cs="宋体"/>
                <w:color w:val="auto"/>
                <w:szCs w:val="21"/>
                <w:highlight w:val="none"/>
              </w:rPr>
            </w:pPr>
          </w:p>
        </w:tc>
      </w:tr>
      <w:tr w14:paraId="66EF7B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4D11567D">
            <w:pPr>
              <w:spacing w:line="360" w:lineRule="auto"/>
              <w:jc w:val="center"/>
              <w:rPr>
                <w:rFonts w:cs="宋体"/>
                <w:color w:val="auto"/>
                <w:szCs w:val="21"/>
                <w:highlight w:val="none"/>
              </w:rPr>
            </w:pPr>
            <w:r>
              <w:rPr>
                <w:rFonts w:hint="eastAsia" w:cs="宋体"/>
                <w:color w:val="auto"/>
                <w:szCs w:val="21"/>
                <w:highlight w:val="none"/>
              </w:rPr>
              <w:t>施工员</w:t>
            </w:r>
          </w:p>
        </w:tc>
        <w:tc>
          <w:tcPr>
            <w:tcW w:w="627" w:type="pct"/>
            <w:vAlign w:val="center"/>
          </w:tcPr>
          <w:p w14:paraId="16ACAE46">
            <w:pPr>
              <w:keepNext/>
              <w:spacing w:line="360" w:lineRule="auto"/>
              <w:jc w:val="center"/>
              <w:rPr>
                <w:rFonts w:cs="宋体"/>
                <w:color w:val="auto"/>
                <w:szCs w:val="21"/>
                <w:highlight w:val="none"/>
              </w:rPr>
            </w:pPr>
          </w:p>
        </w:tc>
        <w:tc>
          <w:tcPr>
            <w:tcW w:w="502" w:type="pct"/>
            <w:vAlign w:val="center"/>
          </w:tcPr>
          <w:p w14:paraId="4A56861D">
            <w:pPr>
              <w:keepNext/>
              <w:spacing w:line="360" w:lineRule="auto"/>
              <w:jc w:val="center"/>
              <w:rPr>
                <w:rFonts w:cs="宋体"/>
                <w:color w:val="auto"/>
                <w:szCs w:val="21"/>
                <w:highlight w:val="none"/>
              </w:rPr>
            </w:pPr>
          </w:p>
        </w:tc>
        <w:tc>
          <w:tcPr>
            <w:tcW w:w="502" w:type="pct"/>
            <w:vAlign w:val="center"/>
          </w:tcPr>
          <w:p w14:paraId="5BA66682">
            <w:pPr>
              <w:keepNext/>
              <w:spacing w:line="360" w:lineRule="auto"/>
              <w:jc w:val="center"/>
              <w:rPr>
                <w:rFonts w:cs="宋体"/>
                <w:color w:val="auto"/>
                <w:szCs w:val="21"/>
                <w:highlight w:val="none"/>
              </w:rPr>
            </w:pPr>
          </w:p>
        </w:tc>
        <w:tc>
          <w:tcPr>
            <w:tcW w:w="1281" w:type="pct"/>
            <w:vAlign w:val="center"/>
          </w:tcPr>
          <w:p w14:paraId="27475D52">
            <w:pPr>
              <w:keepNext/>
              <w:spacing w:line="360" w:lineRule="auto"/>
              <w:jc w:val="center"/>
              <w:rPr>
                <w:rFonts w:cs="宋体"/>
                <w:color w:val="auto"/>
                <w:szCs w:val="21"/>
                <w:highlight w:val="none"/>
              </w:rPr>
            </w:pPr>
          </w:p>
        </w:tc>
        <w:tc>
          <w:tcPr>
            <w:tcW w:w="1151" w:type="pct"/>
            <w:vAlign w:val="center"/>
          </w:tcPr>
          <w:p w14:paraId="78A5A5A8">
            <w:pPr>
              <w:keepNext/>
              <w:spacing w:line="360" w:lineRule="auto"/>
              <w:jc w:val="center"/>
              <w:rPr>
                <w:rFonts w:cs="宋体"/>
                <w:color w:val="auto"/>
                <w:szCs w:val="21"/>
                <w:highlight w:val="none"/>
              </w:rPr>
            </w:pPr>
          </w:p>
        </w:tc>
      </w:tr>
      <w:tr w14:paraId="4A8E3A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0671B3FE">
            <w:pPr>
              <w:spacing w:line="360" w:lineRule="auto"/>
              <w:jc w:val="center"/>
              <w:rPr>
                <w:rFonts w:cs="宋体"/>
                <w:color w:val="auto"/>
                <w:szCs w:val="21"/>
                <w:highlight w:val="none"/>
              </w:rPr>
            </w:pPr>
            <w:r>
              <w:rPr>
                <w:rFonts w:hint="eastAsia" w:cs="宋体"/>
                <w:color w:val="auto"/>
                <w:szCs w:val="21"/>
                <w:highlight w:val="none"/>
              </w:rPr>
              <w:t>质检员（质量员）</w:t>
            </w:r>
          </w:p>
        </w:tc>
        <w:tc>
          <w:tcPr>
            <w:tcW w:w="627" w:type="pct"/>
            <w:vAlign w:val="center"/>
          </w:tcPr>
          <w:p w14:paraId="3EA14722">
            <w:pPr>
              <w:keepNext/>
              <w:spacing w:line="360" w:lineRule="auto"/>
              <w:jc w:val="center"/>
              <w:rPr>
                <w:rFonts w:cs="宋体"/>
                <w:color w:val="auto"/>
                <w:szCs w:val="21"/>
                <w:highlight w:val="none"/>
              </w:rPr>
            </w:pPr>
          </w:p>
        </w:tc>
        <w:tc>
          <w:tcPr>
            <w:tcW w:w="502" w:type="pct"/>
            <w:vAlign w:val="center"/>
          </w:tcPr>
          <w:p w14:paraId="7991E474">
            <w:pPr>
              <w:keepNext/>
              <w:spacing w:line="360" w:lineRule="auto"/>
              <w:jc w:val="center"/>
              <w:rPr>
                <w:rFonts w:cs="宋体"/>
                <w:color w:val="auto"/>
                <w:szCs w:val="21"/>
                <w:highlight w:val="none"/>
              </w:rPr>
            </w:pPr>
          </w:p>
        </w:tc>
        <w:tc>
          <w:tcPr>
            <w:tcW w:w="502" w:type="pct"/>
            <w:vAlign w:val="center"/>
          </w:tcPr>
          <w:p w14:paraId="15DDEA63">
            <w:pPr>
              <w:keepNext/>
              <w:spacing w:line="360" w:lineRule="auto"/>
              <w:jc w:val="center"/>
              <w:rPr>
                <w:rFonts w:cs="宋体"/>
                <w:color w:val="auto"/>
                <w:szCs w:val="21"/>
                <w:highlight w:val="none"/>
              </w:rPr>
            </w:pPr>
          </w:p>
        </w:tc>
        <w:tc>
          <w:tcPr>
            <w:tcW w:w="1281" w:type="pct"/>
            <w:vAlign w:val="center"/>
          </w:tcPr>
          <w:p w14:paraId="5443E1DE">
            <w:pPr>
              <w:keepNext/>
              <w:spacing w:line="360" w:lineRule="auto"/>
              <w:jc w:val="center"/>
              <w:rPr>
                <w:rFonts w:cs="宋体"/>
                <w:color w:val="auto"/>
                <w:szCs w:val="21"/>
                <w:highlight w:val="none"/>
              </w:rPr>
            </w:pPr>
          </w:p>
        </w:tc>
        <w:tc>
          <w:tcPr>
            <w:tcW w:w="1151" w:type="pct"/>
            <w:vAlign w:val="center"/>
          </w:tcPr>
          <w:p w14:paraId="1FEA55E6">
            <w:pPr>
              <w:keepNext/>
              <w:spacing w:line="360" w:lineRule="auto"/>
              <w:jc w:val="center"/>
              <w:rPr>
                <w:rFonts w:cs="宋体"/>
                <w:color w:val="auto"/>
                <w:szCs w:val="21"/>
                <w:highlight w:val="none"/>
              </w:rPr>
            </w:pPr>
          </w:p>
        </w:tc>
      </w:tr>
      <w:tr w14:paraId="6F5A3F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2A3F1700">
            <w:pPr>
              <w:spacing w:line="360" w:lineRule="auto"/>
              <w:jc w:val="center"/>
              <w:rPr>
                <w:rFonts w:cs="宋体"/>
                <w:color w:val="auto"/>
                <w:szCs w:val="21"/>
                <w:highlight w:val="none"/>
              </w:rPr>
            </w:pPr>
            <w:r>
              <w:rPr>
                <w:rFonts w:hint="eastAsia" w:cs="宋体"/>
                <w:color w:val="auto"/>
                <w:szCs w:val="21"/>
                <w:highlight w:val="none"/>
              </w:rPr>
              <w:t>安全员</w:t>
            </w:r>
          </w:p>
        </w:tc>
        <w:tc>
          <w:tcPr>
            <w:tcW w:w="627" w:type="pct"/>
            <w:vAlign w:val="center"/>
          </w:tcPr>
          <w:p w14:paraId="27B2E6EA">
            <w:pPr>
              <w:keepNext/>
              <w:spacing w:line="360" w:lineRule="auto"/>
              <w:jc w:val="center"/>
              <w:rPr>
                <w:rFonts w:cs="宋体"/>
                <w:color w:val="auto"/>
                <w:szCs w:val="21"/>
                <w:highlight w:val="none"/>
              </w:rPr>
            </w:pPr>
          </w:p>
        </w:tc>
        <w:tc>
          <w:tcPr>
            <w:tcW w:w="502" w:type="pct"/>
            <w:vAlign w:val="center"/>
          </w:tcPr>
          <w:p w14:paraId="5BB6BA24">
            <w:pPr>
              <w:keepNext/>
              <w:spacing w:line="360" w:lineRule="auto"/>
              <w:jc w:val="center"/>
              <w:rPr>
                <w:rFonts w:cs="宋体"/>
                <w:color w:val="auto"/>
                <w:szCs w:val="21"/>
                <w:highlight w:val="none"/>
              </w:rPr>
            </w:pPr>
          </w:p>
        </w:tc>
        <w:tc>
          <w:tcPr>
            <w:tcW w:w="502" w:type="pct"/>
            <w:vAlign w:val="center"/>
          </w:tcPr>
          <w:p w14:paraId="045F7D93">
            <w:pPr>
              <w:keepNext/>
              <w:spacing w:line="360" w:lineRule="auto"/>
              <w:jc w:val="center"/>
              <w:rPr>
                <w:rFonts w:cs="宋体"/>
                <w:color w:val="auto"/>
                <w:szCs w:val="21"/>
                <w:highlight w:val="none"/>
              </w:rPr>
            </w:pPr>
          </w:p>
        </w:tc>
        <w:tc>
          <w:tcPr>
            <w:tcW w:w="1281" w:type="pct"/>
            <w:vAlign w:val="center"/>
          </w:tcPr>
          <w:p w14:paraId="5D604475">
            <w:pPr>
              <w:keepNext/>
              <w:spacing w:line="360" w:lineRule="auto"/>
              <w:jc w:val="center"/>
              <w:rPr>
                <w:rFonts w:cs="宋体"/>
                <w:color w:val="auto"/>
                <w:szCs w:val="21"/>
                <w:highlight w:val="none"/>
              </w:rPr>
            </w:pPr>
          </w:p>
        </w:tc>
        <w:tc>
          <w:tcPr>
            <w:tcW w:w="1151" w:type="pct"/>
            <w:vAlign w:val="center"/>
          </w:tcPr>
          <w:p w14:paraId="5B89AD7C">
            <w:pPr>
              <w:keepNext/>
              <w:spacing w:line="360" w:lineRule="auto"/>
              <w:jc w:val="center"/>
              <w:rPr>
                <w:rFonts w:cs="宋体"/>
                <w:color w:val="auto"/>
                <w:szCs w:val="21"/>
                <w:highlight w:val="none"/>
              </w:rPr>
            </w:pPr>
          </w:p>
        </w:tc>
      </w:tr>
      <w:tr w14:paraId="59D03E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Align w:val="center"/>
          </w:tcPr>
          <w:p w14:paraId="1F16040B">
            <w:pPr>
              <w:spacing w:line="360" w:lineRule="auto"/>
              <w:jc w:val="center"/>
              <w:rPr>
                <w:rFonts w:cs="宋体"/>
                <w:color w:val="auto"/>
                <w:szCs w:val="21"/>
                <w:highlight w:val="none"/>
              </w:rPr>
            </w:pPr>
            <w:r>
              <w:rPr>
                <w:rFonts w:hint="eastAsia" w:cs="宋体"/>
                <w:color w:val="auto"/>
                <w:szCs w:val="21"/>
                <w:highlight w:val="none"/>
              </w:rPr>
              <w:t>资料员</w:t>
            </w:r>
          </w:p>
        </w:tc>
        <w:tc>
          <w:tcPr>
            <w:tcW w:w="627" w:type="pct"/>
            <w:vAlign w:val="center"/>
          </w:tcPr>
          <w:p w14:paraId="46016661">
            <w:pPr>
              <w:keepNext/>
              <w:spacing w:line="360" w:lineRule="auto"/>
              <w:jc w:val="center"/>
              <w:rPr>
                <w:rFonts w:cs="宋体"/>
                <w:color w:val="auto"/>
                <w:szCs w:val="21"/>
                <w:highlight w:val="none"/>
              </w:rPr>
            </w:pPr>
          </w:p>
        </w:tc>
        <w:tc>
          <w:tcPr>
            <w:tcW w:w="502" w:type="pct"/>
            <w:vAlign w:val="center"/>
          </w:tcPr>
          <w:p w14:paraId="3C2C6DA1">
            <w:pPr>
              <w:keepNext/>
              <w:spacing w:line="360" w:lineRule="auto"/>
              <w:jc w:val="center"/>
              <w:rPr>
                <w:rFonts w:cs="宋体"/>
                <w:color w:val="auto"/>
                <w:szCs w:val="21"/>
                <w:highlight w:val="none"/>
              </w:rPr>
            </w:pPr>
          </w:p>
        </w:tc>
        <w:tc>
          <w:tcPr>
            <w:tcW w:w="502" w:type="pct"/>
            <w:vAlign w:val="center"/>
          </w:tcPr>
          <w:p w14:paraId="2B82ACDE">
            <w:pPr>
              <w:keepNext/>
              <w:spacing w:line="360" w:lineRule="auto"/>
              <w:jc w:val="center"/>
              <w:rPr>
                <w:rFonts w:cs="宋体"/>
                <w:color w:val="auto"/>
                <w:szCs w:val="21"/>
                <w:highlight w:val="none"/>
              </w:rPr>
            </w:pPr>
          </w:p>
        </w:tc>
        <w:tc>
          <w:tcPr>
            <w:tcW w:w="1281" w:type="pct"/>
            <w:vAlign w:val="center"/>
          </w:tcPr>
          <w:p w14:paraId="6D462441">
            <w:pPr>
              <w:keepNext/>
              <w:spacing w:line="360" w:lineRule="auto"/>
              <w:jc w:val="center"/>
              <w:rPr>
                <w:rFonts w:cs="宋体"/>
                <w:color w:val="auto"/>
                <w:szCs w:val="21"/>
                <w:highlight w:val="none"/>
              </w:rPr>
            </w:pPr>
          </w:p>
        </w:tc>
        <w:tc>
          <w:tcPr>
            <w:tcW w:w="1151" w:type="pct"/>
            <w:vAlign w:val="center"/>
          </w:tcPr>
          <w:p w14:paraId="6C5C253E">
            <w:pPr>
              <w:keepNext/>
              <w:spacing w:line="360" w:lineRule="auto"/>
              <w:jc w:val="center"/>
              <w:rPr>
                <w:rFonts w:cs="宋体"/>
                <w:color w:val="auto"/>
                <w:szCs w:val="21"/>
                <w:highlight w:val="none"/>
              </w:rPr>
            </w:pPr>
          </w:p>
        </w:tc>
      </w:tr>
      <w:tr w14:paraId="1C0746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restart"/>
            <w:vAlign w:val="center"/>
          </w:tcPr>
          <w:p w14:paraId="243E5EDB">
            <w:pPr>
              <w:spacing w:line="360" w:lineRule="auto"/>
              <w:jc w:val="center"/>
              <w:rPr>
                <w:rFonts w:cs="宋体"/>
                <w:color w:val="auto"/>
                <w:szCs w:val="21"/>
                <w:highlight w:val="none"/>
              </w:rPr>
            </w:pPr>
            <w:r>
              <w:rPr>
                <w:rFonts w:hint="eastAsia" w:cs="宋体"/>
                <w:color w:val="auto"/>
                <w:szCs w:val="21"/>
                <w:highlight w:val="none"/>
              </w:rPr>
              <w:t>其他人员</w:t>
            </w:r>
          </w:p>
        </w:tc>
        <w:tc>
          <w:tcPr>
            <w:tcW w:w="627" w:type="pct"/>
            <w:vAlign w:val="center"/>
          </w:tcPr>
          <w:p w14:paraId="1CF35227">
            <w:pPr>
              <w:keepNext/>
              <w:spacing w:line="360" w:lineRule="auto"/>
              <w:jc w:val="center"/>
              <w:rPr>
                <w:rFonts w:cs="宋体"/>
                <w:color w:val="auto"/>
                <w:szCs w:val="21"/>
                <w:highlight w:val="none"/>
              </w:rPr>
            </w:pPr>
          </w:p>
        </w:tc>
        <w:tc>
          <w:tcPr>
            <w:tcW w:w="502" w:type="pct"/>
            <w:vAlign w:val="center"/>
          </w:tcPr>
          <w:p w14:paraId="59FBD42A">
            <w:pPr>
              <w:keepNext/>
              <w:spacing w:line="360" w:lineRule="auto"/>
              <w:jc w:val="center"/>
              <w:rPr>
                <w:rFonts w:cs="宋体"/>
                <w:color w:val="auto"/>
                <w:szCs w:val="21"/>
                <w:highlight w:val="none"/>
              </w:rPr>
            </w:pPr>
          </w:p>
        </w:tc>
        <w:tc>
          <w:tcPr>
            <w:tcW w:w="502" w:type="pct"/>
            <w:vAlign w:val="center"/>
          </w:tcPr>
          <w:p w14:paraId="47297A88">
            <w:pPr>
              <w:keepNext/>
              <w:spacing w:line="360" w:lineRule="auto"/>
              <w:jc w:val="center"/>
              <w:rPr>
                <w:rFonts w:cs="宋体"/>
                <w:color w:val="auto"/>
                <w:szCs w:val="21"/>
                <w:highlight w:val="none"/>
              </w:rPr>
            </w:pPr>
          </w:p>
        </w:tc>
        <w:tc>
          <w:tcPr>
            <w:tcW w:w="1281" w:type="pct"/>
            <w:vAlign w:val="center"/>
          </w:tcPr>
          <w:p w14:paraId="53CA1905">
            <w:pPr>
              <w:keepNext/>
              <w:spacing w:line="360" w:lineRule="auto"/>
              <w:jc w:val="center"/>
              <w:rPr>
                <w:rFonts w:cs="宋体"/>
                <w:color w:val="auto"/>
                <w:szCs w:val="21"/>
                <w:highlight w:val="none"/>
              </w:rPr>
            </w:pPr>
          </w:p>
        </w:tc>
        <w:tc>
          <w:tcPr>
            <w:tcW w:w="1151" w:type="pct"/>
            <w:vAlign w:val="center"/>
          </w:tcPr>
          <w:p w14:paraId="3E00C5E8">
            <w:pPr>
              <w:keepNext/>
              <w:spacing w:line="360" w:lineRule="auto"/>
              <w:jc w:val="center"/>
              <w:rPr>
                <w:rFonts w:cs="宋体"/>
                <w:color w:val="auto"/>
                <w:szCs w:val="21"/>
                <w:highlight w:val="none"/>
              </w:rPr>
            </w:pPr>
          </w:p>
        </w:tc>
      </w:tr>
      <w:tr w14:paraId="1B71FA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0F4A3AA7">
            <w:pPr>
              <w:keepNext/>
              <w:spacing w:line="360" w:lineRule="auto"/>
              <w:jc w:val="center"/>
              <w:rPr>
                <w:rFonts w:cs="宋体"/>
                <w:color w:val="auto"/>
                <w:szCs w:val="21"/>
                <w:highlight w:val="none"/>
              </w:rPr>
            </w:pPr>
          </w:p>
        </w:tc>
        <w:tc>
          <w:tcPr>
            <w:tcW w:w="627" w:type="pct"/>
            <w:tcBorders>
              <w:bottom w:val="nil"/>
            </w:tcBorders>
            <w:vAlign w:val="center"/>
          </w:tcPr>
          <w:p w14:paraId="50E2CC1D">
            <w:pPr>
              <w:keepNext/>
              <w:spacing w:line="360" w:lineRule="auto"/>
              <w:jc w:val="center"/>
              <w:rPr>
                <w:rFonts w:cs="宋体"/>
                <w:color w:val="auto"/>
                <w:szCs w:val="21"/>
                <w:highlight w:val="none"/>
              </w:rPr>
            </w:pPr>
          </w:p>
        </w:tc>
        <w:tc>
          <w:tcPr>
            <w:tcW w:w="502" w:type="pct"/>
            <w:tcBorders>
              <w:bottom w:val="nil"/>
            </w:tcBorders>
            <w:vAlign w:val="center"/>
          </w:tcPr>
          <w:p w14:paraId="01FA3F8C">
            <w:pPr>
              <w:keepNext/>
              <w:spacing w:line="360" w:lineRule="auto"/>
              <w:jc w:val="center"/>
              <w:rPr>
                <w:rFonts w:cs="宋体"/>
                <w:color w:val="auto"/>
                <w:szCs w:val="21"/>
                <w:highlight w:val="none"/>
              </w:rPr>
            </w:pPr>
          </w:p>
        </w:tc>
        <w:tc>
          <w:tcPr>
            <w:tcW w:w="502" w:type="pct"/>
            <w:tcBorders>
              <w:bottom w:val="nil"/>
            </w:tcBorders>
            <w:vAlign w:val="center"/>
          </w:tcPr>
          <w:p w14:paraId="4C826029">
            <w:pPr>
              <w:keepNext/>
              <w:spacing w:line="360" w:lineRule="auto"/>
              <w:jc w:val="center"/>
              <w:rPr>
                <w:rFonts w:cs="宋体"/>
                <w:color w:val="auto"/>
                <w:szCs w:val="21"/>
                <w:highlight w:val="none"/>
              </w:rPr>
            </w:pPr>
          </w:p>
        </w:tc>
        <w:tc>
          <w:tcPr>
            <w:tcW w:w="1281" w:type="pct"/>
            <w:tcBorders>
              <w:bottom w:val="nil"/>
            </w:tcBorders>
            <w:vAlign w:val="center"/>
          </w:tcPr>
          <w:p w14:paraId="44095C5C">
            <w:pPr>
              <w:keepNext/>
              <w:spacing w:line="360" w:lineRule="auto"/>
              <w:jc w:val="center"/>
              <w:rPr>
                <w:rFonts w:cs="宋体"/>
                <w:color w:val="auto"/>
                <w:szCs w:val="21"/>
                <w:highlight w:val="none"/>
              </w:rPr>
            </w:pPr>
          </w:p>
        </w:tc>
        <w:tc>
          <w:tcPr>
            <w:tcW w:w="1151" w:type="pct"/>
            <w:tcBorders>
              <w:bottom w:val="nil"/>
            </w:tcBorders>
            <w:vAlign w:val="center"/>
          </w:tcPr>
          <w:p w14:paraId="38975903">
            <w:pPr>
              <w:keepNext/>
              <w:spacing w:line="360" w:lineRule="auto"/>
              <w:jc w:val="center"/>
              <w:rPr>
                <w:rFonts w:cs="宋体"/>
                <w:color w:val="auto"/>
                <w:szCs w:val="21"/>
                <w:highlight w:val="none"/>
              </w:rPr>
            </w:pPr>
          </w:p>
        </w:tc>
      </w:tr>
      <w:tr w14:paraId="3AF0B0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366EE225">
            <w:pPr>
              <w:keepNext/>
              <w:spacing w:line="360" w:lineRule="auto"/>
              <w:jc w:val="center"/>
              <w:rPr>
                <w:rFonts w:cs="宋体"/>
                <w:color w:val="auto"/>
                <w:szCs w:val="21"/>
                <w:highlight w:val="none"/>
              </w:rPr>
            </w:pPr>
          </w:p>
        </w:tc>
        <w:tc>
          <w:tcPr>
            <w:tcW w:w="627" w:type="pct"/>
            <w:vAlign w:val="center"/>
          </w:tcPr>
          <w:p w14:paraId="7E53D62B">
            <w:pPr>
              <w:keepNext/>
              <w:spacing w:line="360" w:lineRule="auto"/>
              <w:jc w:val="center"/>
              <w:rPr>
                <w:rFonts w:cs="宋体"/>
                <w:color w:val="auto"/>
                <w:szCs w:val="21"/>
                <w:highlight w:val="none"/>
              </w:rPr>
            </w:pPr>
          </w:p>
        </w:tc>
        <w:tc>
          <w:tcPr>
            <w:tcW w:w="502" w:type="pct"/>
            <w:vAlign w:val="center"/>
          </w:tcPr>
          <w:p w14:paraId="79E184F5">
            <w:pPr>
              <w:keepNext/>
              <w:spacing w:line="360" w:lineRule="auto"/>
              <w:jc w:val="center"/>
              <w:rPr>
                <w:rFonts w:cs="宋体"/>
                <w:color w:val="auto"/>
                <w:szCs w:val="21"/>
                <w:highlight w:val="none"/>
              </w:rPr>
            </w:pPr>
          </w:p>
        </w:tc>
        <w:tc>
          <w:tcPr>
            <w:tcW w:w="502" w:type="pct"/>
            <w:vAlign w:val="center"/>
          </w:tcPr>
          <w:p w14:paraId="27BB6868">
            <w:pPr>
              <w:keepNext/>
              <w:spacing w:line="360" w:lineRule="auto"/>
              <w:jc w:val="center"/>
              <w:rPr>
                <w:rFonts w:cs="宋体"/>
                <w:color w:val="auto"/>
                <w:szCs w:val="21"/>
                <w:highlight w:val="none"/>
              </w:rPr>
            </w:pPr>
          </w:p>
        </w:tc>
        <w:tc>
          <w:tcPr>
            <w:tcW w:w="1281" w:type="pct"/>
            <w:vAlign w:val="center"/>
          </w:tcPr>
          <w:p w14:paraId="67ADA05D">
            <w:pPr>
              <w:keepNext/>
              <w:spacing w:line="360" w:lineRule="auto"/>
              <w:jc w:val="center"/>
              <w:rPr>
                <w:rFonts w:cs="宋体"/>
                <w:color w:val="auto"/>
                <w:szCs w:val="21"/>
                <w:highlight w:val="none"/>
              </w:rPr>
            </w:pPr>
          </w:p>
        </w:tc>
        <w:tc>
          <w:tcPr>
            <w:tcW w:w="1151" w:type="pct"/>
            <w:vAlign w:val="center"/>
          </w:tcPr>
          <w:p w14:paraId="5651EF82">
            <w:pPr>
              <w:keepNext/>
              <w:spacing w:line="360" w:lineRule="auto"/>
              <w:jc w:val="center"/>
              <w:rPr>
                <w:rFonts w:cs="宋体"/>
                <w:color w:val="auto"/>
                <w:szCs w:val="21"/>
                <w:highlight w:val="none"/>
              </w:rPr>
            </w:pPr>
          </w:p>
        </w:tc>
      </w:tr>
      <w:tr w14:paraId="54746C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30298457">
            <w:pPr>
              <w:keepNext/>
              <w:spacing w:line="360" w:lineRule="auto"/>
              <w:jc w:val="center"/>
              <w:rPr>
                <w:rFonts w:cs="宋体"/>
                <w:color w:val="auto"/>
                <w:szCs w:val="21"/>
                <w:highlight w:val="none"/>
              </w:rPr>
            </w:pPr>
          </w:p>
        </w:tc>
        <w:tc>
          <w:tcPr>
            <w:tcW w:w="627" w:type="pct"/>
            <w:vAlign w:val="center"/>
          </w:tcPr>
          <w:p w14:paraId="783890E8">
            <w:pPr>
              <w:keepNext/>
              <w:spacing w:line="360" w:lineRule="auto"/>
              <w:jc w:val="center"/>
              <w:rPr>
                <w:rFonts w:cs="宋体"/>
                <w:color w:val="auto"/>
                <w:szCs w:val="21"/>
                <w:highlight w:val="none"/>
              </w:rPr>
            </w:pPr>
          </w:p>
        </w:tc>
        <w:tc>
          <w:tcPr>
            <w:tcW w:w="502" w:type="pct"/>
            <w:vAlign w:val="center"/>
          </w:tcPr>
          <w:p w14:paraId="448EBF8E">
            <w:pPr>
              <w:keepNext/>
              <w:spacing w:line="360" w:lineRule="auto"/>
              <w:jc w:val="center"/>
              <w:rPr>
                <w:rFonts w:cs="宋体"/>
                <w:color w:val="auto"/>
                <w:szCs w:val="21"/>
                <w:highlight w:val="none"/>
              </w:rPr>
            </w:pPr>
          </w:p>
        </w:tc>
        <w:tc>
          <w:tcPr>
            <w:tcW w:w="502" w:type="pct"/>
            <w:vAlign w:val="center"/>
          </w:tcPr>
          <w:p w14:paraId="307D480E">
            <w:pPr>
              <w:keepNext/>
              <w:spacing w:line="360" w:lineRule="auto"/>
              <w:jc w:val="center"/>
              <w:rPr>
                <w:rFonts w:cs="宋体"/>
                <w:color w:val="auto"/>
                <w:szCs w:val="21"/>
                <w:highlight w:val="none"/>
              </w:rPr>
            </w:pPr>
          </w:p>
        </w:tc>
        <w:tc>
          <w:tcPr>
            <w:tcW w:w="1281" w:type="pct"/>
            <w:vAlign w:val="center"/>
          </w:tcPr>
          <w:p w14:paraId="0C8E19E5">
            <w:pPr>
              <w:keepNext/>
              <w:spacing w:line="360" w:lineRule="auto"/>
              <w:jc w:val="center"/>
              <w:rPr>
                <w:rFonts w:cs="宋体"/>
                <w:color w:val="auto"/>
                <w:szCs w:val="21"/>
                <w:highlight w:val="none"/>
              </w:rPr>
            </w:pPr>
          </w:p>
        </w:tc>
        <w:tc>
          <w:tcPr>
            <w:tcW w:w="1151" w:type="pct"/>
            <w:vAlign w:val="center"/>
          </w:tcPr>
          <w:p w14:paraId="424FFD81">
            <w:pPr>
              <w:keepNext/>
              <w:spacing w:line="360" w:lineRule="auto"/>
              <w:jc w:val="center"/>
              <w:rPr>
                <w:rFonts w:cs="宋体"/>
                <w:color w:val="auto"/>
                <w:szCs w:val="21"/>
                <w:highlight w:val="none"/>
              </w:rPr>
            </w:pPr>
          </w:p>
        </w:tc>
      </w:tr>
      <w:tr w14:paraId="635CA0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vAlign w:val="center"/>
          </w:tcPr>
          <w:p w14:paraId="470D81CB">
            <w:pPr>
              <w:keepNext/>
              <w:spacing w:line="360" w:lineRule="auto"/>
              <w:jc w:val="center"/>
              <w:rPr>
                <w:rFonts w:cs="宋体"/>
                <w:color w:val="auto"/>
                <w:szCs w:val="21"/>
                <w:highlight w:val="none"/>
              </w:rPr>
            </w:pPr>
          </w:p>
        </w:tc>
        <w:tc>
          <w:tcPr>
            <w:tcW w:w="627" w:type="pct"/>
            <w:vAlign w:val="center"/>
          </w:tcPr>
          <w:p w14:paraId="496763EB">
            <w:pPr>
              <w:keepNext/>
              <w:spacing w:line="360" w:lineRule="auto"/>
              <w:jc w:val="center"/>
              <w:rPr>
                <w:rFonts w:cs="宋体"/>
                <w:color w:val="auto"/>
                <w:szCs w:val="21"/>
                <w:highlight w:val="none"/>
              </w:rPr>
            </w:pPr>
          </w:p>
        </w:tc>
        <w:tc>
          <w:tcPr>
            <w:tcW w:w="502" w:type="pct"/>
            <w:vAlign w:val="center"/>
          </w:tcPr>
          <w:p w14:paraId="2C97360E">
            <w:pPr>
              <w:keepNext/>
              <w:spacing w:line="360" w:lineRule="auto"/>
              <w:jc w:val="center"/>
              <w:rPr>
                <w:rFonts w:cs="宋体"/>
                <w:color w:val="auto"/>
                <w:szCs w:val="21"/>
                <w:highlight w:val="none"/>
              </w:rPr>
            </w:pPr>
          </w:p>
        </w:tc>
        <w:tc>
          <w:tcPr>
            <w:tcW w:w="502" w:type="pct"/>
            <w:vAlign w:val="center"/>
          </w:tcPr>
          <w:p w14:paraId="2A3C86CA">
            <w:pPr>
              <w:keepNext/>
              <w:spacing w:line="360" w:lineRule="auto"/>
              <w:jc w:val="center"/>
              <w:rPr>
                <w:rFonts w:cs="宋体"/>
                <w:color w:val="auto"/>
                <w:szCs w:val="21"/>
                <w:highlight w:val="none"/>
              </w:rPr>
            </w:pPr>
          </w:p>
        </w:tc>
        <w:tc>
          <w:tcPr>
            <w:tcW w:w="1281" w:type="pct"/>
            <w:vAlign w:val="center"/>
          </w:tcPr>
          <w:p w14:paraId="2F22A01F">
            <w:pPr>
              <w:keepNext/>
              <w:spacing w:line="360" w:lineRule="auto"/>
              <w:jc w:val="center"/>
              <w:rPr>
                <w:rFonts w:cs="宋体"/>
                <w:color w:val="auto"/>
                <w:szCs w:val="21"/>
                <w:highlight w:val="none"/>
              </w:rPr>
            </w:pPr>
          </w:p>
        </w:tc>
        <w:tc>
          <w:tcPr>
            <w:tcW w:w="1151" w:type="pct"/>
            <w:vAlign w:val="center"/>
          </w:tcPr>
          <w:p w14:paraId="442668AD">
            <w:pPr>
              <w:keepNext/>
              <w:spacing w:line="360" w:lineRule="auto"/>
              <w:jc w:val="center"/>
              <w:rPr>
                <w:rFonts w:cs="宋体"/>
                <w:color w:val="auto"/>
                <w:szCs w:val="21"/>
                <w:highlight w:val="none"/>
              </w:rPr>
            </w:pPr>
          </w:p>
        </w:tc>
      </w:tr>
      <w:tr w14:paraId="242EE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7" w:type="pct"/>
            <w:vMerge w:val="continue"/>
            <w:tcBorders>
              <w:bottom w:val="single" w:color="auto" w:sz="12" w:space="0"/>
            </w:tcBorders>
            <w:vAlign w:val="center"/>
          </w:tcPr>
          <w:p w14:paraId="63523E70">
            <w:pPr>
              <w:keepNext/>
              <w:spacing w:line="360" w:lineRule="auto"/>
              <w:jc w:val="center"/>
              <w:rPr>
                <w:rFonts w:cs="宋体"/>
                <w:color w:val="auto"/>
                <w:szCs w:val="21"/>
                <w:highlight w:val="none"/>
              </w:rPr>
            </w:pPr>
          </w:p>
        </w:tc>
        <w:tc>
          <w:tcPr>
            <w:tcW w:w="627" w:type="pct"/>
            <w:tcBorders>
              <w:bottom w:val="single" w:color="auto" w:sz="12" w:space="0"/>
            </w:tcBorders>
            <w:vAlign w:val="center"/>
          </w:tcPr>
          <w:p w14:paraId="12681758">
            <w:pPr>
              <w:keepNext/>
              <w:spacing w:line="360" w:lineRule="auto"/>
              <w:jc w:val="center"/>
              <w:rPr>
                <w:rFonts w:cs="宋体"/>
                <w:color w:val="auto"/>
                <w:szCs w:val="21"/>
                <w:highlight w:val="none"/>
              </w:rPr>
            </w:pPr>
          </w:p>
        </w:tc>
        <w:tc>
          <w:tcPr>
            <w:tcW w:w="502" w:type="pct"/>
            <w:tcBorders>
              <w:bottom w:val="single" w:color="auto" w:sz="12" w:space="0"/>
            </w:tcBorders>
            <w:vAlign w:val="center"/>
          </w:tcPr>
          <w:p w14:paraId="179F9880">
            <w:pPr>
              <w:keepNext/>
              <w:spacing w:line="360" w:lineRule="auto"/>
              <w:jc w:val="center"/>
              <w:rPr>
                <w:rFonts w:cs="宋体"/>
                <w:color w:val="auto"/>
                <w:szCs w:val="21"/>
                <w:highlight w:val="none"/>
              </w:rPr>
            </w:pPr>
          </w:p>
        </w:tc>
        <w:tc>
          <w:tcPr>
            <w:tcW w:w="502" w:type="pct"/>
            <w:tcBorders>
              <w:bottom w:val="single" w:color="auto" w:sz="12" w:space="0"/>
            </w:tcBorders>
            <w:vAlign w:val="center"/>
          </w:tcPr>
          <w:p w14:paraId="49FB1CC0">
            <w:pPr>
              <w:keepNext/>
              <w:spacing w:line="360" w:lineRule="auto"/>
              <w:jc w:val="center"/>
              <w:rPr>
                <w:rFonts w:cs="宋体"/>
                <w:color w:val="auto"/>
                <w:szCs w:val="21"/>
                <w:highlight w:val="none"/>
              </w:rPr>
            </w:pPr>
          </w:p>
        </w:tc>
        <w:tc>
          <w:tcPr>
            <w:tcW w:w="1281" w:type="pct"/>
            <w:tcBorders>
              <w:bottom w:val="single" w:color="auto" w:sz="12" w:space="0"/>
            </w:tcBorders>
            <w:vAlign w:val="center"/>
          </w:tcPr>
          <w:p w14:paraId="29265BFE">
            <w:pPr>
              <w:keepNext/>
              <w:spacing w:line="360" w:lineRule="auto"/>
              <w:jc w:val="center"/>
              <w:rPr>
                <w:rFonts w:cs="宋体"/>
                <w:color w:val="auto"/>
                <w:szCs w:val="21"/>
                <w:highlight w:val="none"/>
              </w:rPr>
            </w:pPr>
          </w:p>
        </w:tc>
        <w:tc>
          <w:tcPr>
            <w:tcW w:w="1151" w:type="pct"/>
            <w:tcBorders>
              <w:bottom w:val="single" w:color="auto" w:sz="12" w:space="0"/>
            </w:tcBorders>
            <w:vAlign w:val="center"/>
          </w:tcPr>
          <w:p w14:paraId="4B015CB4">
            <w:pPr>
              <w:keepNext/>
              <w:spacing w:line="360" w:lineRule="auto"/>
              <w:jc w:val="center"/>
              <w:rPr>
                <w:rFonts w:cs="宋体"/>
                <w:color w:val="auto"/>
                <w:szCs w:val="21"/>
                <w:highlight w:val="none"/>
              </w:rPr>
            </w:pPr>
          </w:p>
        </w:tc>
      </w:tr>
    </w:tbl>
    <w:p w14:paraId="4D4ED938">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606" w:name="_Toc128950242"/>
      <w:r>
        <w:rPr>
          <w:rFonts w:hint="eastAsia" w:ascii="Times New Roman" w:eastAsia="黑体"/>
          <w:color w:val="auto"/>
          <w:szCs w:val="24"/>
          <w:highlight w:val="none"/>
        </w:rPr>
        <w:t>附</w:t>
      </w:r>
      <w:bookmarkStart w:id="607" w:name="_Toc296944568"/>
      <w:bookmarkStart w:id="608" w:name="_Toc296891269"/>
      <w:bookmarkStart w:id="609" w:name="_Toc296347228"/>
      <w:bookmarkStart w:id="610" w:name="_Toc296891057"/>
      <w:bookmarkStart w:id="611" w:name="_Toc296346730"/>
      <w:bookmarkStart w:id="612" w:name="_Toc296503229"/>
      <w:r>
        <w:rPr>
          <w:rFonts w:hint="eastAsia" w:ascii="Times New Roman" w:eastAsia="黑体"/>
          <w:color w:val="auto"/>
          <w:szCs w:val="24"/>
          <w:highlight w:val="none"/>
        </w:rPr>
        <w:t>件</w:t>
      </w:r>
      <w:r>
        <w:rPr>
          <w:rFonts w:ascii="Times New Roman" w:eastAsia="黑体"/>
          <w:color w:val="auto"/>
          <w:szCs w:val="24"/>
          <w:highlight w:val="none"/>
        </w:rPr>
        <w:t>7</w:t>
      </w:r>
      <w:r>
        <w:rPr>
          <w:rFonts w:hint="eastAsia" w:ascii="Times New Roman" w:eastAsia="黑体"/>
          <w:color w:val="auto"/>
          <w:szCs w:val="24"/>
          <w:highlight w:val="none"/>
        </w:rPr>
        <w:t>：分包人主要施工管理人员表</w:t>
      </w:r>
      <w:bookmarkEnd w:id="606"/>
    </w:p>
    <w:bookmarkEnd w:id="607"/>
    <w:bookmarkEnd w:id="608"/>
    <w:bookmarkEnd w:id="609"/>
    <w:bookmarkEnd w:id="610"/>
    <w:bookmarkEnd w:id="611"/>
    <w:bookmarkEnd w:id="612"/>
    <w:p w14:paraId="49E5223A">
      <w:pPr>
        <w:spacing w:before="156" w:beforeLines="50" w:after="156" w:afterLines="50" w:line="360" w:lineRule="auto"/>
        <w:jc w:val="center"/>
        <w:rPr>
          <w:rFonts w:cs="宋体"/>
          <w:b/>
          <w:color w:val="auto"/>
          <w:szCs w:val="21"/>
          <w:highlight w:val="none"/>
        </w:rPr>
      </w:pPr>
      <w:r>
        <w:rPr>
          <w:rFonts w:hint="eastAsia" w:cs="宋体"/>
          <w:b/>
          <w:color w:val="auto"/>
          <w:szCs w:val="21"/>
          <w:highlight w:val="none"/>
        </w:rPr>
        <w:t>分包人主要施工管理人员表</w:t>
      </w:r>
    </w:p>
    <w:tbl>
      <w:tblPr>
        <w:tblStyle w:val="5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413"/>
        <w:gridCol w:w="1072"/>
        <w:gridCol w:w="858"/>
        <w:gridCol w:w="624"/>
        <w:gridCol w:w="3159"/>
        <w:gridCol w:w="1236"/>
      </w:tblGrid>
      <w:tr w14:paraId="2DF4C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tcBorders>
              <w:top w:val="single" w:color="auto" w:sz="12" w:space="0"/>
              <w:bottom w:val="double" w:color="auto" w:sz="6" w:space="0"/>
            </w:tcBorders>
            <w:vAlign w:val="center"/>
          </w:tcPr>
          <w:p w14:paraId="1E578B2E">
            <w:pPr>
              <w:keepNext/>
              <w:spacing w:line="360" w:lineRule="auto"/>
              <w:jc w:val="center"/>
              <w:rPr>
                <w:rFonts w:cs="宋体"/>
                <w:color w:val="auto"/>
                <w:szCs w:val="21"/>
                <w:highlight w:val="none"/>
              </w:rPr>
            </w:pPr>
            <w:r>
              <w:rPr>
                <w:rFonts w:hint="eastAsia" w:cs="宋体"/>
                <w:color w:val="auto"/>
                <w:szCs w:val="21"/>
                <w:highlight w:val="none"/>
              </w:rPr>
              <w:t>名称</w:t>
            </w:r>
          </w:p>
        </w:tc>
        <w:tc>
          <w:tcPr>
            <w:tcW w:w="641" w:type="pct"/>
            <w:tcBorders>
              <w:top w:val="single" w:color="auto" w:sz="12" w:space="0"/>
              <w:bottom w:val="double" w:color="auto" w:sz="6" w:space="0"/>
            </w:tcBorders>
            <w:vAlign w:val="center"/>
          </w:tcPr>
          <w:p w14:paraId="16C339AF">
            <w:pPr>
              <w:keepNext/>
              <w:spacing w:line="360" w:lineRule="auto"/>
              <w:jc w:val="center"/>
              <w:rPr>
                <w:rFonts w:cs="宋体"/>
                <w:color w:val="auto"/>
                <w:szCs w:val="21"/>
                <w:highlight w:val="none"/>
              </w:rPr>
            </w:pPr>
            <w:r>
              <w:rPr>
                <w:rFonts w:hint="eastAsia" w:cs="宋体"/>
                <w:color w:val="auto"/>
                <w:szCs w:val="21"/>
                <w:highlight w:val="none"/>
              </w:rPr>
              <w:t>姓名</w:t>
            </w:r>
          </w:p>
        </w:tc>
        <w:tc>
          <w:tcPr>
            <w:tcW w:w="513" w:type="pct"/>
            <w:tcBorders>
              <w:top w:val="single" w:color="auto" w:sz="12" w:space="0"/>
              <w:bottom w:val="double" w:color="auto" w:sz="6" w:space="0"/>
            </w:tcBorders>
            <w:vAlign w:val="center"/>
          </w:tcPr>
          <w:p w14:paraId="289ED6A1">
            <w:pPr>
              <w:keepNext/>
              <w:spacing w:line="360" w:lineRule="auto"/>
              <w:jc w:val="center"/>
              <w:rPr>
                <w:rFonts w:cs="宋体"/>
                <w:color w:val="auto"/>
                <w:szCs w:val="21"/>
                <w:highlight w:val="none"/>
              </w:rPr>
            </w:pPr>
            <w:r>
              <w:rPr>
                <w:rFonts w:hint="eastAsia" w:cs="宋体"/>
                <w:color w:val="auto"/>
                <w:szCs w:val="21"/>
                <w:highlight w:val="none"/>
              </w:rPr>
              <w:t>职务</w:t>
            </w:r>
          </w:p>
        </w:tc>
        <w:tc>
          <w:tcPr>
            <w:tcW w:w="373" w:type="pct"/>
            <w:tcBorders>
              <w:top w:val="single" w:color="auto" w:sz="12" w:space="0"/>
              <w:bottom w:val="double" w:color="auto" w:sz="6" w:space="0"/>
            </w:tcBorders>
            <w:vAlign w:val="center"/>
          </w:tcPr>
          <w:p w14:paraId="711EF65D">
            <w:pPr>
              <w:keepNext/>
              <w:spacing w:line="360" w:lineRule="auto"/>
              <w:jc w:val="center"/>
              <w:rPr>
                <w:rFonts w:cs="宋体"/>
                <w:color w:val="auto"/>
                <w:szCs w:val="21"/>
                <w:highlight w:val="none"/>
              </w:rPr>
            </w:pPr>
            <w:r>
              <w:rPr>
                <w:rFonts w:hint="eastAsia" w:cs="宋体"/>
                <w:color w:val="auto"/>
                <w:szCs w:val="21"/>
                <w:highlight w:val="none"/>
              </w:rPr>
              <w:t>职称</w:t>
            </w:r>
          </w:p>
        </w:tc>
        <w:tc>
          <w:tcPr>
            <w:tcW w:w="1889" w:type="pct"/>
            <w:tcBorders>
              <w:top w:val="single" w:color="auto" w:sz="12" w:space="0"/>
              <w:bottom w:val="double" w:color="auto" w:sz="6" w:space="0"/>
            </w:tcBorders>
            <w:vAlign w:val="center"/>
          </w:tcPr>
          <w:p w14:paraId="297DB2D7">
            <w:pPr>
              <w:keepNext/>
              <w:spacing w:line="360" w:lineRule="auto"/>
              <w:jc w:val="center"/>
              <w:rPr>
                <w:rFonts w:cs="宋体"/>
                <w:color w:val="auto"/>
                <w:szCs w:val="21"/>
                <w:highlight w:val="none"/>
              </w:rPr>
            </w:pPr>
            <w:r>
              <w:rPr>
                <w:rFonts w:hint="eastAsia" w:cs="宋体"/>
                <w:color w:val="auto"/>
                <w:szCs w:val="21"/>
                <w:highlight w:val="none"/>
              </w:rPr>
              <w:t>主要资历、经验及承担过的项目</w:t>
            </w:r>
          </w:p>
        </w:tc>
        <w:tc>
          <w:tcPr>
            <w:tcW w:w="739" w:type="pct"/>
            <w:tcBorders>
              <w:top w:val="single" w:color="auto" w:sz="12" w:space="0"/>
              <w:bottom w:val="double" w:color="auto" w:sz="6" w:space="0"/>
            </w:tcBorders>
            <w:vAlign w:val="center"/>
          </w:tcPr>
          <w:p w14:paraId="6F47432F">
            <w:pPr>
              <w:keepNext/>
              <w:spacing w:line="360" w:lineRule="auto"/>
              <w:jc w:val="center"/>
              <w:rPr>
                <w:rFonts w:cs="宋体"/>
                <w:color w:val="auto"/>
                <w:szCs w:val="21"/>
                <w:highlight w:val="none"/>
              </w:rPr>
            </w:pPr>
            <w:r>
              <w:rPr>
                <w:rFonts w:hint="eastAsia" w:cs="宋体"/>
                <w:color w:val="auto"/>
                <w:szCs w:val="21"/>
                <w:highlight w:val="none"/>
              </w:rPr>
              <w:t>身份证号码</w:t>
            </w:r>
          </w:p>
        </w:tc>
      </w:tr>
      <w:tr w14:paraId="3DFA75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261" w:type="pct"/>
            <w:gridSpan w:val="5"/>
            <w:tcBorders>
              <w:top w:val="double" w:color="auto" w:sz="6" w:space="0"/>
            </w:tcBorders>
            <w:vAlign w:val="center"/>
          </w:tcPr>
          <w:p w14:paraId="624906D1">
            <w:pPr>
              <w:keepNext/>
              <w:spacing w:line="360" w:lineRule="auto"/>
              <w:jc w:val="center"/>
              <w:rPr>
                <w:rFonts w:cs="宋体"/>
                <w:color w:val="auto"/>
                <w:szCs w:val="21"/>
                <w:highlight w:val="none"/>
              </w:rPr>
            </w:pPr>
            <w:r>
              <w:rPr>
                <w:rFonts w:hint="eastAsia" w:cs="宋体"/>
                <w:color w:val="auto"/>
                <w:szCs w:val="21"/>
                <w:highlight w:val="none"/>
              </w:rPr>
              <w:t>一、总部人员</w:t>
            </w:r>
          </w:p>
        </w:tc>
        <w:tc>
          <w:tcPr>
            <w:tcW w:w="739" w:type="pct"/>
            <w:tcBorders>
              <w:top w:val="double" w:color="auto" w:sz="6" w:space="0"/>
            </w:tcBorders>
            <w:vAlign w:val="center"/>
          </w:tcPr>
          <w:p w14:paraId="684FA7F5">
            <w:pPr>
              <w:keepNext/>
              <w:spacing w:line="360" w:lineRule="auto"/>
              <w:jc w:val="center"/>
              <w:rPr>
                <w:rFonts w:cs="宋体"/>
                <w:color w:val="auto"/>
                <w:szCs w:val="21"/>
                <w:highlight w:val="none"/>
              </w:rPr>
            </w:pPr>
          </w:p>
        </w:tc>
      </w:tr>
      <w:tr w14:paraId="5B3A4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tcBorders>
              <w:top w:val="nil"/>
              <w:bottom w:val="nil"/>
            </w:tcBorders>
            <w:vAlign w:val="center"/>
          </w:tcPr>
          <w:p w14:paraId="3FC16B72">
            <w:pPr>
              <w:keepNext/>
              <w:spacing w:line="360" w:lineRule="auto"/>
              <w:jc w:val="center"/>
              <w:rPr>
                <w:rFonts w:cs="宋体"/>
                <w:color w:val="auto"/>
                <w:szCs w:val="21"/>
                <w:highlight w:val="none"/>
              </w:rPr>
            </w:pPr>
            <w:r>
              <w:rPr>
                <w:rFonts w:hint="eastAsia" w:cs="宋体"/>
                <w:color w:val="auto"/>
                <w:szCs w:val="21"/>
                <w:highlight w:val="none"/>
              </w:rPr>
              <w:t>项目主管</w:t>
            </w:r>
          </w:p>
        </w:tc>
        <w:tc>
          <w:tcPr>
            <w:tcW w:w="641" w:type="pct"/>
            <w:tcBorders>
              <w:top w:val="nil"/>
            </w:tcBorders>
            <w:vAlign w:val="center"/>
          </w:tcPr>
          <w:p w14:paraId="3B623BB6">
            <w:pPr>
              <w:keepNext/>
              <w:spacing w:line="360" w:lineRule="auto"/>
              <w:jc w:val="center"/>
              <w:rPr>
                <w:rFonts w:cs="宋体"/>
                <w:color w:val="auto"/>
                <w:szCs w:val="21"/>
                <w:highlight w:val="none"/>
              </w:rPr>
            </w:pPr>
          </w:p>
        </w:tc>
        <w:tc>
          <w:tcPr>
            <w:tcW w:w="513" w:type="pct"/>
            <w:tcBorders>
              <w:top w:val="nil"/>
            </w:tcBorders>
            <w:vAlign w:val="center"/>
          </w:tcPr>
          <w:p w14:paraId="571A000F">
            <w:pPr>
              <w:keepNext/>
              <w:spacing w:line="360" w:lineRule="auto"/>
              <w:jc w:val="center"/>
              <w:rPr>
                <w:rFonts w:cs="宋体"/>
                <w:color w:val="auto"/>
                <w:szCs w:val="21"/>
                <w:highlight w:val="none"/>
              </w:rPr>
            </w:pPr>
          </w:p>
        </w:tc>
        <w:tc>
          <w:tcPr>
            <w:tcW w:w="373" w:type="pct"/>
            <w:tcBorders>
              <w:top w:val="nil"/>
            </w:tcBorders>
            <w:vAlign w:val="center"/>
          </w:tcPr>
          <w:p w14:paraId="27A8772C">
            <w:pPr>
              <w:keepNext/>
              <w:spacing w:line="360" w:lineRule="auto"/>
              <w:jc w:val="center"/>
              <w:rPr>
                <w:rFonts w:cs="宋体"/>
                <w:color w:val="auto"/>
                <w:szCs w:val="21"/>
                <w:highlight w:val="none"/>
              </w:rPr>
            </w:pPr>
          </w:p>
        </w:tc>
        <w:tc>
          <w:tcPr>
            <w:tcW w:w="1889" w:type="pct"/>
            <w:tcBorders>
              <w:top w:val="nil"/>
            </w:tcBorders>
            <w:vAlign w:val="center"/>
          </w:tcPr>
          <w:p w14:paraId="7CA0E312">
            <w:pPr>
              <w:keepNext/>
              <w:spacing w:line="360" w:lineRule="auto"/>
              <w:jc w:val="center"/>
              <w:rPr>
                <w:rFonts w:cs="宋体"/>
                <w:color w:val="auto"/>
                <w:szCs w:val="21"/>
                <w:highlight w:val="none"/>
              </w:rPr>
            </w:pPr>
          </w:p>
        </w:tc>
        <w:tc>
          <w:tcPr>
            <w:tcW w:w="739" w:type="pct"/>
            <w:tcBorders>
              <w:top w:val="nil"/>
            </w:tcBorders>
            <w:vAlign w:val="center"/>
          </w:tcPr>
          <w:p w14:paraId="30F012F4">
            <w:pPr>
              <w:keepNext/>
              <w:spacing w:line="360" w:lineRule="auto"/>
              <w:jc w:val="center"/>
              <w:rPr>
                <w:rFonts w:cs="宋体"/>
                <w:color w:val="auto"/>
                <w:szCs w:val="21"/>
                <w:highlight w:val="none"/>
              </w:rPr>
            </w:pPr>
          </w:p>
        </w:tc>
      </w:tr>
      <w:tr w14:paraId="1C0310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restart"/>
            <w:vAlign w:val="center"/>
          </w:tcPr>
          <w:p w14:paraId="6F25CBFB">
            <w:pPr>
              <w:keepNext/>
              <w:spacing w:line="360" w:lineRule="auto"/>
              <w:jc w:val="center"/>
              <w:rPr>
                <w:rFonts w:cs="宋体"/>
                <w:color w:val="auto"/>
                <w:szCs w:val="21"/>
                <w:highlight w:val="none"/>
              </w:rPr>
            </w:pPr>
            <w:r>
              <w:rPr>
                <w:rFonts w:hint="eastAsia" w:cs="宋体"/>
                <w:color w:val="auto"/>
                <w:szCs w:val="21"/>
                <w:highlight w:val="none"/>
              </w:rPr>
              <w:t>其他人员</w:t>
            </w:r>
          </w:p>
        </w:tc>
        <w:tc>
          <w:tcPr>
            <w:tcW w:w="641" w:type="pct"/>
            <w:vAlign w:val="center"/>
          </w:tcPr>
          <w:p w14:paraId="27DF8FBB">
            <w:pPr>
              <w:keepNext/>
              <w:spacing w:line="360" w:lineRule="auto"/>
              <w:jc w:val="center"/>
              <w:rPr>
                <w:rFonts w:cs="宋体"/>
                <w:color w:val="auto"/>
                <w:szCs w:val="21"/>
                <w:highlight w:val="none"/>
              </w:rPr>
            </w:pPr>
          </w:p>
        </w:tc>
        <w:tc>
          <w:tcPr>
            <w:tcW w:w="513" w:type="pct"/>
            <w:vAlign w:val="center"/>
          </w:tcPr>
          <w:p w14:paraId="7AB64393">
            <w:pPr>
              <w:keepNext/>
              <w:spacing w:line="360" w:lineRule="auto"/>
              <w:jc w:val="center"/>
              <w:rPr>
                <w:rFonts w:cs="宋体"/>
                <w:color w:val="auto"/>
                <w:szCs w:val="21"/>
                <w:highlight w:val="none"/>
              </w:rPr>
            </w:pPr>
          </w:p>
        </w:tc>
        <w:tc>
          <w:tcPr>
            <w:tcW w:w="373" w:type="pct"/>
            <w:vAlign w:val="center"/>
          </w:tcPr>
          <w:p w14:paraId="235FA697">
            <w:pPr>
              <w:keepNext/>
              <w:spacing w:line="360" w:lineRule="auto"/>
              <w:jc w:val="center"/>
              <w:rPr>
                <w:rFonts w:cs="宋体"/>
                <w:color w:val="auto"/>
                <w:szCs w:val="21"/>
                <w:highlight w:val="none"/>
              </w:rPr>
            </w:pPr>
          </w:p>
        </w:tc>
        <w:tc>
          <w:tcPr>
            <w:tcW w:w="1889" w:type="pct"/>
            <w:vAlign w:val="center"/>
          </w:tcPr>
          <w:p w14:paraId="79D43D88">
            <w:pPr>
              <w:keepNext/>
              <w:spacing w:line="360" w:lineRule="auto"/>
              <w:jc w:val="center"/>
              <w:rPr>
                <w:rFonts w:cs="宋体"/>
                <w:color w:val="auto"/>
                <w:szCs w:val="21"/>
                <w:highlight w:val="none"/>
              </w:rPr>
            </w:pPr>
          </w:p>
        </w:tc>
        <w:tc>
          <w:tcPr>
            <w:tcW w:w="739" w:type="pct"/>
            <w:vAlign w:val="center"/>
          </w:tcPr>
          <w:p w14:paraId="0A9BF98E">
            <w:pPr>
              <w:keepNext/>
              <w:spacing w:line="360" w:lineRule="auto"/>
              <w:jc w:val="center"/>
              <w:rPr>
                <w:rFonts w:cs="宋体"/>
                <w:color w:val="auto"/>
                <w:szCs w:val="21"/>
                <w:highlight w:val="none"/>
              </w:rPr>
            </w:pPr>
          </w:p>
        </w:tc>
      </w:tr>
      <w:tr w14:paraId="16D436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0A11150C">
            <w:pPr>
              <w:keepNext/>
              <w:spacing w:line="360" w:lineRule="auto"/>
              <w:jc w:val="center"/>
              <w:rPr>
                <w:rFonts w:cs="宋体"/>
                <w:color w:val="auto"/>
                <w:szCs w:val="21"/>
                <w:highlight w:val="none"/>
              </w:rPr>
            </w:pPr>
          </w:p>
        </w:tc>
        <w:tc>
          <w:tcPr>
            <w:tcW w:w="641" w:type="pct"/>
            <w:vAlign w:val="center"/>
          </w:tcPr>
          <w:p w14:paraId="2C0CF7B7">
            <w:pPr>
              <w:keepNext/>
              <w:spacing w:line="360" w:lineRule="auto"/>
              <w:jc w:val="center"/>
              <w:rPr>
                <w:rFonts w:cs="宋体"/>
                <w:color w:val="auto"/>
                <w:szCs w:val="21"/>
                <w:highlight w:val="none"/>
              </w:rPr>
            </w:pPr>
          </w:p>
        </w:tc>
        <w:tc>
          <w:tcPr>
            <w:tcW w:w="513" w:type="pct"/>
            <w:vAlign w:val="center"/>
          </w:tcPr>
          <w:p w14:paraId="36851631">
            <w:pPr>
              <w:keepNext/>
              <w:spacing w:line="360" w:lineRule="auto"/>
              <w:jc w:val="center"/>
              <w:rPr>
                <w:rFonts w:cs="宋体"/>
                <w:color w:val="auto"/>
                <w:szCs w:val="21"/>
                <w:highlight w:val="none"/>
              </w:rPr>
            </w:pPr>
          </w:p>
        </w:tc>
        <w:tc>
          <w:tcPr>
            <w:tcW w:w="373" w:type="pct"/>
            <w:vAlign w:val="center"/>
          </w:tcPr>
          <w:p w14:paraId="11F4C04E">
            <w:pPr>
              <w:keepNext/>
              <w:spacing w:line="360" w:lineRule="auto"/>
              <w:jc w:val="center"/>
              <w:rPr>
                <w:rFonts w:cs="宋体"/>
                <w:color w:val="auto"/>
                <w:szCs w:val="21"/>
                <w:highlight w:val="none"/>
              </w:rPr>
            </w:pPr>
          </w:p>
        </w:tc>
        <w:tc>
          <w:tcPr>
            <w:tcW w:w="1889" w:type="pct"/>
            <w:vAlign w:val="center"/>
          </w:tcPr>
          <w:p w14:paraId="20B4BBE9">
            <w:pPr>
              <w:keepNext/>
              <w:spacing w:line="360" w:lineRule="auto"/>
              <w:jc w:val="center"/>
              <w:rPr>
                <w:rFonts w:cs="宋体"/>
                <w:color w:val="auto"/>
                <w:szCs w:val="21"/>
                <w:highlight w:val="none"/>
              </w:rPr>
            </w:pPr>
          </w:p>
        </w:tc>
        <w:tc>
          <w:tcPr>
            <w:tcW w:w="739" w:type="pct"/>
            <w:vAlign w:val="center"/>
          </w:tcPr>
          <w:p w14:paraId="1DEBD18D">
            <w:pPr>
              <w:keepNext/>
              <w:spacing w:line="360" w:lineRule="auto"/>
              <w:jc w:val="center"/>
              <w:rPr>
                <w:rFonts w:cs="宋体"/>
                <w:color w:val="auto"/>
                <w:szCs w:val="21"/>
                <w:highlight w:val="none"/>
              </w:rPr>
            </w:pPr>
          </w:p>
        </w:tc>
      </w:tr>
      <w:tr w14:paraId="55AE3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tcBorders>
              <w:bottom w:val="nil"/>
            </w:tcBorders>
            <w:vAlign w:val="center"/>
          </w:tcPr>
          <w:p w14:paraId="3CE716A2">
            <w:pPr>
              <w:keepNext/>
              <w:spacing w:line="360" w:lineRule="auto"/>
              <w:jc w:val="center"/>
              <w:rPr>
                <w:rFonts w:cs="宋体"/>
                <w:color w:val="auto"/>
                <w:szCs w:val="21"/>
                <w:highlight w:val="none"/>
              </w:rPr>
            </w:pPr>
          </w:p>
        </w:tc>
        <w:tc>
          <w:tcPr>
            <w:tcW w:w="641" w:type="pct"/>
            <w:vAlign w:val="center"/>
          </w:tcPr>
          <w:p w14:paraId="176C2E50">
            <w:pPr>
              <w:keepNext/>
              <w:spacing w:line="360" w:lineRule="auto"/>
              <w:jc w:val="center"/>
              <w:rPr>
                <w:rFonts w:cs="宋体"/>
                <w:color w:val="auto"/>
                <w:szCs w:val="21"/>
                <w:highlight w:val="none"/>
              </w:rPr>
            </w:pPr>
          </w:p>
        </w:tc>
        <w:tc>
          <w:tcPr>
            <w:tcW w:w="513" w:type="pct"/>
            <w:vAlign w:val="center"/>
          </w:tcPr>
          <w:p w14:paraId="7410AAB2">
            <w:pPr>
              <w:keepNext/>
              <w:spacing w:line="360" w:lineRule="auto"/>
              <w:jc w:val="center"/>
              <w:rPr>
                <w:rFonts w:cs="宋体"/>
                <w:color w:val="auto"/>
                <w:szCs w:val="21"/>
                <w:highlight w:val="none"/>
              </w:rPr>
            </w:pPr>
          </w:p>
        </w:tc>
        <w:tc>
          <w:tcPr>
            <w:tcW w:w="373" w:type="pct"/>
            <w:vAlign w:val="center"/>
          </w:tcPr>
          <w:p w14:paraId="27EE1703">
            <w:pPr>
              <w:keepNext/>
              <w:spacing w:line="360" w:lineRule="auto"/>
              <w:jc w:val="center"/>
              <w:rPr>
                <w:rFonts w:cs="宋体"/>
                <w:color w:val="auto"/>
                <w:szCs w:val="21"/>
                <w:highlight w:val="none"/>
              </w:rPr>
            </w:pPr>
          </w:p>
        </w:tc>
        <w:tc>
          <w:tcPr>
            <w:tcW w:w="1889" w:type="pct"/>
            <w:vAlign w:val="center"/>
          </w:tcPr>
          <w:p w14:paraId="0E06ADE7">
            <w:pPr>
              <w:keepNext/>
              <w:spacing w:line="360" w:lineRule="auto"/>
              <w:jc w:val="center"/>
              <w:rPr>
                <w:rFonts w:cs="宋体"/>
                <w:color w:val="auto"/>
                <w:szCs w:val="21"/>
                <w:highlight w:val="none"/>
              </w:rPr>
            </w:pPr>
          </w:p>
        </w:tc>
        <w:tc>
          <w:tcPr>
            <w:tcW w:w="739" w:type="pct"/>
            <w:vAlign w:val="center"/>
          </w:tcPr>
          <w:p w14:paraId="728CA294">
            <w:pPr>
              <w:keepNext/>
              <w:spacing w:line="360" w:lineRule="auto"/>
              <w:jc w:val="center"/>
              <w:rPr>
                <w:rFonts w:cs="宋体"/>
                <w:color w:val="auto"/>
                <w:szCs w:val="21"/>
                <w:highlight w:val="none"/>
              </w:rPr>
            </w:pPr>
          </w:p>
        </w:tc>
      </w:tr>
      <w:tr w14:paraId="1CBE9D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261" w:type="pct"/>
            <w:gridSpan w:val="5"/>
            <w:vAlign w:val="center"/>
          </w:tcPr>
          <w:p w14:paraId="06DF8C52">
            <w:pPr>
              <w:keepNext/>
              <w:spacing w:line="360" w:lineRule="auto"/>
              <w:jc w:val="center"/>
              <w:rPr>
                <w:rFonts w:cs="宋体"/>
                <w:color w:val="auto"/>
                <w:szCs w:val="21"/>
                <w:highlight w:val="none"/>
              </w:rPr>
            </w:pPr>
            <w:r>
              <w:rPr>
                <w:rFonts w:hint="eastAsia" w:cs="宋体"/>
                <w:color w:val="auto"/>
                <w:szCs w:val="21"/>
                <w:highlight w:val="none"/>
              </w:rPr>
              <w:t>二、现场人员</w:t>
            </w:r>
          </w:p>
        </w:tc>
        <w:tc>
          <w:tcPr>
            <w:tcW w:w="739" w:type="pct"/>
            <w:vAlign w:val="center"/>
          </w:tcPr>
          <w:p w14:paraId="5EB76525">
            <w:pPr>
              <w:keepNext/>
              <w:spacing w:line="360" w:lineRule="auto"/>
              <w:jc w:val="center"/>
              <w:rPr>
                <w:rFonts w:cs="宋体"/>
                <w:color w:val="auto"/>
                <w:szCs w:val="21"/>
                <w:highlight w:val="none"/>
              </w:rPr>
            </w:pPr>
          </w:p>
        </w:tc>
      </w:tr>
      <w:tr w14:paraId="7B7401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1345EC5C">
            <w:pPr>
              <w:spacing w:line="360" w:lineRule="auto"/>
              <w:jc w:val="center"/>
              <w:rPr>
                <w:rFonts w:cs="宋体"/>
                <w:color w:val="auto"/>
                <w:szCs w:val="22"/>
                <w:highlight w:val="none"/>
              </w:rPr>
            </w:pPr>
            <w:r>
              <w:rPr>
                <w:rFonts w:hint="eastAsia" w:cs="宋体"/>
                <w:color w:val="auto"/>
                <w:szCs w:val="22"/>
                <w:highlight w:val="none"/>
              </w:rPr>
              <w:t>项目经理</w:t>
            </w:r>
          </w:p>
        </w:tc>
        <w:tc>
          <w:tcPr>
            <w:tcW w:w="641" w:type="pct"/>
            <w:vAlign w:val="center"/>
          </w:tcPr>
          <w:p w14:paraId="5ADA7B60">
            <w:pPr>
              <w:keepNext/>
              <w:spacing w:line="360" w:lineRule="auto"/>
              <w:jc w:val="center"/>
              <w:rPr>
                <w:rFonts w:cs="宋体"/>
                <w:color w:val="auto"/>
                <w:szCs w:val="21"/>
                <w:highlight w:val="none"/>
              </w:rPr>
            </w:pPr>
          </w:p>
        </w:tc>
        <w:tc>
          <w:tcPr>
            <w:tcW w:w="513" w:type="pct"/>
            <w:vAlign w:val="center"/>
          </w:tcPr>
          <w:p w14:paraId="0A2B5E18">
            <w:pPr>
              <w:keepNext/>
              <w:spacing w:line="360" w:lineRule="auto"/>
              <w:jc w:val="center"/>
              <w:rPr>
                <w:rFonts w:cs="宋体"/>
                <w:color w:val="auto"/>
                <w:szCs w:val="21"/>
                <w:highlight w:val="none"/>
              </w:rPr>
            </w:pPr>
          </w:p>
        </w:tc>
        <w:tc>
          <w:tcPr>
            <w:tcW w:w="373" w:type="pct"/>
            <w:vAlign w:val="center"/>
          </w:tcPr>
          <w:p w14:paraId="57582725">
            <w:pPr>
              <w:keepNext/>
              <w:spacing w:line="360" w:lineRule="auto"/>
              <w:jc w:val="center"/>
              <w:rPr>
                <w:rFonts w:cs="宋体"/>
                <w:color w:val="auto"/>
                <w:szCs w:val="21"/>
                <w:highlight w:val="none"/>
              </w:rPr>
            </w:pPr>
          </w:p>
        </w:tc>
        <w:tc>
          <w:tcPr>
            <w:tcW w:w="1889" w:type="pct"/>
            <w:vAlign w:val="center"/>
          </w:tcPr>
          <w:p w14:paraId="1557AAF2">
            <w:pPr>
              <w:keepNext/>
              <w:spacing w:line="360" w:lineRule="auto"/>
              <w:jc w:val="center"/>
              <w:rPr>
                <w:rFonts w:cs="宋体"/>
                <w:color w:val="auto"/>
                <w:szCs w:val="21"/>
                <w:highlight w:val="none"/>
              </w:rPr>
            </w:pPr>
          </w:p>
        </w:tc>
        <w:tc>
          <w:tcPr>
            <w:tcW w:w="739" w:type="pct"/>
            <w:vAlign w:val="center"/>
          </w:tcPr>
          <w:p w14:paraId="712292B7">
            <w:pPr>
              <w:keepNext/>
              <w:spacing w:line="360" w:lineRule="auto"/>
              <w:jc w:val="center"/>
              <w:rPr>
                <w:rFonts w:cs="宋体"/>
                <w:color w:val="auto"/>
                <w:szCs w:val="21"/>
                <w:highlight w:val="none"/>
              </w:rPr>
            </w:pPr>
          </w:p>
        </w:tc>
      </w:tr>
      <w:tr w14:paraId="2601FA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5F529DFA">
            <w:pPr>
              <w:spacing w:line="360" w:lineRule="auto"/>
              <w:jc w:val="center"/>
              <w:rPr>
                <w:rFonts w:cs="宋体"/>
                <w:color w:val="auto"/>
                <w:szCs w:val="22"/>
                <w:highlight w:val="none"/>
              </w:rPr>
            </w:pPr>
            <w:r>
              <w:rPr>
                <w:rFonts w:hint="eastAsia" w:cs="宋体"/>
                <w:color w:val="auto"/>
                <w:szCs w:val="22"/>
                <w:highlight w:val="none"/>
              </w:rPr>
              <w:t>项目副经理</w:t>
            </w:r>
          </w:p>
        </w:tc>
        <w:tc>
          <w:tcPr>
            <w:tcW w:w="641" w:type="pct"/>
            <w:vAlign w:val="center"/>
          </w:tcPr>
          <w:p w14:paraId="16DE99F1">
            <w:pPr>
              <w:keepNext/>
              <w:spacing w:line="360" w:lineRule="auto"/>
              <w:jc w:val="center"/>
              <w:rPr>
                <w:rFonts w:cs="宋体"/>
                <w:color w:val="auto"/>
                <w:szCs w:val="21"/>
                <w:highlight w:val="none"/>
              </w:rPr>
            </w:pPr>
          </w:p>
        </w:tc>
        <w:tc>
          <w:tcPr>
            <w:tcW w:w="513" w:type="pct"/>
            <w:vAlign w:val="center"/>
          </w:tcPr>
          <w:p w14:paraId="68638AA9">
            <w:pPr>
              <w:keepNext/>
              <w:spacing w:line="360" w:lineRule="auto"/>
              <w:jc w:val="center"/>
              <w:rPr>
                <w:rFonts w:cs="宋体"/>
                <w:color w:val="auto"/>
                <w:szCs w:val="21"/>
                <w:highlight w:val="none"/>
              </w:rPr>
            </w:pPr>
          </w:p>
        </w:tc>
        <w:tc>
          <w:tcPr>
            <w:tcW w:w="373" w:type="pct"/>
            <w:vAlign w:val="center"/>
          </w:tcPr>
          <w:p w14:paraId="15093241">
            <w:pPr>
              <w:keepNext/>
              <w:spacing w:line="360" w:lineRule="auto"/>
              <w:jc w:val="center"/>
              <w:rPr>
                <w:rFonts w:cs="宋体"/>
                <w:color w:val="auto"/>
                <w:szCs w:val="21"/>
                <w:highlight w:val="none"/>
              </w:rPr>
            </w:pPr>
          </w:p>
        </w:tc>
        <w:tc>
          <w:tcPr>
            <w:tcW w:w="1889" w:type="pct"/>
            <w:vAlign w:val="center"/>
          </w:tcPr>
          <w:p w14:paraId="5B37A75D">
            <w:pPr>
              <w:keepNext/>
              <w:spacing w:line="360" w:lineRule="auto"/>
              <w:jc w:val="center"/>
              <w:rPr>
                <w:rFonts w:cs="宋体"/>
                <w:color w:val="auto"/>
                <w:szCs w:val="21"/>
                <w:highlight w:val="none"/>
              </w:rPr>
            </w:pPr>
          </w:p>
        </w:tc>
        <w:tc>
          <w:tcPr>
            <w:tcW w:w="739" w:type="pct"/>
            <w:vAlign w:val="center"/>
          </w:tcPr>
          <w:p w14:paraId="33B09E40">
            <w:pPr>
              <w:keepNext/>
              <w:spacing w:line="360" w:lineRule="auto"/>
              <w:jc w:val="center"/>
              <w:rPr>
                <w:rFonts w:cs="宋体"/>
                <w:color w:val="auto"/>
                <w:szCs w:val="21"/>
                <w:highlight w:val="none"/>
              </w:rPr>
            </w:pPr>
          </w:p>
        </w:tc>
      </w:tr>
      <w:tr w14:paraId="78D4F6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7B4B8251">
            <w:pPr>
              <w:spacing w:line="360" w:lineRule="auto"/>
              <w:jc w:val="center"/>
              <w:rPr>
                <w:rFonts w:cs="宋体"/>
                <w:color w:val="auto"/>
                <w:szCs w:val="22"/>
                <w:highlight w:val="none"/>
              </w:rPr>
            </w:pPr>
            <w:r>
              <w:rPr>
                <w:rFonts w:hint="eastAsia" w:cs="宋体"/>
                <w:color w:val="auto"/>
                <w:szCs w:val="22"/>
                <w:highlight w:val="none"/>
              </w:rPr>
              <w:t>项目技术负责人</w:t>
            </w:r>
          </w:p>
        </w:tc>
        <w:tc>
          <w:tcPr>
            <w:tcW w:w="641" w:type="pct"/>
            <w:vAlign w:val="center"/>
          </w:tcPr>
          <w:p w14:paraId="780086B9">
            <w:pPr>
              <w:keepNext/>
              <w:spacing w:line="360" w:lineRule="auto"/>
              <w:jc w:val="center"/>
              <w:rPr>
                <w:rFonts w:cs="宋体"/>
                <w:color w:val="auto"/>
                <w:szCs w:val="21"/>
                <w:highlight w:val="none"/>
              </w:rPr>
            </w:pPr>
          </w:p>
        </w:tc>
        <w:tc>
          <w:tcPr>
            <w:tcW w:w="513" w:type="pct"/>
            <w:vAlign w:val="center"/>
          </w:tcPr>
          <w:p w14:paraId="17CE7E49">
            <w:pPr>
              <w:keepNext/>
              <w:spacing w:line="360" w:lineRule="auto"/>
              <w:jc w:val="center"/>
              <w:rPr>
                <w:rFonts w:cs="宋体"/>
                <w:color w:val="auto"/>
                <w:szCs w:val="21"/>
                <w:highlight w:val="none"/>
              </w:rPr>
            </w:pPr>
          </w:p>
        </w:tc>
        <w:tc>
          <w:tcPr>
            <w:tcW w:w="373" w:type="pct"/>
            <w:vAlign w:val="center"/>
          </w:tcPr>
          <w:p w14:paraId="3E37A424">
            <w:pPr>
              <w:keepNext/>
              <w:spacing w:line="360" w:lineRule="auto"/>
              <w:jc w:val="center"/>
              <w:rPr>
                <w:rFonts w:cs="宋体"/>
                <w:color w:val="auto"/>
                <w:szCs w:val="21"/>
                <w:highlight w:val="none"/>
              </w:rPr>
            </w:pPr>
          </w:p>
        </w:tc>
        <w:tc>
          <w:tcPr>
            <w:tcW w:w="1889" w:type="pct"/>
            <w:vAlign w:val="center"/>
          </w:tcPr>
          <w:p w14:paraId="3EEF35DF">
            <w:pPr>
              <w:keepNext/>
              <w:spacing w:line="360" w:lineRule="auto"/>
              <w:jc w:val="center"/>
              <w:rPr>
                <w:rFonts w:cs="宋体"/>
                <w:color w:val="auto"/>
                <w:szCs w:val="21"/>
                <w:highlight w:val="none"/>
              </w:rPr>
            </w:pPr>
          </w:p>
        </w:tc>
        <w:tc>
          <w:tcPr>
            <w:tcW w:w="739" w:type="pct"/>
            <w:vAlign w:val="center"/>
          </w:tcPr>
          <w:p w14:paraId="7412F3D5">
            <w:pPr>
              <w:keepNext/>
              <w:spacing w:line="360" w:lineRule="auto"/>
              <w:jc w:val="center"/>
              <w:rPr>
                <w:rFonts w:cs="宋体"/>
                <w:color w:val="auto"/>
                <w:szCs w:val="21"/>
                <w:highlight w:val="none"/>
              </w:rPr>
            </w:pPr>
          </w:p>
        </w:tc>
      </w:tr>
      <w:tr w14:paraId="0024E8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03BA38FB">
            <w:pPr>
              <w:spacing w:line="360" w:lineRule="auto"/>
              <w:jc w:val="center"/>
              <w:rPr>
                <w:rFonts w:cs="宋体"/>
                <w:color w:val="auto"/>
                <w:szCs w:val="22"/>
                <w:highlight w:val="none"/>
              </w:rPr>
            </w:pPr>
            <w:r>
              <w:rPr>
                <w:rFonts w:hint="eastAsia" w:cs="宋体"/>
                <w:color w:val="auto"/>
                <w:szCs w:val="22"/>
                <w:highlight w:val="none"/>
              </w:rPr>
              <w:t>施工员</w:t>
            </w:r>
          </w:p>
        </w:tc>
        <w:tc>
          <w:tcPr>
            <w:tcW w:w="641" w:type="pct"/>
            <w:vAlign w:val="center"/>
          </w:tcPr>
          <w:p w14:paraId="42BF7884">
            <w:pPr>
              <w:keepNext/>
              <w:spacing w:line="360" w:lineRule="auto"/>
              <w:jc w:val="center"/>
              <w:rPr>
                <w:rFonts w:cs="宋体"/>
                <w:color w:val="auto"/>
                <w:szCs w:val="21"/>
                <w:highlight w:val="none"/>
              </w:rPr>
            </w:pPr>
          </w:p>
        </w:tc>
        <w:tc>
          <w:tcPr>
            <w:tcW w:w="513" w:type="pct"/>
            <w:vAlign w:val="center"/>
          </w:tcPr>
          <w:p w14:paraId="2A374F00">
            <w:pPr>
              <w:keepNext/>
              <w:spacing w:line="360" w:lineRule="auto"/>
              <w:jc w:val="center"/>
              <w:rPr>
                <w:rFonts w:cs="宋体"/>
                <w:color w:val="auto"/>
                <w:szCs w:val="21"/>
                <w:highlight w:val="none"/>
              </w:rPr>
            </w:pPr>
          </w:p>
        </w:tc>
        <w:tc>
          <w:tcPr>
            <w:tcW w:w="373" w:type="pct"/>
            <w:vAlign w:val="center"/>
          </w:tcPr>
          <w:p w14:paraId="54B8C55C">
            <w:pPr>
              <w:keepNext/>
              <w:spacing w:line="360" w:lineRule="auto"/>
              <w:jc w:val="center"/>
              <w:rPr>
                <w:rFonts w:cs="宋体"/>
                <w:color w:val="auto"/>
                <w:szCs w:val="21"/>
                <w:highlight w:val="none"/>
              </w:rPr>
            </w:pPr>
          </w:p>
        </w:tc>
        <w:tc>
          <w:tcPr>
            <w:tcW w:w="1889" w:type="pct"/>
            <w:vAlign w:val="center"/>
          </w:tcPr>
          <w:p w14:paraId="56B45D45">
            <w:pPr>
              <w:keepNext/>
              <w:spacing w:line="360" w:lineRule="auto"/>
              <w:jc w:val="center"/>
              <w:rPr>
                <w:rFonts w:cs="宋体"/>
                <w:color w:val="auto"/>
                <w:szCs w:val="21"/>
                <w:highlight w:val="none"/>
              </w:rPr>
            </w:pPr>
          </w:p>
        </w:tc>
        <w:tc>
          <w:tcPr>
            <w:tcW w:w="739" w:type="pct"/>
            <w:vAlign w:val="center"/>
          </w:tcPr>
          <w:p w14:paraId="5A318B4D">
            <w:pPr>
              <w:keepNext/>
              <w:spacing w:line="360" w:lineRule="auto"/>
              <w:jc w:val="center"/>
              <w:rPr>
                <w:rFonts w:cs="宋体"/>
                <w:color w:val="auto"/>
                <w:szCs w:val="21"/>
                <w:highlight w:val="none"/>
              </w:rPr>
            </w:pPr>
          </w:p>
        </w:tc>
      </w:tr>
      <w:tr w14:paraId="3E9E43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59BD4799">
            <w:pPr>
              <w:spacing w:line="360" w:lineRule="auto"/>
              <w:jc w:val="center"/>
              <w:rPr>
                <w:rFonts w:cs="宋体"/>
                <w:color w:val="auto"/>
                <w:szCs w:val="22"/>
                <w:highlight w:val="none"/>
              </w:rPr>
            </w:pPr>
            <w:r>
              <w:rPr>
                <w:rFonts w:hint="eastAsia" w:cs="宋体"/>
                <w:color w:val="auto"/>
                <w:szCs w:val="22"/>
                <w:highlight w:val="none"/>
              </w:rPr>
              <w:t>质检员（质量员）</w:t>
            </w:r>
          </w:p>
        </w:tc>
        <w:tc>
          <w:tcPr>
            <w:tcW w:w="641" w:type="pct"/>
            <w:vAlign w:val="center"/>
          </w:tcPr>
          <w:p w14:paraId="43042343">
            <w:pPr>
              <w:keepNext/>
              <w:spacing w:line="360" w:lineRule="auto"/>
              <w:jc w:val="center"/>
              <w:rPr>
                <w:rFonts w:cs="宋体"/>
                <w:color w:val="auto"/>
                <w:szCs w:val="21"/>
                <w:highlight w:val="none"/>
              </w:rPr>
            </w:pPr>
          </w:p>
        </w:tc>
        <w:tc>
          <w:tcPr>
            <w:tcW w:w="513" w:type="pct"/>
            <w:vAlign w:val="center"/>
          </w:tcPr>
          <w:p w14:paraId="17E87F3B">
            <w:pPr>
              <w:keepNext/>
              <w:spacing w:line="360" w:lineRule="auto"/>
              <w:jc w:val="center"/>
              <w:rPr>
                <w:rFonts w:cs="宋体"/>
                <w:color w:val="auto"/>
                <w:szCs w:val="21"/>
                <w:highlight w:val="none"/>
              </w:rPr>
            </w:pPr>
          </w:p>
        </w:tc>
        <w:tc>
          <w:tcPr>
            <w:tcW w:w="373" w:type="pct"/>
            <w:vAlign w:val="center"/>
          </w:tcPr>
          <w:p w14:paraId="0D5893FA">
            <w:pPr>
              <w:keepNext/>
              <w:spacing w:line="360" w:lineRule="auto"/>
              <w:jc w:val="center"/>
              <w:rPr>
                <w:rFonts w:cs="宋体"/>
                <w:color w:val="auto"/>
                <w:szCs w:val="21"/>
                <w:highlight w:val="none"/>
              </w:rPr>
            </w:pPr>
          </w:p>
        </w:tc>
        <w:tc>
          <w:tcPr>
            <w:tcW w:w="1889" w:type="pct"/>
            <w:vAlign w:val="center"/>
          </w:tcPr>
          <w:p w14:paraId="623184B9">
            <w:pPr>
              <w:keepNext/>
              <w:spacing w:line="360" w:lineRule="auto"/>
              <w:jc w:val="center"/>
              <w:rPr>
                <w:rFonts w:cs="宋体"/>
                <w:color w:val="auto"/>
                <w:szCs w:val="21"/>
                <w:highlight w:val="none"/>
              </w:rPr>
            </w:pPr>
          </w:p>
        </w:tc>
        <w:tc>
          <w:tcPr>
            <w:tcW w:w="739" w:type="pct"/>
            <w:vAlign w:val="center"/>
          </w:tcPr>
          <w:p w14:paraId="7506A5F4">
            <w:pPr>
              <w:keepNext/>
              <w:spacing w:line="360" w:lineRule="auto"/>
              <w:jc w:val="center"/>
              <w:rPr>
                <w:rFonts w:cs="宋体"/>
                <w:color w:val="auto"/>
                <w:szCs w:val="21"/>
                <w:highlight w:val="none"/>
              </w:rPr>
            </w:pPr>
          </w:p>
        </w:tc>
      </w:tr>
      <w:tr w14:paraId="7773E2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226C4791">
            <w:pPr>
              <w:spacing w:line="360" w:lineRule="auto"/>
              <w:jc w:val="center"/>
              <w:rPr>
                <w:rFonts w:cs="宋体"/>
                <w:color w:val="auto"/>
                <w:szCs w:val="22"/>
                <w:highlight w:val="none"/>
              </w:rPr>
            </w:pPr>
            <w:r>
              <w:rPr>
                <w:rFonts w:hint="eastAsia" w:cs="宋体"/>
                <w:color w:val="auto"/>
                <w:szCs w:val="22"/>
                <w:highlight w:val="none"/>
              </w:rPr>
              <w:t>安全员</w:t>
            </w:r>
          </w:p>
        </w:tc>
        <w:tc>
          <w:tcPr>
            <w:tcW w:w="641" w:type="pct"/>
            <w:vAlign w:val="center"/>
          </w:tcPr>
          <w:p w14:paraId="5E4ABCF1">
            <w:pPr>
              <w:keepNext/>
              <w:spacing w:line="360" w:lineRule="auto"/>
              <w:jc w:val="center"/>
              <w:rPr>
                <w:rFonts w:cs="宋体"/>
                <w:color w:val="auto"/>
                <w:szCs w:val="21"/>
                <w:highlight w:val="none"/>
              </w:rPr>
            </w:pPr>
          </w:p>
        </w:tc>
        <w:tc>
          <w:tcPr>
            <w:tcW w:w="513" w:type="pct"/>
            <w:vAlign w:val="center"/>
          </w:tcPr>
          <w:p w14:paraId="7B50441A">
            <w:pPr>
              <w:keepNext/>
              <w:spacing w:line="360" w:lineRule="auto"/>
              <w:jc w:val="center"/>
              <w:rPr>
                <w:rFonts w:cs="宋体"/>
                <w:color w:val="auto"/>
                <w:szCs w:val="21"/>
                <w:highlight w:val="none"/>
              </w:rPr>
            </w:pPr>
          </w:p>
        </w:tc>
        <w:tc>
          <w:tcPr>
            <w:tcW w:w="373" w:type="pct"/>
            <w:vAlign w:val="center"/>
          </w:tcPr>
          <w:p w14:paraId="3F4F05EF">
            <w:pPr>
              <w:keepNext/>
              <w:spacing w:line="360" w:lineRule="auto"/>
              <w:jc w:val="center"/>
              <w:rPr>
                <w:rFonts w:cs="宋体"/>
                <w:color w:val="auto"/>
                <w:szCs w:val="21"/>
                <w:highlight w:val="none"/>
              </w:rPr>
            </w:pPr>
          </w:p>
        </w:tc>
        <w:tc>
          <w:tcPr>
            <w:tcW w:w="1889" w:type="pct"/>
            <w:vAlign w:val="center"/>
          </w:tcPr>
          <w:p w14:paraId="01BC6CD9">
            <w:pPr>
              <w:keepNext/>
              <w:spacing w:line="360" w:lineRule="auto"/>
              <w:jc w:val="center"/>
              <w:rPr>
                <w:rFonts w:cs="宋体"/>
                <w:color w:val="auto"/>
                <w:szCs w:val="21"/>
                <w:highlight w:val="none"/>
              </w:rPr>
            </w:pPr>
          </w:p>
        </w:tc>
        <w:tc>
          <w:tcPr>
            <w:tcW w:w="739" w:type="pct"/>
            <w:vAlign w:val="center"/>
          </w:tcPr>
          <w:p w14:paraId="4BF2F8EE">
            <w:pPr>
              <w:keepNext/>
              <w:spacing w:line="360" w:lineRule="auto"/>
              <w:jc w:val="center"/>
              <w:rPr>
                <w:rFonts w:cs="宋体"/>
                <w:color w:val="auto"/>
                <w:szCs w:val="21"/>
                <w:highlight w:val="none"/>
              </w:rPr>
            </w:pPr>
          </w:p>
        </w:tc>
      </w:tr>
      <w:tr w14:paraId="4E0349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Align w:val="center"/>
          </w:tcPr>
          <w:p w14:paraId="64673DFC">
            <w:pPr>
              <w:spacing w:line="360" w:lineRule="auto"/>
              <w:jc w:val="center"/>
              <w:rPr>
                <w:rFonts w:cs="宋体"/>
                <w:color w:val="auto"/>
                <w:szCs w:val="22"/>
                <w:highlight w:val="none"/>
              </w:rPr>
            </w:pPr>
            <w:r>
              <w:rPr>
                <w:rFonts w:hint="eastAsia" w:cs="宋体"/>
                <w:color w:val="auto"/>
                <w:szCs w:val="22"/>
                <w:highlight w:val="none"/>
              </w:rPr>
              <w:t>资料员</w:t>
            </w:r>
          </w:p>
        </w:tc>
        <w:tc>
          <w:tcPr>
            <w:tcW w:w="641" w:type="pct"/>
            <w:vAlign w:val="center"/>
          </w:tcPr>
          <w:p w14:paraId="27A43945">
            <w:pPr>
              <w:keepNext/>
              <w:spacing w:line="360" w:lineRule="auto"/>
              <w:jc w:val="center"/>
              <w:rPr>
                <w:rFonts w:cs="宋体"/>
                <w:color w:val="auto"/>
                <w:szCs w:val="21"/>
                <w:highlight w:val="none"/>
              </w:rPr>
            </w:pPr>
          </w:p>
        </w:tc>
        <w:tc>
          <w:tcPr>
            <w:tcW w:w="513" w:type="pct"/>
            <w:vAlign w:val="center"/>
          </w:tcPr>
          <w:p w14:paraId="5C48DD14">
            <w:pPr>
              <w:keepNext/>
              <w:spacing w:line="360" w:lineRule="auto"/>
              <w:jc w:val="center"/>
              <w:rPr>
                <w:rFonts w:cs="宋体"/>
                <w:color w:val="auto"/>
                <w:szCs w:val="21"/>
                <w:highlight w:val="none"/>
              </w:rPr>
            </w:pPr>
          </w:p>
        </w:tc>
        <w:tc>
          <w:tcPr>
            <w:tcW w:w="373" w:type="pct"/>
            <w:vAlign w:val="center"/>
          </w:tcPr>
          <w:p w14:paraId="310855A4">
            <w:pPr>
              <w:keepNext/>
              <w:spacing w:line="360" w:lineRule="auto"/>
              <w:jc w:val="center"/>
              <w:rPr>
                <w:rFonts w:cs="宋体"/>
                <w:color w:val="auto"/>
                <w:szCs w:val="21"/>
                <w:highlight w:val="none"/>
              </w:rPr>
            </w:pPr>
          </w:p>
        </w:tc>
        <w:tc>
          <w:tcPr>
            <w:tcW w:w="1889" w:type="pct"/>
            <w:vAlign w:val="center"/>
          </w:tcPr>
          <w:p w14:paraId="4A42312A">
            <w:pPr>
              <w:keepNext/>
              <w:spacing w:line="360" w:lineRule="auto"/>
              <w:jc w:val="center"/>
              <w:rPr>
                <w:rFonts w:cs="宋体"/>
                <w:color w:val="auto"/>
                <w:szCs w:val="21"/>
                <w:highlight w:val="none"/>
              </w:rPr>
            </w:pPr>
          </w:p>
        </w:tc>
        <w:tc>
          <w:tcPr>
            <w:tcW w:w="739" w:type="pct"/>
            <w:vAlign w:val="center"/>
          </w:tcPr>
          <w:p w14:paraId="6F4B14D2">
            <w:pPr>
              <w:keepNext/>
              <w:spacing w:line="360" w:lineRule="auto"/>
              <w:jc w:val="center"/>
              <w:rPr>
                <w:rFonts w:cs="宋体"/>
                <w:color w:val="auto"/>
                <w:szCs w:val="21"/>
                <w:highlight w:val="none"/>
              </w:rPr>
            </w:pPr>
          </w:p>
        </w:tc>
      </w:tr>
      <w:tr w14:paraId="639E1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restart"/>
            <w:vAlign w:val="center"/>
          </w:tcPr>
          <w:p w14:paraId="4CD1F0A0">
            <w:pPr>
              <w:keepNext/>
              <w:spacing w:line="360" w:lineRule="auto"/>
              <w:jc w:val="center"/>
              <w:rPr>
                <w:rFonts w:cs="宋体"/>
                <w:color w:val="auto"/>
                <w:szCs w:val="21"/>
                <w:highlight w:val="none"/>
              </w:rPr>
            </w:pPr>
            <w:r>
              <w:rPr>
                <w:rFonts w:hint="eastAsia" w:cs="宋体"/>
                <w:color w:val="auto"/>
                <w:szCs w:val="21"/>
                <w:highlight w:val="none"/>
              </w:rPr>
              <w:t>其他人员</w:t>
            </w:r>
          </w:p>
        </w:tc>
        <w:tc>
          <w:tcPr>
            <w:tcW w:w="641" w:type="pct"/>
            <w:vAlign w:val="center"/>
          </w:tcPr>
          <w:p w14:paraId="2DA351A7">
            <w:pPr>
              <w:keepNext/>
              <w:spacing w:line="360" w:lineRule="auto"/>
              <w:jc w:val="center"/>
              <w:rPr>
                <w:rFonts w:cs="宋体"/>
                <w:color w:val="auto"/>
                <w:szCs w:val="21"/>
                <w:highlight w:val="none"/>
              </w:rPr>
            </w:pPr>
          </w:p>
        </w:tc>
        <w:tc>
          <w:tcPr>
            <w:tcW w:w="513" w:type="pct"/>
            <w:vAlign w:val="center"/>
          </w:tcPr>
          <w:p w14:paraId="5B948475">
            <w:pPr>
              <w:keepNext/>
              <w:spacing w:line="360" w:lineRule="auto"/>
              <w:jc w:val="center"/>
              <w:rPr>
                <w:rFonts w:cs="宋体"/>
                <w:color w:val="auto"/>
                <w:szCs w:val="21"/>
                <w:highlight w:val="none"/>
              </w:rPr>
            </w:pPr>
          </w:p>
        </w:tc>
        <w:tc>
          <w:tcPr>
            <w:tcW w:w="373" w:type="pct"/>
            <w:vAlign w:val="center"/>
          </w:tcPr>
          <w:p w14:paraId="5A492E08">
            <w:pPr>
              <w:keepNext/>
              <w:spacing w:line="360" w:lineRule="auto"/>
              <w:jc w:val="center"/>
              <w:rPr>
                <w:rFonts w:cs="宋体"/>
                <w:color w:val="auto"/>
                <w:szCs w:val="21"/>
                <w:highlight w:val="none"/>
              </w:rPr>
            </w:pPr>
          </w:p>
        </w:tc>
        <w:tc>
          <w:tcPr>
            <w:tcW w:w="1889" w:type="pct"/>
            <w:vAlign w:val="center"/>
          </w:tcPr>
          <w:p w14:paraId="3F8E74AB">
            <w:pPr>
              <w:keepNext/>
              <w:spacing w:line="360" w:lineRule="auto"/>
              <w:jc w:val="center"/>
              <w:rPr>
                <w:rFonts w:cs="宋体"/>
                <w:color w:val="auto"/>
                <w:szCs w:val="21"/>
                <w:highlight w:val="none"/>
              </w:rPr>
            </w:pPr>
          </w:p>
        </w:tc>
        <w:tc>
          <w:tcPr>
            <w:tcW w:w="739" w:type="pct"/>
            <w:vAlign w:val="center"/>
          </w:tcPr>
          <w:p w14:paraId="1D63ACFE">
            <w:pPr>
              <w:keepNext/>
              <w:spacing w:line="360" w:lineRule="auto"/>
              <w:jc w:val="center"/>
              <w:rPr>
                <w:rFonts w:cs="宋体"/>
                <w:color w:val="auto"/>
                <w:szCs w:val="21"/>
                <w:highlight w:val="none"/>
              </w:rPr>
            </w:pPr>
          </w:p>
        </w:tc>
      </w:tr>
      <w:tr w14:paraId="2840E0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0A5B98E1">
            <w:pPr>
              <w:keepNext/>
              <w:spacing w:line="360" w:lineRule="auto"/>
              <w:jc w:val="center"/>
              <w:rPr>
                <w:rFonts w:cs="宋体"/>
                <w:color w:val="auto"/>
                <w:szCs w:val="21"/>
                <w:highlight w:val="none"/>
              </w:rPr>
            </w:pPr>
          </w:p>
        </w:tc>
        <w:tc>
          <w:tcPr>
            <w:tcW w:w="641" w:type="pct"/>
            <w:tcBorders>
              <w:bottom w:val="nil"/>
            </w:tcBorders>
            <w:vAlign w:val="center"/>
          </w:tcPr>
          <w:p w14:paraId="4BF07A6D">
            <w:pPr>
              <w:keepNext/>
              <w:spacing w:line="360" w:lineRule="auto"/>
              <w:jc w:val="center"/>
              <w:rPr>
                <w:rFonts w:cs="宋体"/>
                <w:color w:val="auto"/>
                <w:szCs w:val="21"/>
                <w:highlight w:val="none"/>
              </w:rPr>
            </w:pPr>
          </w:p>
        </w:tc>
        <w:tc>
          <w:tcPr>
            <w:tcW w:w="513" w:type="pct"/>
            <w:tcBorders>
              <w:bottom w:val="nil"/>
            </w:tcBorders>
            <w:vAlign w:val="center"/>
          </w:tcPr>
          <w:p w14:paraId="1AD1F1AA">
            <w:pPr>
              <w:keepNext/>
              <w:spacing w:line="360" w:lineRule="auto"/>
              <w:jc w:val="center"/>
              <w:rPr>
                <w:rFonts w:cs="宋体"/>
                <w:color w:val="auto"/>
                <w:szCs w:val="21"/>
                <w:highlight w:val="none"/>
              </w:rPr>
            </w:pPr>
          </w:p>
        </w:tc>
        <w:tc>
          <w:tcPr>
            <w:tcW w:w="373" w:type="pct"/>
            <w:tcBorders>
              <w:bottom w:val="nil"/>
            </w:tcBorders>
            <w:vAlign w:val="center"/>
          </w:tcPr>
          <w:p w14:paraId="1AE32616">
            <w:pPr>
              <w:keepNext/>
              <w:spacing w:line="360" w:lineRule="auto"/>
              <w:jc w:val="center"/>
              <w:rPr>
                <w:rFonts w:cs="宋体"/>
                <w:color w:val="auto"/>
                <w:szCs w:val="21"/>
                <w:highlight w:val="none"/>
              </w:rPr>
            </w:pPr>
          </w:p>
        </w:tc>
        <w:tc>
          <w:tcPr>
            <w:tcW w:w="1889" w:type="pct"/>
            <w:tcBorders>
              <w:bottom w:val="nil"/>
            </w:tcBorders>
            <w:vAlign w:val="center"/>
          </w:tcPr>
          <w:p w14:paraId="7D94F660">
            <w:pPr>
              <w:keepNext/>
              <w:spacing w:line="360" w:lineRule="auto"/>
              <w:jc w:val="center"/>
              <w:rPr>
                <w:rFonts w:cs="宋体"/>
                <w:color w:val="auto"/>
                <w:szCs w:val="21"/>
                <w:highlight w:val="none"/>
              </w:rPr>
            </w:pPr>
          </w:p>
        </w:tc>
        <w:tc>
          <w:tcPr>
            <w:tcW w:w="739" w:type="pct"/>
            <w:tcBorders>
              <w:bottom w:val="nil"/>
            </w:tcBorders>
            <w:vAlign w:val="center"/>
          </w:tcPr>
          <w:p w14:paraId="5A2F5FD0">
            <w:pPr>
              <w:keepNext/>
              <w:spacing w:line="360" w:lineRule="auto"/>
              <w:jc w:val="center"/>
              <w:rPr>
                <w:rFonts w:cs="宋体"/>
                <w:color w:val="auto"/>
                <w:szCs w:val="21"/>
                <w:highlight w:val="none"/>
              </w:rPr>
            </w:pPr>
          </w:p>
        </w:tc>
      </w:tr>
      <w:tr w14:paraId="5E9F7D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7B57A2B0">
            <w:pPr>
              <w:keepNext/>
              <w:spacing w:line="360" w:lineRule="auto"/>
              <w:jc w:val="center"/>
              <w:rPr>
                <w:rFonts w:cs="宋体"/>
                <w:color w:val="auto"/>
                <w:szCs w:val="21"/>
                <w:highlight w:val="none"/>
              </w:rPr>
            </w:pPr>
          </w:p>
        </w:tc>
        <w:tc>
          <w:tcPr>
            <w:tcW w:w="641" w:type="pct"/>
            <w:vAlign w:val="center"/>
          </w:tcPr>
          <w:p w14:paraId="6D0CD708">
            <w:pPr>
              <w:keepNext/>
              <w:spacing w:line="360" w:lineRule="auto"/>
              <w:jc w:val="center"/>
              <w:rPr>
                <w:rFonts w:cs="宋体"/>
                <w:color w:val="auto"/>
                <w:szCs w:val="21"/>
                <w:highlight w:val="none"/>
              </w:rPr>
            </w:pPr>
          </w:p>
        </w:tc>
        <w:tc>
          <w:tcPr>
            <w:tcW w:w="513" w:type="pct"/>
            <w:vAlign w:val="center"/>
          </w:tcPr>
          <w:p w14:paraId="3B437CCE">
            <w:pPr>
              <w:keepNext/>
              <w:spacing w:line="360" w:lineRule="auto"/>
              <w:jc w:val="center"/>
              <w:rPr>
                <w:rFonts w:cs="宋体"/>
                <w:color w:val="auto"/>
                <w:szCs w:val="21"/>
                <w:highlight w:val="none"/>
              </w:rPr>
            </w:pPr>
          </w:p>
        </w:tc>
        <w:tc>
          <w:tcPr>
            <w:tcW w:w="373" w:type="pct"/>
            <w:vAlign w:val="center"/>
          </w:tcPr>
          <w:p w14:paraId="70FBE4B8">
            <w:pPr>
              <w:keepNext/>
              <w:spacing w:line="360" w:lineRule="auto"/>
              <w:jc w:val="center"/>
              <w:rPr>
                <w:rFonts w:cs="宋体"/>
                <w:color w:val="auto"/>
                <w:szCs w:val="21"/>
                <w:highlight w:val="none"/>
              </w:rPr>
            </w:pPr>
          </w:p>
        </w:tc>
        <w:tc>
          <w:tcPr>
            <w:tcW w:w="1889" w:type="pct"/>
            <w:vAlign w:val="center"/>
          </w:tcPr>
          <w:p w14:paraId="51D2CDEA">
            <w:pPr>
              <w:keepNext/>
              <w:spacing w:line="360" w:lineRule="auto"/>
              <w:jc w:val="center"/>
              <w:rPr>
                <w:rFonts w:cs="宋体"/>
                <w:color w:val="auto"/>
                <w:szCs w:val="21"/>
                <w:highlight w:val="none"/>
              </w:rPr>
            </w:pPr>
          </w:p>
        </w:tc>
        <w:tc>
          <w:tcPr>
            <w:tcW w:w="739" w:type="pct"/>
            <w:vAlign w:val="center"/>
          </w:tcPr>
          <w:p w14:paraId="30F3975E">
            <w:pPr>
              <w:keepNext/>
              <w:spacing w:line="360" w:lineRule="auto"/>
              <w:jc w:val="center"/>
              <w:rPr>
                <w:rFonts w:cs="宋体"/>
                <w:color w:val="auto"/>
                <w:szCs w:val="21"/>
                <w:highlight w:val="none"/>
              </w:rPr>
            </w:pPr>
          </w:p>
        </w:tc>
      </w:tr>
      <w:tr w14:paraId="5DF458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7792DED9">
            <w:pPr>
              <w:keepNext/>
              <w:spacing w:line="360" w:lineRule="auto"/>
              <w:jc w:val="center"/>
              <w:rPr>
                <w:rFonts w:cs="宋体"/>
                <w:color w:val="auto"/>
                <w:szCs w:val="21"/>
                <w:highlight w:val="none"/>
              </w:rPr>
            </w:pPr>
          </w:p>
        </w:tc>
        <w:tc>
          <w:tcPr>
            <w:tcW w:w="641" w:type="pct"/>
            <w:vAlign w:val="center"/>
          </w:tcPr>
          <w:p w14:paraId="6D65FFF6">
            <w:pPr>
              <w:keepNext/>
              <w:spacing w:line="360" w:lineRule="auto"/>
              <w:jc w:val="center"/>
              <w:rPr>
                <w:rFonts w:cs="宋体"/>
                <w:color w:val="auto"/>
                <w:szCs w:val="21"/>
                <w:highlight w:val="none"/>
              </w:rPr>
            </w:pPr>
          </w:p>
        </w:tc>
        <w:tc>
          <w:tcPr>
            <w:tcW w:w="513" w:type="pct"/>
            <w:vAlign w:val="center"/>
          </w:tcPr>
          <w:p w14:paraId="3B910B0C">
            <w:pPr>
              <w:keepNext/>
              <w:spacing w:line="360" w:lineRule="auto"/>
              <w:jc w:val="center"/>
              <w:rPr>
                <w:rFonts w:cs="宋体"/>
                <w:color w:val="auto"/>
                <w:szCs w:val="21"/>
                <w:highlight w:val="none"/>
              </w:rPr>
            </w:pPr>
          </w:p>
        </w:tc>
        <w:tc>
          <w:tcPr>
            <w:tcW w:w="373" w:type="pct"/>
            <w:vAlign w:val="center"/>
          </w:tcPr>
          <w:p w14:paraId="16EF5B69">
            <w:pPr>
              <w:keepNext/>
              <w:spacing w:line="360" w:lineRule="auto"/>
              <w:jc w:val="center"/>
              <w:rPr>
                <w:rFonts w:cs="宋体"/>
                <w:color w:val="auto"/>
                <w:szCs w:val="21"/>
                <w:highlight w:val="none"/>
              </w:rPr>
            </w:pPr>
          </w:p>
        </w:tc>
        <w:tc>
          <w:tcPr>
            <w:tcW w:w="1889" w:type="pct"/>
            <w:vAlign w:val="center"/>
          </w:tcPr>
          <w:p w14:paraId="3FE7099E">
            <w:pPr>
              <w:keepNext/>
              <w:spacing w:line="360" w:lineRule="auto"/>
              <w:jc w:val="center"/>
              <w:rPr>
                <w:rFonts w:cs="宋体"/>
                <w:color w:val="auto"/>
                <w:szCs w:val="21"/>
                <w:highlight w:val="none"/>
              </w:rPr>
            </w:pPr>
          </w:p>
        </w:tc>
        <w:tc>
          <w:tcPr>
            <w:tcW w:w="739" w:type="pct"/>
            <w:vAlign w:val="center"/>
          </w:tcPr>
          <w:p w14:paraId="60919054">
            <w:pPr>
              <w:keepNext/>
              <w:spacing w:line="360" w:lineRule="auto"/>
              <w:jc w:val="center"/>
              <w:rPr>
                <w:rFonts w:cs="宋体"/>
                <w:color w:val="auto"/>
                <w:szCs w:val="21"/>
                <w:highlight w:val="none"/>
              </w:rPr>
            </w:pPr>
          </w:p>
        </w:tc>
      </w:tr>
      <w:tr w14:paraId="1002D5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vAlign w:val="center"/>
          </w:tcPr>
          <w:p w14:paraId="20E99A35">
            <w:pPr>
              <w:keepNext/>
              <w:spacing w:line="360" w:lineRule="auto"/>
              <w:jc w:val="center"/>
              <w:rPr>
                <w:rFonts w:cs="宋体"/>
                <w:color w:val="auto"/>
                <w:szCs w:val="21"/>
                <w:highlight w:val="none"/>
              </w:rPr>
            </w:pPr>
          </w:p>
        </w:tc>
        <w:tc>
          <w:tcPr>
            <w:tcW w:w="641" w:type="pct"/>
            <w:vAlign w:val="center"/>
          </w:tcPr>
          <w:p w14:paraId="163C378D">
            <w:pPr>
              <w:keepNext/>
              <w:spacing w:line="360" w:lineRule="auto"/>
              <w:jc w:val="center"/>
              <w:rPr>
                <w:rFonts w:cs="宋体"/>
                <w:color w:val="auto"/>
                <w:szCs w:val="21"/>
                <w:highlight w:val="none"/>
              </w:rPr>
            </w:pPr>
          </w:p>
        </w:tc>
        <w:tc>
          <w:tcPr>
            <w:tcW w:w="513" w:type="pct"/>
            <w:vAlign w:val="center"/>
          </w:tcPr>
          <w:p w14:paraId="66D4A5F4">
            <w:pPr>
              <w:keepNext/>
              <w:spacing w:line="360" w:lineRule="auto"/>
              <w:jc w:val="center"/>
              <w:rPr>
                <w:rFonts w:cs="宋体"/>
                <w:color w:val="auto"/>
                <w:szCs w:val="21"/>
                <w:highlight w:val="none"/>
              </w:rPr>
            </w:pPr>
          </w:p>
        </w:tc>
        <w:tc>
          <w:tcPr>
            <w:tcW w:w="373" w:type="pct"/>
            <w:vAlign w:val="center"/>
          </w:tcPr>
          <w:p w14:paraId="1536546D">
            <w:pPr>
              <w:keepNext/>
              <w:spacing w:line="360" w:lineRule="auto"/>
              <w:jc w:val="center"/>
              <w:rPr>
                <w:rFonts w:cs="宋体"/>
                <w:color w:val="auto"/>
                <w:szCs w:val="21"/>
                <w:highlight w:val="none"/>
              </w:rPr>
            </w:pPr>
          </w:p>
        </w:tc>
        <w:tc>
          <w:tcPr>
            <w:tcW w:w="1889" w:type="pct"/>
            <w:vAlign w:val="center"/>
          </w:tcPr>
          <w:p w14:paraId="547FD911">
            <w:pPr>
              <w:keepNext/>
              <w:spacing w:line="360" w:lineRule="auto"/>
              <w:jc w:val="center"/>
              <w:rPr>
                <w:rFonts w:cs="宋体"/>
                <w:color w:val="auto"/>
                <w:szCs w:val="21"/>
                <w:highlight w:val="none"/>
              </w:rPr>
            </w:pPr>
          </w:p>
        </w:tc>
        <w:tc>
          <w:tcPr>
            <w:tcW w:w="739" w:type="pct"/>
            <w:vAlign w:val="center"/>
          </w:tcPr>
          <w:p w14:paraId="00FA6C0F">
            <w:pPr>
              <w:keepNext/>
              <w:spacing w:line="360" w:lineRule="auto"/>
              <w:jc w:val="center"/>
              <w:rPr>
                <w:rFonts w:cs="宋体"/>
                <w:color w:val="auto"/>
                <w:szCs w:val="21"/>
                <w:highlight w:val="none"/>
              </w:rPr>
            </w:pPr>
          </w:p>
        </w:tc>
      </w:tr>
      <w:tr w14:paraId="066BB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5" w:type="pct"/>
            <w:vMerge w:val="continue"/>
            <w:tcBorders>
              <w:bottom w:val="single" w:color="auto" w:sz="12" w:space="0"/>
            </w:tcBorders>
            <w:vAlign w:val="center"/>
          </w:tcPr>
          <w:p w14:paraId="45C57402">
            <w:pPr>
              <w:keepNext/>
              <w:spacing w:line="360" w:lineRule="auto"/>
              <w:jc w:val="center"/>
              <w:rPr>
                <w:rFonts w:cs="宋体"/>
                <w:color w:val="auto"/>
                <w:szCs w:val="21"/>
                <w:highlight w:val="none"/>
              </w:rPr>
            </w:pPr>
          </w:p>
        </w:tc>
        <w:tc>
          <w:tcPr>
            <w:tcW w:w="641" w:type="pct"/>
            <w:tcBorders>
              <w:bottom w:val="single" w:color="auto" w:sz="12" w:space="0"/>
            </w:tcBorders>
            <w:vAlign w:val="center"/>
          </w:tcPr>
          <w:p w14:paraId="16A54899">
            <w:pPr>
              <w:keepNext/>
              <w:spacing w:line="360" w:lineRule="auto"/>
              <w:jc w:val="center"/>
              <w:rPr>
                <w:rFonts w:cs="宋体"/>
                <w:color w:val="auto"/>
                <w:szCs w:val="21"/>
                <w:highlight w:val="none"/>
              </w:rPr>
            </w:pPr>
          </w:p>
        </w:tc>
        <w:tc>
          <w:tcPr>
            <w:tcW w:w="513" w:type="pct"/>
            <w:tcBorders>
              <w:bottom w:val="single" w:color="auto" w:sz="12" w:space="0"/>
            </w:tcBorders>
            <w:vAlign w:val="center"/>
          </w:tcPr>
          <w:p w14:paraId="5AC7343F">
            <w:pPr>
              <w:keepNext/>
              <w:spacing w:line="360" w:lineRule="auto"/>
              <w:jc w:val="center"/>
              <w:rPr>
                <w:rFonts w:cs="宋体"/>
                <w:color w:val="auto"/>
                <w:szCs w:val="21"/>
                <w:highlight w:val="none"/>
              </w:rPr>
            </w:pPr>
          </w:p>
        </w:tc>
        <w:tc>
          <w:tcPr>
            <w:tcW w:w="373" w:type="pct"/>
            <w:tcBorders>
              <w:bottom w:val="single" w:color="auto" w:sz="12" w:space="0"/>
            </w:tcBorders>
            <w:vAlign w:val="center"/>
          </w:tcPr>
          <w:p w14:paraId="60C784BC">
            <w:pPr>
              <w:keepNext/>
              <w:spacing w:line="360" w:lineRule="auto"/>
              <w:jc w:val="center"/>
              <w:rPr>
                <w:rFonts w:cs="宋体"/>
                <w:color w:val="auto"/>
                <w:szCs w:val="21"/>
                <w:highlight w:val="none"/>
              </w:rPr>
            </w:pPr>
          </w:p>
        </w:tc>
        <w:tc>
          <w:tcPr>
            <w:tcW w:w="1889" w:type="pct"/>
            <w:tcBorders>
              <w:bottom w:val="single" w:color="auto" w:sz="12" w:space="0"/>
            </w:tcBorders>
            <w:vAlign w:val="center"/>
          </w:tcPr>
          <w:p w14:paraId="28B87995">
            <w:pPr>
              <w:keepNext/>
              <w:spacing w:line="360" w:lineRule="auto"/>
              <w:jc w:val="center"/>
              <w:rPr>
                <w:rFonts w:cs="宋体"/>
                <w:color w:val="auto"/>
                <w:szCs w:val="21"/>
                <w:highlight w:val="none"/>
              </w:rPr>
            </w:pPr>
          </w:p>
        </w:tc>
        <w:tc>
          <w:tcPr>
            <w:tcW w:w="739" w:type="pct"/>
            <w:tcBorders>
              <w:bottom w:val="single" w:color="auto" w:sz="12" w:space="0"/>
            </w:tcBorders>
            <w:vAlign w:val="center"/>
          </w:tcPr>
          <w:p w14:paraId="06A60BBD">
            <w:pPr>
              <w:keepNext/>
              <w:spacing w:line="360" w:lineRule="auto"/>
              <w:jc w:val="center"/>
              <w:rPr>
                <w:rFonts w:cs="宋体"/>
                <w:color w:val="auto"/>
                <w:szCs w:val="21"/>
                <w:highlight w:val="none"/>
              </w:rPr>
            </w:pPr>
          </w:p>
        </w:tc>
      </w:tr>
    </w:tbl>
    <w:p w14:paraId="43A2D745">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613" w:name="_Toc128950243"/>
      <w:r>
        <w:rPr>
          <w:rFonts w:hint="eastAsia" w:ascii="Times New Roman" w:eastAsia="黑体"/>
          <w:color w:val="auto"/>
          <w:szCs w:val="24"/>
          <w:highlight w:val="none"/>
        </w:rPr>
        <w:t>附</w:t>
      </w:r>
      <w:bookmarkStart w:id="614" w:name="_Toc296944570"/>
      <w:bookmarkStart w:id="615" w:name="_Toc296503231"/>
      <w:bookmarkStart w:id="616" w:name="_Toc296891271"/>
      <w:bookmarkStart w:id="617" w:name="_Toc296346732"/>
      <w:bookmarkStart w:id="618" w:name="_Toc296891059"/>
      <w:bookmarkStart w:id="619" w:name="_Toc296347230"/>
      <w:r>
        <w:rPr>
          <w:rFonts w:hint="eastAsia" w:ascii="Times New Roman" w:eastAsia="黑体"/>
          <w:color w:val="auto"/>
          <w:szCs w:val="24"/>
          <w:highlight w:val="none"/>
        </w:rPr>
        <w:t>件</w:t>
      </w:r>
      <w:r>
        <w:rPr>
          <w:rFonts w:ascii="Times New Roman" w:eastAsia="黑体"/>
          <w:color w:val="auto"/>
          <w:szCs w:val="24"/>
          <w:highlight w:val="none"/>
        </w:rPr>
        <w:t>8</w:t>
      </w:r>
      <w:r>
        <w:rPr>
          <w:rFonts w:hint="eastAsia" w:ascii="Times New Roman" w:eastAsia="黑体"/>
          <w:color w:val="auto"/>
          <w:szCs w:val="24"/>
          <w:highlight w:val="none"/>
        </w:rPr>
        <w:t>：廉政协议</w:t>
      </w:r>
      <w:bookmarkEnd w:id="613"/>
    </w:p>
    <w:bookmarkEnd w:id="614"/>
    <w:bookmarkEnd w:id="615"/>
    <w:bookmarkEnd w:id="616"/>
    <w:bookmarkEnd w:id="617"/>
    <w:bookmarkEnd w:id="618"/>
    <w:bookmarkEnd w:id="619"/>
    <w:p w14:paraId="00F4E0D2">
      <w:pPr>
        <w:widowControl/>
        <w:spacing w:line="360" w:lineRule="auto"/>
        <w:ind w:firstLine="643"/>
        <w:jc w:val="center"/>
        <w:rPr>
          <w:rFonts w:cs="宋体"/>
          <w:b/>
          <w:bCs/>
          <w:color w:val="auto"/>
          <w:sz w:val="32"/>
          <w:szCs w:val="32"/>
          <w:highlight w:val="none"/>
        </w:rPr>
      </w:pPr>
      <w:r>
        <w:rPr>
          <w:rFonts w:hint="eastAsia" w:cs="宋体"/>
          <w:b/>
          <w:bCs/>
          <w:color w:val="auto"/>
          <w:sz w:val="32"/>
          <w:szCs w:val="32"/>
          <w:highlight w:val="none"/>
        </w:rPr>
        <w:t>廉政协议</w:t>
      </w:r>
    </w:p>
    <w:p w14:paraId="273424C1">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为促进双方诚信经营、廉洁从业，防范商业贿赂，保护国家、集体和当事人的合法权益，根据国家有关法律法规和安徽省廉政建设的规定，</w:t>
      </w:r>
      <w:r>
        <w:rPr>
          <w:rFonts w:hint="eastAsia" w:cs="宋体"/>
          <w:color w:val="auto"/>
          <w:sz w:val="21"/>
          <w:szCs w:val="21"/>
          <w:highlight w:val="none"/>
          <w:u w:val="single"/>
        </w:rPr>
        <w:t xml:space="preserve">     </w:t>
      </w:r>
      <w:r>
        <w:rPr>
          <w:rFonts w:hint="eastAsia" w:cs="宋体"/>
          <w:color w:val="auto"/>
          <w:sz w:val="21"/>
          <w:szCs w:val="21"/>
          <w:highlight w:val="none"/>
        </w:rPr>
        <w:t>（以下称甲方）与</w:t>
      </w:r>
      <w:r>
        <w:rPr>
          <w:rFonts w:hint="eastAsia" w:cs="宋体"/>
          <w:color w:val="auto"/>
          <w:sz w:val="21"/>
          <w:szCs w:val="21"/>
          <w:highlight w:val="none"/>
          <w:u w:val="single"/>
        </w:rPr>
        <w:t xml:space="preserve">             （</w:t>
      </w:r>
      <w:r>
        <w:rPr>
          <w:rFonts w:hint="eastAsia" w:cs="宋体"/>
          <w:color w:val="auto"/>
          <w:sz w:val="21"/>
          <w:szCs w:val="21"/>
          <w:highlight w:val="none"/>
        </w:rPr>
        <w:t>以下称乙方），特此订立本协议共同遵照执行。</w:t>
      </w:r>
    </w:p>
    <w:p w14:paraId="2BEF3EE5">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第一条 甲乙双方的权利和义务</w:t>
      </w:r>
    </w:p>
    <w:p w14:paraId="6484569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47DC7D37">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（二）严格执行</w:t>
      </w:r>
      <w:r>
        <w:rPr>
          <w:rFonts w:hint="eastAsia" w:cs="宋体"/>
          <w:color w:val="auto"/>
          <w:sz w:val="21"/>
          <w:szCs w:val="21"/>
          <w:highlight w:val="none"/>
          <w:u w:val="single"/>
        </w:rPr>
        <w:t xml:space="preserve">                                </w:t>
      </w:r>
      <w:r>
        <w:rPr>
          <w:rFonts w:hint="eastAsia" w:cs="宋体"/>
          <w:color w:val="auto"/>
          <w:sz w:val="21"/>
          <w:szCs w:val="21"/>
          <w:highlight w:val="none"/>
        </w:rPr>
        <w:t>的合同要求，自觉履行合同约定的相关义务。</w:t>
      </w:r>
    </w:p>
    <w:p w14:paraId="69BA5E2F">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（三）在业务活动中坚持公开、公正、诚信、透明的原则，不得损害国家、集体利益。</w:t>
      </w:r>
    </w:p>
    <w:p w14:paraId="30E160F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（四）建立健全廉政制度，开展廉政教育，公布举报电话，监督并认真查处违法违纪行为。</w:t>
      </w:r>
    </w:p>
    <w:p w14:paraId="14E955F9">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（五）发现对方在业务活动中有违反廉政规定的行为，应及时提醒对方纠正。情节严重的，应向其上级有关部门举报、建议给予处理，并有权要求告知处理结果。</w:t>
      </w:r>
    </w:p>
    <w:p w14:paraId="5F73FFBF">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第二条 甲方的义务</w:t>
      </w:r>
    </w:p>
    <w:p w14:paraId="1978CC6C">
      <w:pPr>
        <w:widowControl/>
        <w:spacing w:line="360" w:lineRule="auto"/>
        <w:ind w:firstLine="525" w:firstLineChars="250"/>
        <w:jc w:val="left"/>
        <w:rPr>
          <w:rFonts w:cs="宋体"/>
          <w:color w:val="auto"/>
          <w:sz w:val="21"/>
          <w:szCs w:val="21"/>
          <w:highlight w:val="none"/>
        </w:rPr>
      </w:pPr>
      <w:r>
        <w:rPr>
          <w:rFonts w:hint="eastAsia" w:cs="宋体"/>
          <w:color w:val="auto"/>
          <w:sz w:val="21"/>
          <w:szCs w:val="21"/>
          <w:highlight w:val="none"/>
        </w:rPr>
        <w:t>（一）甲方及其工作人员不得索要或接受乙方的礼金、有价证券和贵重物品，不得在乙方报销任何应由甲方单位或个人支付的费用等。</w:t>
      </w:r>
    </w:p>
    <w:p w14:paraId="259A0DE9">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7459778">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（三） 甲方及其工作人员不得要求或者接受乙方为其住房装修、婚丧嫁娶活动、配偶子女工作安排以及出国出境、旅游等提供方便等。</w:t>
      </w:r>
    </w:p>
    <w:p w14:paraId="5329D0B4">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（四） 甲方工作人员不得在乙方有股权关联的企业兼职，不得向乙方介绍家属或者亲友从事与甲方业务有关的经济活动。</w:t>
      </w:r>
    </w:p>
    <w:p w14:paraId="77B1AE73">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（五）甲方工作人员不得以明显低于市场的价格向乙方购买房屋、汽车等物品；不得以明显高于市场的价格向乙方出售房屋、汽车等物品；不得以其他交易形式非法收受请托人财物。</w:t>
      </w:r>
    </w:p>
    <w:p w14:paraId="1FFCE067">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（六）甲方工作人员不得利用职务之便收受乙方以回扣、手续费、加班费、咨询费、劳务费、协调费、辛苦费等各种名义给予或赠送的钱物。</w:t>
      </w:r>
    </w:p>
    <w:p w14:paraId="764816B6">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（七）甲方工作人员不得接受乙方给予或赠送的干股或红利。</w:t>
      </w:r>
    </w:p>
    <w:p w14:paraId="30A09A1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（八）甲方任何人不得以个人的名义向乙方推荐设备、部件等供货商以及其他合作单位。</w:t>
      </w:r>
    </w:p>
    <w:p w14:paraId="61218D2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第三条 乙方的义务</w:t>
      </w:r>
    </w:p>
    <w:p w14:paraId="4A57BCAF">
      <w:pPr>
        <w:widowControl/>
        <w:spacing w:line="360" w:lineRule="auto"/>
        <w:ind w:firstLine="525" w:firstLineChars="250"/>
        <w:jc w:val="left"/>
        <w:rPr>
          <w:rFonts w:cs="宋体"/>
          <w:color w:val="auto"/>
          <w:sz w:val="21"/>
          <w:szCs w:val="21"/>
          <w:highlight w:val="none"/>
        </w:rPr>
      </w:pPr>
      <w:r>
        <w:rPr>
          <w:rFonts w:hint="eastAsia" w:cs="宋体"/>
          <w:color w:val="auto"/>
          <w:sz w:val="21"/>
          <w:szCs w:val="21"/>
          <w:highlight w:val="none"/>
        </w:rPr>
        <w:t>（一）乙方不得以任何理由向甲方及其工作人员行贿或馈赠礼金、有价证券、贵重礼品。</w:t>
      </w:r>
    </w:p>
    <w:p w14:paraId="75763970">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（二）乙方不得以任何名义为甲方及其工作人员报销应由甲方单位或个人支付的任何费用。</w:t>
      </w:r>
    </w:p>
    <w:p w14:paraId="2CDA1C74">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（三）乙方不得以任何理由安排甲方工作人员参加可能影响相关业务公开、公正、公平性的宴请及娱乐活动。</w:t>
      </w:r>
    </w:p>
    <w:p w14:paraId="04D13D42">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（四）乙方不得为甲方单位和个人购置或提供通讯工具和高档办公用品等物品，也不得为甲方提供与工作无关的房屋、汽车等。</w:t>
      </w:r>
    </w:p>
    <w:p w14:paraId="34471288">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（五）乙方不得与甲方工作人员就合同中的质量、数量、价格、工程量、验收等条款进行私下商谈或者达成默契。</w:t>
      </w:r>
    </w:p>
    <w:p w14:paraId="500AF13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（六）乙方不得以回扣、手续费、加班费、咨询费、劳务费、协调费、辛苦费等各种名义向甲方工作人员给予或赠送钱物。</w:t>
      </w:r>
    </w:p>
    <w:p w14:paraId="6DD4B6D2">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（七）乙方不得向甲方工作人员提供干股或红利。</w:t>
      </w:r>
    </w:p>
    <w:p w14:paraId="7C28F4B3">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（八）乙方须按</w:t>
      </w:r>
      <w:r>
        <w:rPr>
          <w:rFonts w:hint="eastAsia" w:cs="宋体"/>
          <w:color w:val="auto"/>
          <w:sz w:val="21"/>
          <w:szCs w:val="21"/>
          <w:highlight w:val="none"/>
          <w:u w:val="single"/>
        </w:rPr>
        <w:t xml:space="preserve">         </w:t>
      </w:r>
      <w:r>
        <w:rPr>
          <w:rFonts w:hint="eastAsia" w:cs="宋体"/>
          <w:color w:val="auto"/>
          <w:sz w:val="21"/>
          <w:szCs w:val="21"/>
          <w:highlight w:val="none"/>
        </w:rPr>
        <w:t>专项纪检监察工作组（如有）要求开展相关工作。</w:t>
      </w:r>
    </w:p>
    <w:p w14:paraId="0727A78B">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第四条 违约责任</w:t>
      </w:r>
    </w:p>
    <w:p w14:paraId="470442F9">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002EDB6A">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甲方投诉联系部门：</w:t>
      </w:r>
      <w:r>
        <w:rPr>
          <w:rFonts w:hint="eastAsia" w:cs="宋体"/>
          <w:color w:val="auto"/>
          <w:sz w:val="21"/>
          <w:szCs w:val="21"/>
          <w:highlight w:val="none"/>
          <w:u w:val="single"/>
        </w:rPr>
        <w:t xml:space="preserve">           </w:t>
      </w:r>
      <w:r>
        <w:rPr>
          <w:rFonts w:hint="eastAsia" w:cs="宋体"/>
          <w:color w:val="auto"/>
          <w:sz w:val="21"/>
          <w:szCs w:val="21"/>
          <w:highlight w:val="none"/>
        </w:rPr>
        <w:t>，联系电话：</w:t>
      </w:r>
      <w:r>
        <w:rPr>
          <w:rFonts w:hint="eastAsia" w:cs="宋体"/>
          <w:color w:val="auto"/>
          <w:sz w:val="21"/>
          <w:szCs w:val="21"/>
          <w:highlight w:val="none"/>
          <w:u w:val="single"/>
        </w:rPr>
        <w:t xml:space="preserve">           </w:t>
      </w:r>
      <w:r>
        <w:rPr>
          <w:rFonts w:hint="eastAsia" w:cs="宋体"/>
          <w:color w:val="auto"/>
          <w:sz w:val="21"/>
          <w:szCs w:val="21"/>
          <w:highlight w:val="none"/>
        </w:rPr>
        <w:t>。</w:t>
      </w:r>
    </w:p>
    <w:p w14:paraId="2441CCE6">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（二）乙方及其工作人员违反本协议第一、三条规定。根据具体情节和造成的后果，甲方有权对乙方采取以下一种或多种处理办法：</w:t>
      </w:r>
    </w:p>
    <w:p w14:paraId="0A98D7E5">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1. 全额收取乙方合同履约保证金不予退还； </w:t>
      </w:r>
    </w:p>
    <w:p w14:paraId="6715039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2. 追究乙方其他违约责任；</w:t>
      </w:r>
    </w:p>
    <w:p w14:paraId="2D2C959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3. 终止或解除双方已签订的包括本合同在内的所有合同；</w:t>
      </w:r>
    </w:p>
    <w:p w14:paraId="1D3AA522">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4. 乙方一定期限内（6个月至3年，具体由甲方根据情况而定）不得参与甲方作为发包人（业主）的工程项目投标。</w:t>
      </w:r>
    </w:p>
    <w:p w14:paraId="3BBF9B0E">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甲方作出的处理意见，乙方应无条件接受并承担给甲方造成的损失，全额返还通过不正当手段从甲方获取的非法所得，并承担相应的法律责任。</w:t>
      </w:r>
    </w:p>
    <w:p w14:paraId="04DCC69C">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第五条 双方约定</w:t>
      </w:r>
    </w:p>
    <w:p w14:paraId="79D3213B">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本协议由双方或双方上级单位负责监督。可由甲方或甲方上级单位的纪检监察部门约请乙方或乙方上级单位的纪检监察部门对本协议履行情况进行检查，提出在本协议规定范围内的裁定意见。</w:t>
      </w:r>
    </w:p>
    <w:p w14:paraId="3CC59344">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第六条  本协议有效期为甲乙双方签署之日起至合同终止。  </w:t>
      </w:r>
    </w:p>
    <w:p w14:paraId="7F508E32">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第七条  本协议作为合同的附件，与本合同具有同等法律效力。</w:t>
      </w:r>
    </w:p>
    <w:p w14:paraId="4F17BBB8">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 </w:t>
      </w:r>
    </w:p>
    <w:p w14:paraId="1868B220">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 xml:space="preserve">甲方（盖章）： </w:t>
      </w:r>
      <w:r>
        <w:rPr>
          <w:rFonts w:hint="eastAsia" w:cs="宋体"/>
          <w:color w:val="auto"/>
          <w:sz w:val="21"/>
          <w:szCs w:val="21"/>
          <w:highlight w:val="none"/>
          <w:u w:val="single"/>
        </w:rPr>
        <w:t xml:space="preserve">                  </w:t>
      </w:r>
      <w:r>
        <w:rPr>
          <w:rFonts w:hint="eastAsia" w:cs="宋体"/>
          <w:color w:val="auto"/>
          <w:sz w:val="21"/>
          <w:szCs w:val="21"/>
          <w:highlight w:val="none"/>
        </w:rPr>
        <w:t xml:space="preserve">     乙方（盖章）：</w:t>
      </w:r>
      <w:r>
        <w:rPr>
          <w:rFonts w:hint="eastAsia" w:cs="宋体"/>
          <w:color w:val="auto"/>
          <w:sz w:val="21"/>
          <w:szCs w:val="21"/>
          <w:highlight w:val="none"/>
          <w:u w:val="single"/>
        </w:rPr>
        <w:t xml:space="preserve">             </w:t>
      </w:r>
    </w:p>
    <w:p w14:paraId="653E81FC">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法定代表人或                          法定代表人或</w:t>
      </w:r>
    </w:p>
    <w:p w14:paraId="20578076">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授权代表：</w:t>
      </w:r>
      <w:r>
        <w:rPr>
          <w:rFonts w:hint="eastAsia" w:cs="宋体"/>
          <w:color w:val="auto"/>
          <w:sz w:val="21"/>
          <w:szCs w:val="21"/>
          <w:highlight w:val="none"/>
          <w:u w:val="single"/>
        </w:rPr>
        <w:t xml:space="preserve">              </w:t>
      </w:r>
      <w:r>
        <w:rPr>
          <w:rFonts w:hint="eastAsia" w:cs="宋体"/>
          <w:color w:val="auto"/>
          <w:sz w:val="21"/>
          <w:szCs w:val="21"/>
          <w:highlight w:val="none"/>
        </w:rPr>
        <w:t>(职务)         授权代表：</w:t>
      </w:r>
      <w:r>
        <w:rPr>
          <w:rFonts w:hint="eastAsia" w:cs="宋体"/>
          <w:color w:val="auto"/>
          <w:sz w:val="21"/>
          <w:szCs w:val="21"/>
          <w:highlight w:val="none"/>
          <w:u w:val="single"/>
        </w:rPr>
        <w:t xml:space="preserve">             </w:t>
      </w:r>
      <w:r>
        <w:rPr>
          <w:rFonts w:hint="eastAsia" w:cs="宋体"/>
          <w:color w:val="auto"/>
          <w:sz w:val="21"/>
          <w:szCs w:val="21"/>
          <w:highlight w:val="none"/>
        </w:rPr>
        <w:t>(职务)</w:t>
      </w:r>
    </w:p>
    <w:p w14:paraId="08E37755">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姓名：</w:t>
      </w:r>
      <w:r>
        <w:rPr>
          <w:rFonts w:hint="eastAsia" w:cs="宋体"/>
          <w:color w:val="auto"/>
          <w:sz w:val="21"/>
          <w:szCs w:val="21"/>
          <w:highlight w:val="none"/>
          <w:u w:val="single"/>
        </w:rPr>
        <w:t xml:space="preserve">             </w:t>
      </w:r>
      <w:r>
        <w:rPr>
          <w:rFonts w:hint="eastAsia" w:cs="宋体"/>
          <w:color w:val="auto"/>
          <w:sz w:val="21"/>
          <w:szCs w:val="21"/>
          <w:highlight w:val="none"/>
        </w:rPr>
        <w:t xml:space="preserve">                   姓名：</w:t>
      </w:r>
      <w:r>
        <w:rPr>
          <w:rFonts w:hint="eastAsia" w:cs="宋体"/>
          <w:color w:val="auto"/>
          <w:sz w:val="21"/>
          <w:szCs w:val="21"/>
          <w:highlight w:val="none"/>
          <w:u w:val="single"/>
        </w:rPr>
        <w:t xml:space="preserve">             </w:t>
      </w:r>
    </w:p>
    <w:p w14:paraId="000798F3">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签字：</w:t>
      </w:r>
      <w:r>
        <w:rPr>
          <w:rFonts w:hint="eastAsia" w:cs="宋体"/>
          <w:color w:val="auto"/>
          <w:sz w:val="21"/>
          <w:szCs w:val="21"/>
          <w:highlight w:val="none"/>
          <w:u w:val="single"/>
        </w:rPr>
        <w:t xml:space="preserve">             </w:t>
      </w:r>
    </w:p>
    <w:p w14:paraId="48A9DC7D">
      <w:pPr>
        <w:widowControl/>
        <w:spacing w:line="360" w:lineRule="auto"/>
        <w:ind w:firstLine="420" w:firstLineChars="200"/>
        <w:jc w:val="left"/>
        <w:rPr>
          <w:rFonts w:cs="宋体"/>
          <w:color w:val="auto"/>
          <w:sz w:val="21"/>
          <w:szCs w:val="21"/>
          <w:highlight w:val="none"/>
        </w:rPr>
      </w:pPr>
    </w:p>
    <w:p w14:paraId="08B5744C">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廉政监督联系人                        廉政监督联系人</w:t>
      </w:r>
    </w:p>
    <w:p w14:paraId="2987B045">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姓名：</w:t>
      </w:r>
      <w:r>
        <w:rPr>
          <w:rFonts w:hint="eastAsia" w:cs="宋体"/>
          <w:color w:val="auto"/>
          <w:sz w:val="21"/>
          <w:szCs w:val="21"/>
          <w:highlight w:val="none"/>
          <w:u w:val="single"/>
        </w:rPr>
        <w:t xml:space="preserve">                       </w:t>
      </w:r>
      <w:r>
        <w:rPr>
          <w:rFonts w:hint="eastAsia" w:cs="宋体"/>
          <w:color w:val="auto"/>
          <w:sz w:val="21"/>
          <w:szCs w:val="21"/>
          <w:highlight w:val="none"/>
        </w:rPr>
        <w:t xml:space="preserve">         姓名：</w:t>
      </w:r>
      <w:r>
        <w:rPr>
          <w:rFonts w:hint="eastAsia" w:cs="宋体"/>
          <w:color w:val="auto"/>
          <w:sz w:val="21"/>
          <w:szCs w:val="21"/>
          <w:highlight w:val="none"/>
          <w:u w:val="single"/>
        </w:rPr>
        <w:t xml:space="preserve">                     </w:t>
      </w:r>
    </w:p>
    <w:p w14:paraId="60E9784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签字：</w:t>
      </w:r>
      <w:r>
        <w:rPr>
          <w:rFonts w:hint="eastAsia" w:cs="宋体"/>
          <w:color w:val="auto"/>
          <w:sz w:val="21"/>
          <w:szCs w:val="21"/>
          <w:highlight w:val="none"/>
          <w:u w:val="single"/>
        </w:rPr>
        <w:t xml:space="preserve">                       </w:t>
      </w:r>
      <w:r>
        <w:rPr>
          <w:rFonts w:hint="eastAsia" w:cs="宋体"/>
          <w:color w:val="auto"/>
          <w:sz w:val="21"/>
          <w:szCs w:val="21"/>
          <w:highlight w:val="none"/>
        </w:rPr>
        <w:t xml:space="preserve">         签字：</w:t>
      </w:r>
      <w:r>
        <w:rPr>
          <w:rFonts w:hint="eastAsia" w:cs="宋体"/>
          <w:color w:val="auto"/>
          <w:sz w:val="21"/>
          <w:szCs w:val="21"/>
          <w:highlight w:val="none"/>
          <w:u w:val="single"/>
        </w:rPr>
        <w:t xml:space="preserve">                     </w:t>
      </w:r>
    </w:p>
    <w:p w14:paraId="1F9BEC2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电话：</w:t>
      </w:r>
      <w:r>
        <w:rPr>
          <w:rFonts w:hint="eastAsia" w:cs="宋体"/>
          <w:color w:val="auto"/>
          <w:sz w:val="21"/>
          <w:szCs w:val="21"/>
          <w:highlight w:val="none"/>
          <w:u w:val="single"/>
        </w:rPr>
        <w:t xml:space="preserve">                       </w:t>
      </w:r>
      <w:r>
        <w:rPr>
          <w:rFonts w:hint="eastAsia" w:cs="宋体"/>
          <w:color w:val="auto"/>
          <w:sz w:val="21"/>
          <w:szCs w:val="21"/>
          <w:highlight w:val="none"/>
        </w:rPr>
        <w:t xml:space="preserve">         电话：</w:t>
      </w:r>
      <w:r>
        <w:rPr>
          <w:rFonts w:hint="eastAsia" w:cs="宋体"/>
          <w:color w:val="auto"/>
          <w:sz w:val="21"/>
          <w:szCs w:val="21"/>
          <w:highlight w:val="none"/>
          <w:u w:val="single"/>
        </w:rPr>
        <w:t xml:space="preserve">                     </w:t>
      </w:r>
    </w:p>
    <w:p w14:paraId="249F027B">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地址：</w:t>
      </w:r>
      <w:r>
        <w:rPr>
          <w:rFonts w:hint="eastAsia" w:cs="宋体"/>
          <w:color w:val="auto"/>
          <w:sz w:val="21"/>
          <w:szCs w:val="21"/>
          <w:highlight w:val="none"/>
          <w:u w:val="single"/>
        </w:rPr>
        <w:t xml:space="preserve">                       </w:t>
      </w:r>
      <w:r>
        <w:rPr>
          <w:rFonts w:hint="eastAsia" w:cs="宋体"/>
          <w:color w:val="auto"/>
          <w:sz w:val="21"/>
          <w:szCs w:val="21"/>
          <w:highlight w:val="none"/>
        </w:rPr>
        <w:t xml:space="preserve">         地址：</w:t>
      </w:r>
      <w:r>
        <w:rPr>
          <w:rFonts w:hint="eastAsia" w:cs="宋体"/>
          <w:color w:val="auto"/>
          <w:sz w:val="21"/>
          <w:szCs w:val="21"/>
          <w:highlight w:val="none"/>
          <w:u w:val="single"/>
        </w:rPr>
        <w:t xml:space="preserve">                     </w:t>
      </w:r>
    </w:p>
    <w:p w14:paraId="7AFF8B8D">
      <w:pPr>
        <w:widowControl/>
        <w:spacing w:line="360" w:lineRule="auto"/>
        <w:ind w:firstLine="420" w:firstLineChars="200"/>
        <w:jc w:val="left"/>
        <w:rPr>
          <w:rFonts w:cs="宋体"/>
          <w:color w:val="auto"/>
          <w:sz w:val="21"/>
          <w:szCs w:val="21"/>
          <w:highlight w:val="none"/>
        </w:rPr>
      </w:pPr>
      <w:r>
        <w:rPr>
          <w:rFonts w:hint="eastAsia" w:cs="宋体"/>
          <w:color w:val="auto"/>
          <w:sz w:val="21"/>
          <w:szCs w:val="21"/>
          <w:highlight w:val="none"/>
        </w:rPr>
        <w:t>日期：</w:t>
      </w:r>
      <w:r>
        <w:rPr>
          <w:rFonts w:hint="eastAsia" w:cs="宋体"/>
          <w:color w:val="auto"/>
          <w:sz w:val="21"/>
          <w:szCs w:val="21"/>
          <w:highlight w:val="none"/>
          <w:u w:val="single"/>
        </w:rPr>
        <w:t xml:space="preserve">                       </w:t>
      </w:r>
      <w:r>
        <w:rPr>
          <w:rFonts w:hint="eastAsia" w:cs="宋体"/>
          <w:color w:val="auto"/>
          <w:sz w:val="21"/>
          <w:szCs w:val="21"/>
          <w:highlight w:val="none"/>
        </w:rPr>
        <w:t xml:space="preserve">         日期：</w:t>
      </w:r>
      <w:r>
        <w:rPr>
          <w:rFonts w:hint="eastAsia" w:cs="宋体"/>
          <w:color w:val="auto"/>
          <w:sz w:val="21"/>
          <w:szCs w:val="21"/>
          <w:highlight w:val="none"/>
          <w:u w:val="single"/>
        </w:rPr>
        <w:t xml:space="preserve">                     </w:t>
      </w:r>
    </w:p>
    <w:p w14:paraId="2808ED18">
      <w:pPr>
        <w:spacing w:before="312" w:beforeLines="100" w:after="312" w:afterLines="100"/>
        <w:outlineLvl w:val="2"/>
        <w:rPr>
          <w:rFonts w:ascii="Times New Roman" w:eastAsia="黑体"/>
          <w:color w:val="auto"/>
          <w:szCs w:val="24"/>
          <w:highlight w:val="none"/>
        </w:rPr>
      </w:pPr>
      <w:r>
        <w:rPr>
          <w:rFonts w:hint="eastAsia" w:ascii="Times New Roman" w:eastAsia="黑体"/>
          <w:bCs/>
          <w:color w:val="auto"/>
          <w:szCs w:val="21"/>
          <w:highlight w:val="none"/>
        </w:rPr>
        <w:br w:type="page"/>
      </w:r>
      <w:bookmarkStart w:id="620" w:name="_Toc128950244"/>
      <w:r>
        <w:rPr>
          <w:rFonts w:hint="eastAsia" w:ascii="Times New Roman" w:eastAsia="黑体"/>
          <w:color w:val="auto"/>
          <w:szCs w:val="24"/>
          <w:highlight w:val="none"/>
        </w:rPr>
        <w:t>附件9：履约保证金</w:t>
      </w:r>
      <w:bookmarkEnd w:id="620"/>
    </w:p>
    <w:p w14:paraId="64EFDEF6">
      <w:pPr>
        <w:spacing w:line="360" w:lineRule="auto"/>
        <w:jc w:val="center"/>
        <w:rPr>
          <w:rFonts w:cs="宋体"/>
          <w:b/>
          <w:bCs/>
          <w:color w:val="auto"/>
          <w:sz w:val="32"/>
          <w:szCs w:val="32"/>
          <w:highlight w:val="none"/>
        </w:rPr>
      </w:pPr>
      <w:r>
        <w:rPr>
          <w:rFonts w:hint="eastAsia" w:cs="宋体"/>
          <w:b/>
          <w:bCs/>
          <w:color w:val="auto"/>
          <w:sz w:val="32"/>
          <w:szCs w:val="32"/>
          <w:highlight w:val="none"/>
        </w:rPr>
        <w:t>履约保函示范文本</w:t>
      </w:r>
    </w:p>
    <w:p w14:paraId="4BDB1905">
      <w:pPr>
        <w:wordWrap w:val="0"/>
        <w:spacing w:line="360" w:lineRule="auto"/>
        <w:jc w:val="right"/>
        <w:rPr>
          <w:rFonts w:ascii="Times New Roman"/>
          <w:color w:val="auto"/>
          <w:szCs w:val="21"/>
          <w:highlight w:val="none"/>
        </w:rPr>
      </w:pPr>
      <w:r>
        <w:rPr>
          <w:rFonts w:hint="eastAsia" w:ascii="Times New Roman"/>
          <w:color w:val="auto"/>
          <w:szCs w:val="21"/>
          <w:highlight w:val="none"/>
        </w:rPr>
        <w:t>编号：</w:t>
      </w:r>
      <w:r>
        <w:rPr>
          <w:rFonts w:hint="eastAsia" w:ascii="Times New Roman"/>
          <w:color w:val="auto"/>
          <w:szCs w:val="21"/>
          <w:highlight w:val="none"/>
          <w:u w:val="single"/>
        </w:rPr>
        <w:t xml:space="preserve"> </w:t>
      </w:r>
      <w:r>
        <w:rPr>
          <w:rFonts w:ascii="Times New Roman"/>
          <w:color w:val="auto"/>
          <w:szCs w:val="21"/>
          <w:highlight w:val="none"/>
          <w:u w:val="single"/>
        </w:rPr>
        <w:t xml:space="preserve">          </w:t>
      </w:r>
    </w:p>
    <w:p w14:paraId="0217ED0C">
      <w:pPr>
        <w:spacing w:line="360" w:lineRule="auto"/>
        <w:rPr>
          <w:rFonts w:ascii="Times New Roman"/>
          <w:color w:val="auto"/>
          <w:szCs w:val="21"/>
          <w:highlight w:val="none"/>
        </w:rPr>
      </w:pPr>
    </w:p>
    <w:p w14:paraId="130D614B">
      <w:pPr>
        <w:spacing w:line="360" w:lineRule="auto"/>
        <w:rPr>
          <w:rFonts w:cs="宋体"/>
          <w:color w:val="auto"/>
          <w:sz w:val="21"/>
          <w:szCs w:val="21"/>
          <w:highlight w:val="none"/>
        </w:rPr>
      </w:pPr>
      <w:r>
        <w:rPr>
          <w:rFonts w:hint="eastAsia" w:cs="宋体"/>
          <w:color w:val="auto"/>
          <w:sz w:val="21"/>
          <w:szCs w:val="21"/>
          <w:highlight w:val="none"/>
          <w:u w:val="single"/>
        </w:rPr>
        <w:t xml:space="preserve">              </w:t>
      </w:r>
      <w:r>
        <w:rPr>
          <w:rFonts w:hint="eastAsia" w:cs="宋体"/>
          <w:color w:val="auto"/>
          <w:sz w:val="21"/>
          <w:szCs w:val="21"/>
          <w:highlight w:val="none"/>
        </w:rPr>
        <w:t xml:space="preserve">（受益人名称）： </w:t>
      </w:r>
    </w:p>
    <w:p w14:paraId="389808AB">
      <w:pPr>
        <w:spacing w:line="360" w:lineRule="auto"/>
        <w:ind w:firstLine="420" w:firstLineChars="200"/>
        <w:rPr>
          <w:rFonts w:cs="宋体"/>
          <w:color w:val="auto"/>
          <w:sz w:val="21"/>
          <w:szCs w:val="21"/>
          <w:highlight w:val="none"/>
        </w:rPr>
      </w:pPr>
      <w:r>
        <w:rPr>
          <w:rFonts w:hint="eastAsia" w:cs="宋体"/>
          <w:color w:val="auto"/>
          <w:sz w:val="21"/>
          <w:szCs w:val="21"/>
          <w:highlight w:val="none"/>
        </w:rPr>
        <w:t>鉴于</w:t>
      </w:r>
      <w:r>
        <w:rPr>
          <w:rFonts w:hint="eastAsia" w:cs="宋体"/>
          <w:color w:val="auto"/>
          <w:sz w:val="21"/>
          <w:szCs w:val="21"/>
          <w:highlight w:val="none"/>
          <w:u w:val="single"/>
        </w:rPr>
        <w:t xml:space="preserve">        </w:t>
      </w:r>
      <w:r>
        <w:rPr>
          <w:rFonts w:hint="eastAsia" w:cs="宋体"/>
          <w:color w:val="auto"/>
          <w:sz w:val="21"/>
          <w:szCs w:val="21"/>
          <w:highlight w:val="none"/>
        </w:rPr>
        <w:t>（以下简称“受益人”）与</w:t>
      </w:r>
      <w:r>
        <w:rPr>
          <w:rFonts w:hint="eastAsia" w:cs="宋体"/>
          <w:color w:val="auto"/>
          <w:sz w:val="21"/>
          <w:szCs w:val="21"/>
          <w:highlight w:val="none"/>
          <w:u w:val="single"/>
        </w:rPr>
        <w:t xml:space="preserve">         </w:t>
      </w:r>
      <w:r>
        <w:rPr>
          <w:rFonts w:hint="eastAsia" w:cs="宋体"/>
          <w:color w:val="auto"/>
          <w:sz w:val="21"/>
          <w:szCs w:val="21"/>
          <w:highlight w:val="none"/>
        </w:rPr>
        <w:t>（以下简称“申请人”）于</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日就</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（项目编号）的</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（项目名称）</w:t>
      </w:r>
      <w:r>
        <w:rPr>
          <w:rFonts w:hint="eastAsia" w:cs="宋体"/>
          <w:color w:val="auto"/>
          <w:sz w:val="21"/>
          <w:szCs w:val="21"/>
          <w:highlight w:val="none"/>
        </w:rPr>
        <w:t>有关事项协商一致共同签订</w:t>
      </w:r>
      <w:r>
        <w:rPr>
          <w:rFonts w:hint="eastAsia" w:cs="宋体"/>
          <w:color w:val="auto"/>
          <w:sz w:val="21"/>
          <w:szCs w:val="21"/>
          <w:highlight w:val="none"/>
          <w:u w:val="single"/>
        </w:rPr>
        <w:t>《        》</w:t>
      </w:r>
      <w:r>
        <w:rPr>
          <w:rFonts w:hint="eastAsia" w:cs="宋体"/>
          <w:color w:val="auto"/>
          <w:sz w:val="21"/>
          <w:szCs w:val="21"/>
          <w:highlight w:val="none"/>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10EF3E82">
      <w:pPr>
        <w:spacing w:line="360" w:lineRule="auto"/>
        <w:ind w:firstLine="420" w:firstLineChars="200"/>
        <w:rPr>
          <w:rFonts w:cs="宋体"/>
          <w:color w:val="auto"/>
          <w:sz w:val="21"/>
          <w:szCs w:val="21"/>
          <w:highlight w:val="none"/>
        </w:rPr>
      </w:pPr>
      <w:r>
        <w:rPr>
          <w:rFonts w:hint="eastAsia" w:cs="宋体"/>
          <w:color w:val="auto"/>
          <w:sz w:val="21"/>
          <w:szCs w:val="21"/>
          <w:highlight w:val="none"/>
        </w:rPr>
        <w:t>一、本保函担保范围：承包人未按照基础合同的约定履行义务，应当向受益人承担的违约责任和赔偿因此造成的损失、利息、律师费、诉讼费用等实现债权的费用。</w:t>
      </w:r>
    </w:p>
    <w:p w14:paraId="5FD2269D">
      <w:pPr>
        <w:spacing w:line="360" w:lineRule="auto"/>
        <w:ind w:firstLine="420" w:firstLineChars="200"/>
        <w:rPr>
          <w:rFonts w:cs="宋体"/>
          <w:color w:val="auto"/>
          <w:sz w:val="21"/>
          <w:szCs w:val="21"/>
          <w:highlight w:val="none"/>
        </w:rPr>
      </w:pPr>
      <w:r>
        <w:rPr>
          <w:rFonts w:hint="eastAsia" w:cs="宋体"/>
          <w:color w:val="auto"/>
          <w:sz w:val="21"/>
          <w:szCs w:val="21"/>
          <w:highlight w:val="none"/>
        </w:rPr>
        <w:t>二、本保函担保金额最高不超过人民币（大写）</w:t>
      </w:r>
      <w:r>
        <w:rPr>
          <w:rFonts w:hint="eastAsia" w:cs="宋体"/>
          <w:color w:val="auto"/>
          <w:sz w:val="21"/>
          <w:szCs w:val="21"/>
          <w:highlight w:val="none"/>
          <w:u w:val="single"/>
        </w:rPr>
        <w:t xml:space="preserve">          </w:t>
      </w:r>
      <w:r>
        <w:rPr>
          <w:rFonts w:hint="eastAsia" w:cs="宋体"/>
          <w:color w:val="auto"/>
          <w:sz w:val="21"/>
          <w:szCs w:val="21"/>
          <w:highlight w:val="none"/>
        </w:rPr>
        <w:t>元（¥</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7C6BE24A">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三、本保函有效期自开立之日起至基础合同约定的缺陷责任期满之日止。 </w:t>
      </w:r>
    </w:p>
    <w:p w14:paraId="3E0E126B">
      <w:pPr>
        <w:spacing w:line="360" w:lineRule="auto"/>
        <w:ind w:firstLine="480"/>
        <w:rPr>
          <w:rFonts w:cs="宋体"/>
          <w:color w:val="auto"/>
          <w:sz w:val="21"/>
          <w:szCs w:val="21"/>
          <w:highlight w:val="none"/>
        </w:rPr>
      </w:pPr>
      <w:bookmarkStart w:id="621" w:name="_Hlk40302764"/>
      <w:r>
        <w:rPr>
          <w:rFonts w:hint="eastAsia" w:cs="宋体"/>
          <w:color w:val="auto"/>
          <w:sz w:val="21"/>
          <w:szCs w:val="21"/>
          <w:highlight w:val="none"/>
        </w:rPr>
        <w:t>四、开立人承诺，在收到受益人发来的书面付款通知后的七日内无条件支付，前述书面付款通知即为付款要求之单据，且应满足以下要求：</w:t>
      </w:r>
    </w:p>
    <w:bookmarkEnd w:id="621"/>
    <w:p w14:paraId="17B7EF1C">
      <w:pPr>
        <w:spacing w:line="360" w:lineRule="auto"/>
        <w:ind w:firstLine="420" w:firstLineChars="200"/>
        <w:rPr>
          <w:rFonts w:cs="宋体"/>
          <w:color w:val="auto"/>
          <w:sz w:val="21"/>
          <w:szCs w:val="21"/>
          <w:highlight w:val="none"/>
        </w:rPr>
      </w:pPr>
      <w:r>
        <w:rPr>
          <w:rFonts w:hint="eastAsia" w:cs="宋体"/>
          <w:color w:val="auto"/>
          <w:sz w:val="21"/>
          <w:szCs w:val="21"/>
          <w:highlight w:val="none"/>
        </w:rPr>
        <w:t>（1）付款通知到达的日期在本保函的有效期内；</w:t>
      </w:r>
    </w:p>
    <w:p w14:paraId="4C97C5E1">
      <w:pPr>
        <w:spacing w:line="360" w:lineRule="auto"/>
        <w:ind w:firstLine="420" w:firstLineChars="200"/>
        <w:rPr>
          <w:rFonts w:cs="宋体"/>
          <w:color w:val="auto"/>
          <w:sz w:val="21"/>
          <w:szCs w:val="21"/>
          <w:highlight w:val="none"/>
        </w:rPr>
      </w:pPr>
      <w:r>
        <w:rPr>
          <w:rFonts w:hint="eastAsia" w:cs="宋体"/>
          <w:color w:val="auto"/>
          <w:sz w:val="21"/>
          <w:szCs w:val="21"/>
          <w:highlight w:val="none"/>
        </w:rPr>
        <w:t>（2）载明要求支付的金额；</w:t>
      </w:r>
    </w:p>
    <w:p w14:paraId="0C08B8FE">
      <w:pPr>
        <w:spacing w:line="360" w:lineRule="auto"/>
        <w:ind w:firstLine="420" w:firstLineChars="200"/>
        <w:rPr>
          <w:rFonts w:cs="宋体"/>
          <w:color w:val="auto"/>
          <w:sz w:val="21"/>
          <w:szCs w:val="21"/>
          <w:highlight w:val="none"/>
        </w:rPr>
      </w:pPr>
      <w:r>
        <w:rPr>
          <w:rFonts w:hint="eastAsia" w:cs="宋体"/>
          <w:color w:val="auto"/>
          <w:sz w:val="21"/>
          <w:szCs w:val="21"/>
          <w:highlight w:val="none"/>
        </w:rPr>
        <w:t>（3）载明申请人违反合同义务的条款和内容；</w:t>
      </w:r>
    </w:p>
    <w:p w14:paraId="43170DFA">
      <w:pPr>
        <w:spacing w:line="360" w:lineRule="auto"/>
        <w:ind w:firstLine="420" w:firstLineChars="200"/>
        <w:rPr>
          <w:rFonts w:cs="宋体"/>
          <w:color w:val="auto"/>
          <w:sz w:val="21"/>
          <w:szCs w:val="21"/>
          <w:highlight w:val="none"/>
        </w:rPr>
      </w:pPr>
      <w:r>
        <w:rPr>
          <w:rFonts w:hint="eastAsia" w:cs="宋体"/>
          <w:color w:val="auto"/>
          <w:sz w:val="21"/>
          <w:szCs w:val="21"/>
          <w:highlight w:val="none"/>
        </w:rPr>
        <w:t>（4）声明不存在合同文件约定或我国法律规定免除申请人或开立人支付责任的情形；</w:t>
      </w:r>
    </w:p>
    <w:p w14:paraId="4654B01E">
      <w:pPr>
        <w:spacing w:line="360" w:lineRule="auto"/>
        <w:ind w:firstLine="420" w:firstLineChars="200"/>
        <w:rPr>
          <w:rFonts w:cs="宋体"/>
          <w:color w:val="auto"/>
          <w:sz w:val="21"/>
          <w:szCs w:val="21"/>
          <w:highlight w:val="none"/>
        </w:rPr>
      </w:pPr>
      <w:r>
        <w:rPr>
          <w:rFonts w:hint="eastAsia" w:cs="宋体"/>
          <w:color w:val="auto"/>
          <w:sz w:val="21"/>
          <w:szCs w:val="21"/>
          <w:highlight w:val="none"/>
        </w:rPr>
        <w:t>（5）付款通知应在本保函有效期内到达的地址是：</w:t>
      </w:r>
      <w:r>
        <w:rPr>
          <w:rFonts w:hint="eastAsia" w:cs="宋体"/>
          <w:color w:val="auto"/>
          <w:sz w:val="21"/>
          <w:szCs w:val="21"/>
          <w:highlight w:val="none"/>
          <w:u w:val="single"/>
        </w:rPr>
        <w:t xml:space="preserve">             </w:t>
      </w:r>
      <w:r>
        <w:rPr>
          <w:rFonts w:hint="eastAsia" w:cs="宋体"/>
          <w:color w:val="auto"/>
          <w:sz w:val="21"/>
          <w:szCs w:val="21"/>
          <w:highlight w:val="none"/>
        </w:rPr>
        <w:t>。</w:t>
      </w:r>
    </w:p>
    <w:p w14:paraId="518360D0">
      <w:pPr>
        <w:spacing w:line="360" w:lineRule="auto"/>
        <w:ind w:firstLine="420" w:firstLineChars="200"/>
        <w:rPr>
          <w:rFonts w:cs="宋体"/>
          <w:color w:val="auto"/>
          <w:sz w:val="21"/>
          <w:szCs w:val="21"/>
          <w:highlight w:val="none"/>
        </w:rPr>
      </w:pPr>
      <w:bookmarkStart w:id="622" w:name="_Hlk40303486"/>
      <w:r>
        <w:rPr>
          <w:rFonts w:hint="eastAsia" w:cs="宋体"/>
          <w:color w:val="auto"/>
          <w:sz w:val="21"/>
          <w:szCs w:val="21"/>
          <w:highlight w:val="none"/>
        </w:rPr>
        <w:t>受益人发出的书面付款通知应由其法定代表人（负责人）或授权代理人签字并加盖公章。</w:t>
      </w:r>
      <w:bookmarkEnd w:id="622"/>
    </w:p>
    <w:p w14:paraId="4249F3A1">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五、本保函项下的权利不得转让，不得设定担保。受益人未经我方书面同意转 让本保函或其项下任何权利，对我方不发生法律效力。 </w:t>
      </w:r>
    </w:p>
    <w:p w14:paraId="5BF8867E">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六、与本保函有关的基础合同不成立、不生效、无效、被撤销、被解除，不影响本保函的独立有效。 </w:t>
      </w:r>
    </w:p>
    <w:p w14:paraId="7A57E75E">
      <w:pPr>
        <w:spacing w:line="360" w:lineRule="auto"/>
        <w:ind w:firstLine="420" w:firstLineChars="200"/>
        <w:rPr>
          <w:rFonts w:cs="宋体"/>
          <w:color w:val="auto"/>
          <w:sz w:val="21"/>
          <w:szCs w:val="21"/>
          <w:highlight w:val="none"/>
        </w:rPr>
      </w:pPr>
      <w:bookmarkStart w:id="623" w:name="_Hlk40303383"/>
      <w:bookmarkStart w:id="624" w:name="_Hlk40354981"/>
      <w:r>
        <w:rPr>
          <w:rFonts w:hint="eastAsia" w:cs="宋体"/>
          <w:color w:val="auto"/>
          <w:sz w:val="21"/>
          <w:szCs w:val="21"/>
          <w:highlight w:val="none"/>
        </w:rPr>
        <w:t xml:space="preserve">七、本保函项下的义务和责任均在保函有效期到期后自动消灭。 </w:t>
      </w:r>
    </w:p>
    <w:p w14:paraId="6D464195">
      <w:pPr>
        <w:spacing w:line="360" w:lineRule="auto"/>
        <w:ind w:firstLine="420" w:firstLineChars="200"/>
        <w:rPr>
          <w:rFonts w:cs="宋体"/>
          <w:color w:val="auto"/>
          <w:sz w:val="21"/>
          <w:szCs w:val="21"/>
          <w:highlight w:val="none"/>
        </w:rPr>
      </w:pPr>
      <w:r>
        <w:rPr>
          <w:rFonts w:hint="eastAsia" w:cs="宋体"/>
          <w:color w:val="auto"/>
          <w:sz w:val="21"/>
          <w:szCs w:val="21"/>
          <w:highlight w:val="none"/>
        </w:rPr>
        <w:t>八、本保函适用的法律为中华人民共和国法律，因本保函产生的纠纷案件，</w:t>
      </w:r>
      <w:bookmarkEnd w:id="623"/>
      <w:r>
        <w:rPr>
          <w:rFonts w:hint="eastAsia" w:cs="宋体"/>
          <w:color w:val="auto"/>
          <w:sz w:val="21"/>
          <w:szCs w:val="21"/>
          <w:highlight w:val="none"/>
        </w:rPr>
        <w:t xml:space="preserve">由受益人所在地人民法院管辖。 </w:t>
      </w:r>
    </w:p>
    <w:bookmarkEnd w:id="624"/>
    <w:p w14:paraId="1BC7F009">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九、本保函自我方法定代表人或授权代表签字并加盖公章之日起生效。 </w:t>
      </w:r>
    </w:p>
    <w:p w14:paraId="0B243C35">
      <w:pPr>
        <w:spacing w:line="360" w:lineRule="auto"/>
        <w:ind w:firstLine="420" w:firstLineChars="200"/>
        <w:rPr>
          <w:rFonts w:cs="宋体"/>
          <w:color w:val="auto"/>
          <w:sz w:val="21"/>
          <w:szCs w:val="21"/>
          <w:highlight w:val="none"/>
        </w:rPr>
      </w:pPr>
    </w:p>
    <w:p w14:paraId="389F9FA2">
      <w:pPr>
        <w:spacing w:line="360" w:lineRule="auto"/>
        <w:ind w:firstLine="420" w:firstLineChars="200"/>
        <w:rPr>
          <w:rFonts w:cs="宋体"/>
          <w:color w:val="auto"/>
          <w:sz w:val="21"/>
          <w:szCs w:val="21"/>
          <w:highlight w:val="none"/>
        </w:rPr>
      </w:pPr>
    </w:p>
    <w:p w14:paraId="7E306588">
      <w:pPr>
        <w:spacing w:line="360" w:lineRule="auto"/>
        <w:ind w:firstLine="420" w:firstLineChars="200"/>
        <w:rPr>
          <w:rFonts w:cs="宋体"/>
          <w:color w:val="auto"/>
          <w:sz w:val="21"/>
          <w:szCs w:val="21"/>
          <w:highlight w:val="none"/>
        </w:rPr>
      </w:pPr>
    </w:p>
    <w:p w14:paraId="696A289F">
      <w:pPr>
        <w:spacing w:line="360" w:lineRule="auto"/>
        <w:ind w:firstLine="420" w:firstLineChars="200"/>
        <w:rPr>
          <w:rFonts w:cs="宋体"/>
          <w:color w:val="auto"/>
          <w:sz w:val="21"/>
          <w:szCs w:val="21"/>
          <w:highlight w:val="none"/>
        </w:rPr>
      </w:pPr>
      <w:r>
        <w:rPr>
          <w:rFonts w:hint="eastAsia" w:cs="宋体"/>
          <w:color w:val="auto"/>
          <w:sz w:val="21"/>
          <w:szCs w:val="21"/>
          <w:highlight w:val="none"/>
        </w:rPr>
        <w:t>开 立 人：</w:t>
      </w:r>
      <w:r>
        <w:rPr>
          <w:rFonts w:hint="eastAsia" w:cs="宋体"/>
          <w:color w:val="auto"/>
          <w:sz w:val="21"/>
          <w:szCs w:val="21"/>
          <w:highlight w:val="none"/>
          <w:u w:val="single"/>
        </w:rPr>
        <w:t xml:space="preserve">                              </w:t>
      </w:r>
      <w:r>
        <w:rPr>
          <w:rFonts w:hint="eastAsia" w:cs="宋体"/>
          <w:color w:val="auto"/>
          <w:sz w:val="21"/>
          <w:szCs w:val="21"/>
          <w:highlight w:val="none"/>
        </w:rPr>
        <w:t xml:space="preserve">（公章） </w:t>
      </w:r>
    </w:p>
    <w:p w14:paraId="61AA6893">
      <w:pPr>
        <w:spacing w:line="360" w:lineRule="auto"/>
        <w:ind w:firstLine="420" w:firstLineChars="200"/>
        <w:rPr>
          <w:rFonts w:cs="宋体"/>
          <w:color w:val="auto"/>
          <w:sz w:val="21"/>
          <w:szCs w:val="21"/>
          <w:highlight w:val="none"/>
        </w:rPr>
      </w:pPr>
      <w:r>
        <w:rPr>
          <w:rFonts w:hint="eastAsia" w:cs="宋体"/>
          <w:color w:val="auto"/>
          <w:sz w:val="21"/>
          <w:szCs w:val="21"/>
          <w:highlight w:val="none"/>
        </w:rPr>
        <w:t>法定代表人（或授权代表）：</w:t>
      </w:r>
      <w:r>
        <w:rPr>
          <w:rFonts w:hint="eastAsia" w:cs="宋体"/>
          <w:color w:val="auto"/>
          <w:sz w:val="21"/>
          <w:szCs w:val="21"/>
          <w:highlight w:val="none"/>
          <w:u w:val="single"/>
        </w:rPr>
        <w:t xml:space="preserve">               </w:t>
      </w:r>
      <w:r>
        <w:rPr>
          <w:rFonts w:hint="eastAsia" w:cs="宋体"/>
          <w:color w:val="auto"/>
          <w:sz w:val="21"/>
          <w:szCs w:val="21"/>
          <w:highlight w:val="none"/>
        </w:rPr>
        <w:t xml:space="preserve">（签字） </w:t>
      </w:r>
    </w:p>
    <w:p w14:paraId="2FAF6FD5">
      <w:pPr>
        <w:spacing w:line="360" w:lineRule="auto"/>
        <w:ind w:firstLine="420" w:firstLineChars="200"/>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w:t>
      </w:r>
    </w:p>
    <w:p w14:paraId="3218F300">
      <w:pPr>
        <w:spacing w:line="360" w:lineRule="auto"/>
        <w:ind w:firstLine="420" w:firstLineChars="200"/>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w:t>
      </w:r>
    </w:p>
    <w:p w14:paraId="43B229DE">
      <w:pPr>
        <w:spacing w:line="360" w:lineRule="auto"/>
        <w:ind w:firstLine="420" w:firstLineChars="200"/>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p>
    <w:p w14:paraId="4B93D4AD">
      <w:pPr>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传    真：</w:t>
      </w:r>
      <w:r>
        <w:rPr>
          <w:rFonts w:hint="eastAsia" w:cs="宋体"/>
          <w:color w:val="auto"/>
          <w:sz w:val="21"/>
          <w:szCs w:val="21"/>
          <w:highlight w:val="none"/>
          <w:u w:val="single"/>
        </w:rPr>
        <w:t xml:space="preserve">                 </w:t>
      </w:r>
    </w:p>
    <w:p w14:paraId="0942B148">
      <w:pPr>
        <w:spacing w:line="360" w:lineRule="auto"/>
        <w:ind w:left="1303" w:leftChars="200" w:hanging="903" w:hangingChars="430"/>
        <w:rPr>
          <w:rFonts w:cs="宋体"/>
          <w:color w:val="auto"/>
          <w:sz w:val="21"/>
          <w:szCs w:val="21"/>
          <w:highlight w:val="none"/>
        </w:rPr>
      </w:pPr>
      <w:r>
        <w:rPr>
          <w:rFonts w:hint="eastAsia" w:cs="宋体"/>
          <w:color w:val="auto"/>
          <w:sz w:val="21"/>
          <w:szCs w:val="21"/>
          <w:highlight w:val="none"/>
        </w:rPr>
        <w:t>开立时间：</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w:t>
      </w:r>
    </w:p>
    <w:p w14:paraId="3B7D4136">
      <w:pPr>
        <w:spacing w:before="312" w:beforeLines="100" w:after="312" w:afterLines="100"/>
        <w:outlineLvl w:val="2"/>
        <w:rPr>
          <w:rFonts w:ascii="Times New Roman" w:eastAsia="黑体"/>
          <w:color w:val="auto"/>
          <w:szCs w:val="24"/>
          <w:highlight w:val="none"/>
        </w:rPr>
      </w:pPr>
      <w:r>
        <w:rPr>
          <w:rFonts w:ascii="Times New Roman" w:eastAsia="黑体"/>
          <w:bCs/>
          <w:color w:val="auto"/>
          <w:highlight w:val="none"/>
        </w:rPr>
        <w:br w:type="page"/>
      </w:r>
      <w:bookmarkStart w:id="625" w:name="_Toc128950245"/>
      <w:r>
        <w:rPr>
          <w:rFonts w:hint="eastAsia" w:ascii="Times New Roman" w:eastAsia="黑体"/>
          <w:color w:val="auto"/>
          <w:szCs w:val="24"/>
          <w:highlight w:val="none"/>
        </w:rPr>
        <w:t>附</w:t>
      </w:r>
      <w:bookmarkStart w:id="626" w:name="_Toc296503232"/>
      <w:bookmarkStart w:id="627" w:name="_Toc296944571"/>
      <w:bookmarkStart w:id="628" w:name="_Toc296891060"/>
      <w:bookmarkStart w:id="629" w:name="_Toc296891272"/>
      <w:bookmarkStart w:id="630" w:name="_Toc296347231"/>
      <w:bookmarkStart w:id="631" w:name="_Toc296346733"/>
      <w:bookmarkStart w:id="632" w:name="_Toc267261702"/>
      <w:r>
        <w:rPr>
          <w:rFonts w:hint="eastAsia" w:ascii="Times New Roman" w:eastAsia="黑体"/>
          <w:color w:val="auto"/>
          <w:szCs w:val="24"/>
          <w:highlight w:val="none"/>
        </w:rPr>
        <w:t>件10：预付款担保</w:t>
      </w:r>
      <w:bookmarkEnd w:id="625"/>
    </w:p>
    <w:bookmarkEnd w:id="626"/>
    <w:bookmarkEnd w:id="627"/>
    <w:bookmarkEnd w:id="628"/>
    <w:bookmarkEnd w:id="629"/>
    <w:bookmarkEnd w:id="630"/>
    <w:bookmarkEnd w:id="631"/>
    <w:bookmarkEnd w:id="632"/>
    <w:p w14:paraId="23752F25">
      <w:pPr>
        <w:spacing w:line="360" w:lineRule="auto"/>
        <w:jc w:val="center"/>
        <w:rPr>
          <w:rFonts w:cs="宋体"/>
          <w:b/>
          <w:bCs/>
          <w:color w:val="auto"/>
          <w:sz w:val="32"/>
          <w:szCs w:val="32"/>
          <w:highlight w:val="none"/>
        </w:rPr>
      </w:pPr>
      <w:r>
        <w:rPr>
          <w:rFonts w:hint="eastAsia" w:cs="宋体"/>
          <w:b/>
          <w:bCs/>
          <w:color w:val="auto"/>
          <w:sz w:val="32"/>
          <w:szCs w:val="32"/>
          <w:highlight w:val="none"/>
        </w:rPr>
        <w:t>预付款保函示范文本</w:t>
      </w:r>
    </w:p>
    <w:p w14:paraId="2B456F43">
      <w:pPr>
        <w:wordWrap w:val="0"/>
        <w:spacing w:line="360" w:lineRule="auto"/>
        <w:jc w:val="right"/>
        <w:rPr>
          <w:rFonts w:ascii="Times New Roman"/>
          <w:color w:val="auto"/>
          <w:szCs w:val="21"/>
          <w:highlight w:val="none"/>
        </w:rPr>
      </w:pPr>
      <w:r>
        <w:rPr>
          <w:rFonts w:hint="eastAsia" w:ascii="Times New Roman"/>
          <w:color w:val="auto"/>
          <w:szCs w:val="21"/>
          <w:highlight w:val="none"/>
        </w:rPr>
        <w:t>编号：</w:t>
      </w:r>
      <w:r>
        <w:rPr>
          <w:rFonts w:hint="eastAsia" w:ascii="Times New Roman"/>
          <w:color w:val="auto"/>
          <w:szCs w:val="21"/>
          <w:highlight w:val="none"/>
          <w:u w:val="single"/>
        </w:rPr>
        <w:t xml:space="preserve"> </w:t>
      </w:r>
      <w:r>
        <w:rPr>
          <w:rFonts w:ascii="Times New Roman"/>
          <w:color w:val="auto"/>
          <w:szCs w:val="21"/>
          <w:highlight w:val="none"/>
          <w:u w:val="single"/>
        </w:rPr>
        <w:t xml:space="preserve">          </w:t>
      </w:r>
    </w:p>
    <w:p w14:paraId="368ACB74">
      <w:pPr>
        <w:spacing w:line="360" w:lineRule="auto"/>
        <w:rPr>
          <w:rFonts w:ascii="Times New Roman"/>
          <w:color w:val="auto"/>
          <w:szCs w:val="21"/>
          <w:highlight w:val="none"/>
        </w:rPr>
      </w:pPr>
    </w:p>
    <w:p w14:paraId="19C3F605">
      <w:pPr>
        <w:spacing w:line="360" w:lineRule="auto"/>
        <w:rPr>
          <w:rFonts w:cs="宋体"/>
          <w:color w:val="auto"/>
          <w:sz w:val="21"/>
          <w:szCs w:val="21"/>
          <w:highlight w:val="none"/>
        </w:rPr>
      </w:pPr>
      <w:r>
        <w:rPr>
          <w:rFonts w:hint="eastAsia" w:cs="宋体"/>
          <w:color w:val="auto"/>
          <w:sz w:val="21"/>
          <w:szCs w:val="21"/>
          <w:highlight w:val="none"/>
          <w:u w:val="single"/>
        </w:rPr>
        <w:t xml:space="preserve">              </w:t>
      </w:r>
      <w:r>
        <w:rPr>
          <w:rFonts w:hint="eastAsia" w:cs="宋体"/>
          <w:color w:val="auto"/>
          <w:sz w:val="21"/>
          <w:szCs w:val="21"/>
          <w:highlight w:val="none"/>
        </w:rPr>
        <w:t xml:space="preserve">（受益人名称）： </w:t>
      </w:r>
    </w:p>
    <w:p w14:paraId="6A390BD0">
      <w:pPr>
        <w:spacing w:line="360" w:lineRule="auto"/>
        <w:ind w:firstLine="420" w:firstLineChars="200"/>
        <w:rPr>
          <w:rFonts w:cs="宋体"/>
          <w:color w:val="auto"/>
          <w:sz w:val="21"/>
          <w:szCs w:val="21"/>
          <w:highlight w:val="none"/>
        </w:rPr>
      </w:pPr>
      <w:r>
        <w:rPr>
          <w:rFonts w:hint="eastAsia" w:cs="宋体"/>
          <w:color w:val="auto"/>
          <w:sz w:val="21"/>
          <w:szCs w:val="21"/>
          <w:highlight w:val="none"/>
        </w:rPr>
        <w:t>鉴于</w:t>
      </w:r>
      <w:r>
        <w:rPr>
          <w:rFonts w:hint="eastAsia" w:cs="宋体"/>
          <w:color w:val="auto"/>
          <w:sz w:val="21"/>
          <w:szCs w:val="21"/>
          <w:highlight w:val="none"/>
          <w:u w:val="single"/>
        </w:rPr>
        <w:t xml:space="preserve">     </w:t>
      </w:r>
      <w:r>
        <w:rPr>
          <w:rFonts w:hint="eastAsia" w:cs="宋体"/>
          <w:color w:val="auto"/>
          <w:sz w:val="21"/>
          <w:szCs w:val="21"/>
          <w:highlight w:val="none"/>
        </w:rPr>
        <w:t>（以下简称“受益人”）与</w:t>
      </w:r>
      <w:r>
        <w:rPr>
          <w:rFonts w:hint="eastAsia" w:cs="宋体"/>
          <w:color w:val="auto"/>
          <w:sz w:val="21"/>
          <w:szCs w:val="21"/>
          <w:highlight w:val="none"/>
          <w:u w:val="single"/>
        </w:rPr>
        <w:t xml:space="preserve">     </w:t>
      </w:r>
      <w:r>
        <w:rPr>
          <w:rFonts w:hint="eastAsia" w:cs="宋体"/>
          <w:color w:val="auto"/>
          <w:sz w:val="21"/>
          <w:szCs w:val="21"/>
          <w:highlight w:val="none"/>
        </w:rPr>
        <w:t>（以下简称“申请人”）于</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日就</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（项目编号）的</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（项目名称）</w:t>
      </w:r>
      <w:r>
        <w:rPr>
          <w:rFonts w:hint="eastAsia" w:cs="宋体"/>
          <w:color w:val="auto"/>
          <w:sz w:val="21"/>
          <w:szCs w:val="21"/>
          <w:highlight w:val="none"/>
        </w:rPr>
        <w:t>有关事项协商一致共同签订</w:t>
      </w:r>
      <w:r>
        <w:rPr>
          <w:rFonts w:hint="eastAsia" w:cs="宋体"/>
          <w:color w:val="auto"/>
          <w:sz w:val="21"/>
          <w:szCs w:val="21"/>
          <w:highlight w:val="none"/>
          <w:u w:val="single"/>
        </w:rPr>
        <w:t>《        》</w:t>
      </w:r>
      <w:r>
        <w:rPr>
          <w:rFonts w:hint="eastAsia" w:cs="宋体"/>
          <w:color w:val="auto"/>
          <w:sz w:val="21"/>
          <w:szCs w:val="21"/>
          <w:highlight w:val="none"/>
        </w:rPr>
        <w:t xml:space="preserve">（以下简称“基础合同”），开立人根据主合同了解到申请人为主合同项下之承包人，受益人为主合同项下之发包人，基于申请人的请求，开立人同意就申请人按照合同约定正确和合理地为合同目的使用预付款，向受益人提供不可撤销、不可转让的见索即付独立保函（以下简称“本保函”）。 </w:t>
      </w:r>
    </w:p>
    <w:p w14:paraId="0080428F">
      <w:pPr>
        <w:spacing w:line="360" w:lineRule="auto"/>
        <w:ind w:firstLine="420" w:firstLineChars="200"/>
        <w:rPr>
          <w:rFonts w:cs="宋体"/>
          <w:color w:val="auto"/>
          <w:sz w:val="21"/>
          <w:szCs w:val="21"/>
          <w:highlight w:val="none"/>
        </w:rPr>
      </w:pPr>
      <w:r>
        <w:rPr>
          <w:rFonts w:hint="eastAsia" w:cs="宋体"/>
          <w:color w:val="auto"/>
          <w:sz w:val="21"/>
          <w:szCs w:val="21"/>
          <w:highlight w:val="none"/>
        </w:rPr>
        <w:t>一、本保函担保范围：申请人未按照合同约定正确和合理地为合同目的使用预付款，应当向受益人承担的违约责任和赔偿因此造成的损失、利息、律师费、诉讼费用等实现债权的费用。</w:t>
      </w:r>
    </w:p>
    <w:p w14:paraId="1A9497D8">
      <w:pPr>
        <w:spacing w:line="360" w:lineRule="auto"/>
        <w:ind w:firstLine="420" w:firstLineChars="200"/>
        <w:rPr>
          <w:rFonts w:cs="宋体"/>
          <w:color w:val="auto"/>
          <w:sz w:val="21"/>
          <w:szCs w:val="21"/>
          <w:highlight w:val="none"/>
        </w:rPr>
      </w:pPr>
      <w:r>
        <w:rPr>
          <w:rFonts w:hint="eastAsia" w:cs="宋体"/>
          <w:color w:val="auto"/>
          <w:sz w:val="21"/>
          <w:szCs w:val="21"/>
          <w:highlight w:val="none"/>
        </w:rPr>
        <w:t>二、本保函担保金额最高不超过人民币（大写）</w:t>
      </w:r>
      <w:r>
        <w:rPr>
          <w:rFonts w:hint="eastAsia" w:cs="宋体"/>
          <w:color w:val="auto"/>
          <w:sz w:val="21"/>
          <w:szCs w:val="21"/>
          <w:highlight w:val="none"/>
          <w:u w:val="single"/>
        </w:rPr>
        <w:t xml:space="preserve">          </w:t>
      </w:r>
      <w:r>
        <w:rPr>
          <w:rFonts w:hint="eastAsia" w:cs="宋体"/>
          <w:color w:val="auto"/>
          <w:sz w:val="21"/>
          <w:szCs w:val="21"/>
          <w:highlight w:val="none"/>
        </w:rPr>
        <w:t>元（¥</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50772ECB">
      <w:pPr>
        <w:spacing w:line="360" w:lineRule="auto"/>
        <w:ind w:firstLine="420" w:firstLineChars="200"/>
        <w:rPr>
          <w:rFonts w:cs="宋体"/>
          <w:color w:val="auto"/>
          <w:sz w:val="21"/>
          <w:szCs w:val="21"/>
          <w:highlight w:val="none"/>
        </w:rPr>
      </w:pPr>
      <w:r>
        <w:rPr>
          <w:rFonts w:hint="eastAsia" w:cs="宋体"/>
          <w:color w:val="auto"/>
          <w:sz w:val="21"/>
          <w:szCs w:val="21"/>
          <w:highlight w:val="none"/>
        </w:rPr>
        <w:t>三、本保函有效期自开立之日起至发包人全额扣回预付款之日止。</w:t>
      </w:r>
    </w:p>
    <w:p w14:paraId="07B74358">
      <w:pPr>
        <w:spacing w:line="400" w:lineRule="exact"/>
        <w:ind w:firstLine="480"/>
        <w:rPr>
          <w:rFonts w:cs="宋体"/>
          <w:color w:val="auto"/>
          <w:sz w:val="21"/>
          <w:szCs w:val="21"/>
          <w:highlight w:val="none"/>
        </w:rPr>
      </w:pPr>
      <w:r>
        <w:rPr>
          <w:rFonts w:hint="eastAsia" w:cs="宋体"/>
          <w:color w:val="auto"/>
          <w:sz w:val="21"/>
          <w:szCs w:val="21"/>
          <w:highlight w:val="none"/>
        </w:rPr>
        <w:t>四、开立人承诺，在收到受益人发来的书面付款通知后的七日内无条件支付，前述书面付款通知即为付款要求之单据，且应满足以下要求：</w:t>
      </w:r>
    </w:p>
    <w:p w14:paraId="73517AA0">
      <w:pPr>
        <w:spacing w:line="360" w:lineRule="auto"/>
        <w:ind w:firstLine="420" w:firstLineChars="200"/>
        <w:rPr>
          <w:rFonts w:cs="宋体"/>
          <w:color w:val="auto"/>
          <w:sz w:val="21"/>
          <w:szCs w:val="21"/>
          <w:highlight w:val="none"/>
        </w:rPr>
      </w:pPr>
      <w:r>
        <w:rPr>
          <w:rFonts w:hint="eastAsia" w:cs="宋体"/>
          <w:color w:val="auto"/>
          <w:sz w:val="21"/>
          <w:szCs w:val="21"/>
          <w:highlight w:val="none"/>
        </w:rPr>
        <w:t>（1）付款通知到达的日期在本保函的有效期内；</w:t>
      </w:r>
    </w:p>
    <w:p w14:paraId="40C43089">
      <w:pPr>
        <w:spacing w:line="360" w:lineRule="auto"/>
        <w:ind w:firstLine="420" w:firstLineChars="200"/>
        <w:rPr>
          <w:rFonts w:cs="宋体"/>
          <w:color w:val="auto"/>
          <w:sz w:val="21"/>
          <w:szCs w:val="21"/>
          <w:highlight w:val="none"/>
        </w:rPr>
      </w:pPr>
      <w:r>
        <w:rPr>
          <w:rFonts w:hint="eastAsia" w:cs="宋体"/>
          <w:color w:val="auto"/>
          <w:sz w:val="21"/>
          <w:szCs w:val="21"/>
          <w:highlight w:val="none"/>
        </w:rPr>
        <w:t>（2）载明要求支付的金额；</w:t>
      </w:r>
    </w:p>
    <w:p w14:paraId="14D5A72B">
      <w:pPr>
        <w:spacing w:line="360" w:lineRule="auto"/>
        <w:ind w:firstLine="420" w:firstLineChars="200"/>
        <w:rPr>
          <w:rFonts w:cs="宋体"/>
          <w:color w:val="auto"/>
          <w:sz w:val="21"/>
          <w:szCs w:val="21"/>
          <w:highlight w:val="none"/>
        </w:rPr>
      </w:pPr>
      <w:r>
        <w:rPr>
          <w:rFonts w:hint="eastAsia" w:cs="宋体"/>
          <w:color w:val="auto"/>
          <w:sz w:val="21"/>
          <w:szCs w:val="21"/>
          <w:highlight w:val="none"/>
        </w:rPr>
        <w:t>（3）载明申请人违反合同义务的条款和内容；</w:t>
      </w:r>
    </w:p>
    <w:p w14:paraId="3CD64209">
      <w:pPr>
        <w:spacing w:line="360" w:lineRule="auto"/>
        <w:ind w:firstLine="420" w:firstLineChars="200"/>
        <w:rPr>
          <w:rFonts w:cs="宋体"/>
          <w:color w:val="auto"/>
          <w:sz w:val="21"/>
          <w:szCs w:val="21"/>
          <w:highlight w:val="none"/>
        </w:rPr>
      </w:pPr>
      <w:r>
        <w:rPr>
          <w:rFonts w:hint="eastAsia" w:cs="宋体"/>
          <w:color w:val="auto"/>
          <w:sz w:val="21"/>
          <w:szCs w:val="21"/>
          <w:highlight w:val="none"/>
        </w:rPr>
        <w:t>（4）声明不存在合同文件约定或我国法律规定免除申请人或开立人支付责任的情形；</w:t>
      </w:r>
    </w:p>
    <w:p w14:paraId="504A12F3">
      <w:pPr>
        <w:spacing w:line="360" w:lineRule="auto"/>
        <w:ind w:firstLine="420" w:firstLineChars="200"/>
        <w:rPr>
          <w:rFonts w:cs="宋体"/>
          <w:color w:val="auto"/>
          <w:sz w:val="21"/>
          <w:szCs w:val="21"/>
          <w:highlight w:val="none"/>
        </w:rPr>
      </w:pPr>
      <w:r>
        <w:rPr>
          <w:rFonts w:hint="eastAsia" w:cs="宋体"/>
          <w:color w:val="auto"/>
          <w:sz w:val="21"/>
          <w:szCs w:val="21"/>
          <w:highlight w:val="none"/>
        </w:rPr>
        <w:t>（5）付款通知应在本保函有效期内到达的地址是：</w:t>
      </w:r>
      <w:r>
        <w:rPr>
          <w:rFonts w:hint="eastAsia" w:cs="宋体"/>
          <w:color w:val="auto"/>
          <w:sz w:val="21"/>
          <w:szCs w:val="21"/>
          <w:highlight w:val="none"/>
          <w:u w:val="single"/>
        </w:rPr>
        <w:t xml:space="preserve">             </w:t>
      </w:r>
      <w:r>
        <w:rPr>
          <w:rFonts w:hint="eastAsia" w:cs="宋体"/>
          <w:color w:val="auto"/>
          <w:sz w:val="21"/>
          <w:szCs w:val="21"/>
          <w:highlight w:val="none"/>
        </w:rPr>
        <w:t>。</w:t>
      </w:r>
    </w:p>
    <w:p w14:paraId="06B609A3">
      <w:pPr>
        <w:spacing w:line="400" w:lineRule="exact"/>
        <w:rPr>
          <w:rFonts w:cs="宋体"/>
          <w:color w:val="auto"/>
          <w:sz w:val="21"/>
          <w:szCs w:val="21"/>
          <w:highlight w:val="none"/>
        </w:rPr>
      </w:pPr>
      <w:r>
        <w:rPr>
          <w:rFonts w:hint="eastAsia" w:cs="宋体"/>
          <w:color w:val="auto"/>
          <w:sz w:val="21"/>
          <w:szCs w:val="21"/>
          <w:highlight w:val="none"/>
        </w:rPr>
        <w:t xml:space="preserve">    受益人发出的书面付款通知应由其法定代表人（负责人）或授权代理人签字并加盖公章。</w:t>
      </w:r>
    </w:p>
    <w:p w14:paraId="6102F671">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五、本保函项下的权利不得转让，不得设定担保。受益人未经开立人书面同意转让本保函或其项下任何权利，对开立人不发生法律效力。 </w:t>
      </w:r>
    </w:p>
    <w:p w14:paraId="2DA43AC4">
      <w:pPr>
        <w:spacing w:line="400" w:lineRule="exact"/>
        <w:ind w:firstLine="420" w:firstLineChars="200"/>
        <w:rPr>
          <w:rStyle w:val="68"/>
          <w:rFonts w:cs="宋体"/>
          <w:color w:val="auto"/>
          <w:highlight w:val="none"/>
        </w:rPr>
      </w:pPr>
      <w:r>
        <w:rPr>
          <w:rFonts w:hint="eastAsia" w:cs="宋体"/>
          <w:color w:val="auto"/>
          <w:sz w:val="21"/>
          <w:szCs w:val="21"/>
          <w:highlight w:val="none"/>
        </w:rPr>
        <w:t>六、本保函项下的基础交易不成立、不生效、无效、被撤销、被解除，不影响本保函的独立有效。</w:t>
      </w:r>
    </w:p>
    <w:p w14:paraId="41DE9A04">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七、本保函项下的义务和责任均在保函有效期到期后自动消灭。 </w:t>
      </w:r>
    </w:p>
    <w:p w14:paraId="52BB1A96">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八、本保函适用的法律为中华人民共和国法律，因本保函产生的纠纷案件，由受益人所在地人民法院管辖。 </w:t>
      </w:r>
    </w:p>
    <w:p w14:paraId="13C81A17">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九、本保函自我方法定代表人或授权代表签字并加盖公章之日起生效。 </w:t>
      </w:r>
    </w:p>
    <w:p w14:paraId="6E8730F7">
      <w:pPr>
        <w:spacing w:line="360" w:lineRule="auto"/>
        <w:ind w:firstLine="420" w:firstLineChars="200"/>
        <w:rPr>
          <w:rFonts w:cs="宋体"/>
          <w:color w:val="auto"/>
          <w:sz w:val="21"/>
          <w:szCs w:val="21"/>
          <w:highlight w:val="none"/>
        </w:rPr>
      </w:pPr>
    </w:p>
    <w:p w14:paraId="7A4F9609">
      <w:pPr>
        <w:spacing w:line="360" w:lineRule="auto"/>
        <w:ind w:firstLine="420" w:firstLineChars="200"/>
        <w:rPr>
          <w:rFonts w:cs="宋体"/>
          <w:color w:val="auto"/>
          <w:sz w:val="21"/>
          <w:szCs w:val="21"/>
          <w:highlight w:val="none"/>
        </w:rPr>
      </w:pPr>
    </w:p>
    <w:p w14:paraId="4CC1FECA">
      <w:pPr>
        <w:spacing w:line="360" w:lineRule="auto"/>
        <w:ind w:firstLine="420" w:firstLineChars="200"/>
        <w:rPr>
          <w:rFonts w:cs="宋体"/>
          <w:color w:val="auto"/>
          <w:sz w:val="21"/>
          <w:szCs w:val="21"/>
          <w:highlight w:val="none"/>
        </w:rPr>
      </w:pPr>
    </w:p>
    <w:p w14:paraId="03C5E51D">
      <w:pPr>
        <w:spacing w:line="360" w:lineRule="auto"/>
        <w:ind w:firstLine="420" w:firstLineChars="200"/>
        <w:rPr>
          <w:rFonts w:cs="宋体"/>
          <w:color w:val="auto"/>
          <w:sz w:val="21"/>
          <w:szCs w:val="21"/>
          <w:highlight w:val="none"/>
        </w:rPr>
      </w:pPr>
      <w:r>
        <w:rPr>
          <w:rFonts w:hint="eastAsia" w:cs="宋体"/>
          <w:color w:val="auto"/>
          <w:sz w:val="21"/>
          <w:szCs w:val="21"/>
          <w:highlight w:val="none"/>
        </w:rPr>
        <w:t>开 立 人：</w:t>
      </w:r>
      <w:r>
        <w:rPr>
          <w:rFonts w:hint="eastAsia" w:cs="宋体"/>
          <w:color w:val="auto"/>
          <w:sz w:val="21"/>
          <w:szCs w:val="21"/>
          <w:highlight w:val="none"/>
          <w:u w:val="single"/>
        </w:rPr>
        <w:t xml:space="preserve">                              </w:t>
      </w:r>
      <w:r>
        <w:rPr>
          <w:rFonts w:hint="eastAsia" w:cs="宋体"/>
          <w:color w:val="auto"/>
          <w:sz w:val="21"/>
          <w:szCs w:val="21"/>
          <w:highlight w:val="none"/>
        </w:rPr>
        <w:t xml:space="preserve">（公章） </w:t>
      </w:r>
    </w:p>
    <w:p w14:paraId="039D3F7A">
      <w:pPr>
        <w:spacing w:line="360" w:lineRule="auto"/>
        <w:ind w:firstLine="420" w:firstLineChars="200"/>
        <w:rPr>
          <w:rFonts w:cs="宋体"/>
          <w:color w:val="auto"/>
          <w:sz w:val="21"/>
          <w:szCs w:val="21"/>
          <w:highlight w:val="none"/>
        </w:rPr>
      </w:pPr>
      <w:r>
        <w:rPr>
          <w:rFonts w:hint="eastAsia" w:cs="宋体"/>
          <w:color w:val="auto"/>
          <w:sz w:val="21"/>
          <w:szCs w:val="21"/>
          <w:highlight w:val="none"/>
        </w:rPr>
        <w:t>法定代表人（或授权代表）：</w:t>
      </w:r>
      <w:r>
        <w:rPr>
          <w:rFonts w:hint="eastAsia" w:cs="宋体"/>
          <w:color w:val="auto"/>
          <w:sz w:val="21"/>
          <w:szCs w:val="21"/>
          <w:highlight w:val="none"/>
          <w:u w:val="single"/>
        </w:rPr>
        <w:t xml:space="preserve">               </w:t>
      </w:r>
      <w:r>
        <w:rPr>
          <w:rFonts w:hint="eastAsia" w:cs="宋体"/>
          <w:color w:val="auto"/>
          <w:sz w:val="21"/>
          <w:szCs w:val="21"/>
          <w:highlight w:val="none"/>
        </w:rPr>
        <w:t xml:space="preserve">（签字） </w:t>
      </w:r>
    </w:p>
    <w:p w14:paraId="1185C2B8">
      <w:pPr>
        <w:spacing w:line="360" w:lineRule="auto"/>
        <w:ind w:firstLine="420" w:firstLineChars="200"/>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w:t>
      </w:r>
    </w:p>
    <w:p w14:paraId="3617A0D1">
      <w:pPr>
        <w:spacing w:line="360" w:lineRule="auto"/>
        <w:ind w:firstLine="420" w:firstLineChars="200"/>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w:t>
      </w:r>
    </w:p>
    <w:p w14:paraId="20C7DFC7">
      <w:pPr>
        <w:spacing w:line="360" w:lineRule="auto"/>
        <w:ind w:firstLine="420" w:firstLineChars="200"/>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p>
    <w:p w14:paraId="016033D1">
      <w:pPr>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传    真：</w:t>
      </w:r>
      <w:r>
        <w:rPr>
          <w:rFonts w:hint="eastAsia" w:cs="宋体"/>
          <w:color w:val="auto"/>
          <w:sz w:val="21"/>
          <w:szCs w:val="21"/>
          <w:highlight w:val="none"/>
          <w:u w:val="single"/>
        </w:rPr>
        <w:t xml:space="preserve">                 </w:t>
      </w:r>
    </w:p>
    <w:p w14:paraId="4F5E2CA9">
      <w:pPr>
        <w:spacing w:line="360" w:lineRule="auto"/>
        <w:ind w:left="1303" w:leftChars="200" w:hanging="903" w:hangingChars="430"/>
        <w:rPr>
          <w:rFonts w:cs="宋体"/>
          <w:color w:val="auto"/>
          <w:sz w:val="21"/>
          <w:szCs w:val="21"/>
          <w:highlight w:val="none"/>
        </w:rPr>
      </w:pPr>
      <w:r>
        <w:rPr>
          <w:rFonts w:hint="eastAsia" w:cs="宋体"/>
          <w:color w:val="auto"/>
          <w:sz w:val="21"/>
          <w:szCs w:val="21"/>
          <w:highlight w:val="none"/>
        </w:rPr>
        <w:t>开立时间：</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w:t>
      </w:r>
    </w:p>
    <w:p w14:paraId="3F0D08C4">
      <w:pPr>
        <w:spacing w:before="312" w:beforeLines="100" w:after="312" w:afterLines="100"/>
        <w:outlineLvl w:val="2"/>
        <w:rPr>
          <w:rFonts w:ascii="Times New Roman" w:eastAsia="黑体"/>
          <w:color w:val="auto"/>
          <w:szCs w:val="24"/>
          <w:highlight w:val="none"/>
        </w:rPr>
      </w:pPr>
      <w:r>
        <w:rPr>
          <w:rFonts w:ascii="Times New Roman" w:eastAsia="黑体"/>
          <w:b/>
          <w:bCs/>
          <w:color w:val="auto"/>
          <w:highlight w:val="none"/>
        </w:rPr>
        <w:br w:type="page"/>
      </w:r>
      <w:bookmarkStart w:id="633" w:name="_Toc128950246"/>
      <w:r>
        <w:rPr>
          <w:rFonts w:hint="eastAsia" w:ascii="Times New Roman" w:eastAsia="黑体"/>
          <w:color w:val="auto"/>
          <w:szCs w:val="24"/>
          <w:highlight w:val="none"/>
        </w:rPr>
        <w:t>附</w:t>
      </w:r>
      <w:bookmarkStart w:id="634" w:name="_Toc296347232"/>
      <w:bookmarkStart w:id="635" w:name="_Toc296346734"/>
      <w:bookmarkStart w:id="636" w:name="_Toc296891061"/>
      <w:bookmarkStart w:id="637" w:name="_Toc296503233"/>
      <w:bookmarkStart w:id="638" w:name="_Toc296944572"/>
      <w:bookmarkStart w:id="639" w:name="_Toc296891273"/>
      <w:r>
        <w:rPr>
          <w:rFonts w:hint="eastAsia" w:ascii="Times New Roman" w:eastAsia="黑体"/>
          <w:color w:val="auto"/>
          <w:szCs w:val="24"/>
          <w:highlight w:val="none"/>
        </w:rPr>
        <w:t>件</w:t>
      </w:r>
      <w:r>
        <w:rPr>
          <w:rFonts w:ascii="Times New Roman" w:eastAsia="黑体"/>
          <w:color w:val="auto"/>
          <w:szCs w:val="24"/>
          <w:highlight w:val="none"/>
        </w:rPr>
        <w:t>1</w:t>
      </w:r>
      <w:r>
        <w:rPr>
          <w:rFonts w:hint="eastAsia" w:ascii="Times New Roman" w:eastAsia="黑体"/>
          <w:color w:val="auto"/>
          <w:szCs w:val="24"/>
          <w:highlight w:val="none"/>
        </w:rPr>
        <w:t>1：支付担保</w:t>
      </w:r>
      <w:bookmarkEnd w:id="633"/>
      <w:bookmarkEnd w:id="634"/>
      <w:bookmarkEnd w:id="635"/>
      <w:bookmarkEnd w:id="636"/>
      <w:bookmarkEnd w:id="637"/>
      <w:bookmarkEnd w:id="638"/>
      <w:bookmarkEnd w:id="639"/>
    </w:p>
    <w:p w14:paraId="3C1EEEE2">
      <w:pPr>
        <w:spacing w:line="360" w:lineRule="auto"/>
        <w:jc w:val="center"/>
        <w:rPr>
          <w:rFonts w:cs="宋体"/>
          <w:b/>
          <w:bCs/>
          <w:color w:val="auto"/>
          <w:sz w:val="32"/>
          <w:szCs w:val="32"/>
          <w:highlight w:val="none"/>
        </w:rPr>
      </w:pPr>
      <w:r>
        <w:rPr>
          <w:rFonts w:hint="eastAsia" w:cs="宋体"/>
          <w:b/>
          <w:bCs/>
          <w:color w:val="auto"/>
          <w:sz w:val="32"/>
          <w:szCs w:val="32"/>
          <w:highlight w:val="none"/>
        </w:rPr>
        <w:t>支付保函示范文本</w:t>
      </w:r>
    </w:p>
    <w:p w14:paraId="61679FE3">
      <w:pPr>
        <w:wordWrap w:val="0"/>
        <w:spacing w:line="360" w:lineRule="auto"/>
        <w:jc w:val="right"/>
        <w:rPr>
          <w:rFonts w:ascii="Times New Roman"/>
          <w:color w:val="auto"/>
          <w:szCs w:val="21"/>
          <w:highlight w:val="none"/>
        </w:rPr>
      </w:pPr>
      <w:r>
        <w:rPr>
          <w:rFonts w:hint="eastAsia" w:ascii="Times New Roman"/>
          <w:color w:val="auto"/>
          <w:szCs w:val="21"/>
          <w:highlight w:val="none"/>
        </w:rPr>
        <w:t>编号：</w:t>
      </w:r>
      <w:r>
        <w:rPr>
          <w:rFonts w:hint="eastAsia" w:ascii="Times New Roman"/>
          <w:color w:val="auto"/>
          <w:szCs w:val="21"/>
          <w:highlight w:val="none"/>
          <w:u w:val="single"/>
        </w:rPr>
        <w:t xml:space="preserve"> </w:t>
      </w:r>
      <w:r>
        <w:rPr>
          <w:rFonts w:ascii="Times New Roman"/>
          <w:color w:val="auto"/>
          <w:szCs w:val="21"/>
          <w:highlight w:val="none"/>
          <w:u w:val="single"/>
        </w:rPr>
        <w:t xml:space="preserve">          </w:t>
      </w:r>
    </w:p>
    <w:p w14:paraId="7227DF80">
      <w:pPr>
        <w:spacing w:line="360" w:lineRule="auto"/>
        <w:rPr>
          <w:rFonts w:ascii="Times New Roman"/>
          <w:color w:val="auto"/>
          <w:szCs w:val="21"/>
          <w:highlight w:val="none"/>
        </w:rPr>
      </w:pPr>
    </w:p>
    <w:p w14:paraId="7BD4F0E6">
      <w:pPr>
        <w:spacing w:line="360" w:lineRule="auto"/>
        <w:rPr>
          <w:rFonts w:cs="宋体"/>
          <w:color w:val="auto"/>
          <w:sz w:val="21"/>
          <w:szCs w:val="21"/>
          <w:highlight w:val="none"/>
        </w:rPr>
      </w:pPr>
      <w:bookmarkStart w:id="640" w:name="_Hlk40355074"/>
      <w:r>
        <w:rPr>
          <w:rFonts w:hint="eastAsia" w:cs="宋体"/>
          <w:color w:val="auto"/>
          <w:sz w:val="21"/>
          <w:szCs w:val="21"/>
          <w:highlight w:val="none"/>
          <w:u w:val="single"/>
        </w:rPr>
        <w:t xml:space="preserve">              </w:t>
      </w:r>
      <w:r>
        <w:rPr>
          <w:rFonts w:hint="eastAsia" w:cs="宋体"/>
          <w:color w:val="auto"/>
          <w:sz w:val="21"/>
          <w:szCs w:val="21"/>
          <w:highlight w:val="none"/>
        </w:rPr>
        <w:t xml:space="preserve">（受益人名称）： </w:t>
      </w:r>
    </w:p>
    <w:bookmarkEnd w:id="640"/>
    <w:p w14:paraId="0843B4FD">
      <w:pPr>
        <w:spacing w:line="360" w:lineRule="auto"/>
        <w:ind w:firstLine="420" w:firstLineChars="200"/>
        <w:rPr>
          <w:rFonts w:cs="宋体"/>
          <w:color w:val="auto"/>
          <w:sz w:val="21"/>
          <w:szCs w:val="21"/>
          <w:highlight w:val="none"/>
        </w:rPr>
      </w:pPr>
      <w:r>
        <w:rPr>
          <w:rFonts w:hint="eastAsia" w:cs="宋体"/>
          <w:color w:val="auto"/>
          <w:sz w:val="21"/>
          <w:szCs w:val="21"/>
          <w:highlight w:val="none"/>
        </w:rPr>
        <w:t>鉴于</w:t>
      </w:r>
      <w:r>
        <w:rPr>
          <w:rFonts w:hint="eastAsia" w:cs="宋体"/>
          <w:color w:val="auto"/>
          <w:sz w:val="21"/>
          <w:szCs w:val="21"/>
          <w:highlight w:val="none"/>
          <w:u w:val="single"/>
        </w:rPr>
        <w:t xml:space="preserve">        </w:t>
      </w:r>
      <w:r>
        <w:rPr>
          <w:rFonts w:hint="eastAsia" w:cs="宋体"/>
          <w:color w:val="auto"/>
          <w:sz w:val="21"/>
          <w:szCs w:val="21"/>
          <w:highlight w:val="none"/>
        </w:rPr>
        <w:t>（以下简称“受益人”）与</w:t>
      </w:r>
      <w:r>
        <w:rPr>
          <w:rFonts w:hint="eastAsia" w:cs="宋体"/>
          <w:color w:val="auto"/>
          <w:sz w:val="21"/>
          <w:szCs w:val="21"/>
          <w:highlight w:val="none"/>
          <w:u w:val="single"/>
        </w:rPr>
        <w:t xml:space="preserve">         </w:t>
      </w:r>
      <w:r>
        <w:rPr>
          <w:rFonts w:hint="eastAsia" w:cs="宋体"/>
          <w:color w:val="auto"/>
          <w:sz w:val="21"/>
          <w:szCs w:val="21"/>
          <w:highlight w:val="none"/>
        </w:rPr>
        <w:t>（以下简称“申请人”）于</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日就</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（项目编号）的</w:t>
      </w:r>
      <w:r>
        <w:rPr>
          <w:rFonts w:hint="eastAsia" w:cs="宋体"/>
          <w:snapToGrid w:val="0"/>
          <w:color w:val="auto"/>
          <w:sz w:val="21"/>
          <w:szCs w:val="21"/>
          <w:highlight w:val="none"/>
          <w:u w:val="single"/>
        </w:rPr>
        <w:t xml:space="preserve">         </w:t>
      </w:r>
      <w:r>
        <w:rPr>
          <w:rFonts w:hint="eastAsia" w:cs="宋体"/>
          <w:snapToGrid w:val="0"/>
          <w:color w:val="auto"/>
          <w:sz w:val="21"/>
          <w:szCs w:val="21"/>
          <w:highlight w:val="none"/>
        </w:rPr>
        <w:t>（项目名称）</w:t>
      </w:r>
      <w:r>
        <w:rPr>
          <w:rFonts w:hint="eastAsia" w:cs="宋体"/>
          <w:color w:val="auto"/>
          <w:sz w:val="21"/>
          <w:szCs w:val="21"/>
          <w:highlight w:val="none"/>
        </w:rPr>
        <w:t>有关事项协商一致共同签订</w:t>
      </w:r>
      <w:r>
        <w:rPr>
          <w:rFonts w:hint="eastAsia" w:cs="宋体"/>
          <w:color w:val="auto"/>
          <w:sz w:val="21"/>
          <w:szCs w:val="21"/>
          <w:highlight w:val="none"/>
          <w:u w:val="single"/>
        </w:rPr>
        <w:t>《        》</w:t>
      </w:r>
      <w:r>
        <w:rPr>
          <w:rFonts w:hint="eastAsia" w:cs="宋体"/>
          <w:color w:val="auto"/>
          <w:sz w:val="21"/>
          <w:szCs w:val="21"/>
          <w:highlight w:val="none"/>
        </w:rPr>
        <w:t xml:space="preserve">（以下简称基础合同”），开立人根据基础合同了解到申请人为基础合同项下之发包人，受益人为基础合同项下之承包人，基于申请人的请求，开立人同意就申请人履行与受益人签订的基础合同项下的工程款（指基础合同约定的除工程质量保修金以外的工程款）付款义务，向受益人提供不可撤销、不可转让的见索即付独立保函（以下简称“本保函”）。 </w:t>
      </w:r>
    </w:p>
    <w:p w14:paraId="22D26037">
      <w:pPr>
        <w:spacing w:line="360" w:lineRule="auto"/>
        <w:ind w:firstLine="420" w:firstLineChars="200"/>
        <w:rPr>
          <w:rFonts w:cs="宋体"/>
          <w:color w:val="auto"/>
          <w:sz w:val="21"/>
          <w:szCs w:val="21"/>
          <w:highlight w:val="none"/>
        </w:rPr>
      </w:pPr>
      <w:r>
        <w:rPr>
          <w:rFonts w:hint="eastAsia" w:cs="宋体"/>
          <w:color w:val="auto"/>
          <w:sz w:val="21"/>
          <w:szCs w:val="21"/>
          <w:highlight w:val="none"/>
        </w:rPr>
        <w:t>一、本保函担保范围：申请人未履行基础合同约定的工程款支付义务，应当向受益人承担的违约责任和赔偿因此造成的损失、利息、律师费、诉讼费用等实现债权的费用。</w:t>
      </w:r>
    </w:p>
    <w:p w14:paraId="57C25D3A">
      <w:pPr>
        <w:spacing w:line="360" w:lineRule="auto"/>
        <w:ind w:firstLine="420" w:firstLineChars="200"/>
        <w:rPr>
          <w:rFonts w:cs="宋体"/>
          <w:color w:val="auto"/>
          <w:sz w:val="21"/>
          <w:szCs w:val="21"/>
          <w:highlight w:val="none"/>
        </w:rPr>
      </w:pPr>
      <w:r>
        <w:rPr>
          <w:rFonts w:hint="eastAsia" w:cs="宋体"/>
          <w:color w:val="auto"/>
          <w:sz w:val="21"/>
          <w:szCs w:val="21"/>
          <w:highlight w:val="none"/>
        </w:rPr>
        <w:t>二、本保函担保金额最高不超过人民币（大写）</w:t>
      </w:r>
      <w:r>
        <w:rPr>
          <w:rFonts w:hint="eastAsia" w:cs="宋体"/>
          <w:color w:val="auto"/>
          <w:sz w:val="21"/>
          <w:szCs w:val="21"/>
          <w:highlight w:val="none"/>
          <w:u w:val="single"/>
        </w:rPr>
        <w:t xml:space="preserve">          </w:t>
      </w:r>
      <w:r>
        <w:rPr>
          <w:rFonts w:hint="eastAsia" w:cs="宋体"/>
          <w:color w:val="auto"/>
          <w:sz w:val="21"/>
          <w:szCs w:val="21"/>
          <w:highlight w:val="none"/>
        </w:rPr>
        <w:t>元（¥</w:t>
      </w:r>
      <w:r>
        <w:rPr>
          <w:rFonts w:hint="eastAsia" w:cs="宋体"/>
          <w:color w:val="auto"/>
          <w:sz w:val="21"/>
          <w:szCs w:val="21"/>
          <w:highlight w:val="none"/>
          <w:u w:val="single"/>
        </w:rPr>
        <w:t xml:space="preserve">       </w:t>
      </w:r>
      <w:r>
        <w:rPr>
          <w:rFonts w:hint="eastAsia" w:cs="宋体"/>
          <w:color w:val="auto"/>
          <w:sz w:val="21"/>
          <w:szCs w:val="21"/>
          <w:highlight w:val="none"/>
        </w:rPr>
        <w:t xml:space="preserve">）。 </w:t>
      </w:r>
    </w:p>
    <w:p w14:paraId="37B5A894">
      <w:pPr>
        <w:spacing w:line="360" w:lineRule="auto"/>
        <w:ind w:firstLine="420" w:firstLineChars="200"/>
        <w:rPr>
          <w:rFonts w:cs="宋体"/>
          <w:color w:val="auto"/>
          <w:sz w:val="21"/>
          <w:szCs w:val="21"/>
          <w:highlight w:val="none"/>
        </w:rPr>
      </w:pPr>
      <w:r>
        <w:rPr>
          <w:rFonts w:hint="eastAsia" w:cs="宋体"/>
          <w:color w:val="auto"/>
          <w:sz w:val="21"/>
          <w:szCs w:val="21"/>
          <w:highlight w:val="none"/>
        </w:rPr>
        <w:t>三、本保函有效期自开立之日起至基础合同约定的除工程质量保修金以外的全部工程结算款项支付之日后</w:t>
      </w:r>
      <w:r>
        <w:rPr>
          <w:rFonts w:hint="eastAsia" w:cs="宋体"/>
          <w:color w:val="auto"/>
          <w:sz w:val="21"/>
          <w:szCs w:val="21"/>
          <w:highlight w:val="none"/>
          <w:u w:val="single"/>
        </w:rPr>
        <w:t xml:space="preserve">    </w:t>
      </w:r>
      <w:r>
        <w:rPr>
          <w:rFonts w:hint="eastAsia" w:cs="宋体"/>
          <w:color w:val="auto"/>
          <w:sz w:val="21"/>
          <w:szCs w:val="21"/>
          <w:highlight w:val="none"/>
        </w:rPr>
        <w:t xml:space="preserve">日止。 </w:t>
      </w:r>
    </w:p>
    <w:p w14:paraId="23038D4E">
      <w:pPr>
        <w:spacing w:line="400" w:lineRule="exact"/>
        <w:ind w:firstLine="480"/>
        <w:rPr>
          <w:rFonts w:cs="宋体"/>
          <w:color w:val="auto"/>
          <w:sz w:val="21"/>
          <w:szCs w:val="21"/>
          <w:highlight w:val="none"/>
        </w:rPr>
      </w:pPr>
      <w:r>
        <w:rPr>
          <w:rFonts w:hint="eastAsia" w:cs="宋体"/>
          <w:color w:val="auto"/>
          <w:sz w:val="21"/>
          <w:szCs w:val="21"/>
          <w:highlight w:val="none"/>
        </w:rPr>
        <w:t>四、开立人承诺，在收到受益人发来的书面付款通知后的七日内无条件支付，前述书面付款通知即为付款要求之单据，且应满足以下要求：</w:t>
      </w:r>
    </w:p>
    <w:p w14:paraId="555FE43D">
      <w:pPr>
        <w:spacing w:line="360" w:lineRule="auto"/>
        <w:ind w:firstLine="420" w:firstLineChars="200"/>
        <w:rPr>
          <w:rFonts w:cs="宋体"/>
          <w:color w:val="auto"/>
          <w:sz w:val="21"/>
          <w:szCs w:val="21"/>
          <w:highlight w:val="none"/>
        </w:rPr>
      </w:pPr>
      <w:r>
        <w:rPr>
          <w:rFonts w:hint="eastAsia" w:cs="宋体"/>
          <w:color w:val="auto"/>
          <w:sz w:val="21"/>
          <w:szCs w:val="21"/>
          <w:highlight w:val="none"/>
        </w:rPr>
        <w:t>（1）付款通知到达的日期在本保函的有效期内；</w:t>
      </w:r>
    </w:p>
    <w:p w14:paraId="4D543F1A">
      <w:pPr>
        <w:spacing w:line="360" w:lineRule="auto"/>
        <w:ind w:firstLine="420" w:firstLineChars="200"/>
        <w:rPr>
          <w:rFonts w:cs="宋体"/>
          <w:color w:val="auto"/>
          <w:sz w:val="21"/>
          <w:szCs w:val="21"/>
          <w:highlight w:val="none"/>
        </w:rPr>
      </w:pPr>
      <w:r>
        <w:rPr>
          <w:rFonts w:hint="eastAsia" w:cs="宋体"/>
          <w:color w:val="auto"/>
          <w:sz w:val="21"/>
          <w:szCs w:val="21"/>
          <w:highlight w:val="none"/>
        </w:rPr>
        <w:t>（2）载明要求支付的金额；</w:t>
      </w:r>
    </w:p>
    <w:p w14:paraId="2AB385D1">
      <w:pPr>
        <w:spacing w:line="360" w:lineRule="auto"/>
        <w:ind w:firstLine="420" w:firstLineChars="200"/>
        <w:rPr>
          <w:rFonts w:cs="宋体"/>
          <w:color w:val="auto"/>
          <w:sz w:val="21"/>
          <w:szCs w:val="21"/>
          <w:highlight w:val="none"/>
        </w:rPr>
      </w:pPr>
      <w:r>
        <w:rPr>
          <w:rFonts w:hint="eastAsia" w:cs="宋体"/>
          <w:color w:val="auto"/>
          <w:sz w:val="21"/>
          <w:szCs w:val="21"/>
          <w:highlight w:val="none"/>
        </w:rPr>
        <w:t>（3）载明申请人违反合同义务的条款和内容；</w:t>
      </w:r>
    </w:p>
    <w:p w14:paraId="585DDF7D">
      <w:pPr>
        <w:spacing w:line="360" w:lineRule="auto"/>
        <w:ind w:firstLine="420" w:firstLineChars="200"/>
        <w:rPr>
          <w:rFonts w:cs="宋体"/>
          <w:color w:val="auto"/>
          <w:sz w:val="21"/>
          <w:szCs w:val="21"/>
          <w:highlight w:val="none"/>
        </w:rPr>
      </w:pPr>
      <w:r>
        <w:rPr>
          <w:rFonts w:hint="eastAsia" w:cs="宋体"/>
          <w:color w:val="auto"/>
          <w:sz w:val="21"/>
          <w:szCs w:val="21"/>
          <w:highlight w:val="none"/>
        </w:rPr>
        <w:t>（4）声明不存在合同文件约定或我国法律规定免除申请人或开立人支付责任的情形；</w:t>
      </w:r>
    </w:p>
    <w:p w14:paraId="39F828CD">
      <w:pPr>
        <w:spacing w:line="360" w:lineRule="auto"/>
        <w:ind w:firstLine="420" w:firstLineChars="200"/>
        <w:rPr>
          <w:rFonts w:cs="宋体"/>
          <w:color w:val="auto"/>
          <w:sz w:val="21"/>
          <w:szCs w:val="21"/>
          <w:highlight w:val="none"/>
        </w:rPr>
      </w:pPr>
      <w:r>
        <w:rPr>
          <w:rFonts w:hint="eastAsia" w:cs="宋体"/>
          <w:color w:val="auto"/>
          <w:sz w:val="21"/>
          <w:szCs w:val="21"/>
          <w:highlight w:val="none"/>
        </w:rPr>
        <w:t>（5）付款通知应在本保函有效期内到达的地址是：</w:t>
      </w:r>
      <w:r>
        <w:rPr>
          <w:rFonts w:hint="eastAsia" w:cs="宋体"/>
          <w:color w:val="auto"/>
          <w:sz w:val="21"/>
          <w:szCs w:val="21"/>
          <w:highlight w:val="none"/>
          <w:u w:val="single"/>
        </w:rPr>
        <w:t xml:space="preserve">             </w:t>
      </w:r>
      <w:r>
        <w:rPr>
          <w:rFonts w:hint="eastAsia" w:cs="宋体"/>
          <w:color w:val="auto"/>
          <w:sz w:val="21"/>
          <w:szCs w:val="21"/>
          <w:highlight w:val="none"/>
        </w:rPr>
        <w:t>。</w:t>
      </w:r>
    </w:p>
    <w:p w14:paraId="30A29EE9">
      <w:pPr>
        <w:spacing w:line="400" w:lineRule="exact"/>
        <w:rPr>
          <w:rFonts w:cs="宋体"/>
          <w:color w:val="auto"/>
          <w:sz w:val="21"/>
          <w:szCs w:val="21"/>
          <w:highlight w:val="none"/>
        </w:rPr>
      </w:pPr>
      <w:r>
        <w:rPr>
          <w:rFonts w:hint="eastAsia" w:cs="宋体"/>
          <w:color w:val="auto"/>
          <w:sz w:val="21"/>
          <w:szCs w:val="21"/>
          <w:highlight w:val="none"/>
        </w:rPr>
        <w:t xml:space="preserve">    受益人发出的书面付款通知应由其法定代表人（负责人）或授权代理人签字并加盖公章。</w:t>
      </w:r>
    </w:p>
    <w:p w14:paraId="73E2243E">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五、本保函项下的权利不得转让，不得设定担保。受益人未经开立人书面同意转让本保函或其项下任何权利，对开立人不发生法律效力。 </w:t>
      </w:r>
    </w:p>
    <w:p w14:paraId="67AB3091">
      <w:pPr>
        <w:spacing w:line="400" w:lineRule="exact"/>
        <w:ind w:firstLine="420" w:firstLineChars="200"/>
        <w:rPr>
          <w:rStyle w:val="68"/>
          <w:rFonts w:cs="宋体"/>
          <w:color w:val="auto"/>
          <w:highlight w:val="none"/>
        </w:rPr>
      </w:pPr>
      <w:r>
        <w:rPr>
          <w:rFonts w:hint="eastAsia" w:cs="宋体"/>
          <w:color w:val="auto"/>
          <w:sz w:val="21"/>
          <w:szCs w:val="21"/>
          <w:highlight w:val="none"/>
        </w:rPr>
        <w:t>六、本保函项下的基础交易不成立、不生效、无效、被撤销、被解除，不影响本保函的独立有效。</w:t>
      </w:r>
    </w:p>
    <w:p w14:paraId="64E2A47E">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七、本保函项下的义务和责任均在保函有效期到期后自动消灭。 </w:t>
      </w:r>
    </w:p>
    <w:p w14:paraId="45595A2B">
      <w:pPr>
        <w:spacing w:line="400" w:lineRule="exact"/>
        <w:ind w:firstLine="420" w:firstLineChars="200"/>
        <w:rPr>
          <w:rFonts w:cs="宋体"/>
          <w:color w:val="auto"/>
          <w:sz w:val="21"/>
          <w:szCs w:val="21"/>
          <w:highlight w:val="none"/>
        </w:rPr>
      </w:pPr>
      <w:r>
        <w:rPr>
          <w:rFonts w:hint="eastAsia" w:cs="宋体"/>
          <w:color w:val="auto"/>
          <w:sz w:val="21"/>
          <w:szCs w:val="21"/>
          <w:highlight w:val="none"/>
        </w:rPr>
        <w:t xml:space="preserve">八、本保函适用的法律为中华人民共和国法律，因本保函产生的纠纷案件，由申请人所在地人民法院管辖。 </w:t>
      </w:r>
    </w:p>
    <w:p w14:paraId="04A2E23A">
      <w:pPr>
        <w:spacing w:line="360" w:lineRule="auto"/>
        <w:ind w:firstLine="420" w:firstLineChars="200"/>
        <w:rPr>
          <w:rFonts w:cs="宋体"/>
          <w:color w:val="auto"/>
          <w:sz w:val="21"/>
          <w:szCs w:val="21"/>
          <w:highlight w:val="none"/>
        </w:rPr>
      </w:pPr>
      <w:r>
        <w:rPr>
          <w:rFonts w:hint="eastAsia" w:cs="宋体"/>
          <w:color w:val="auto"/>
          <w:sz w:val="21"/>
          <w:szCs w:val="21"/>
          <w:highlight w:val="none"/>
        </w:rPr>
        <w:t xml:space="preserve">九、本保函自我方法定代表人或授权代表签字并加盖公章之日起生效。 </w:t>
      </w:r>
    </w:p>
    <w:p w14:paraId="3044036A">
      <w:pPr>
        <w:spacing w:line="360" w:lineRule="auto"/>
        <w:ind w:firstLine="420" w:firstLineChars="200"/>
        <w:rPr>
          <w:rFonts w:cs="宋体"/>
          <w:color w:val="auto"/>
          <w:sz w:val="21"/>
          <w:szCs w:val="21"/>
          <w:highlight w:val="none"/>
        </w:rPr>
      </w:pPr>
    </w:p>
    <w:p w14:paraId="4FD46A8D">
      <w:pPr>
        <w:spacing w:line="360" w:lineRule="auto"/>
        <w:ind w:firstLine="420" w:firstLineChars="200"/>
        <w:rPr>
          <w:rFonts w:cs="宋体"/>
          <w:color w:val="auto"/>
          <w:sz w:val="21"/>
          <w:szCs w:val="21"/>
          <w:highlight w:val="none"/>
        </w:rPr>
      </w:pPr>
    </w:p>
    <w:p w14:paraId="33C7D910">
      <w:pPr>
        <w:spacing w:line="360" w:lineRule="auto"/>
        <w:ind w:firstLine="420" w:firstLineChars="200"/>
        <w:rPr>
          <w:rFonts w:cs="宋体"/>
          <w:color w:val="auto"/>
          <w:sz w:val="21"/>
          <w:szCs w:val="21"/>
          <w:highlight w:val="none"/>
        </w:rPr>
      </w:pPr>
      <w:r>
        <w:rPr>
          <w:rFonts w:hint="eastAsia" w:cs="宋体"/>
          <w:color w:val="auto"/>
          <w:sz w:val="21"/>
          <w:szCs w:val="21"/>
          <w:highlight w:val="none"/>
        </w:rPr>
        <w:t>开 立 人：</w:t>
      </w:r>
      <w:r>
        <w:rPr>
          <w:rFonts w:hint="eastAsia" w:cs="宋体"/>
          <w:color w:val="auto"/>
          <w:sz w:val="21"/>
          <w:szCs w:val="21"/>
          <w:highlight w:val="none"/>
          <w:u w:val="single"/>
        </w:rPr>
        <w:t xml:space="preserve">                              </w:t>
      </w:r>
      <w:r>
        <w:rPr>
          <w:rFonts w:hint="eastAsia" w:cs="宋体"/>
          <w:color w:val="auto"/>
          <w:sz w:val="21"/>
          <w:szCs w:val="21"/>
          <w:highlight w:val="none"/>
        </w:rPr>
        <w:t xml:space="preserve">（公章） </w:t>
      </w:r>
    </w:p>
    <w:p w14:paraId="75B37682">
      <w:pPr>
        <w:spacing w:line="360" w:lineRule="auto"/>
        <w:ind w:firstLine="420" w:firstLineChars="200"/>
        <w:rPr>
          <w:rFonts w:cs="宋体"/>
          <w:color w:val="auto"/>
          <w:sz w:val="21"/>
          <w:szCs w:val="21"/>
          <w:highlight w:val="none"/>
        </w:rPr>
      </w:pPr>
      <w:r>
        <w:rPr>
          <w:rFonts w:hint="eastAsia" w:cs="宋体"/>
          <w:color w:val="auto"/>
          <w:sz w:val="21"/>
          <w:szCs w:val="21"/>
          <w:highlight w:val="none"/>
        </w:rPr>
        <w:t>法定代表人（或授权代表）：</w:t>
      </w:r>
      <w:r>
        <w:rPr>
          <w:rFonts w:hint="eastAsia" w:cs="宋体"/>
          <w:color w:val="auto"/>
          <w:sz w:val="21"/>
          <w:szCs w:val="21"/>
          <w:highlight w:val="none"/>
          <w:u w:val="single"/>
        </w:rPr>
        <w:t xml:space="preserve">               </w:t>
      </w:r>
      <w:r>
        <w:rPr>
          <w:rFonts w:hint="eastAsia" w:cs="宋体"/>
          <w:color w:val="auto"/>
          <w:sz w:val="21"/>
          <w:szCs w:val="21"/>
          <w:highlight w:val="none"/>
        </w:rPr>
        <w:t xml:space="preserve">（签字） </w:t>
      </w:r>
    </w:p>
    <w:p w14:paraId="33835FF8">
      <w:pPr>
        <w:spacing w:line="360" w:lineRule="auto"/>
        <w:ind w:firstLine="420" w:firstLineChars="200"/>
        <w:rPr>
          <w:rFonts w:cs="宋体"/>
          <w:color w:val="auto"/>
          <w:sz w:val="21"/>
          <w:szCs w:val="21"/>
          <w:highlight w:val="none"/>
        </w:rPr>
      </w:pPr>
      <w:r>
        <w:rPr>
          <w:rFonts w:hint="eastAsia" w:cs="宋体"/>
          <w:color w:val="auto"/>
          <w:sz w:val="21"/>
          <w:szCs w:val="21"/>
          <w:highlight w:val="none"/>
        </w:rPr>
        <w:t>地    址：</w:t>
      </w:r>
      <w:r>
        <w:rPr>
          <w:rFonts w:hint="eastAsia" w:cs="宋体"/>
          <w:color w:val="auto"/>
          <w:sz w:val="21"/>
          <w:szCs w:val="21"/>
          <w:highlight w:val="none"/>
          <w:u w:val="single"/>
        </w:rPr>
        <w:t xml:space="preserve">                                       </w:t>
      </w:r>
    </w:p>
    <w:p w14:paraId="0C65E4B4">
      <w:pPr>
        <w:spacing w:line="360" w:lineRule="auto"/>
        <w:ind w:firstLine="420" w:firstLineChars="200"/>
        <w:rPr>
          <w:rFonts w:cs="宋体"/>
          <w:color w:val="auto"/>
          <w:sz w:val="21"/>
          <w:szCs w:val="21"/>
          <w:highlight w:val="none"/>
        </w:rPr>
      </w:pPr>
      <w:r>
        <w:rPr>
          <w:rFonts w:hint="eastAsia" w:cs="宋体"/>
          <w:color w:val="auto"/>
          <w:sz w:val="21"/>
          <w:szCs w:val="21"/>
          <w:highlight w:val="none"/>
        </w:rPr>
        <w:t>邮政编码：</w:t>
      </w:r>
      <w:r>
        <w:rPr>
          <w:rFonts w:hint="eastAsia" w:cs="宋体"/>
          <w:color w:val="auto"/>
          <w:sz w:val="21"/>
          <w:szCs w:val="21"/>
          <w:highlight w:val="none"/>
          <w:u w:val="single"/>
        </w:rPr>
        <w:t xml:space="preserve">                 </w:t>
      </w:r>
    </w:p>
    <w:p w14:paraId="5D468EB2">
      <w:pPr>
        <w:spacing w:line="360" w:lineRule="auto"/>
        <w:ind w:firstLine="420" w:firstLineChars="200"/>
        <w:rPr>
          <w:rFonts w:cs="宋体"/>
          <w:color w:val="auto"/>
          <w:sz w:val="21"/>
          <w:szCs w:val="21"/>
          <w:highlight w:val="none"/>
        </w:rPr>
      </w:pPr>
      <w:r>
        <w:rPr>
          <w:rFonts w:hint="eastAsia" w:cs="宋体"/>
          <w:color w:val="auto"/>
          <w:sz w:val="21"/>
          <w:szCs w:val="21"/>
          <w:highlight w:val="none"/>
        </w:rPr>
        <w:t>电    话：</w:t>
      </w:r>
      <w:r>
        <w:rPr>
          <w:rFonts w:hint="eastAsia" w:cs="宋体"/>
          <w:color w:val="auto"/>
          <w:sz w:val="21"/>
          <w:szCs w:val="21"/>
          <w:highlight w:val="none"/>
          <w:u w:val="single"/>
        </w:rPr>
        <w:t xml:space="preserve">                 </w:t>
      </w:r>
    </w:p>
    <w:p w14:paraId="5D87765A">
      <w:pPr>
        <w:spacing w:line="360" w:lineRule="auto"/>
        <w:ind w:firstLine="420" w:firstLineChars="200"/>
        <w:rPr>
          <w:rFonts w:cs="宋体"/>
          <w:color w:val="auto"/>
          <w:sz w:val="21"/>
          <w:szCs w:val="21"/>
          <w:highlight w:val="none"/>
          <w:u w:val="single"/>
        </w:rPr>
      </w:pPr>
      <w:r>
        <w:rPr>
          <w:rFonts w:hint="eastAsia" w:cs="宋体"/>
          <w:color w:val="auto"/>
          <w:sz w:val="21"/>
          <w:szCs w:val="21"/>
          <w:highlight w:val="none"/>
        </w:rPr>
        <w:t>传    真：</w:t>
      </w:r>
      <w:r>
        <w:rPr>
          <w:rFonts w:hint="eastAsia" w:cs="宋体"/>
          <w:color w:val="auto"/>
          <w:sz w:val="21"/>
          <w:szCs w:val="21"/>
          <w:highlight w:val="none"/>
          <w:u w:val="single"/>
        </w:rPr>
        <w:t xml:space="preserve">                 </w:t>
      </w:r>
    </w:p>
    <w:p w14:paraId="763F2F27">
      <w:pPr>
        <w:spacing w:line="360" w:lineRule="auto"/>
        <w:ind w:left="1303" w:leftChars="200" w:hanging="903" w:hangingChars="430"/>
        <w:rPr>
          <w:rFonts w:cs="宋体"/>
          <w:color w:val="auto"/>
          <w:sz w:val="21"/>
          <w:szCs w:val="21"/>
          <w:highlight w:val="none"/>
        </w:rPr>
      </w:pPr>
      <w:r>
        <w:rPr>
          <w:rFonts w:hint="eastAsia" w:cs="宋体"/>
          <w:color w:val="auto"/>
          <w:sz w:val="21"/>
          <w:szCs w:val="21"/>
          <w:highlight w:val="none"/>
        </w:rPr>
        <w:t>开立时间：</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w:t>
      </w:r>
    </w:p>
    <w:p w14:paraId="5D410652">
      <w:pPr>
        <w:spacing w:before="312" w:beforeLines="100" w:after="312" w:afterLines="100"/>
        <w:outlineLvl w:val="2"/>
        <w:rPr>
          <w:rFonts w:ascii="Times New Roman" w:eastAsia="黑体"/>
          <w:color w:val="auto"/>
          <w:szCs w:val="24"/>
          <w:highlight w:val="none"/>
        </w:rPr>
      </w:pPr>
      <w:r>
        <w:rPr>
          <w:rFonts w:ascii="Times New Roman" w:eastAsia="黑体"/>
          <w:bCs/>
          <w:color w:val="auto"/>
          <w:highlight w:val="none"/>
        </w:rPr>
        <w:br w:type="page"/>
      </w:r>
      <w:bookmarkStart w:id="641" w:name="_Toc128950247"/>
      <w:r>
        <w:rPr>
          <w:rFonts w:hint="eastAsia" w:ascii="Times New Roman" w:eastAsia="黑体"/>
          <w:color w:val="auto"/>
          <w:szCs w:val="24"/>
          <w:highlight w:val="none"/>
        </w:rPr>
        <w:t>附件</w:t>
      </w:r>
      <w:r>
        <w:rPr>
          <w:rFonts w:ascii="Times New Roman" w:eastAsia="黑体"/>
          <w:color w:val="auto"/>
          <w:szCs w:val="24"/>
          <w:highlight w:val="none"/>
        </w:rPr>
        <w:t>1</w:t>
      </w:r>
      <w:r>
        <w:rPr>
          <w:rFonts w:hint="eastAsia" w:ascii="Times New Roman" w:eastAsia="黑体"/>
          <w:color w:val="auto"/>
          <w:szCs w:val="24"/>
          <w:highlight w:val="none"/>
        </w:rPr>
        <w:t>2：暂估价一览表</w:t>
      </w:r>
      <w:bookmarkEnd w:id="641"/>
    </w:p>
    <w:p w14:paraId="761B758D">
      <w:pPr>
        <w:spacing w:before="156" w:beforeLines="50" w:after="156" w:afterLines="50" w:line="440" w:lineRule="exact"/>
        <w:jc w:val="center"/>
        <w:rPr>
          <w:rFonts w:cs="宋体"/>
          <w:color w:val="auto"/>
          <w:szCs w:val="21"/>
          <w:highlight w:val="none"/>
        </w:rPr>
      </w:pPr>
      <w:r>
        <w:rPr>
          <w:rFonts w:hint="eastAsia" w:cs="宋体"/>
          <w:color w:val="auto"/>
          <w:szCs w:val="21"/>
          <w:highlight w:val="none"/>
        </w:rPr>
        <w:t>12-1：材料暂估价表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16"/>
        <w:gridCol w:w="1830"/>
        <w:gridCol w:w="783"/>
        <w:gridCol w:w="712"/>
        <w:gridCol w:w="1246"/>
        <w:gridCol w:w="1306"/>
        <w:gridCol w:w="1569"/>
      </w:tblGrid>
      <w:tr w14:paraId="79690D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single" w:color="auto" w:sz="12" w:space="0"/>
              <w:bottom w:val="double" w:color="auto" w:sz="6" w:space="0"/>
            </w:tcBorders>
            <w:vAlign w:val="center"/>
          </w:tcPr>
          <w:p w14:paraId="7DA1B3D5">
            <w:pPr>
              <w:keepNext/>
              <w:spacing w:line="440" w:lineRule="exact"/>
              <w:jc w:val="center"/>
              <w:rPr>
                <w:rFonts w:cs="宋体"/>
                <w:color w:val="auto"/>
                <w:szCs w:val="21"/>
                <w:highlight w:val="none"/>
              </w:rPr>
            </w:pPr>
            <w:r>
              <w:rPr>
                <w:rFonts w:hint="eastAsia" w:cs="宋体"/>
                <w:color w:val="auto"/>
                <w:szCs w:val="21"/>
                <w:highlight w:val="none"/>
              </w:rPr>
              <w:t>序号</w:t>
            </w:r>
          </w:p>
        </w:tc>
        <w:tc>
          <w:tcPr>
            <w:tcW w:w="1094" w:type="pct"/>
            <w:tcBorders>
              <w:top w:val="single" w:color="auto" w:sz="12" w:space="0"/>
              <w:bottom w:val="double" w:color="auto" w:sz="6" w:space="0"/>
            </w:tcBorders>
            <w:vAlign w:val="center"/>
          </w:tcPr>
          <w:p w14:paraId="561CE93E">
            <w:pPr>
              <w:keepNext/>
              <w:spacing w:line="440" w:lineRule="exact"/>
              <w:jc w:val="center"/>
              <w:rPr>
                <w:rFonts w:cs="宋体"/>
                <w:color w:val="auto"/>
                <w:szCs w:val="21"/>
                <w:highlight w:val="none"/>
              </w:rPr>
            </w:pPr>
            <w:r>
              <w:rPr>
                <w:rFonts w:hint="eastAsia" w:cs="宋体"/>
                <w:color w:val="auto"/>
                <w:szCs w:val="21"/>
                <w:highlight w:val="none"/>
              </w:rPr>
              <w:t>名称</w:t>
            </w:r>
          </w:p>
        </w:tc>
        <w:tc>
          <w:tcPr>
            <w:tcW w:w="468" w:type="pct"/>
            <w:tcBorders>
              <w:top w:val="single" w:color="auto" w:sz="12" w:space="0"/>
              <w:bottom w:val="double" w:color="auto" w:sz="6" w:space="0"/>
            </w:tcBorders>
            <w:vAlign w:val="center"/>
          </w:tcPr>
          <w:p w14:paraId="3DE7B17A">
            <w:pPr>
              <w:keepNext/>
              <w:spacing w:line="440" w:lineRule="exact"/>
              <w:jc w:val="center"/>
              <w:rPr>
                <w:rFonts w:cs="宋体"/>
                <w:color w:val="auto"/>
                <w:szCs w:val="21"/>
                <w:highlight w:val="none"/>
              </w:rPr>
            </w:pPr>
            <w:r>
              <w:rPr>
                <w:rFonts w:hint="eastAsia" w:cs="宋体"/>
                <w:color w:val="auto"/>
                <w:szCs w:val="21"/>
                <w:highlight w:val="none"/>
              </w:rPr>
              <w:t>单位</w:t>
            </w:r>
          </w:p>
        </w:tc>
        <w:tc>
          <w:tcPr>
            <w:tcW w:w="426" w:type="pct"/>
            <w:tcBorders>
              <w:top w:val="single" w:color="auto" w:sz="12" w:space="0"/>
              <w:bottom w:val="double" w:color="auto" w:sz="6" w:space="0"/>
            </w:tcBorders>
            <w:vAlign w:val="center"/>
          </w:tcPr>
          <w:p w14:paraId="497AA6DE">
            <w:pPr>
              <w:keepNext/>
              <w:spacing w:line="440" w:lineRule="exact"/>
              <w:jc w:val="center"/>
              <w:rPr>
                <w:rFonts w:cs="宋体"/>
                <w:color w:val="auto"/>
                <w:szCs w:val="21"/>
                <w:highlight w:val="none"/>
              </w:rPr>
            </w:pPr>
            <w:r>
              <w:rPr>
                <w:rFonts w:hint="eastAsia" w:cs="宋体"/>
                <w:color w:val="auto"/>
                <w:szCs w:val="21"/>
                <w:highlight w:val="none"/>
              </w:rPr>
              <w:t>数量</w:t>
            </w:r>
          </w:p>
        </w:tc>
        <w:tc>
          <w:tcPr>
            <w:tcW w:w="745" w:type="pct"/>
            <w:tcBorders>
              <w:top w:val="single" w:color="auto" w:sz="12" w:space="0"/>
              <w:bottom w:val="double" w:color="auto" w:sz="6" w:space="0"/>
            </w:tcBorders>
            <w:vAlign w:val="center"/>
          </w:tcPr>
          <w:p w14:paraId="75E10B35">
            <w:pPr>
              <w:keepNext/>
              <w:spacing w:line="440" w:lineRule="exact"/>
              <w:jc w:val="center"/>
              <w:rPr>
                <w:rFonts w:cs="宋体"/>
                <w:color w:val="auto"/>
                <w:szCs w:val="21"/>
                <w:highlight w:val="none"/>
              </w:rPr>
            </w:pPr>
            <w:r>
              <w:rPr>
                <w:rFonts w:hint="eastAsia" w:cs="宋体"/>
                <w:color w:val="auto"/>
                <w:szCs w:val="21"/>
                <w:highlight w:val="none"/>
              </w:rPr>
              <w:t>单价（元）</w:t>
            </w:r>
          </w:p>
        </w:tc>
        <w:tc>
          <w:tcPr>
            <w:tcW w:w="781" w:type="pct"/>
            <w:tcBorders>
              <w:top w:val="single" w:color="auto" w:sz="12" w:space="0"/>
              <w:bottom w:val="double" w:color="auto" w:sz="6" w:space="0"/>
            </w:tcBorders>
            <w:vAlign w:val="center"/>
          </w:tcPr>
          <w:p w14:paraId="6522E37A">
            <w:pPr>
              <w:keepNext/>
              <w:spacing w:line="440" w:lineRule="exact"/>
              <w:jc w:val="center"/>
              <w:rPr>
                <w:rFonts w:cs="宋体"/>
                <w:color w:val="auto"/>
                <w:szCs w:val="21"/>
                <w:highlight w:val="none"/>
              </w:rPr>
            </w:pPr>
            <w:r>
              <w:rPr>
                <w:rFonts w:hint="eastAsia" w:cs="宋体"/>
                <w:color w:val="auto"/>
                <w:szCs w:val="21"/>
                <w:highlight w:val="none"/>
              </w:rPr>
              <w:t>合价（元）</w:t>
            </w:r>
          </w:p>
        </w:tc>
        <w:tc>
          <w:tcPr>
            <w:tcW w:w="938" w:type="pct"/>
            <w:tcBorders>
              <w:top w:val="single" w:color="auto" w:sz="12" w:space="0"/>
              <w:bottom w:val="double" w:color="auto" w:sz="6" w:space="0"/>
            </w:tcBorders>
            <w:vAlign w:val="center"/>
          </w:tcPr>
          <w:p w14:paraId="44649C24">
            <w:pPr>
              <w:keepNext/>
              <w:spacing w:line="440" w:lineRule="exact"/>
              <w:jc w:val="center"/>
              <w:rPr>
                <w:rFonts w:cs="宋体"/>
                <w:color w:val="auto"/>
                <w:szCs w:val="21"/>
                <w:highlight w:val="none"/>
              </w:rPr>
            </w:pPr>
            <w:r>
              <w:rPr>
                <w:rFonts w:hint="eastAsia" w:cs="宋体"/>
                <w:color w:val="auto"/>
                <w:szCs w:val="21"/>
                <w:highlight w:val="none"/>
              </w:rPr>
              <w:t>备注</w:t>
            </w:r>
          </w:p>
        </w:tc>
      </w:tr>
      <w:tr w14:paraId="41BEE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double" w:color="auto" w:sz="6" w:space="0"/>
            </w:tcBorders>
            <w:vAlign w:val="center"/>
          </w:tcPr>
          <w:p w14:paraId="0EF25CA9">
            <w:pPr>
              <w:keepNext/>
              <w:spacing w:line="440" w:lineRule="exact"/>
              <w:jc w:val="center"/>
              <w:rPr>
                <w:rFonts w:cs="宋体"/>
                <w:color w:val="auto"/>
                <w:szCs w:val="21"/>
                <w:highlight w:val="none"/>
              </w:rPr>
            </w:pPr>
          </w:p>
        </w:tc>
        <w:tc>
          <w:tcPr>
            <w:tcW w:w="1094" w:type="pct"/>
            <w:tcBorders>
              <w:top w:val="double" w:color="auto" w:sz="6" w:space="0"/>
            </w:tcBorders>
            <w:vAlign w:val="center"/>
          </w:tcPr>
          <w:p w14:paraId="77EE79F8">
            <w:pPr>
              <w:keepNext/>
              <w:spacing w:line="440" w:lineRule="exact"/>
              <w:jc w:val="center"/>
              <w:rPr>
                <w:rFonts w:cs="宋体"/>
                <w:color w:val="auto"/>
                <w:szCs w:val="21"/>
                <w:highlight w:val="none"/>
              </w:rPr>
            </w:pPr>
          </w:p>
        </w:tc>
        <w:tc>
          <w:tcPr>
            <w:tcW w:w="468" w:type="pct"/>
            <w:tcBorders>
              <w:top w:val="double" w:color="auto" w:sz="6" w:space="0"/>
            </w:tcBorders>
            <w:vAlign w:val="center"/>
          </w:tcPr>
          <w:p w14:paraId="350D2993">
            <w:pPr>
              <w:keepNext/>
              <w:spacing w:line="440" w:lineRule="exact"/>
              <w:jc w:val="center"/>
              <w:rPr>
                <w:rFonts w:cs="宋体"/>
                <w:color w:val="auto"/>
                <w:szCs w:val="21"/>
                <w:highlight w:val="none"/>
              </w:rPr>
            </w:pPr>
          </w:p>
        </w:tc>
        <w:tc>
          <w:tcPr>
            <w:tcW w:w="426" w:type="pct"/>
            <w:tcBorders>
              <w:top w:val="double" w:color="auto" w:sz="6" w:space="0"/>
            </w:tcBorders>
            <w:vAlign w:val="center"/>
          </w:tcPr>
          <w:p w14:paraId="46243397">
            <w:pPr>
              <w:keepNext/>
              <w:spacing w:line="440" w:lineRule="exact"/>
              <w:jc w:val="center"/>
              <w:rPr>
                <w:rFonts w:cs="宋体"/>
                <w:color w:val="auto"/>
                <w:szCs w:val="21"/>
                <w:highlight w:val="none"/>
              </w:rPr>
            </w:pPr>
          </w:p>
        </w:tc>
        <w:tc>
          <w:tcPr>
            <w:tcW w:w="745" w:type="pct"/>
            <w:tcBorders>
              <w:top w:val="double" w:color="auto" w:sz="6" w:space="0"/>
            </w:tcBorders>
            <w:vAlign w:val="center"/>
          </w:tcPr>
          <w:p w14:paraId="6A59C2A4">
            <w:pPr>
              <w:keepNext/>
              <w:spacing w:line="440" w:lineRule="exact"/>
              <w:jc w:val="center"/>
              <w:rPr>
                <w:rFonts w:cs="宋体"/>
                <w:color w:val="auto"/>
                <w:szCs w:val="21"/>
                <w:highlight w:val="none"/>
              </w:rPr>
            </w:pPr>
          </w:p>
        </w:tc>
        <w:tc>
          <w:tcPr>
            <w:tcW w:w="781" w:type="pct"/>
            <w:tcBorders>
              <w:top w:val="double" w:color="auto" w:sz="6" w:space="0"/>
            </w:tcBorders>
            <w:vAlign w:val="center"/>
          </w:tcPr>
          <w:p w14:paraId="01FB973A">
            <w:pPr>
              <w:keepNext/>
              <w:spacing w:line="440" w:lineRule="exact"/>
              <w:jc w:val="center"/>
              <w:rPr>
                <w:rFonts w:cs="宋体"/>
                <w:color w:val="auto"/>
                <w:szCs w:val="21"/>
                <w:highlight w:val="none"/>
              </w:rPr>
            </w:pPr>
          </w:p>
        </w:tc>
        <w:tc>
          <w:tcPr>
            <w:tcW w:w="938" w:type="pct"/>
            <w:tcBorders>
              <w:top w:val="double" w:color="auto" w:sz="6" w:space="0"/>
            </w:tcBorders>
            <w:vAlign w:val="center"/>
          </w:tcPr>
          <w:p w14:paraId="0DB00950">
            <w:pPr>
              <w:keepNext/>
              <w:spacing w:line="440" w:lineRule="exact"/>
              <w:jc w:val="center"/>
              <w:rPr>
                <w:rFonts w:cs="宋体"/>
                <w:color w:val="auto"/>
                <w:szCs w:val="21"/>
                <w:highlight w:val="none"/>
              </w:rPr>
            </w:pPr>
          </w:p>
        </w:tc>
      </w:tr>
      <w:tr w14:paraId="1B164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nil"/>
            </w:tcBorders>
            <w:vAlign w:val="center"/>
          </w:tcPr>
          <w:p w14:paraId="7B5C3EAF">
            <w:pPr>
              <w:keepNext/>
              <w:spacing w:line="440" w:lineRule="exact"/>
              <w:jc w:val="center"/>
              <w:rPr>
                <w:rFonts w:cs="宋体"/>
                <w:color w:val="auto"/>
                <w:szCs w:val="21"/>
                <w:highlight w:val="none"/>
              </w:rPr>
            </w:pPr>
          </w:p>
        </w:tc>
        <w:tc>
          <w:tcPr>
            <w:tcW w:w="1094" w:type="pct"/>
            <w:tcBorders>
              <w:top w:val="nil"/>
            </w:tcBorders>
            <w:vAlign w:val="center"/>
          </w:tcPr>
          <w:p w14:paraId="54278709">
            <w:pPr>
              <w:keepNext/>
              <w:spacing w:line="440" w:lineRule="exact"/>
              <w:jc w:val="center"/>
              <w:rPr>
                <w:rFonts w:cs="宋体"/>
                <w:color w:val="auto"/>
                <w:szCs w:val="21"/>
                <w:highlight w:val="none"/>
              </w:rPr>
            </w:pPr>
          </w:p>
        </w:tc>
        <w:tc>
          <w:tcPr>
            <w:tcW w:w="468" w:type="pct"/>
            <w:tcBorders>
              <w:top w:val="nil"/>
            </w:tcBorders>
            <w:vAlign w:val="center"/>
          </w:tcPr>
          <w:p w14:paraId="0CD8F305">
            <w:pPr>
              <w:keepNext/>
              <w:spacing w:line="440" w:lineRule="exact"/>
              <w:jc w:val="center"/>
              <w:rPr>
                <w:rFonts w:cs="宋体"/>
                <w:color w:val="auto"/>
                <w:szCs w:val="21"/>
                <w:highlight w:val="none"/>
              </w:rPr>
            </w:pPr>
          </w:p>
        </w:tc>
        <w:tc>
          <w:tcPr>
            <w:tcW w:w="426" w:type="pct"/>
            <w:tcBorders>
              <w:top w:val="nil"/>
            </w:tcBorders>
            <w:vAlign w:val="center"/>
          </w:tcPr>
          <w:p w14:paraId="31B2DFFA">
            <w:pPr>
              <w:keepNext/>
              <w:spacing w:line="440" w:lineRule="exact"/>
              <w:jc w:val="center"/>
              <w:rPr>
                <w:rFonts w:cs="宋体"/>
                <w:color w:val="auto"/>
                <w:szCs w:val="21"/>
                <w:highlight w:val="none"/>
              </w:rPr>
            </w:pPr>
          </w:p>
        </w:tc>
        <w:tc>
          <w:tcPr>
            <w:tcW w:w="745" w:type="pct"/>
            <w:tcBorders>
              <w:top w:val="nil"/>
            </w:tcBorders>
            <w:vAlign w:val="center"/>
          </w:tcPr>
          <w:p w14:paraId="7F363F4F">
            <w:pPr>
              <w:keepNext/>
              <w:spacing w:line="440" w:lineRule="exact"/>
              <w:jc w:val="center"/>
              <w:rPr>
                <w:rFonts w:cs="宋体"/>
                <w:color w:val="auto"/>
                <w:szCs w:val="21"/>
                <w:highlight w:val="none"/>
              </w:rPr>
            </w:pPr>
          </w:p>
        </w:tc>
        <w:tc>
          <w:tcPr>
            <w:tcW w:w="781" w:type="pct"/>
            <w:tcBorders>
              <w:top w:val="nil"/>
            </w:tcBorders>
            <w:vAlign w:val="center"/>
          </w:tcPr>
          <w:p w14:paraId="4D0BD224">
            <w:pPr>
              <w:keepNext/>
              <w:spacing w:line="440" w:lineRule="exact"/>
              <w:jc w:val="center"/>
              <w:rPr>
                <w:rFonts w:cs="宋体"/>
                <w:color w:val="auto"/>
                <w:szCs w:val="21"/>
                <w:highlight w:val="none"/>
              </w:rPr>
            </w:pPr>
          </w:p>
        </w:tc>
        <w:tc>
          <w:tcPr>
            <w:tcW w:w="938" w:type="pct"/>
            <w:tcBorders>
              <w:top w:val="nil"/>
            </w:tcBorders>
            <w:vAlign w:val="center"/>
          </w:tcPr>
          <w:p w14:paraId="0F9F5AA7">
            <w:pPr>
              <w:keepNext/>
              <w:spacing w:line="440" w:lineRule="exact"/>
              <w:jc w:val="center"/>
              <w:rPr>
                <w:rFonts w:cs="宋体"/>
                <w:color w:val="auto"/>
                <w:szCs w:val="21"/>
                <w:highlight w:val="none"/>
              </w:rPr>
            </w:pPr>
          </w:p>
        </w:tc>
      </w:tr>
      <w:tr w14:paraId="2AF4C1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vAlign w:val="center"/>
          </w:tcPr>
          <w:p w14:paraId="6041A977">
            <w:pPr>
              <w:keepNext/>
              <w:spacing w:line="440" w:lineRule="exact"/>
              <w:jc w:val="center"/>
              <w:rPr>
                <w:rFonts w:cs="宋体"/>
                <w:color w:val="auto"/>
                <w:szCs w:val="21"/>
                <w:highlight w:val="none"/>
              </w:rPr>
            </w:pPr>
          </w:p>
        </w:tc>
        <w:tc>
          <w:tcPr>
            <w:tcW w:w="1094" w:type="pct"/>
            <w:vAlign w:val="center"/>
          </w:tcPr>
          <w:p w14:paraId="34960263">
            <w:pPr>
              <w:keepNext/>
              <w:spacing w:line="440" w:lineRule="exact"/>
              <w:jc w:val="center"/>
              <w:rPr>
                <w:rFonts w:cs="宋体"/>
                <w:color w:val="auto"/>
                <w:szCs w:val="21"/>
                <w:highlight w:val="none"/>
              </w:rPr>
            </w:pPr>
          </w:p>
        </w:tc>
        <w:tc>
          <w:tcPr>
            <w:tcW w:w="468" w:type="pct"/>
            <w:vAlign w:val="center"/>
          </w:tcPr>
          <w:p w14:paraId="6B75D066">
            <w:pPr>
              <w:keepNext/>
              <w:spacing w:line="440" w:lineRule="exact"/>
              <w:jc w:val="center"/>
              <w:rPr>
                <w:rFonts w:cs="宋体"/>
                <w:color w:val="auto"/>
                <w:szCs w:val="21"/>
                <w:highlight w:val="none"/>
              </w:rPr>
            </w:pPr>
          </w:p>
        </w:tc>
        <w:tc>
          <w:tcPr>
            <w:tcW w:w="426" w:type="pct"/>
            <w:vAlign w:val="center"/>
          </w:tcPr>
          <w:p w14:paraId="27C0D7F2">
            <w:pPr>
              <w:keepNext/>
              <w:spacing w:line="440" w:lineRule="exact"/>
              <w:jc w:val="center"/>
              <w:rPr>
                <w:rFonts w:cs="宋体"/>
                <w:color w:val="auto"/>
                <w:szCs w:val="21"/>
                <w:highlight w:val="none"/>
              </w:rPr>
            </w:pPr>
          </w:p>
        </w:tc>
        <w:tc>
          <w:tcPr>
            <w:tcW w:w="745" w:type="pct"/>
            <w:vAlign w:val="center"/>
          </w:tcPr>
          <w:p w14:paraId="3B226B39">
            <w:pPr>
              <w:keepNext/>
              <w:spacing w:line="440" w:lineRule="exact"/>
              <w:jc w:val="center"/>
              <w:rPr>
                <w:rFonts w:cs="宋体"/>
                <w:color w:val="auto"/>
                <w:szCs w:val="21"/>
                <w:highlight w:val="none"/>
              </w:rPr>
            </w:pPr>
          </w:p>
        </w:tc>
        <w:tc>
          <w:tcPr>
            <w:tcW w:w="781" w:type="pct"/>
            <w:vAlign w:val="center"/>
          </w:tcPr>
          <w:p w14:paraId="4A3E6778">
            <w:pPr>
              <w:keepNext/>
              <w:spacing w:line="440" w:lineRule="exact"/>
              <w:jc w:val="center"/>
              <w:rPr>
                <w:rFonts w:cs="宋体"/>
                <w:color w:val="auto"/>
                <w:szCs w:val="21"/>
                <w:highlight w:val="none"/>
              </w:rPr>
            </w:pPr>
          </w:p>
        </w:tc>
        <w:tc>
          <w:tcPr>
            <w:tcW w:w="938" w:type="pct"/>
            <w:vAlign w:val="center"/>
          </w:tcPr>
          <w:p w14:paraId="65E26681">
            <w:pPr>
              <w:keepNext/>
              <w:spacing w:line="440" w:lineRule="exact"/>
              <w:jc w:val="center"/>
              <w:rPr>
                <w:rFonts w:cs="宋体"/>
                <w:color w:val="auto"/>
                <w:szCs w:val="21"/>
                <w:highlight w:val="none"/>
              </w:rPr>
            </w:pPr>
          </w:p>
        </w:tc>
      </w:tr>
      <w:tr w14:paraId="30C8D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vAlign w:val="center"/>
          </w:tcPr>
          <w:p w14:paraId="50FAB633">
            <w:pPr>
              <w:keepNext/>
              <w:spacing w:line="440" w:lineRule="exact"/>
              <w:jc w:val="center"/>
              <w:rPr>
                <w:rFonts w:cs="宋体"/>
                <w:color w:val="auto"/>
                <w:szCs w:val="21"/>
                <w:highlight w:val="none"/>
              </w:rPr>
            </w:pPr>
          </w:p>
        </w:tc>
        <w:tc>
          <w:tcPr>
            <w:tcW w:w="1094" w:type="pct"/>
            <w:vAlign w:val="center"/>
          </w:tcPr>
          <w:p w14:paraId="2900E2D2">
            <w:pPr>
              <w:keepNext/>
              <w:spacing w:line="440" w:lineRule="exact"/>
              <w:jc w:val="center"/>
              <w:rPr>
                <w:rFonts w:cs="宋体"/>
                <w:color w:val="auto"/>
                <w:szCs w:val="21"/>
                <w:highlight w:val="none"/>
              </w:rPr>
            </w:pPr>
          </w:p>
        </w:tc>
        <w:tc>
          <w:tcPr>
            <w:tcW w:w="468" w:type="pct"/>
            <w:vAlign w:val="center"/>
          </w:tcPr>
          <w:p w14:paraId="6AFA5873">
            <w:pPr>
              <w:keepNext/>
              <w:spacing w:line="440" w:lineRule="exact"/>
              <w:jc w:val="center"/>
              <w:rPr>
                <w:rFonts w:cs="宋体"/>
                <w:color w:val="auto"/>
                <w:szCs w:val="21"/>
                <w:highlight w:val="none"/>
              </w:rPr>
            </w:pPr>
          </w:p>
        </w:tc>
        <w:tc>
          <w:tcPr>
            <w:tcW w:w="426" w:type="pct"/>
            <w:vAlign w:val="center"/>
          </w:tcPr>
          <w:p w14:paraId="5FB97B86">
            <w:pPr>
              <w:keepNext/>
              <w:spacing w:line="440" w:lineRule="exact"/>
              <w:jc w:val="center"/>
              <w:rPr>
                <w:rFonts w:cs="宋体"/>
                <w:color w:val="auto"/>
                <w:szCs w:val="21"/>
                <w:highlight w:val="none"/>
              </w:rPr>
            </w:pPr>
          </w:p>
        </w:tc>
        <w:tc>
          <w:tcPr>
            <w:tcW w:w="745" w:type="pct"/>
            <w:vAlign w:val="center"/>
          </w:tcPr>
          <w:p w14:paraId="6975B728">
            <w:pPr>
              <w:keepNext/>
              <w:spacing w:line="440" w:lineRule="exact"/>
              <w:jc w:val="center"/>
              <w:rPr>
                <w:rFonts w:cs="宋体"/>
                <w:color w:val="auto"/>
                <w:szCs w:val="21"/>
                <w:highlight w:val="none"/>
              </w:rPr>
            </w:pPr>
          </w:p>
        </w:tc>
        <w:tc>
          <w:tcPr>
            <w:tcW w:w="781" w:type="pct"/>
            <w:vAlign w:val="center"/>
          </w:tcPr>
          <w:p w14:paraId="2A9C7053">
            <w:pPr>
              <w:keepNext/>
              <w:spacing w:line="440" w:lineRule="exact"/>
              <w:jc w:val="center"/>
              <w:rPr>
                <w:rFonts w:cs="宋体"/>
                <w:color w:val="auto"/>
                <w:szCs w:val="21"/>
                <w:highlight w:val="none"/>
              </w:rPr>
            </w:pPr>
          </w:p>
        </w:tc>
        <w:tc>
          <w:tcPr>
            <w:tcW w:w="938" w:type="pct"/>
            <w:vAlign w:val="center"/>
          </w:tcPr>
          <w:p w14:paraId="72AE0FE2">
            <w:pPr>
              <w:keepNext/>
              <w:spacing w:line="440" w:lineRule="exact"/>
              <w:jc w:val="center"/>
              <w:rPr>
                <w:rFonts w:cs="宋体"/>
                <w:color w:val="auto"/>
                <w:szCs w:val="21"/>
                <w:highlight w:val="none"/>
              </w:rPr>
            </w:pPr>
          </w:p>
        </w:tc>
      </w:tr>
      <w:tr w14:paraId="6C5021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bottom w:val="single" w:color="auto" w:sz="12" w:space="0"/>
            </w:tcBorders>
            <w:vAlign w:val="center"/>
          </w:tcPr>
          <w:p w14:paraId="687D2A34">
            <w:pPr>
              <w:keepNext/>
              <w:spacing w:line="440" w:lineRule="exact"/>
              <w:jc w:val="center"/>
              <w:rPr>
                <w:rFonts w:cs="宋体"/>
                <w:color w:val="auto"/>
                <w:szCs w:val="21"/>
                <w:highlight w:val="none"/>
              </w:rPr>
            </w:pPr>
          </w:p>
        </w:tc>
        <w:tc>
          <w:tcPr>
            <w:tcW w:w="1094" w:type="pct"/>
            <w:tcBorders>
              <w:bottom w:val="single" w:color="auto" w:sz="12" w:space="0"/>
            </w:tcBorders>
            <w:vAlign w:val="center"/>
          </w:tcPr>
          <w:p w14:paraId="2B33E7E7">
            <w:pPr>
              <w:keepNext/>
              <w:spacing w:line="440" w:lineRule="exact"/>
              <w:jc w:val="center"/>
              <w:rPr>
                <w:rFonts w:cs="宋体"/>
                <w:color w:val="auto"/>
                <w:szCs w:val="21"/>
                <w:highlight w:val="none"/>
              </w:rPr>
            </w:pPr>
          </w:p>
        </w:tc>
        <w:tc>
          <w:tcPr>
            <w:tcW w:w="468" w:type="pct"/>
            <w:tcBorders>
              <w:bottom w:val="single" w:color="auto" w:sz="12" w:space="0"/>
            </w:tcBorders>
            <w:vAlign w:val="center"/>
          </w:tcPr>
          <w:p w14:paraId="4B30CF0B">
            <w:pPr>
              <w:keepNext/>
              <w:spacing w:line="440" w:lineRule="exact"/>
              <w:jc w:val="center"/>
              <w:rPr>
                <w:rFonts w:cs="宋体"/>
                <w:color w:val="auto"/>
                <w:szCs w:val="21"/>
                <w:highlight w:val="none"/>
              </w:rPr>
            </w:pPr>
          </w:p>
        </w:tc>
        <w:tc>
          <w:tcPr>
            <w:tcW w:w="426" w:type="pct"/>
            <w:tcBorders>
              <w:bottom w:val="single" w:color="auto" w:sz="12" w:space="0"/>
            </w:tcBorders>
            <w:vAlign w:val="center"/>
          </w:tcPr>
          <w:p w14:paraId="39B1DF19">
            <w:pPr>
              <w:keepNext/>
              <w:spacing w:line="440" w:lineRule="exact"/>
              <w:jc w:val="center"/>
              <w:rPr>
                <w:rFonts w:cs="宋体"/>
                <w:color w:val="auto"/>
                <w:szCs w:val="21"/>
                <w:highlight w:val="none"/>
              </w:rPr>
            </w:pPr>
          </w:p>
        </w:tc>
        <w:tc>
          <w:tcPr>
            <w:tcW w:w="745" w:type="pct"/>
            <w:tcBorders>
              <w:bottom w:val="single" w:color="auto" w:sz="12" w:space="0"/>
            </w:tcBorders>
            <w:vAlign w:val="center"/>
          </w:tcPr>
          <w:p w14:paraId="5F05270A">
            <w:pPr>
              <w:keepNext/>
              <w:spacing w:line="440" w:lineRule="exact"/>
              <w:jc w:val="center"/>
              <w:rPr>
                <w:rFonts w:cs="宋体"/>
                <w:color w:val="auto"/>
                <w:szCs w:val="21"/>
                <w:highlight w:val="none"/>
              </w:rPr>
            </w:pPr>
          </w:p>
        </w:tc>
        <w:tc>
          <w:tcPr>
            <w:tcW w:w="781" w:type="pct"/>
            <w:tcBorders>
              <w:bottom w:val="single" w:color="auto" w:sz="12" w:space="0"/>
            </w:tcBorders>
            <w:vAlign w:val="center"/>
          </w:tcPr>
          <w:p w14:paraId="6B34A753">
            <w:pPr>
              <w:keepNext/>
              <w:spacing w:line="440" w:lineRule="exact"/>
              <w:jc w:val="center"/>
              <w:rPr>
                <w:rFonts w:cs="宋体"/>
                <w:color w:val="auto"/>
                <w:szCs w:val="21"/>
                <w:highlight w:val="none"/>
              </w:rPr>
            </w:pPr>
          </w:p>
        </w:tc>
        <w:tc>
          <w:tcPr>
            <w:tcW w:w="938" w:type="pct"/>
            <w:tcBorders>
              <w:bottom w:val="single" w:color="auto" w:sz="12" w:space="0"/>
            </w:tcBorders>
            <w:vAlign w:val="center"/>
          </w:tcPr>
          <w:p w14:paraId="2E81377B">
            <w:pPr>
              <w:keepNext/>
              <w:spacing w:line="440" w:lineRule="exact"/>
              <w:jc w:val="center"/>
              <w:rPr>
                <w:rFonts w:cs="宋体"/>
                <w:color w:val="auto"/>
                <w:szCs w:val="21"/>
                <w:highlight w:val="none"/>
              </w:rPr>
            </w:pPr>
          </w:p>
        </w:tc>
      </w:tr>
    </w:tbl>
    <w:p w14:paraId="4FD5B4F2">
      <w:pPr>
        <w:spacing w:before="156" w:beforeLines="50" w:after="156" w:afterLines="50" w:line="440" w:lineRule="exact"/>
        <w:jc w:val="center"/>
        <w:rPr>
          <w:rFonts w:cs="宋体"/>
          <w:color w:val="auto"/>
          <w:szCs w:val="21"/>
          <w:highlight w:val="none"/>
        </w:rPr>
      </w:pPr>
      <w:r>
        <w:rPr>
          <w:rFonts w:hint="eastAsia" w:cs="宋体"/>
          <w:color w:val="auto"/>
          <w:szCs w:val="21"/>
          <w:highlight w:val="none"/>
        </w:rPr>
        <w:t>12-2：工程设备暂估价表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16"/>
        <w:gridCol w:w="1830"/>
        <w:gridCol w:w="783"/>
        <w:gridCol w:w="712"/>
        <w:gridCol w:w="1246"/>
        <w:gridCol w:w="1306"/>
        <w:gridCol w:w="1569"/>
      </w:tblGrid>
      <w:tr w14:paraId="2001C5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single" w:color="auto" w:sz="12" w:space="0"/>
              <w:bottom w:val="double" w:color="auto" w:sz="6" w:space="0"/>
            </w:tcBorders>
            <w:vAlign w:val="center"/>
          </w:tcPr>
          <w:p w14:paraId="6771A430">
            <w:pPr>
              <w:keepNext/>
              <w:spacing w:line="440" w:lineRule="exact"/>
              <w:jc w:val="center"/>
              <w:rPr>
                <w:rFonts w:cs="宋体"/>
                <w:color w:val="auto"/>
                <w:szCs w:val="21"/>
                <w:highlight w:val="none"/>
              </w:rPr>
            </w:pPr>
            <w:r>
              <w:rPr>
                <w:rFonts w:hint="eastAsia" w:cs="宋体"/>
                <w:color w:val="auto"/>
                <w:szCs w:val="21"/>
                <w:highlight w:val="none"/>
              </w:rPr>
              <w:t>序号</w:t>
            </w:r>
          </w:p>
        </w:tc>
        <w:tc>
          <w:tcPr>
            <w:tcW w:w="1094" w:type="pct"/>
            <w:tcBorders>
              <w:top w:val="single" w:color="auto" w:sz="12" w:space="0"/>
              <w:bottom w:val="double" w:color="auto" w:sz="6" w:space="0"/>
            </w:tcBorders>
            <w:vAlign w:val="center"/>
          </w:tcPr>
          <w:p w14:paraId="20C00CAB">
            <w:pPr>
              <w:keepNext/>
              <w:spacing w:line="440" w:lineRule="exact"/>
              <w:jc w:val="center"/>
              <w:rPr>
                <w:rFonts w:cs="宋体"/>
                <w:color w:val="auto"/>
                <w:szCs w:val="21"/>
                <w:highlight w:val="none"/>
              </w:rPr>
            </w:pPr>
            <w:r>
              <w:rPr>
                <w:rFonts w:hint="eastAsia" w:cs="宋体"/>
                <w:color w:val="auto"/>
                <w:szCs w:val="21"/>
                <w:highlight w:val="none"/>
              </w:rPr>
              <w:t>名称</w:t>
            </w:r>
          </w:p>
        </w:tc>
        <w:tc>
          <w:tcPr>
            <w:tcW w:w="468" w:type="pct"/>
            <w:tcBorders>
              <w:top w:val="single" w:color="auto" w:sz="12" w:space="0"/>
              <w:bottom w:val="double" w:color="auto" w:sz="6" w:space="0"/>
            </w:tcBorders>
            <w:vAlign w:val="center"/>
          </w:tcPr>
          <w:p w14:paraId="42D5FF7E">
            <w:pPr>
              <w:keepNext/>
              <w:spacing w:line="440" w:lineRule="exact"/>
              <w:jc w:val="center"/>
              <w:rPr>
                <w:rFonts w:cs="宋体"/>
                <w:color w:val="auto"/>
                <w:szCs w:val="21"/>
                <w:highlight w:val="none"/>
              </w:rPr>
            </w:pPr>
            <w:r>
              <w:rPr>
                <w:rFonts w:hint="eastAsia" w:cs="宋体"/>
                <w:color w:val="auto"/>
                <w:szCs w:val="21"/>
                <w:highlight w:val="none"/>
              </w:rPr>
              <w:t>单位</w:t>
            </w:r>
          </w:p>
        </w:tc>
        <w:tc>
          <w:tcPr>
            <w:tcW w:w="426" w:type="pct"/>
            <w:tcBorders>
              <w:top w:val="single" w:color="auto" w:sz="12" w:space="0"/>
              <w:bottom w:val="double" w:color="auto" w:sz="6" w:space="0"/>
            </w:tcBorders>
            <w:vAlign w:val="center"/>
          </w:tcPr>
          <w:p w14:paraId="269BED61">
            <w:pPr>
              <w:keepNext/>
              <w:spacing w:line="440" w:lineRule="exact"/>
              <w:jc w:val="center"/>
              <w:rPr>
                <w:rFonts w:cs="宋体"/>
                <w:color w:val="auto"/>
                <w:szCs w:val="21"/>
                <w:highlight w:val="none"/>
              </w:rPr>
            </w:pPr>
            <w:r>
              <w:rPr>
                <w:rFonts w:hint="eastAsia" w:cs="宋体"/>
                <w:color w:val="auto"/>
                <w:szCs w:val="21"/>
                <w:highlight w:val="none"/>
              </w:rPr>
              <w:t>数量</w:t>
            </w:r>
          </w:p>
        </w:tc>
        <w:tc>
          <w:tcPr>
            <w:tcW w:w="745" w:type="pct"/>
            <w:tcBorders>
              <w:top w:val="single" w:color="auto" w:sz="12" w:space="0"/>
              <w:bottom w:val="double" w:color="auto" w:sz="6" w:space="0"/>
            </w:tcBorders>
            <w:vAlign w:val="center"/>
          </w:tcPr>
          <w:p w14:paraId="7239B562">
            <w:pPr>
              <w:keepNext/>
              <w:spacing w:line="440" w:lineRule="exact"/>
              <w:jc w:val="center"/>
              <w:rPr>
                <w:rFonts w:cs="宋体"/>
                <w:color w:val="auto"/>
                <w:szCs w:val="21"/>
                <w:highlight w:val="none"/>
              </w:rPr>
            </w:pPr>
            <w:r>
              <w:rPr>
                <w:rFonts w:hint="eastAsia" w:cs="宋体"/>
                <w:color w:val="auto"/>
                <w:szCs w:val="21"/>
                <w:highlight w:val="none"/>
              </w:rPr>
              <w:t>单价（元）</w:t>
            </w:r>
          </w:p>
        </w:tc>
        <w:tc>
          <w:tcPr>
            <w:tcW w:w="781" w:type="pct"/>
            <w:tcBorders>
              <w:top w:val="single" w:color="auto" w:sz="12" w:space="0"/>
              <w:bottom w:val="double" w:color="auto" w:sz="6" w:space="0"/>
            </w:tcBorders>
            <w:vAlign w:val="center"/>
          </w:tcPr>
          <w:p w14:paraId="43A75A51">
            <w:pPr>
              <w:keepNext/>
              <w:spacing w:line="440" w:lineRule="exact"/>
              <w:jc w:val="center"/>
              <w:rPr>
                <w:rFonts w:cs="宋体"/>
                <w:color w:val="auto"/>
                <w:szCs w:val="21"/>
                <w:highlight w:val="none"/>
              </w:rPr>
            </w:pPr>
            <w:r>
              <w:rPr>
                <w:rFonts w:hint="eastAsia" w:cs="宋体"/>
                <w:color w:val="auto"/>
                <w:szCs w:val="21"/>
                <w:highlight w:val="none"/>
              </w:rPr>
              <w:t>合价（元）</w:t>
            </w:r>
          </w:p>
        </w:tc>
        <w:tc>
          <w:tcPr>
            <w:tcW w:w="938" w:type="pct"/>
            <w:tcBorders>
              <w:top w:val="single" w:color="auto" w:sz="12" w:space="0"/>
              <w:bottom w:val="double" w:color="auto" w:sz="6" w:space="0"/>
            </w:tcBorders>
            <w:vAlign w:val="center"/>
          </w:tcPr>
          <w:p w14:paraId="2907B321">
            <w:pPr>
              <w:keepNext/>
              <w:spacing w:line="440" w:lineRule="exact"/>
              <w:jc w:val="center"/>
              <w:rPr>
                <w:rFonts w:cs="宋体"/>
                <w:color w:val="auto"/>
                <w:szCs w:val="21"/>
                <w:highlight w:val="none"/>
              </w:rPr>
            </w:pPr>
            <w:r>
              <w:rPr>
                <w:rFonts w:hint="eastAsia" w:cs="宋体"/>
                <w:color w:val="auto"/>
                <w:szCs w:val="21"/>
                <w:highlight w:val="none"/>
              </w:rPr>
              <w:t>备注</w:t>
            </w:r>
          </w:p>
        </w:tc>
      </w:tr>
      <w:tr w14:paraId="00AFCF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double" w:color="auto" w:sz="6" w:space="0"/>
            </w:tcBorders>
            <w:vAlign w:val="center"/>
          </w:tcPr>
          <w:p w14:paraId="742B2189">
            <w:pPr>
              <w:keepNext/>
              <w:spacing w:line="440" w:lineRule="exact"/>
              <w:jc w:val="center"/>
              <w:rPr>
                <w:rFonts w:cs="宋体"/>
                <w:color w:val="auto"/>
                <w:szCs w:val="21"/>
                <w:highlight w:val="none"/>
              </w:rPr>
            </w:pPr>
          </w:p>
        </w:tc>
        <w:tc>
          <w:tcPr>
            <w:tcW w:w="1094" w:type="pct"/>
            <w:tcBorders>
              <w:top w:val="double" w:color="auto" w:sz="6" w:space="0"/>
            </w:tcBorders>
            <w:vAlign w:val="center"/>
          </w:tcPr>
          <w:p w14:paraId="7CCA7286">
            <w:pPr>
              <w:keepNext/>
              <w:spacing w:line="440" w:lineRule="exact"/>
              <w:jc w:val="center"/>
              <w:rPr>
                <w:rFonts w:cs="宋体"/>
                <w:color w:val="auto"/>
                <w:szCs w:val="21"/>
                <w:highlight w:val="none"/>
              </w:rPr>
            </w:pPr>
          </w:p>
        </w:tc>
        <w:tc>
          <w:tcPr>
            <w:tcW w:w="468" w:type="pct"/>
            <w:tcBorders>
              <w:top w:val="double" w:color="auto" w:sz="6" w:space="0"/>
            </w:tcBorders>
            <w:vAlign w:val="center"/>
          </w:tcPr>
          <w:p w14:paraId="3D3739ED">
            <w:pPr>
              <w:keepNext/>
              <w:spacing w:line="440" w:lineRule="exact"/>
              <w:jc w:val="center"/>
              <w:rPr>
                <w:rFonts w:cs="宋体"/>
                <w:color w:val="auto"/>
                <w:szCs w:val="21"/>
                <w:highlight w:val="none"/>
              </w:rPr>
            </w:pPr>
          </w:p>
        </w:tc>
        <w:tc>
          <w:tcPr>
            <w:tcW w:w="426" w:type="pct"/>
            <w:tcBorders>
              <w:top w:val="double" w:color="auto" w:sz="6" w:space="0"/>
            </w:tcBorders>
            <w:vAlign w:val="center"/>
          </w:tcPr>
          <w:p w14:paraId="57B49F0E">
            <w:pPr>
              <w:keepNext/>
              <w:spacing w:line="440" w:lineRule="exact"/>
              <w:jc w:val="center"/>
              <w:rPr>
                <w:rFonts w:cs="宋体"/>
                <w:color w:val="auto"/>
                <w:szCs w:val="21"/>
                <w:highlight w:val="none"/>
              </w:rPr>
            </w:pPr>
          </w:p>
        </w:tc>
        <w:tc>
          <w:tcPr>
            <w:tcW w:w="745" w:type="pct"/>
            <w:tcBorders>
              <w:top w:val="double" w:color="auto" w:sz="6" w:space="0"/>
            </w:tcBorders>
            <w:vAlign w:val="center"/>
          </w:tcPr>
          <w:p w14:paraId="031BE0F7">
            <w:pPr>
              <w:keepNext/>
              <w:spacing w:line="440" w:lineRule="exact"/>
              <w:jc w:val="center"/>
              <w:rPr>
                <w:rFonts w:cs="宋体"/>
                <w:color w:val="auto"/>
                <w:szCs w:val="21"/>
                <w:highlight w:val="none"/>
              </w:rPr>
            </w:pPr>
          </w:p>
        </w:tc>
        <w:tc>
          <w:tcPr>
            <w:tcW w:w="781" w:type="pct"/>
            <w:tcBorders>
              <w:top w:val="double" w:color="auto" w:sz="6" w:space="0"/>
            </w:tcBorders>
            <w:vAlign w:val="center"/>
          </w:tcPr>
          <w:p w14:paraId="0AC79F75">
            <w:pPr>
              <w:keepNext/>
              <w:spacing w:line="440" w:lineRule="exact"/>
              <w:jc w:val="center"/>
              <w:rPr>
                <w:rFonts w:cs="宋体"/>
                <w:color w:val="auto"/>
                <w:szCs w:val="21"/>
                <w:highlight w:val="none"/>
              </w:rPr>
            </w:pPr>
          </w:p>
        </w:tc>
        <w:tc>
          <w:tcPr>
            <w:tcW w:w="938" w:type="pct"/>
            <w:tcBorders>
              <w:top w:val="double" w:color="auto" w:sz="6" w:space="0"/>
            </w:tcBorders>
            <w:vAlign w:val="center"/>
          </w:tcPr>
          <w:p w14:paraId="0D09126D">
            <w:pPr>
              <w:keepNext/>
              <w:spacing w:line="440" w:lineRule="exact"/>
              <w:jc w:val="center"/>
              <w:rPr>
                <w:rFonts w:cs="宋体"/>
                <w:color w:val="auto"/>
                <w:szCs w:val="21"/>
                <w:highlight w:val="none"/>
              </w:rPr>
            </w:pPr>
          </w:p>
        </w:tc>
      </w:tr>
      <w:tr w14:paraId="7C0165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nil"/>
            </w:tcBorders>
            <w:vAlign w:val="center"/>
          </w:tcPr>
          <w:p w14:paraId="562B8F3F">
            <w:pPr>
              <w:keepNext/>
              <w:spacing w:line="440" w:lineRule="exact"/>
              <w:jc w:val="center"/>
              <w:rPr>
                <w:rFonts w:cs="宋体"/>
                <w:color w:val="auto"/>
                <w:szCs w:val="21"/>
                <w:highlight w:val="none"/>
              </w:rPr>
            </w:pPr>
          </w:p>
        </w:tc>
        <w:tc>
          <w:tcPr>
            <w:tcW w:w="1094" w:type="pct"/>
            <w:tcBorders>
              <w:top w:val="nil"/>
            </w:tcBorders>
            <w:vAlign w:val="center"/>
          </w:tcPr>
          <w:p w14:paraId="499FD828">
            <w:pPr>
              <w:keepNext/>
              <w:spacing w:line="440" w:lineRule="exact"/>
              <w:jc w:val="center"/>
              <w:rPr>
                <w:rFonts w:cs="宋体"/>
                <w:color w:val="auto"/>
                <w:szCs w:val="21"/>
                <w:highlight w:val="none"/>
              </w:rPr>
            </w:pPr>
          </w:p>
        </w:tc>
        <w:tc>
          <w:tcPr>
            <w:tcW w:w="468" w:type="pct"/>
            <w:tcBorders>
              <w:top w:val="nil"/>
            </w:tcBorders>
            <w:vAlign w:val="center"/>
          </w:tcPr>
          <w:p w14:paraId="2E3A8C54">
            <w:pPr>
              <w:keepNext/>
              <w:spacing w:line="440" w:lineRule="exact"/>
              <w:jc w:val="center"/>
              <w:rPr>
                <w:rFonts w:cs="宋体"/>
                <w:color w:val="auto"/>
                <w:szCs w:val="21"/>
                <w:highlight w:val="none"/>
              </w:rPr>
            </w:pPr>
          </w:p>
        </w:tc>
        <w:tc>
          <w:tcPr>
            <w:tcW w:w="426" w:type="pct"/>
            <w:tcBorders>
              <w:top w:val="nil"/>
            </w:tcBorders>
            <w:vAlign w:val="center"/>
          </w:tcPr>
          <w:p w14:paraId="4DA187F5">
            <w:pPr>
              <w:keepNext/>
              <w:spacing w:line="440" w:lineRule="exact"/>
              <w:jc w:val="center"/>
              <w:rPr>
                <w:rFonts w:cs="宋体"/>
                <w:color w:val="auto"/>
                <w:szCs w:val="21"/>
                <w:highlight w:val="none"/>
              </w:rPr>
            </w:pPr>
          </w:p>
        </w:tc>
        <w:tc>
          <w:tcPr>
            <w:tcW w:w="745" w:type="pct"/>
            <w:tcBorders>
              <w:top w:val="nil"/>
            </w:tcBorders>
            <w:vAlign w:val="center"/>
          </w:tcPr>
          <w:p w14:paraId="518BFC8F">
            <w:pPr>
              <w:keepNext/>
              <w:spacing w:line="440" w:lineRule="exact"/>
              <w:jc w:val="center"/>
              <w:rPr>
                <w:rFonts w:cs="宋体"/>
                <w:color w:val="auto"/>
                <w:szCs w:val="21"/>
                <w:highlight w:val="none"/>
              </w:rPr>
            </w:pPr>
          </w:p>
        </w:tc>
        <w:tc>
          <w:tcPr>
            <w:tcW w:w="781" w:type="pct"/>
            <w:tcBorders>
              <w:top w:val="nil"/>
            </w:tcBorders>
            <w:vAlign w:val="center"/>
          </w:tcPr>
          <w:p w14:paraId="39A85A70">
            <w:pPr>
              <w:keepNext/>
              <w:spacing w:line="440" w:lineRule="exact"/>
              <w:jc w:val="center"/>
              <w:rPr>
                <w:rFonts w:cs="宋体"/>
                <w:color w:val="auto"/>
                <w:szCs w:val="21"/>
                <w:highlight w:val="none"/>
              </w:rPr>
            </w:pPr>
          </w:p>
        </w:tc>
        <w:tc>
          <w:tcPr>
            <w:tcW w:w="938" w:type="pct"/>
            <w:tcBorders>
              <w:top w:val="nil"/>
            </w:tcBorders>
            <w:vAlign w:val="center"/>
          </w:tcPr>
          <w:p w14:paraId="7E57D2A1">
            <w:pPr>
              <w:keepNext/>
              <w:spacing w:line="440" w:lineRule="exact"/>
              <w:jc w:val="center"/>
              <w:rPr>
                <w:rFonts w:cs="宋体"/>
                <w:color w:val="auto"/>
                <w:szCs w:val="21"/>
                <w:highlight w:val="none"/>
              </w:rPr>
            </w:pPr>
          </w:p>
        </w:tc>
      </w:tr>
      <w:tr w14:paraId="7CB192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vAlign w:val="center"/>
          </w:tcPr>
          <w:p w14:paraId="679E761A">
            <w:pPr>
              <w:keepNext/>
              <w:spacing w:line="440" w:lineRule="exact"/>
              <w:jc w:val="center"/>
              <w:rPr>
                <w:rFonts w:cs="宋体"/>
                <w:color w:val="auto"/>
                <w:szCs w:val="21"/>
                <w:highlight w:val="none"/>
              </w:rPr>
            </w:pPr>
          </w:p>
        </w:tc>
        <w:tc>
          <w:tcPr>
            <w:tcW w:w="1094" w:type="pct"/>
            <w:vAlign w:val="center"/>
          </w:tcPr>
          <w:p w14:paraId="1831D285">
            <w:pPr>
              <w:keepNext/>
              <w:spacing w:line="440" w:lineRule="exact"/>
              <w:jc w:val="center"/>
              <w:rPr>
                <w:rFonts w:cs="宋体"/>
                <w:color w:val="auto"/>
                <w:szCs w:val="21"/>
                <w:highlight w:val="none"/>
              </w:rPr>
            </w:pPr>
          </w:p>
        </w:tc>
        <w:tc>
          <w:tcPr>
            <w:tcW w:w="468" w:type="pct"/>
            <w:vAlign w:val="center"/>
          </w:tcPr>
          <w:p w14:paraId="1E93215C">
            <w:pPr>
              <w:keepNext/>
              <w:spacing w:line="440" w:lineRule="exact"/>
              <w:jc w:val="center"/>
              <w:rPr>
                <w:rFonts w:cs="宋体"/>
                <w:color w:val="auto"/>
                <w:szCs w:val="21"/>
                <w:highlight w:val="none"/>
              </w:rPr>
            </w:pPr>
          </w:p>
        </w:tc>
        <w:tc>
          <w:tcPr>
            <w:tcW w:w="426" w:type="pct"/>
            <w:vAlign w:val="center"/>
          </w:tcPr>
          <w:p w14:paraId="7A2827E1">
            <w:pPr>
              <w:keepNext/>
              <w:spacing w:line="440" w:lineRule="exact"/>
              <w:jc w:val="center"/>
              <w:rPr>
                <w:rFonts w:cs="宋体"/>
                <w:color w:val="auto"/>
                <w:szCs w:val="21"/>
                <w:highlight w:val="none"/>
              </w:rPr>
            </w:pPr>
          </w:p>
        </w:tc>
        <w:tc>
          <w:tcPr>
            <w:tcW w:w="745" w:type="pct"/>
            <w:vAlign w:val="center"/>
          </w:tcPr>
          <w:p w14:paraId="59675442">
            <w:pPr>
              <w:keepNext/>
              <w:spacing w:line="440" w:lineRule="exact"/>
              <w:jc w:val="center"/>
              <w:rPr>
                <w:rFonts w:cs="宋体"/>
                <w:color w:val="auto"/>
                <w:szCs w:val="21"/>
                <w:highlight w:val="none"/>
              </w:rPr>
            </w:pPr>
          </w:p>
        </w:tc>
        <w:tc>
          <w:tcPr>
            <w:tcW w:w="781" w:type="pct"/>
            <w:vAlign w:val="center"/>
          </w:tcPr>
          <w:p w14:paraId="6E67F13B">
            <w:pPr>
              <w:keepNext/>
              <w:spacing w:line="440" w:lineRule="exact"/>
              <w:jc w:val="center"/>
              <w:rPr>
                <w:rFonts w:cs="宋体"/>
                <w:color w:val="auto"/>
                <w:szCs w:val="21"/>
                <w:highlight w:val="none"/>
              </w:rPr>
            </w:pPr>
          </w:p>
        </w:tc>
        <w:tc>
          <w:tcPr>
            <w:tcW w:w="938" w:type="pct"/>
            <w:vAlign w:val="center"/>
          </w:tcPr>
          <w:p w14:paraId="3557899E">
            <w:pPr>
              <w:keepNext/>
              <w:spacing w:line="440" w:lineRule="exact"/>
              <w:jc w:val="center"/>
              <w:rPr>
                <w:rFonts w:cs="宋体"/>
                <w:color w:val="auto"/>
                <w:szCs w:val="21"/>
                <w:highlight w:val="none"/>
              </w:rPr>
            </w:pPr>
          </w:p>
        </w:tc>
      </w:tr>
      <w:tr w14:paraId="7ACCE4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bottom w:val="single" w:color="auto" w:sz="12" w:space="0"/>
            </w:tcBorders>
            <w:vAlign w:val="center"/>
          </w:tcPr>
          <w:p w14:paraId="3A0A955D">
            <w:pPr>
              <w:keepNext/>
              <w:spacing w:line="440" w:lineRule="exact"/>
              <w:jc w:val="center"/>
              <w:rPr>
                <w:rFonts w:cs="宋体"/>
                <w:color w:val="auto"/>
                <w:szCs w:val="21"/>
                <w:highlight w:val="none"/>
              </w:rPr>
            </w:pPr>
          </w:p>
        </w:tc>
        <w:tc>
          <w:tcPr>
            <w:tcW w:w="1094" w:type="pct"/>
            <w:tcBorders>
              <w:bottom w:val="single" w:color="auto" w:sz="12" w:space="0"/>
            </w:tcBorders>
            <w:vAlign w:val="center"/>
          </w:tcPr>
          <w:p w14:paraId="4DD9E9CB">
            <w:pPr>
              <w:keepNext/>
              <w:spacing w:line="440" w:lineRule="exact"/>
              <w:jc w:val="center"/>
              <w:rPr>
                <w:rFonts w:cs="宋体"/>
                <w:color w:val="auto"/>
                <w:szCs w:val="21"/>
                <w:highlight w:val="none"/>
              </w:rPr>
            </w:pPr>
          </w:p>
        </w:tc>
        <w:tc>
          <w:tcPr>
            <w:tcW w:w="468" w:type="pct"/>
            <w:tcBorders>
              <w:bottom w:val="single" w:color="auto" w:sz="12" w:space="0"/>
            </w:tcBorders>
            <w:vAlign w:val="center"/>
          </w:tcPr>
          <w:p w14:paraId="2C9CF4DA">
            <w:pPr>
              <w:keepNext/>
              <w:spacing w:line="440" w:lineRule="exact"/>
              <w:jc w:val="center"/>
              <w:rPr>
                <w:rFonts w:cs="宋体"/>
                <w:color w:val="auto"/>
                <w:szCs w:val="21"/>
                <w:highlight w:val="none"/>
              </w:rPr>
            </w:pPr>
          </w:p>
        </w:tc>
        <w:tc>
          <w:tcPr>
            <w:tcW w:w="426" w:type="pct"/>
            <w:tcBorders>
              <w:bottom w:val="single" w:color="auto" w:sz="12" w:space="0"/>
            </w:tcBorders>
            <w:vAlign w:val="center"/>
          </w:tcPr>
          <w:p w14:paraId="65E2A6E0">
            <w:pPr>
              <w:keepNext/>
              <w:spacing w:line="440" w:lineRule="exact"/>
              <w:jc w:val="center"/>
              <w:rPr>
                <w:rFonts w:cs="宋体"/>
                <w:color w:val="auto"/>
                <w:szCs w:val="21"/>
                <w:highlight w:val="none"/>
              </w:rPr>
            </w:pPr>
          </w:p>
        </w:tc>
        <w:tc>
          <w:tcPr>
            <w:tcW w:w="745" w:type="pct"/>
            <w:tcBorders>
              <w:bottom w:val="single" w:color="auto" w:sz="12" w:space="0"/>
            </w:tcBorders>
            <w:vAlign w:val="center"/>
          </w:tcPr>
          <w:p w14:paraId="49293024">
            <w:pPr>
              <w:keepNext/>
              <w:spacing w:line="440" w:lineRule="exact"/>
              <w:jc w:val="center"/>
              <w:rPr>
                <w:rFonts w:cs="宋体"/>
                <w:color w:val="auto"/>
                <w:szCs w:val="21"/>
                <w:highlight w:val="none"/>
              </w:rPr>
            </w:pPr>
          </w:p>
        </w:tc>
        <w:tc>
          <w:tcPr>
            <w:tcW w:w="781" w:type="pct"/>
            <w:tcBorders>
              <w:bottom w:val="single" w:color="auto" w:sz="12" w:space="0"/>
            </w:tcBorders>
            <w:vAlign w:val="center"/>
          </w:tcPr>
          <w:p w14:paraId="69FCE412">
            <w:pPr>
              <w:keepNext/>
              <w:spacing w:line="440" w:lineRule="exact"/>
              <w:jc w:val="center"/>
              <w:rPr>
                <w:rFonts w:cs="宋体"/>
                <w:color w:val="auto"/>
                <w:szCs w:val="21"/>
                <w:highlight w:val="none"/>
              </w:rPr>
            </w:pPr>
          </w:p>
        </w:tc>
        <w:tc>
          <w:tcPr>
            <w:tcW w:w="938" w:type="pct"/>
            <w:tcBorders>
              <w:bottom w:val="single" w:color="auto" w:sz="12" w:space="0"/>
            </w:tcBorders>
            <w:vAlign w:val="center"/>
          </w:tcPr>
          <w:p w14:paraId="66CCA8F2">
            <w:pPr>
              <w:keepNext/>
              <w:spacing w:line="440" w:lineRule="exact"/>
              <w:jc w:val="center"/>
              <w:rPr>
                <w:rFonts w:cs="宋体"/>
                <w:color w:val="auto"/>
                <w:szCs w:val="21"/>
                <w:highlight w:val="none"/>
              </w:rPr>
            </w:pPr>
          </w:p>
        </w:tc>
      </w:tr>
    </w:tbl>
    <w:p w14:paraId="1681D164">
      <w:pPr>
        <w:spacing w:before="156" w:beforeLines="50" w:after="156" w:afterLines="50" w:line="440" w:lineRule="exact"/>
        <w:jc w:val="center"/>
        <w:rPr>
          <w:rFonts w:cs="宋体"/>
          <w:color w:val="auto"/>
          <w:szCs w:val="21"/>
          <w:highlight w:val="none"/>
        </w:rPr>
      </w:pPr>
      <w:r>
        <w:rPr>
          <w:rFonts w:hint="eastAsia" w:cs="宋体"/>
          <w:color w:val="auto"/>
          <w:szCs w:val="21"/>
          <w:highlight w:val="none"/>
        </w:rPr>
        <w:t>12-3：专业工程暂估价表</w:t>
      </w:r>
    </w:p>
    <w:tbl>
      <w:tblPr>
        <w:tblStyle w:val="5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16"/>
        <w:gridCol w:w="1830"/>
        <w:gridCol w:w="783"/>
        <w:gridCol w:w="712"/>
        <w:gridCol w:w="1246"/>
        <w:gridCol w:w="1306"/>
        <w:gridCol w:w="1569"/>
      </w:tblGrid>
      <w:tr w14:paraId="6B5295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single" w:color="auto" w:sz="12" w:space="0"/>
              <w:bottom w:val="double" w:color="auto" w:sz="6" w:space="0"/>
            </w:tcBorders>
            <w:vAlign w:val="center"/>
          </w:tcPr>
          <w:p w14:paraId="39697272">
            <w:pPr>
              <w:keepNext/>
              <w:spacing w:line="440" w:lineRule="exact"/>
              <w:jc w:val="center"/>
              <w:rPr>
                <w:rFonts w:cs="宋体"/>
                <w:color w:val="auto"/>
                <w:szCs w:val="21"/>
                <w:highlight w:val="none"/>
              </w:rPr>
            </w:pPr>
            <w:r>
              <w:rPr>
                <w:rFonts w:hint="eastAsia" w:cs="宋体"/>
                <w:color w:val="auto"/>
                <w:szCs w:val="21"/>
                <w:highlight w:val="none"/>
              </w:rPr>
              <w:t>序号</w:t>
            </w:r>
          </w:p>
        </w:tc>
        <w:tc>
          <w:tcPr>
            <w:tcW w:w="1094" w:type="pct"/>
            <w:tcBorders>
              <w:top w:val="single" w:color="auto" w:sz="12" w:space="0"/>
              <w:bottom w:val="double" w:color="auto" w:sz="6" w:space="0"/>
            </w:tcBorders>
            <w:vAlign w:val="center"/>
          </w:tcPr>
          <w:p w14:paraId="10AFA79B">
            <w:pPr>
              <w:keepNext/>
              <w:spacing w:line="440" w:lineRule="exact"/>
              <w:jc w:val="center"/>
              <w:rPr>
                <w:rFonts w:cs="宋体"/>
                <w:color w:val="auto"/>
                <w:szCs w:val="21"/>
                <w:highlight w:val="none"/>
              </w:rPr>
            </w:pPr>
            <w:r>
              <w:rPr>
                <w:rFonts w:hint="eastAsia" w:cs="宋体"/>
                <w:color w:val="auto"/>
                <w:szCs w:val="21"/>
                <w:highlight w:val="none"/>
              </w:rPr>
              <w:t>名称</w:t>
            </w:r>
          </w:p>
        </w:tc>
        <w:tc>
          <w:tcPr>
            <w:tcW w:w="468" w:type="pct"/>
            <w:tcBorders>
              <w:top w:val="single" w:color="auto" w:sz="12" w:space="0"/>
              <w:bottom w:val="double" w:color="auto" w:sz="6" w:space="0"/>
            </w:tcBorders>
            <w:vAlign w:val="center"/>
          </w:tcPr>
          <w:p w14:paraId="7AFB5B2F">
            <w:pPr>
              <w:keepNext/>
              <w:spacing w:line="440" w:lineRule="exact"/>
              <w:jc w:val="center"/>
              <w:rPr>
                <w:rFonts w:cs="宋体"/>
                <w:color w:val="auto"/>
                <w:szCs w:val="21"/>
                <w:highlight w:val="none"/>
              </w:rPr>
            </w:pPr>
            <w:r>
              <w:rPr>
                <w:rFonts w:hint="eastAsia" w:cs="宋体"/>
                <w:color w:val="auto"/>
                <w:szCs w:val="21"/>
                <w:highlight w:val="none"/>
              </w:rPr>
              <w:t>单位</w:t>
            </w:r>
          </w:p>
        </w:tc>
        <w:tc>
          <w:tcPr>
            <w:tcW w:w="426" w:type="pct"/>
            <w:tcBorders>
              <w:top w:val="single" w:color="auto" w:sz="12" w:space="0"/>
              <w:bottom w:val="double" w:color="auto" w:sz="6" w:space="0"/>
            </w:tcBorders>
            <w:vAlign w:val="center"/>
          </w:tcPr>
          <w:p w14:paraId="50A57E9E">
            <w:pPr>
              <w:keepNext/>
              <w:spacing w:line="440" w:lineRule="exact"/>
              <w:jc w:val="center"/>
              <w:rPr>
                <w:rFonts w:cs="宋体"/>
                <w:color w:val="auto"/>
                <w:szCs w:val="21"/>
                <w:highlight w:val="none"/>
              </w:rPr>
            </w:pPr>
            <w:r>
              <w:rPr>
                <w:rFonts w:hint="eastAsia" w:cs="宋体"/>
                <w:color w:val="auto"/>
                <w:szCs w:val="21"/>
                <w:highlight w:val="none"/>
              </w:rPr>
              <w:t>数量</w:t>
            </w:r>
          </w:p>
        </w:tc>
        <w:tc>
          <w:tcPr>
            <w:tcW w:w="745" w:type="pct"/>
            <w:tcBorders>
              <w:top w:val="single" w:color="auto" w:sz="12" w:space="0"/>
              <w:bottom w:val="double" w:color="auto" w:sz="6" w:space="0"/>
            </w:tcBorders>
            <w:vAlign w:val="center"/>
          </w:tcPr>
          <w:p w14:paraId="459B413E">
            <w:pPr>
              <w:keepNext/>
              <w:spacing w:line="440" w:lineRule="exact"/>
              <w:jc w:val="center"/>
              <w:rPr>
                <w:rFonts w:cs="宋体"/>
                <w:color w:val="auto"/>
                <w:szCs w:val="21"/>
                <w:highlight w:val="none"/>
              </w:rPr>
            </w:pPr>
            <w:r>
              <w:rPr>
                <w:rFonts w:hint="eastAsia" w:cs="宋体"/>
                <w:color w:val="auto"/>
                <w:szCs w:val="21"/>
                <w:highlight w:val="none"/>
              </w:rPr>
              <w:t>单价（元）</w:t>
            </w:r>
          </w:p>
        </w:tc>
        <w:tc>
          <w:tcPr>
            <w:tcW w:w="781" w:type="pct"/>
            <w:tcBorders>
              <w:top w:val="single" w:color="auto" w:sz="12" w:space="0"/>
              <w:bottom w:val="double" w:color="auto" w:sz="6" w:space="0"/>
            </w:tcBorders>
            <w:vAlign w:val="center"/>
          </w:tcPr>
          <w:p w14:paraId="653329C4">
            <w:pPr>
              <w:keepNext/>
              <w:spacing w:line="440" w:lineRule="exact"/>
              <w:jc w:val="center"/>
              <w:rPr>
                <w:rFonts w:cs="宋体"/>
                <w:color w:val="auto"/>
                <w:szCs w:val="21"/>
                <w:highlight w:val="none"/>
              </w:rPr>
            </w:pPr>
            <w:r>
              <w:rPr>
                <w:rFonts w:hint="eastAsia" w:cs="宋体"/>
                <w:color w:val="auto"/>
                <w:szCs w:val="21"/>
                <w:highlight w:val="none"/>
              </w:rPr>
              <w:t>合价（元）</w:t>
            </w:r>
          </w:p>
        </w:tc>
        <w:tc>
          <w:tcPr>
            <w:tcW w:w="938" w:type="pct"/>
            <w:tcBorders>
              <w:top w:val="single" w:color="auto" w:sz="12" w:space="0"/>
              <w:bottom w:val="double" w:color="auto" w:sz="6" w:space="0"/>
            </w:tcBorders>
            <w:vAlign w:val="center"/>
          </w:tcPr>
          <w:p w14:paraId="73EE1797">
            <w:pPr>
              <w:keepNext/>
              <w:spacing w:line="440" w:lineRule="exact"/>
              <w:jc w:val="center"/>
              <w:rPr>
                <w:rFonts w:cs="宋体"/>
                <w:color w:val="auto"/>
                <w:szCs w:val="21"/>
                <w:highlight w:val="none"/>
              </w:rPr>
            </w:pPr>
            <w:r>
              <w:rPr>
                <w:rFonts w:hint="eastAsia" w:cs="宋体"/>
                <w:color w:val="auto"/>
                <w:szCs w:val="21"/>
                <w:highlight w:val="none"/>
              </w:rPr>
              <w:t>备注</w:t>
            </w:r>
          </w:p>
        </w:tc>
      </w:tr>
      <w:tr w14:paraId="77229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double" w:color="auto" w:sz="6" w:space="0"/>
            </w:tcBorders>
            <w:vAlign w:val="center"/>
          </w:tcPr>
          <w:p w14:paraId="4C7F6C20">
            <w:pPr>
              <w:keepNext/>
              <w:spacing w:line="440" w:lineRule="exact"/>
              <w:jc w:val="center"/>
              <w:rPr>
                <w:rFonts w:cs="宋体"/>
                <w:color w:val="auto"/>
                <w:szCs w:val="21"/>
                <w:highlight w:val="none"/>
              </w:rPr>
            </w:pPr>
          </w:p>
        </w:tc>
        <w:tc>
          <w:tcPr>
            <w:tcW w:w="1094" w:type="pct"/>
            <w:tcBorders>
              <w:top w:val="double" w:color="auto" w:sz="6" w:space="0"/>
            </w:tcBorders>
            <w:vAlign w:val="center"/>
          </w:tcPr>
          <w:p w14:paraId="3A928FBC">
            <w:pPr>
              <w:keepNext/>
              <w:spacing w:line="440" w:lineRule="exact"/>
              <w:jc w:val="center"/>
              <w:rPr>
                <w:rFonts w:cs="宋体"/>
                <w:color w:val="auto"/>
                <w:szCs w:val="21"/>
                <w:highlight w:val="none"/>
              </w:rPr>
            </w:pPr>
          </w:p>
        </w:tc>
        <w:tc>
          <w:tcPr>
            <w:tcW w:w="468" w:type="pct"/>
            <w:tcBorders>
              <w:top w:val="double" w:color="auto" w:sz="6" w:space="0"/>
            </w:tcBorders>
            <w:vAlign w:val="center"/>
          </w:tcPr>
          <w:p w14:paraId="5E4649FD">
            <w:pPr>
              <w:keepNext/>
              <w:spacing w:line="440" w:lineRule="exact"/>
              <w:jc w:val="center"/>
              <w:rPr>
                <w:rFonts w:cs="宋体"/>
                <w:color w:val="auto"/>
                <w:szCs w:val="21"/>
                <w:highlight w:val="none"/>
              </w:rPr>
            </w:pPr>
          </w:p>
        </w:tc>
        <w:tc>
          <w:tcPr>
            <w:tcW w:w="426" w:type="pct"/>
            <w:tcBorders>
              <w:top w:val="double" w:color="auto" w:sz="6" w:space="0"/>
            </w:tcBorders>
            <w:vAlign w:val="center"/>
          </w:tcPr>
          <w:p w14:paraId="3FF4543C">
            <w:pPr>
              <w:keepNext/>
              <w:spacing w:line="440" w:lineRule="exact"/>
              <w:jc w:val="center"/>
              <w:rPr>
                <w:rFonts w:cs="宋体"/>
                <w:color w:val="auto"/>
                <w:szCs w:val="21"/>
                <w:highlight w:val="none"/>
              </w:rPr>
            </w:pPr>
          </w:p>
        </w:tc>
        <w:tc>
          <w:tcPr>
            <w:tcW w:w="745" w:type="pct"/>
            <w:tcBorders>
              <w:top w:val="double" w:color="auto" w:sz="6" w:space="0"/>
            </w:tcBorders>
            <w:vAlign w:val="center"/>
          </w:tcPr>
          <w:p w14:paraId="5D499984">
            <w:pPr>
              <w:keepNext/>
              <w:spacing w:line="440" w:lineRule="exact"/>
              <w:jc w:val="center"/>
              <w:rPr>
                <w:rFonts w:cs="宋体"/>
                <w:color w:val="auto"/>
                <w:szCs w:val="21"/>
                <w:highlight w:val="none"/>
              </w:rPr>
            </w:pPr>
          </w:p>
        </w:tc>
        <w:tc>
          <w:tcPr>
            <w:tcW w:w="781" w:type="pct"/>
            <w:tcBorders>
              <w:top w:val="double" w:color="auto" w:sz="6" w:space="0"/>
            </w:tcBorders>
            <w:vAlign w:val="center"/>
          </w:tcPr>
          <w:p w14:paraId="23908FE8">
            <w:pPr>
              <w:keepNext/>
              <w:spacing w:line="440" w:lineRule="exact"/>
              <w:jc w:val="center"/>
              <w:rPr>
                <w:rFonts w:cs="宋体"/>
                <w:color w:val="auto"/>
                <w:szCs w:val="21"/>
                <w:highlight w:val="none"/>
              </w:rPr>
            </w:pPr>
          </w:p>
        </w:tc>
        <w:tc>
          <w:tcPr>
            <w:tcW w:w="938" w:type="pct"/>
            <w:tcBorders>
              <w:top w:val="double" w:color="auto" w:sz="6" w:space="0"/>
            </w:tcBorders>
            <w:vAlign w:val="center"/>
          </w:tcPr>
          <w:p w14:paraId="0BC1FF36">
            <w:pPr>
              <w:keepNext/>
              <w:spacing w:line="440" w:lineRule="exact"/>
              <w:jc w:val="center"/>
              <w:rPr>
                <w:rFonts w:cs="宋体"/>
                <w:color w:val="auto"/>
                <w:szCs w:val="21"/>
                <w:highlight w:val="none"/>
              </w:rPr>
            </w:pPr>
          </w:p>
        </w:tc>
      </w:tr>
      <w:tr w14:paraId="5EFAE0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top w:val="nil"/>
            </w:tcBorders>
            <w:vAlign w:val="center"/>
          </w:tcPr>
          <w:p w14:paraId="534CFB87">
            <w:pPr>
              <w:keepNext/>
              <w:spacing w:line="440" w:lineRule="exact"/>
              <w:jc w:val="center"/>
              <w:rPr>
                <w:rFonts w:cs="宋体"/>
                <w:color w:val="auto"/>
                <w:szCs w:val="21"/>
                <w:highlight w:val="none"/>
              </w:rPr>
            </w:pPr>
          </w:p>
        </w:tc>
        <w:tc>
          <w:tcPr>
            <w:tcW w:w="1094" w:type="pct"/>
            <w:tcBorders>
              <w:top w:val="nil"/>
            </w:tcBorders>
            <w:vAlign w:val="center"/>
          </w:tcPr>
          <w:p w14:paraId="42876DF4">
            <w:pPr>
              <w:keepNext/>
              <w:spacing w:line="440" w:lineRule="exact"/>
              <w:jc w:val="center"/>
              <w:rPr>
                <w:rFonts w:cs="宋体"/>
                <w:color w:val="auto"/>
                <w:szCs w:val="21"/>
                <w:highlight w:val="none"/>
              </w:rPr>
            </w:pPr>
          </w:p>
        </w:tc>
        <w:tc>
          <w:tcPr>
            <w:tcW w:w="468" w:type="pct"/>
            <w:tcBorders>
              <w:top w:val="nil"/>
            </w:tcBorders>
            <w:vAlign w:val="center"/>
          </w:tcPr>
          <w:p w14:paraId="7F48662F">
            <w:pPr>
              <w:keepNext/>
              <w:spacing w:line="440" w:lineRule="exact"/>
              <w:jc w:val="center"/>
              <w:rPr>
                <w:rFonts w:cs="宋体"/>
                <w:color w:val="auto"/>
                <w:szCs w:val="21"/>
                <w:highlight w:val="none"/>
              </w:rPr>
            </w:pPr>
          </w:p>
        </w:tc>
        <w:tc>
          <w:tcPr>
            <w:tcW w:w="426" w:type="pct"/>
            <w:tcBorders>
              <w:top w:val="nil"/>
            </w:tcBorders>
            <w:vAlign w:val="center"/>
          </w:tcPr>
          <w:p w14:paraId="468083F3">
            <w:pPr>
              <w:keepNext/>
              <w:spacing w:line="440" w:lineRule="exact"/>
              <w:jc w:val="center"/>
              <w:rPr>
                <w:rFonts w:cs="宋体"/>
                <w:color w:val="auto"/>
                <w:szCs w:val="21"/>
                <w:highlight w:val="none"/>
              </w:rPr>
            </w:pPr>
          </w:p>
        </w:tc>
        <w:tc>
          <w:tcPr>
            <w:tcW w:w="745" w:type="pct"/>
            <w:tcBorders>
              <w:top w:val="nil"/>
            </w:tcBorders>
            <w:vAlign w:val="center"/>
          </w:tcPr>
          <w:p w14:paraId="09CCDE74">
            <w:pPr>
              <w:keepNext/>
              <w:spacing w:line="440" w:lineRule="exact"/>
              <w:jc w:val="center"/>
              <w:rPr>
                <w:rFonts w:cs="宋体"/>
                <w:color w:val="auto"/>
                <w:szCs w:val="21"/>
                <w:highlight w:val="none"/>
              </w:rPr>
            </w:pPr>
          </w:p>
        </w:tc>
        <w:tc>
          <w:tcPr>
            <w:tcW w:w="781" w:type="pct"/>
            <w:tcBorders>
              <w:top w:val="nil"/>
            </w:tcBorders>
            <w:vAlign w:val="center"/>
          </w:tcPr>
          <w:p w14:paraId="409BF224">
            <w:pPr>
              <w:keepNext/>
              <w:spacing w:line="440" w:lineRule="exact"/>
              <w:jc w:val="center"/>
              <w:rPr>
                <w:rFonts w:cs="宋体"/>
                <w:color w:val="auto"/>
                <w:szCs w:val="21"/>
                <w:highlight w:val="none"/>
              </w:rPr>
            </w:pPr>
          </w:p>
        </w:tc>
        <w:tc>
          <w:tcPr>
            <w:tcW w:w="938" w:type="pct"/>
            <w:tcBorders>
              <w:top w:val="nil"/>
            </w:tcBorders>
            <w:vAlign w:val="center"/>
          </w:tcPr>
          <w:p w14:paraId="65CCE5DC">
            <w:pPr>
              <w:keepNext/>
              <w:spacing w:line="440" w:lineRule="exact"/>
              <w:jc w:val="center"/>
              <w:rPr>
                <w:rFonts w:cs="宋体"/>
                <w:color w:val="auto"/>
                <w:szCs w:val="21"/>
                <w:highlight w:val="none"/>
              </w:rPr>
            </w:pPr>
          </w:p>
        </w:tc>
      </w:tr>
      <w:tr w14:paraId="516567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vAlign w:val="center"/>
          </w:tcPr>
          <w:p w14:paraId="36F12480">
            <w:pPr>
              <w:keepNext/>
              <w:spacing w:line="440" w:lineRule="exact"/>
              <w:jc w:val="center"/>
              <w:rPr>
                <w:rFonts w:cs="宋体"/>
                <w:color w:val="auto"/>
                <w:szCs w:val="21"/>
                <w:highlight w:val="none"/>
              </w:rPr>
            </w:pPr>
          </w:p>
        </w:tc>
        <w:tc>
          <w:tcPr>
            <w:tcW w:w="1094" w:type="pct"/>
            <w:vAlign w:val="center"/>
          </w:tcPr>
          <w:p w14:paraId="1E6BBBF3">
            <w:pPr>
              <w:keepNext/>
              <w:spacing w:line="440" w:lineRule="exact"/>
              <w:jc w:val="center"/>
              <w:rPr>
                <w:rFonts w:cs="宋体"/>
                <w:color w:val="auto"/>
                <w:szCs w:val="21"/>
                <w:highlight w:val="none"/>
              </w:rPr>
            </w:pPr>
          </w:p>
        </w:tc>
        <w:tc>
          <w:tcPr>
            <w:tcW w:w="468" w:type="pct"/>
            <w:vAlign w:val="center"/>
          </w:tcPr>
          <w:p w14:paraId="08F5D397">
            <w:pPr>
              <w:keepNext/>
              <w:spacing w:line="440" w:lineRule="exact"/>
              <w:jc w:val="center"/>
              <w:rPr>
                <w:rFonts w:cs="宋体"/>
                <w:color w:val="auto"/>
                <w:szCs w:val="21"/>
                <w:highlight w:val="none"/>
              </w:rPr>
            </w:pPr>
          </w:p>
        </w:tc>
        <w:tc>
          <w:tcPr>
            <w:tcW w:w="426" w:type="pct"/>
            <w:vAlign w:val="center"/>
          </w:tcPr>
          <w:p w14:paraId="2FA7C0DA">
            <w:pPr>
              <w:keepNext/>
              <w:spacing w:line="440" w:lineRule="exact"/>
              <w:jc w:val="center"/>
              <w:rPr>
                <w:rFonts w:cs="宋体"/>
                <w:color w:val="auto"/>
                <w:szCs w:val="21"/>
                <w:highlight w:val="none"/>
              </w:rPr>
            </w:pPr>
          </w:p>
        </w:tc>
        <w:tc>
          <w:tcPr>
            <w:tcW w:w="745" w:type="pct"/>
            <w:vAlign w:val="center"/>
          </w:tcPr>
          <w:p w14:paraId="424F3DB7">
            <w:pPr>
              <w:keepNext/>
              <w:spacing w:line="440" w:lineRule="exact"/>
              <w:jc w:val="center"/>
              <w:rPr>
                <w:rFonts w:cs="宋体"/>
                <w:color w:val="auto"/>
                <w:szCs w:val="21"/>
                <w:highlight w:val="none"/>
              </w:rPr>
            </w:pPr>
          </w:p>
        </w:tc>
        <w:tc>
          <w:tcPr>
            <w:tcW w:w="781" w:type="pct"/>
            <w:vAlign w:val="center"/>
          </w:tcPr>
          <w:p w14:paraId="2F5FF678">
            <w:pPr>
              <w:keepNext/>
              <w:spacing w:line="440" w:lineRule="exact"/>
              <w:jc w:val="center"/>
              <w:rPr>
                <w:rFonts w:cs="宋体"/>
                <w:color w:val="auto"/>
                <w:szCs w:val="21"/>
                <w:highlight w:val="none"/>
              </w:rPr>
            </w:pPr>
          </w:p>
        </w:tc>
        <w:tc>
          <w:tcPr>
            <w:tcW w:w="938" w:type="pct"/>
            <w:vAlign w:val="center"/>
          </w:tcPr>
          <w:p w14:paraId="24346410">
            <w:pPr>
              <w:keepNext/>
              <w:spacing w:line="440" w:lineRule="exact"/>
              <w:jc w:val="center"/>
              <w:rPr>
                <w:rFonts w:cs="宋体"/>
                <w:color w:val="auto"/>
                <w:szCs w:val="21"/>
                <w:highlight w:val="none"/>
              </w:rPr>
            </w:pPr>
          </w:p>
        </w:tc>
      </w:tr>
      <w:tr w14:paraId="24101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548" w:type="pct"/>
            <w:tcBorders>
              <w:bottom w:val="single" w:color="auto" w:sz="12" w:space="0"/>
            </w:tcBorders>
            <w:vAlign w:val="center"/>
          </w:tcPr>
          <w:p w14:paraId="2BF4AB1B">
            <w:pPr>
              <w:keepNext/>
              <w:spacing w:line="440" w:lineRule="exact"/>
              <w:jc w:val="center"/>
              <w:rPr>
                <w:rFonts w:cs="宋体"/>
                <w:color w:val="auto"/>
                <w:szCs w:val="21"/>
                <w:highlight w:val="none"/>
              </w:rPr>
            </w:pPr>
          </w:p>
        </w:tc>
        <w:tc>
          <w:tcPr>
            <w:tcW w:w="1094" w:type="pct"/>
            <w:tcBorders>
              <w:bottom w:val="single" w:color="auto" w:sz="12" w:space="0"/>
            </w:tcBorders>
            <w:vAlign w:val="center"/>
          </w:tcPr>
          <w:p w14:paraId="59CA520F">
            <w:pPr>
              <w:keepNext/>
              <w:spacing w:line="440" w:lineRule="exact"/>
              <w:jc w:val="center"/>
              <w:rPr>
                <w:rFonts w:cs="宋体"/>
                <w:color w:val="auto"/>
                <w:szCs w:val="21"/>
                <w:highlight w:val="none"/>
              </w:rPr>
            </w:pPr>
          </w:p>
        </w:tc>
        <w:tc>
          <w:tcPr>
            <w:tcW w:w="468" w:type="pct"/>
            <w:tcBorders>
              <w:bottom w:val="single" w:color="auto" w:sz="12" w:space="0"/>
            </w:tcBorders>
            <w:vAlign w:val="center"/>
          </w:tcPr>
          <w:p w14:paraId="40719027">
            <w:pPr>
              <w:keepNext/>
              <w:spacing w:line="440" w:lineRule="exact"/>
              <w:jc w:val="center"/>
              <w:rPr>
                <w:rFonts w:cs="宋体"/>
                <w:color w:val="auto"/>
                <w:szCs w:val="21"/>
                <w:highlight w:val="none"/>
              </w:rPr>
            </w:pPr>
          </w:p>
        </w:tc>
        <w:tc>
          <w:tcPr>
            <w:tcW w:w="426" w:type="pct"/>
            <w:tcBorders>
              <w:bottom w:val="single" w:color="auto" w:sz="12" w:space="0"/>
            </w:tcBorders>
            <w:vAlign w:val="center"/>
          </w:tcPr>
          <w:p w14:paraId="5EDF6945">
            <w:pPr>
              <w:keepNext/>
              <w:spacing w:line="440" w:lineRule="exact"/>
              <w:jc w:val="center"/>
              <w:rPr>
                <w:rFonts w:cs="宋体"/>
                <w:color w:val="auto"/>
                <w:szCs w:val="21"/>
                <w:highlight w:val="none"/>
              </w:rPr>
            </w:pPr>
          </w:p>
        </w:tc>
        <w:tc>
          <w:tcPr>
            <w:tcW w:w="745" w:type="pct"/>
            <w:tcBorders>
              <w:bottom w:val="single" w:color="auto" w:sz="12" w:space="0"/>
            </w:tcBorders>
            <w:vAlign w:val="center"/>
          </w:tcPr>
          <w:p w14:paraId="04C42202">
            <w:pPr>
              <w:keepNext/>
              <w:spacing w:line="440" w:lineRule="exact"/>
              <w:jc w:val="center"/>
              <w:rPr>
                <w:rFonts w:cs="宋体"/>
                <w:color w:val="auto"/>
                <w:szCs w:val="21"/>
                <w:highlight w:val="none"/>
              </w:rPr>
            </w:pPr>
          </w:p>
        </w:tc>
        <w:tc>
          <w:tcPr>
            <w:tcW w:w="781" w:type="pct"/>
            <w:tcBorders>
              <w:bottom w:val="single" w:color="auto" w:sz="12" w:space="0"/>
            </w:tcBorders>
            <w:vAlign w:val="center"/>
          </w:tcPr>
          <w:p w14:paraId="23E99AA2">
            <w:pPr>
              <w:keepNext/>
              <w:spacing w:line="440" w:lineRule="exact"/>
              <w:jc w:val="center"/>
              <w:rPr>
                <w:rFonts w:cs="宋体"/>
                <w:color w:val="auto"/>
                <w:szCs w:val="21"/>
                <w:highlight w:val="none"/>
              </w:rPr>
            </w:pPr>
          </w:p>
        </w:tc>
        <w:tc>
          <w:tcPr>
            <w:tcW w:w="938" w:type="pct"/>
            <w:tcBorders>
              <w:bottom w:val="single" w:color="auto" w:sz="12" w:space="0"/>
            </w:tcBorders>
            <w:vAlign w:val="center"/>
          </w:tcPr>
          <w:p w14:paraId="604234E8">
            <w:pPr>
              <w:keepNext/>
              <w:spacing w:line="440" w:lineRule="exact"/>
              <w:jc w:val="center"/>
              <w:rPr>
                <w:rFonts w:cs="宋体"/>
                <w:color w:val="auto"/>
                <w:szCs w:val="21"/>
                <w:highlight w:val="none"/>
              </w:rPr>
            </w:pPr>
          </w:p>
        </w:tc>
      </w:tr>
    </w:tbl>
    <w:p w14:paraId="2273F6E8">
      <w:pPr>
        <w:rPr>
          <w:rFonts w:cs="宋体"/>
          <w:color w:val="auto"/>
          <w:szCs w:val="21"/>
          <w:highlight w:val="none"/>
        </w:rPr>
      </w:pPr>
    </w:p>
    <w:p w14:paraId="4DCFA532">
      <w:pPr>
        <w:spacing w:before="312" w:beforeLines="100" w:after="312" w:afterLines="100"/>
        <w:outlineLvl w:val="2"/>
        <w:rPr>
          <w:rFonts w:ascii="Times New Roman" w:eastAsia="黑体"/>
          <w:color w:val="auto"/>
          <w:szCs w:val="24"/>
          <w:highlight w:val="none"/>
        </w:rPr>
      </w:pPr>
      <w:r>
        <w:rPr>
          <w:rFonts w:hint="eastAsia" w:cs="宋体"/>
          <w:bCs/>
          <w:color w:val="auto"/>
          <w:highlight w:val="none"/>
        </w:rPr>
        <w:br w:type="page"/>
      </w:r>
      <w:bookmarkStart w:id="642" w:name="_Toc128950248"/>
      <w:r>
        <w:rPr>
          <w:rFonts w:hint="eastAsia" w:ascii="Times New Roman" w:eastAsia="黑体"/>
          <w:color w:val="auto"/>
          <w:szCs w:val="24"/>
          <w:highlight w:val="none"/>
        </w:rPr>
        <w:t>附件13：安全生产合同</w:t>
      </w:r>
      <w:bookmarkEnd w:id="642"/>
    </w:p>
    <w:p w14:paraId="45B55438">
      <w:pPr>
        <w:spacing w:before="156" w:beforeLines="50" w:after="156" w:afterLines="50" w:line="360" w:lineRule="auto"/>
        <w:jc w:val="center"/>
        <w:rPr>
          <w:rFonts w:cs="宋体"/>
          <w:b/>
          <w:color w:val="auto"/>
          <w:sz w:val="32"/>
          <w:szCs w:val="32"/>
          <w:highlight w:val="none"/>
        </w:rPr>
      </w:pPr>
      <w:bookmarkStart w:id="643" w:name="_Toc23792"/>
      <w:bookmarkStart w:id="644" w:name="_Toc11475"/>
      <w:r>
        <w:rPr>
          <w:rFonts w:hint="eastAsia" w:cs="宋体"/>
          <w:b/>
          <w:color w:val="auto"/>
          <w:sz w:val="32"/>
          <w:szCs w:val="32"/>
          <w:highlight w:val="none"/>
        </w:rPr>
        <w:t>安全生产合同</w:t>
      </w:r>
      <w:bookmarkEnd w:id="643"/>
      <w:bookmarkEnd w:id="644"/>
    </w:p>
    <w:p w14:paraId="18E5EEA4">
      <w:pPr>
        <w:spacing w:line="360" w:lineRule="auto"/>
        <w:ind w:firstLine="420" w:firstLineChars="200"/>
        <w:rPr>
          <w:rFonts w:cs="宋体"/>
          <w:color w:val="auto"/>
          <w:sz w:val="21"/>
          <w:szCs w:val="21"/>
          <w:highlight w:val="none"/>
        </w:rPr>
      </w:pPr>
      <w:r>
        <w:rPr>
          <w:rFonts w:hint="eastAsia" w:cs="宋体"/>
          <w:color w:val="auto"/>
          <w:sz w:val="21"/>
          <w:szCs w:val="21"/>
          <w:highlight w:val="none"/>
        </w:rPr>
        <w:t>为在</w:t>
      </w:r>
      <w:r>
        <w:rPr>
          <w:rFonts w:hint="eastAsia" w:cs="宋体"/>
          <w:color w:val="auto"/>
          <w:sz w:val="21"/>
          <w:szCs w:val="21"/>
          <w:highlight w:val="none"/>
          <w:u w:val="single"/>
        </w:rPr>
        <w:t xml:space="preserve">            </w:t>
      </w:r>
      <w:r>
        <w:rPr>
          <w:rFonts w:hint="eastAsia" w:cs="宋体"/>
          <w:color w:val="auto"/>
          <w:sz w:val="21"/>
          <w:szCs w:val="21"/>
          <w:highlight w:val="none"/>
        </w:rPr>
        <w:t>（项目名称）施工合同的实施过程中创造安全、高效的施工环境，切实搞好本项目的安全管理工作，本项目发包人</w:t>
      </w:r>
      <w:r>
        <w:rPr>
          <w:rFonts w:hint="eastAsia" w:cs="宋体"/>
          <w:color w:val="auto"/>
          <w:sz w:val="21"/>
          <w:szCs w:val="21"/>
          <w:highlight w:val="none"/>
          <w:u w:val="single"/>
        </w:rPr>
        <w:t xml:space="preserve">       </w:t>
      </w:r>
      <w:r>
        <w:rPr>
          <w:rFonts w:hint="eastAsia" w:cs="宋体"/>
          <w:color w:val="auto"/>
          <w:sz w:val="21"/>
          <w:szCs w:val="21"/>
          <w:highlight w:val="none"/>
        </w:rPr>
        <w:t>（发包人名称，以下简称“发包人”）与承包人</w:t>
      </w:r>
      <w:r>
        <w:rPr>
          <w:rFonts w:hint="eastAsia" w:cs="宋体"/>
          <w:color w:val="auto"/>
          <w:sz w:val="21"/>
          <w:szCs w:val="21"/>
          <w:highlight w:val="none"/>
          <w:u w:val="single"/>
        </w:rPr>
        <w:t xml:space="preserve">         </w:t>
      </w:r>
      <w:r>
        <w:rPr>
          <w:rFonts w:hint="eastAsia" w:cs="宋体"/>
          <w:color w:val="auto"/>
          <w:sz w:val="21"/>
          <w:szCs w:val="21"/>
          <w:highlight w:val="none"/>
        </w:rPr>
        <w:t>（承包人名称，以下简称“承包人”）特此签订安全生产合同：</w:t>
      </w:r>
    </w:p>
    <w:p w14:paraId="12F06470">
      <w:pPr>
        <w:spacing w:line="360" w:lineRule="auto"/>
        <w:ind w:firstLine="420" w:firstLineChars="200"/>
        <w:rPr>
          <w:rFonts w:cs="宋体"/>
          <w:color w:val="auto"/>
          <w:sz w:val="21"/>
          <w:szCs w:val="21"/>
          <w:highlight w:val="none"/>
        </w:rPr>
      </w:pPr>
      <w:r>
        <w:rPr>
          <w:rFonts w:hint="eastAsia" w:cs="宋体"/>
          <w:color w:val="auto"/>
          <w:sz w:val="21"/>
          <w:szCs w:val="21"/>
          <w:highlight w:val="none"/>
        </w:rPr>
        <w:t>1.发包人职责</w:t>
      </w:r>
    </w:p>
    <w:p w14:paraId="75C3AE00">
      <w:pPr>
        <w:spacing w:line="360" w:lineRule="auto"/>
        <w:ind w:firstLine="420" w:firstLineChars="200"/>
        <w:rPr>
          <w:rFonts w:cs="宋体"/>
          <w:color w:val="auto"/>
          <w:sz w:val="21"/>
          <w:szCs w:val="21"/>
          <w:highlight w:val="none"/>
        </w:rPr>
      </w:pPr>
      <w:r>
        <w:rPr>
          <w:rFonts w:hint="eastAsia" w:cs="宋体"/>
          <w:color w:val="auto"/>
          <w:sz w:val="21"/>
          <w:szCs w:val="21"/>
          <w:highlight w:val="none"/>
        </w:rPr>
        <w:t>（1）严格遵守国家有关安全生产的法律法规，认真执行工程承包合同中的有关安全要求。</w:t>
      </w:r>
    </w:p>
    <w:p w14:paraId="4BEB76E9">
      <w:pPr>
        <w:spacing w:line="360" w:lineRule="auto"/>
        <w:ind w:firstLine="420" w:firstLineChars="200"/>
        <w:rPr>
          <w:rFonts w:cs="宋体"/>
          <w:color w:val="auto"/>
          <w:sz w:val="21"/>
          <w:szCs w:val="21"/>
          <w:highlight w:val="none"/>
        </w:rPr>
      </w:pPr>
      <w:r>
        <w:rPr>
          <w:rFonts w:hint="eastAsia" w:cs="宋体"/>
          <w:color w:val="auto"/>
          <w:sz w:val="21"/>
          <w:szCs w:val="21"/>
          <w:highlight w:val="none"/>
        </w:rPr>
        <w:t>（2）按照“安全第一、预防为主”和坚持“管生产必须管安全”的原则进行安全生产管理，做到生产与安全工作同时计划、布置、检查、总结和评比。</w:t>
      </w:r>
    </w:p>
    <w:p w14:paraId="34ED5F1D">
      <w:pPr>
        <w:spacing w:line="360" w:lineRule="auto"/>
        <w:ind w:firstLine="420" w:firstLineChars="200"/>
        <w:rPr>
          <w:rFonts w:cs="宋体"/>
          <w:color w:val="auto"/>
          <w:sz w:val="21"/>
          <w:szCs w:val="21"/>
          <w:highlight w:val="none"/>
        </w:rPr>
      </w:pPr>
      <w:r>
        <w:rPr>
          <w:rFonts w:hint="eastAsia" w:cs="宋体"/>
          <w:color w:val="auto"/>
          <w:sz w:val="21"/>
          <w:szCs w:val="21"/>
          <w:highlight w:val="none"/>
        </w:rPr>
        <w:t>（3）重要的安全设施必须坚持与主体工程“三同时”的原则，即：同时设计、审批，同时施工，同时验收，投入使用。</w:t>
      </w:r>
    </w:p>
    <w:p w14:paraId="461D1433">
      <w:pPr>
        <w:spacing w:line="360" w:lineRule="auto"/>
        <w:ind w:firstLine="420" w:firstLineChars="200"/>
        <w:rPr>
          <w:rFonts w:cs="宋体"/>
          <w:color w:val="auto"/>
          <w:sz w:val="21"/>
          <w:szCs w:val="21"/>
          <w:highlight w:val="none"/>
        </w:rPr>
      </w:pPr>
      <w:r>
        <w:rPr>
          <w:rFonts w:hint="eastAsia" w:cs="宋体"/>
          <w:color w:val="auto"/>
          <w:sz w:val="21"/>
          <w:szCs w:val="21"/>
          <w:highlight w:val="none"/>
        </w:rPr>
        <w:t>（4）定期召开安全生产调度会，及时传达中央及地方有关安全生产的精神。</w:t>
      </w:r>
    </w:p>
    <w:p w14:paraId="4D3A55FB">
      <w:pPr>
        <w:spacing w:line="360" w:lineRule="auto"/>
        <w:ind w:firstLine="420" w:firstLineChars="200"/>
        <w:rPr>
          <w:rFonts w:cs="宋体"/>
          <w:color w:val="auto"/>
          <w:sz w:val="21"/>
          <w:szCs w:val="21"/>
          <w:highlight w:val="none"/>
        </w:rPr>
      </w:pPr>
      <w:r>
        <w:rPr>
          <w:rFonts w:hint="eastAsia" w:cs="宋体"/>
          <w:color w:val="auto"/>
          <w:sz w:val="21"/>
          <w:szCs w:val="21"/>
          <w:highlight w:val="none"/>
        </w:rPr>
        <w:t>（5）组织对承包人施工现场安全生产检查，监督承包人及时处理发现的各种安全隐患。</w:t>
      </w:r>
    </w:p>
    <w:p w14:paraId="09BB60A7">
      <w:pPr>
        <w:spacing w:line="360" w:lineRule="auto"/>
        <w:ind w:firstLine="420" w:firstLineChars="200"/>
        <w:rPr>
          <w:rFonts w:cs="宋体"/>
          <w:color w:val="auto"/>
          <w:sz w:val="21"/>
          <w:szCs w:val="21"/>
          <w:highlight w:val="none"/>
        </w:rPr>
      </w:pPr>
      <w:r>
        <w:rPr>
          <w:rFonts w:hint="eastAsia" w:cs="宋体"/>
          <w:color w:val="auto"/>
          <w:sz w:val="21"/>
          <w:szCs w:val="21"/>
          <w:highlight w:val="none"/>
        </w:rPr>
        <w:t>2.承包人职责</w:t>
      </w:r>
    </w:p>
    <w:p w14:paraId="13800E2C">
      <w:pPr>
        <w:spacing w:line="360" w:lineRule="auto"/>
        <w:ind w:firstLine="420" w:firstLineChars="200"/>
        <w:rPr>
          <w:rFonts w:cs="宋体"/>
          <w:color w:val="auto"/>
          <w:sz w:val="21"/>
          <w:szCs w:val="21"/>
          <w:highlight w:val="none"/>
        </w:rPr>
      </w:pPr>
      <w:r>
        <w:rPr>
          <w:rFonts w:hint="eastAsia" w:cs="宋体"/>
          <w:color w:val="auto"/>
          <w:sz w:val="21"/>
          <w:szCs w:val="21"/>
          <w:highlight w:val="none"/>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3C01FD3F">
      <w:pPr>
        <w:spacing w:line="360" w:lineRule="auto"/>
        <w:ind w:firstLine="420" w:firstLineChars="200"/>
        <w:rPr>
          <w:rFonts w:cs="宋体"/>
          <w:color w:val="auto"/>
          <w:sz w:val="21"/>
          <w:szCs w:val="21"/>
          <w:highlight w:val="none"/>
        </w:rPr>
      </w:pPr>
      <w:r>
        <w:rPr>
          <w:rFonts w:hint="eastAsia" w:cs="宋体"/>
          <w:color w:val="auto"/>
          <w:sz w:val="21"/>
          <w:szCs w:val="21"/>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4B2D8C1F">
      <w:pPr>
        <w:spacing w:line="360" w:lineRule="auto"/>
        <w:ind w:firstLine="420" w:firstLineChars="200"/>
        <w:rPr>
          <w:rFonts w:cs="宋体"/>
          <w:color w:val="auto"/>
          <w:sz w:val="21"/>
          <w:szCs w:val="21"/>
          <w:highlight w:val="none"/>
        </w:rPr>
      </w:pPr>
      <w:r>
        <w:rPr>
          <w:rFonts w:hint="eastAsia" w:cs="宋体"/>
          <w:color w:val="auto"/>
          <w:sz w:val="21"/>
          <w:szCs w:val="21"/>
          <w:highlight w:val="none"/>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07113C5F">
      <w:pPr>
        <w:spacing w:line="360" w:lineRule="auto"/>
        <w:ind w:firstLine="420" w:firstLineChars="200"/>
        <w:rPr>
          <w:rFonts w:cs="宋体"/>
          <w:color w:val="auto"/>
          <w:sz w:val="21"/>
          <w:szCs w:val="21"/>
          <w:highlight w:val="none"/>
        </w:rPr>
      </w:pPr>
      <w:r>
        <w:rPr>
          <w:rFonts w:hint="eastAsia" w:cs="宋体"/>
          <w:color w:val="auto"/>
          <w:sz w:val="21"/>
          <w:szCs w:val="21"/>
          <w:highlight w:val="none"/>
        </w:rPr>
        <w:t>（4）承包人在任何时候都应采取各种合理的预防措施，防止其员工发生任何违法、违禁、暴力或妨碍治安的行为。</w:t>
      </w:r>
    </w:p>
    <w:p w14:paraId="1D8F1189">
      <w:pPr>
        <w:spacing w:line="360" w:lineRule="auto"/>
        <w:ind w:firstLine="420" w:firstLineChars="200"/>
        <w:rPr>
          <w:rFonts w:cs="宋体"/>
          <w:color w:val="auto"/>
          <w:sz w:val="21"/>
          <w:szCs w:val="21"/>
          <w:highlight w:val="none"/>
        </w:rPr>
      </w:pPr>
      <w:r>
        <w:rPr>
          <w:rFonts w:hint="eastAsia" w:cs="宋体"/>
          <w:color w:val="auto"/>
          <w:sz w:val="21"/>
          <w:szCs w:val="21"/>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0FEFD754">
      <w:pPr>
        <w:spacing w:line="360" w:lineRule="auto"/>
        <w:ind w:firstLine="420" w:firstLineChars="200"/>
        <w:rPr>
          <w:rFonts w:cs="宋体"/>
          <w:color w:val="auto"/>
          <w:sz w:val="21"/>
          <w:szCs w:val="21"/>
          <w:highlight w:val="none"/>
        </w:rPr>
      </w:pPr>
      <w:r>
        <w:rPr>
          <w:rFonts w:hint="eastAsia" w:cs="宋体"/>
          <w:color w:val="auto"/>
          <w:sz w:val="21"/>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422AEACF">
      <w:pPr>
        <w:spacing w:line="360" w:lineRule="auto"/>
        <w:ind w:firstLine="420" w:firstLineChars="200"/>
        <w:rPr>
          <w:rFonts w:cs="宋体"/>
          <w:color w:val="auto"/>
          <w:sz w:val="21"/>
          <w:szCs w:val="21"/>
          <w:highlight w:val="none"/>
        </w:rPr>
      </w:pPr>
      <w:r>
        <w:rPr>
          <w:rFonts w:hint="eastAsia" w:cs="宋体"/>
          <w:color w:val="auto"/>
          <w:sz w:val="21"/>
          <w:szCs w:val="21"/>
          <w:highlight w:val="none"/>
        </w:rPr>
        <w:t>（7）操作人员上岗，必须按规定穿戴防护用品。施工负责人和安全检查员应随时检查劳动防护用品的穿戴情况，不按规定穿戴防护用品的人员不得上岗。</w:t>
      </w:r>
    </w:p>
    <w:p w14:paraId="166EAB45">
      <w:pPr>
        <w:spacing w:line="360" w:lineRule="auto"/>
        <w:ind w:firstLine="420" w:firstLineChars="200"/>
        <w:rPr>
          <w:rFonts w:cs="宋体"/>
          <w:color w:val="auto"/>
          <w:sz w:val="21"/>
          <w:szCs w:val="21"/>
          <w:highlight w:val="none"/>
        </w:rPr>
      </w:pPr>
      <w:r>
        <w:rPr>
          <w:rFonts w:hint="eastAsia" w:cs="宋体"/>
          <w:color w:val="auto"/>
          <w:sz w:val="21"/>
          <w:szCs w:val="21"/>
          <w:highlight w:val="none"/>
        </w:rPr>
        <w:t>（8）所有施工机具设备和高空作业的设备均应定期检查，并有安全员的签字记录，保证其经常处于完好状态；不合格的机具、设备和劳动保护用品严禁使用：</w:t>
      </w:r>
    </w:p>
    <w:p w14:paraId="44EADDB1">
      <w:pPr>
        <w:spacing w:line="360" w:lineRule="auto"/>
        <w:ind w:firstLine="420" w:firstLineChars="200"/>
        <w:rPr>
          <w:rFonts w:cs="宋体"/>
          <w:color w:val="auto"/>
          <w:sz w:val="21"/>
          <w:szCs w:val="21"/>
          <w:highlight w:val="none"/>
        </w:rPr>
      </w:pPr>
      <w:r>
        <w:rPr>
          <w:rFonts w:hint="eastAsia" w:cs="宋体"/>
          <w:color w:val="auto"/>
          <w:sz w:val="21"/>
          <w:szCs w:val="21"/>
          <w:highlight w:val="none"/>
        </w:rPr>
        <w:t>（9）施工中采用新技术、新工艺、新设备、新材料时，必须制定相应的安全技术措施，施工现场必须具有相关的安全标志牌。</w:t>
      </w:r>
    </w:p>
    <w:p w14:paraId="0B0FB979">
      <w:pPr>
        <w:spacing w:line="360" w:lineRule="auto"/>
        <w:ind w:firstLine="420" w:firstLineChars="200"/>
        <w:rPr>
          <w:rFonts w:cs="宋体"/>
          <w:color w:val="auto"/>
          <w:sz w:val="21"/>
          <w:szCs w:val="21"/>
          <w:highlight w:val="none"/>
        </w:rPr>
      </w:pPr>
      <w:r>
        <w:rPr>
          <w:rFonts w:hint="eastAsia" w:cs="宋体"/>
          <w:color w:val="auto"/>
          <w:sz w:val="21"/>
          <w:szCs w:val="21"/>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505AF999">
      <w:pPr>
        <w:spacing w:line="360" w:lineRule="auto"/>
        <w:ind w:firstLine="420" w:firstLineChars="200"/>
        <w:rPr>
          <w:rFonts w:cs="宋体"/>
          <w:color w:val="auto"/>
          <w:sz w:val="21"/>
          <w:szCs w:val="21"/>
          <w:highlight w:val="none"/>
        </w:rPr>
      </w:pPr>
      <w:r>
        <w:rPr>
          <w:rFonts w:hint="eastAsia" w:cs="宋体"/>
          <w:color w:val="auto"/>
          <w:sz w:val="21"/>
          <w:szCs w:val="21"/>
          <w:highlight w:val="none"/>
        </w:rPr>
        <w:t>（11）安全生产费用按照《建设工程安全生产管理条例》的相关规定使用和管理。</w:t>
      </w:r>
    </w:p>
    <w:p w14:paraId="6839B957">
      <w:pPr>
        <w:spacing w:line="360" w:lineRule="auto"/>
        <w:ind w:firstLine="420" w:firstLineChars="200"/>
        <w:rPr>
          <w:rFonts w:cs="宋体"/>
          <w:color w:val="auto"/>
          <w:sz w:val="21"/>
          <w:szCs w:val="21"/>
          <w:highlight w:val="none"/>
        </w:rPr>
      </w:pPr>
      <w:r>
        <w:rPr>
          <w:rFonts w:hint="eastAsia" w:cs="宋体"/>
          <w:color w:val="auto"/>
          <w:sz w:val="21"/>
          <w:szCs w:val="21"/>
          <w:highlight w:val="none"/>
        </w:rPr>
        <w:t>3.违约责任</w:t>
      </w:r>
    </w:p>
    <w:p w14:paraId="5B614D5C">
      <w:pPr>
        <w:spacing w:line="360" w:lineRule="auto"/>
        <w:ind w:firstLine="420" w:firstLineChars="200"/>
        <w:rPr>
          <w:rFonts w:cs="宋体"/>
          <w:color w:val="auto"/>
          <w:sz w:val="21"/>
          <w:szCs w:val="21"/>
          <w:highlight w:val="none"/>
        </w:rPr>
      </w:pPr>
      <w:r>
        <w:rPr>
          <w:rFonts w:hint="eastAsia" w:cs="宋体"/>
          <w:color w:val="auto"/>
          <w:sz w:val="21"/>
          <w:szCs w:val="21"/>
          <w:highlight w:val="none"/>
        </w:rPr>
        <w:t>如因发包人或承包人违约造成安全事故，将依法追究责任。</w:t>
      </w:r>
    </w:p>
    <w:p w14:paraId="53DBE7D1">
      <w:pPr>
        <w:spacing w:line="360" w:lineRule="auto"/>
        <w:ind w:firstLine="420" w:firstLineChars="200"/>
        <w:rPr>
          <w:rFonts w:cs="宋体"/>
          <w:color w:val="auto"/>
          <w:sz w:val="21"/>
          <w:szCs w:val="21"/>
          <w:highlight w:val="none"/>
        </w:rPr>
      </w:pPr>
      <w:r>
        <w:rPr>
          <w:rFonts w:hint="eastAsia" w:cs="宋体"/>
          <w:color w:val="auto"/>
          <w:sz w:val="21"/>
          <w:szCs w:val="21"/>
          <w:highlight w:val="none"/>
        </w:rPr>
        <w:t>4.本合同由双方法定代表人或其授权的代理人签署并加盖单位章后生效，全部工程竣工验收后失效。</w:t>
      </w:r>
    </w:p>
    <w:p w14:paraId="16C5B290">
      <w:pPr>
        <w:spacing w:line="360" w:lineRule="auto"/>
        <w:ind w:firstLine="420" w:firstLineChars="200"/>
        <w:rPr>
          <w:rFonts w:cs="宋体"/>
          <w:color w:val="auto"/>
          <w:sz w:val="21"/>
          <w:szCs w:val="21"/>
          <w:highlight w:val="none"/>
        </w:rPr>
      </w:pPr>
      <w:r>
        <w:rPr>
          <w:rFonts w:hint="eastAsia" w:cs="宋体"/>
          <w:color w:val="auto"/>
          <w:sz w:val="21"/>
          <w:szCs w:val="21"/>
          <w:highlight w:val="none"/>
        </w:rPr>
        <w:t>5.本合同正本—式</w:t>
      </w:r>
      <w:r>
        <w:rPr>
          <w:rFonts w:hint="eastAsia" w:cs="宋体"/>
          <w:color w:val="auto"/>
          <w:sz w:val="21"/>
          <w:szCs w:val="21"/>
          <w:highlight w:val="none"/>
          <w:u w:val="single"/>
        </w:rPr>
        <w:t xml:space="preserve">   </w:t>
      </w:r>
      <w:r>
        <w:rPr>
          <w:rFonts w:hint="eastAsia" w:cs="宋体"/>
          <w:color w:val="auto"/>
          <w:sz w:val="21"/>
          <w:szCs w:val="21"/>
          <w:highlight w:val="none"/>
        </w:rPr>
        <w:t>份，副本</w:t>
      </w:r>
      <w:r>
        <w:rPr>
          <w:rFonts w:hint="eastAsia" w:cs="宋体"/>
          <w:color w:val="auto"/>
          <w:sz w:val="21"/>
          <w:szCs w:val="21"/>
          <w:highlight w:val="none"/>
          <w:u w:val="single"/>
        </w:rPr>
        <w:t xml:space="preserve">  </w:t>
      </w:r>
      <w:r>
        <w:rPr>
          <w:rFonts w:hint="eastAsia" w:cs="宋体"/>
          <w:color w:val="auto"/>
          <w:sz w:val="21"/>
          <w:szCs w:val="21"/>
          <w:highlight w:val="none"/>
        </w:rPr>
        <w:t>份，合同双方各执正本—份，副本</w:t>
      </w:r>
      <w:r>
        <w:rPr>
          <w:rFonts w:hint="eastAsia" w:cs="宋体"/>
          <w:color w:val="auto"/>
          <w:sz w:val="21"/>
          <w:szCs w:val="21"/>
          <w:highlight w:val="none"/>
          <w:u w:val="single"/>
        </w:rPr>
        <w:t xml:space="preserve">  </w:t>
      </w:r>
      <w:r>
        <w:rPr>
          <w:rFonts w:hint="eastAsia" w:cs="宋体"/>
          <w:color w:val="auto"/>
          <w:sz w:val="21"/>
          <w:szCs w:val="21"/>
          <w:highlight w:val="none"/>
        </w:rPr>
        <w:t>份，当正本与副本的内容不一致时，以正本为准。</w:t>
      </w:r>
    </w:p>
    <w:p w14:paraId="72E7CF31">
      <w:pPr>
        <w:spacing w:line="360" w:lineRule="auto"/>
        <w:rPr>
          <w:rFonts w:cs="宋体"/>
          <w:color w:val="auto"/>
          <w:sz w:val="21"/>
          <w:szCs w:val="21"/>
          <w:highlight w:val="none"/>
        </w:rPr>
      </w:pPr>
    </w:p>
    <w:p w14:paraId="1426C303">
      <w:pPr>
        <w:spacing w:line="360" w:lineRule="auto"/>
        <w:rPr>
          <w:rFonts w:cs="宋体"/>
          <w:color w:val="auto"/>
          <w:sz w:val="21"/>
          <w:szCs w:val="21"/>
          <w:highlight w:val="none"/>
        </w:rPr>
      </w:pPr>
    </w:p>
    <w:p w14:paraId="34D89FB6">
      <w:pPr>
        <w:spacing w:line="360" w:lineRule="auto"/>
        <w:rPr>
          <w:rFonts w:cs="宋体"/>
          <w:color w:val="auto"/>
          <w:sz w:val="21"/>
          <w:szCs w:val="21"/>
          <w:highlight w:val="none"/>
        </w:rPr>
      </w:pPr>
      <w:r>
        <w:rPr>
          <w:rFonts w:hint="eastAsia" w:cs="宋体"/>
          <w:color w:val="auto"/>
          <w:sz w:val="21"/>
          <w:szCs w:val="21"/>
          <w:highlight w:val="none"/>
        </w:rPr>
        <w:t>发包人：</w:t>
      </w:r>
      <w:r>
        <w:rPr>
          <w:rFonts w:hint="eastAsia" w:cs="宋体"/>
          <w:color w:val="auto"/>
          <w:sz w:val="21"/>
          <w:szCs w:val="21"/>
          <w:highlight w:val="none"/>
          <w:u w:val="single"/>
        </w:rPr>
        <w:t xml:space="preserve">            </w:t>
      </w:r>
      <w:r>
        <w:rPr>
          <w:rFonts w:hint="eastAsia" w:cs="宋体"/>
          <w:color w:val="auto"/>
          <w:sz w:val="21"/>
          <w:szCs w:val="21"/>
          <w:highlight w:val="none"/>
        </w:rPr>
        <w:t>（盖单位章）          承包人：</w:t>
      </w:r>
      <w:r>
        <w:rPr>
          <w:rFonts w:hint="eastAsia" w:cs="宋体"/>
          <w:color w:val="auto"/>
          <w:sz w:val="21"/>
          <w:szCs w:val="21"/>
          <w:highlight w:val="none"/>
          <w:u w:val="single"/>
        </w:rPr>
        <w:t xml:space="preserve">        </w:t>
      </w:r>
      <w:r>
        <w:rPr>
          <w:rFonts w:hint="eastAsia" w:cs="宋体"/>
          <w:color w:val="auto"/>
          <w:sz w:val="21"/>
          <w:szCs w:val="21"/>
          <w:highlight w:val="none"/>
        </w:rPr>
        <w:t>（盖单位章）</w:t>
      </w:r>
    </w:p>
    <w:p w14:paraId="1D9BC624">
      <w:pPr>
        <w:spacing w:line="360" w:lineRule="auto"/>
        <w:rPr>
          <w:rFonts w:cs="宋体"/>
          <w:color w:val="auto"/>
          <w:sz w:val="21"/>
          <w:szCs w:val="21"/>
          <w:highlight w:val="none"/>
        </w:rPr>
      </w:pPr>
    </w:p>
    <w:p w14:paraId="162AD399">
      <w:pPr>
        <w:spacing w:line="360" w:lineRule="auto"/>
        <w:rPr>
          <w:rFonts w:cs="宋体"/>
          <w:color w:val="auto"/>
          <w:sz w:val="21"/>
          <w:szCs w:val="21"/>
          <w:highlight w:val="none"/>
        </w:rPr>
      </w:pPr>
      <w:r>
        <w:rPr>
          <w:rFonts w:hint="eastAsia" w:cs="宋体"/>
          <w:color w:val="auto"/>
          <w:sz w:val="21"/>
          <w:szCs w:val="21"/>
          <w:highlight w:val="none"/>
        </w:rPr>
        <w:t>法定代表人或其委托代理人：</w:t>
      </w:r>
      <w:r>
        <w:rPr>
          <w:rFonts w:hint="eastAsia" w:cs="宋体"/>
          <w:color w:val="auto"/>
          <w:sz w:val="21"/>
          <w:szCs w:val="21"/>
          <w:highlight w:val="none"/>
          <w:u w:val="single"/>
        </w:rPr>
        <w:t xml:space="preserve">  </w:t>
      </w:r>
      <w:r>
        <w:rPr>
          <w:rFonts w:hint="eastAsia" w:cs="宋体"/>
          <w:color w:val="auto"/>
          <w:sz w:val="21"/>
          <w:szCs w:val="21"/>
          <w:highlight w:val="none"/>
        </w:rPr>
        <w:t>（签字）     法定代表人或其委托代理人：</w:t>
      </w:r>
      <w:r>
        <w:rPr>
          <w:rFonts w:hint="eastAsia" w:cs="宋体"/>
          <w:color w:val="auto"/>
          <w:sz w:val="21"/>
          <w:szCs w:val="21"/>
          <w:highlight w:val="none"/>
          <w:u w:val="single"/>
        </w:rPr>
        <w:t xml:space="preserve">   </w:t>
      </w:r>
      <w:r>
        <w:rPr>
          <w:rFonts w:hint="eastAsia" w:cs="宋体"/>
          <w:color w:val="auto"/>
          <w:sz w:val="21"/>
          <w:szCs w:val="21"/>
          <w:highlight w:val="none"/>
        </w:rPr>
        <w:t>（签字）</w:t>
      </w:r>
    </w:p>
    <w:p w14:paraId="266BC7F2">
      <w:pPr>
        <w:spacing w:line="360" w:lineRule="auto"/>
        <w:rPr>
          <w:rFonts w:cs="宋体"/>
          <w:color w:val="auto"/>
          <w:sz w:val="21"/>
          <w:szCs w:val="21"/>
          <w:highlight w:val="none"/>
        </w:rPr>
      </w:pPr>
    </w:p>
    <w:p w14:paraId="30796BA0">
      <w:pPr>
        <w:spacing w:line="360" w:lineRule="auto"/>
        <w:ind w:firstLine="840"/>
        <w:rPr>
          <w:rFonts w:cs="宋体"/>
          <w:color w:val="auto"/>
          <w:sz w:val="21"/>
          <w:szCs w:val="21"/>
          <w:highlight w:val="none"/>
        </w:rPr>
      </w:pP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 xml:space="preserve">日                </w:t>
      </w:r>
      <w:r>
        <w:rPr>
          <w:rFonts w:hint="eastAsia" w:cs="宋体"/>
          <w:color w:val="auto"/>
          <w:sz w:val="21"/>
          <w:szCs w:val="21"/>
          <w:highlight w:val="none"/>
          <w:u w:val="single"/>
        </w:rPr>
        <w:t xml:space="preserve">      </w:t>
      </w:r>
      <w:r>
        <w:rPr>
          <w:rFonts w:hint="eastAsia" w:cs="宋体"/>
          <w:color w:val="auto"/>
          <w:sz w:val="21"/>
          <w:szCs w:val="21"/>
          <w:highlight w:val="none"/>
        </w:rPr>
        <w:t>年</w:t>
      </w:r>
      <w:r>
        <w:rPr>
          <w:rFonts w:hint="eastAsia" w:cs="宋体"/>
          <w:color w:val="auto"/>
          <w:sz w:val="21"/>
          <w:szCs w:val="21"/>
          <w:highlight w:val="none"/>
          <w:u w:val="single"/>
        </w:rPr>
        <w:t xml:space="preserve">    </w:t>
      </w:r>
      <w:r>
        <w:rPr>
          <w:rFonts w:hint="eastAsia" w:cs="宋体"/>
          <w:color w:val="auto"/>
          <w:sz w:val="21"/>
          <w:szCs w:val="21"/>
          <w:highlight w:val="none"/>
        </w:rPr>
        <w:t>月</w:t>
      </w:r>
      <w:r>
        <w:rPr>
          <w:rFonts w:hint="eastAsia" w:cs="宋体"/>
          <w:color w:val="auto"/>
          <w:sz w:val="21"/>
          <w:szCs w:val="21"/>
          <w:highlight w:val="none"/>
          <w:u w:val="single"/>
        </w:rPr>
        <w:t xml:space="preserve">    </w:t>
      </w:r>
      <w:r>
        <w:rPr>
          <w:rFonts w:hint="eastAsia" w:cs="宋体"/>
          <w:color w:val="auto"/>
          <w:sz w:val="21"/>
          <w:szCs w:val="21"/>
          <w:highlight w:val="none"/>
        </w:rPr>
        <w:t>日</w:t>
      </w:r>
    </w:p>
    <w:p w14:paraId="67D3DAD0">
      <w:pPr>
        <w:spacing w:before="312" w:beforeLines="100" w:after="312" w:afterLines="100"/>
        <w:outlineLvl w:val="2"/>
        <w:rPr>
          <w:rFonts w:ascii="Times New Roman" w:eastAsia="黑体"/>
          <w:color w:val="auto"/>
          <w:szCs w:val="24"/>
          <w:highlight w:val="none"/>
        </w:rPr>
      </w:pPr>
      <w:r>
        <w:rPr>
          <w:rFonts w:hint="eastAsia" w:cs="宋体"/>
          <w:bCs/>
          <w:color w:val="auto"/>
          <w:kern w:val="44"/>
          <w:sz w:val="21"/>
          <w:szCs w:val="21"/>
          <w:highlight w:val="none"/>
        </w:rPr>
        <w:br w:type="page"/>
      </w:r>
      <w:bookmarkStart w:id="645" w:name="_Toc128950249"/>
      <w:r>
        <w:rPr>
          <w:rFonts w:hint="eastAsia" w:ascii="Times New Roman" w:eastAsia="黑体"/>
          <w:color w:val="auto"/>
          <w:szCs w:val="24"/>
          <w:highlight w:val="none"/>
        </w:rPr>
        <w:t>附件14：项目经理质量终身责任制承诺</w:t>
      </w:r>
      <w:bookmarkEnd w:id="645"/>
    </w:p>
    <w:p w14:paraId="2A150165">
      <w:pPr>
        <w:spacing w:before="156" w:beforeLines="50" w:after="156" w:afterLines="50" w:line="360" w:lineRule="auto"/>
        <w:jc w:val="center"/>
        <w:rPr>
          <w:rFonts w:cs="宋体"/>
          <w:b/>
          <w:color w:val="auto"/>
          <w:sz w:val="32"/>
          <w:szCs w:val="32"/>
          <w:highlight w:val="none"/>
        </w:rPr>
      </w:pPr>
      <w:bookmarkStart w:id="646" w:name="_Toc19417"/>
      <w:bookmarkStart w:id="647" w:name="_Toc128950250"/>
      <w:bookmarkStart w:id="648" w:name="_Toc14540"/>
      <w:r>
        <w:rPr>
          <w:rFonts w:hint="eastAsia" w:cs="宋体"/>
          <w:b/>
          <w:color w:val="auto"/>
          <w:sz w:val="32"/>
          <w:szCs w:val="32"/>
          <w:highlight w:val="none"/>
        </w:rPr>
        <w:t>项目经理质量终身责任制承诺</w:t>
      </w:r>
      <w:bookmarkEnd w:id="646"/>
      <w:bookmarkEnd w:id="647"/>
      <w:bookmarkEnd w:id="648"/>
    </w:p>
    <w:p w14:paraId="2218CB91">
      <w:pPr>
        <w:spacing w:line="360" w:lineRule="auto"/>
        <w:rPr>
          <w:rFonts w:cs="宋体"/>
          <w:bCs/>
          <w:color w:val="auto"/>
          <w:sz w:val="21"/>
          <w:szCs w:val="21"/>
          <w:highlight w:val="none"/>
        </w:rPr>
      </w:pPr>
      <w:r>
        <w:rPr>
          <w:rFonts w:hint="eastAsia" w:cs="宋体"/>
          <w:bCs/>
          <w:color w:val="auto"/>
          <w:sz w:val="21"/>
          <w:szCs w:val="21"/>
          <w:highlight w:val="none"/>
        </w:rPr>
        <w:t>致：</w:t>
      </w:r>
      <w:r>
        <w:rPr>
          <w:rFonts w:hint="eastAsia" w:cs="宋体"/>
          <w:bCs/>
          <w:color w:val="auto"/>
          <w:sz w:val="21"/>
          <w:szCs w:val="21"/>
          <w:highlight w:val="none"/>
          <w:u w:val="single"/>
        </w:rPr>
        <w:t>（采购人）</w:t>
      </w:r>
    </w:p>
    <w:p w14:paraId="00EE26E5">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本人作为施工项目经理，承担相关质量终身责任，现郑重承诺如下：</w:t>
      </w:r>
    </w:p>
    <w:p w14:paraId="16682F41">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一、在取得施工许可证后进行施工。</w:t>
      </w:r>
    </w:p>
    <w:p w14:paraId="01A8DD76">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二、严格执行施工规范及标准。</w:t>
      </w:r>
    </w:p>
    <w:p w14:paraId="7C869E03">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三、严格按规定配备施工项目部关键岗位人员，并确保所有人员到岗履职。</w:t>
      </w:r>
    </w:p>
    <w:p w14:paraId="4298B5AC">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四、严格按照经施工图审查机构审查合格的工程设计文件及合同约定的质量标准精心组织施工。</w:t>
      </w:r>
    </w:p>
    <w:p w14:paraId="0F3B16D0">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五、施工中采用合格的建筑材料、建筑构配件和设备等，并严格按规定执行见证取样制度。</w:t>
      </w:r>
    </w:p>
    <w:p w14:paraId="63E90FE2">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六、建立、健全质量检查、验收制度，严格工序管理，做好隐蔽工程质量的检查和记录。</w:t>
      </w:r>
    </w:p>
    <w:p w14:paraId="43B75DD4">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七、对施工中出现的质量问题，及时进行整改。严格依法依规履行义务。</w:t>
      </w:r>
    </w:p>
    <w:p w14:paraId="48E8D2CD">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八、履行相关工程质量检查、验收及事故处理等职责。</w:t>
      </w:r>
    </w:p>
    <w:p w14:paraId="4C7FCE79">
      <w:pPr>
        <w:spacing w:line="360" w:lineRule="auto"/>
        <w:ind w:firstLine="420" w:firstLineChars="200"/>
        <w:rPr>
          <w:rFonts w:cs="宋体"/>
          <w:bCs/>
          <w:color w:val="auto"/>
          <w:sz w:val="21"/>
          <w:szCs w:val="21"/>
          <w:highlight w:val="none"/>
        </w:rPr>
      </w:pPr>
      <w:r>
        <w:rPr>
          <w:rFonts w:hint="eastAsia" w:cs="宋体"/>
          <w:bCs/>
          <w:color w:val="auto"/>
          <w:sz w:val="21"/>
          <w:szCs w:val="21"/>
          <w:highlight w:val="none"/>
        </w:rPr>
        <w:t>九、履行其他法律法规规定的职责。</w:t>
      </w:r>
    </w:p>
    <w:p w14:paraId="3D83A09B">
      <w:pPr>
        <w:spacing w:line="360" w:lineRule="auto"/>
        <w:ind w:left="342" w:leftChars="171" w:firstLine="630" w:firstLineChars="300"/>
        <w:rPr>
          <w:rFonts w:cs="宋体"/>
          <w:bCs/>
          <w:color w:val="auto"/>
          <w:sz w:val="21"/>
          <w:szCs w:val="21"/>
          <w:highlight w:val="none"/>
        </w:rPr>
      </w:pPr>
    </w:p>
    <w:p w14:paraId="1FC75A75">
      <w:pPr>
        <w:spacing w:line="360" w:lineRule="auto"/>
        <w:ind w:left="342" w:leftChars="171" w:firstLine="630" w:firstLineChars="300"/>
        <w:rPr>
          <w:rFonts w:cs="宋体"/>
          <w:bCs/>
          <w:color w:val="auto"/>
          <w:sz w:val="21"/>
          <w:szCs w:val="21"/>
          <w:highlight w:val="none"/>
        </w:rPr>
      </w:pPr>
    </w:p>
    <w:p w14:paraId="1FA60359">
      <w:pPr>
        <w:spacing w:line="360" w:lineRule="auto"/>
        <w:ind w:left="342" w:leftChars="171" w:firstLine="630" w:firstLineChars="300"/>
        <w:rPr>
          <w:rFonts w:cs="宋体"/>
          <w:bCs/>
          <w:color w:val="auto"/>
          <w:sz w:val="21"/>
          <w:szCs w:val="21"/>
          <w:highlight w:val="none"/>
        </w:rPr>
      </w:pPr>
      <w:r>
        <w:rPr>
          <w:rFonts w:hint="eastAsia" w:cs="宋体"/>
          <w:bCs/>
          <w:color w:val="auto"/>
          <w:sz w:val="21"/>
          <w:szCs w:val="21"/>
          <w:highlight w:val="none"/>
        </w:rPr>
        <w:t>项目经理：</w:t>
      </w:r>
      <w:r>
        <w:rPr>
          <w:rFonts w:hint="eastAsia" w:cs="宋体"/>
          <w:bCs/>
          <w:color w:val="auto"/>
          <w:sz w:val="21"/>
          <w:szCs w:val="21"/>
          <w:highlight w:val="none"/>
          <w:u w:val="single"/>
        </w:rPr>
        <w:t xml:space="preserve">                   </w:t>
      </w:r>
      <w:r>
        <w:rPr>
          <w:rFonts w:hint="eastAsia" w:cs="宋体"/>
          <w:bCs/>
          <w:color w:val="auto"/>
          <w:sz w:val="21"/>
          <w:szCs w:val="21"/>
          <w:highlight w:val="none"/>
        </w:rPr>
        <w:t>（签字）</w:t>
      </w:r>
    </w:p>
    <w:p w14:paraId="393C4540">
      <w:pPr>
        <w:spacing w:line="360" w:lineRule="auto"/>
        <w:ind w:left="342" w:leftChars="171" w:firstLine="630" w:firstLineChars="300"/>
        <w:rPr>
          <w:rFonts w:cs="宋体"/>
          <w:bCs/>
          <w:color w:val="auto"/>
          <w:sz w:val="21"/>
          <w:szCs w:val="21"/>
          <w:highlight w:val="none"/>
        </w:rPr>
      </w:pPr>
      <w:r>
        <w:rPr>
          <w:rFonts w:hint="eastAsia" w:cs="宋体"/>
          <w:bCs/>
          <w:color w:val="auto"/>
          <w:sz w:val="21"/>
          <w:szCs w:val="21"/>
          <w:highlight w:val="none"/>
        </w:rPr>
        <w:t>日期：_____年____月____日</w:t>
      </w:r>
    </w:p>
    <w:p w14:paraId="7293F7FE">
      <w:pPr>
        <w:pStyle w:val="19"/>
        <w:rPr>
          <w:rFonts w:ascii="宋体" w:hAnsi="宋体" w:eastAsia="宋体" w:cs="宋体"/>
          <w:bCs/>
          <w:color w:val="auto"/>
          <w:sz w:val="21"/>
          <w:szCs w:val="21"/>
          <w:highlight w:val="none"/>
        </w:rPr>
      </w:pPr>
    </w:p>
    <w:p w14:paraId="696DC3EE">
      <w:pPr>
        <w:widowControl/>
        <w:jc w:val="left"/>
        <w:rPr>
          <w:b/>
          <w:color w:val="auto"/>
          <w:sz w:val="24"/>
          <w:highlight w:val="none"/>
        </w:rPr>
      </w:pPr>
      <w:r>
        <w:rPr>
          <w:b/>
          <w:color w:val="auto"/>
          <w:sz w:val="24"/>
          <w:highlight w:val="none"/>
        </w:rPr>
        <w:br w:type="page"/>
      </w:r>
    </w:p>
    <w:p w14:paraId="203DF356">
      <w:pPr>
        <w:spacing w:line="360" w:lineRule="auto"/>
        <w:jc w:val="center"/>
        <w:outlineLvl w:val="0"/>
        <w:rPr>
          <w:rFonts w:asciiTheme="minorEastAsia" w:hAnsiTheme="minorEastAsia" w:eastAsiaTheme="minorEastAsia"/>
          <w:b/>
          <w:color w:val="auto"/>
          <w:sz w:val="28"/>
          <w:highlight w:val="none"/>
        </w:rPr>
      </w:pPr>
      <w:bookmarkStart w:id="649" w:name="_Toc16770"/>
      <w:r>
        <w:rPr>
          <w:rFonts w:hint="eastAsia" w:asciiTheme="minorEastAsia" w:hAnsiTheme="minorEastAsia" w:eastAsiaTheme="minorEastAsia"/>
          <w:b/>
          <w:color w:val="auto"/>
          <w:sz w:val="28"/>
          <w:highlight w:val="none"/>
        </w:rPr>
        <w:t>第六章  响应文件格式</w:t>
      </w:r>
      <w:bookmarkEnd w:id="649"/>
    </w:p>
    <w:p w14:paraId="2BBD57BB">
      <w:pPr>
        <w:spacing w:line="900" w:lineRule="exact"/>
        <w:jc w:val="center"/>
        <w:rPr>
          <w:rFonts w:asciiTheme="minorEastAsia" w:hAnsiTheme="minorEastAsia" w:eastAsiaTheme="minorEastAsia"/>
          <w:b/>
          <w:color w:val="auto"/>
          <w:sz w:val="72"/>
          <w:highlight w:val="none"/>
        </w:rPr>
      </w:pPr>
    </w:p>
    <w:p w14:paraId="5BF44E37">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07FCDBBA">
      <w:pPr>
        <w:spacing w:line="900" w:lineRule="exact"/>
        <w:jc w:val="center"/>
        <w:rPr>
          <w:rFonts w:asciiTheme="minorEastAsia" w:hAnsiTheme="minorEastAsia" w:eastAsiaTheme="minorEastAsia"/>
          <w:b/>
          <w:color w:val="auto"/>
          <w:sz w:val="72"/>
          <w:highlight w:val="none"/>
        </w:rPr>
      </w:pPr>
    </w:p>
    <w:p w14:paraId="5B5327F1">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06394EA8">
      <w:pPr>
        <w:spacing w:line="900" w:lineRule="exact"/>
        <w:jc w:val="center"/>
        <w:rPr>
          <w:rFonts w:asciiTheme="minorEastAsia" w:hAnsiTheme="minorEastAsia" w:eastAsiaTheme="minorEastAsia"/>
          <w:b/>
          <w:color w:val="auto"/>
          <w:sz w:val="72"/>
          <w:highlight w:val="none"/>
        </w:rPr>
      </w:pPr>
    </w:p>
    <w:p w14:paraId="2C0C76EC">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1D86B8AF">
      <w:pPr>
        <w:spacing w:line="900" w:lineRule="exact"/>
        <w:jc w:val="center"/>
        <w:rPr>
          <w:rFonts w:asciiTheme="minorEastAsia" w:hAnsiTheme="minorEastAsia" w:eastAsiaTheme="minorEastAsia"/>
          <w:b/>
          <w:color w:val="auto"/>
          <w:sz w:val="72"/>
          <w:highlight w:val="none"/>
        </w:rPr>
      </w:pPr>
    </w:p>
    <w:p w14:paraId="38F6EDB9">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4E5EC245">
      <w:pPr>
        <w:spacing w:after="156" w:afterLines="50"/>
        <w:jc w:val="center"/>
        <w:rPr>
          <w:rFonts w:asciiTheme="minorEastAsia" w:hAnsiTheme="minorEastAsia" w:eastAsiaTheme="minorEastAsia"/>
          <w:b/>
          <w:color w:val="auto"/>
          <w:sz w:val="72"/>
          <w:highlight w:val="none"/>
        </w:rPr>
      </w:pPr>
    </w:p>
    <w:p w14:paraId="5C76CD03">
      <w:pPr>
        <w:spacing w:after="156" w:afterLines="50" w:line="500" w:lineRule="exact"/>
        <w:jc w:val="center"/>
        <w:rPr>
          <w:rFonts w:asciiTheme="minorEastAsia" w:hAnsiTheme="minorEastAsia" w:eastAsiaTheme="minorEastAsia"/>
          <w:b/>
          <w:color w:val="auto"/>
          <w:sz w:val="28"/>
          <w:szCs w:val="28"/>
          <w:highlight w:val="none"/>
        </w:rPr>
      </w:pPr>
    </w:p>
    <w:p w14:paraId="5A80BA63">
      <w:pPr>
        <w:tabs>
          <w:tab w:val="left" w:pos="2410"/>
        </w:tabs>
        <w:autoSpaceDE w:val="0"/>
        <w:autoSpaceDN w:val="0"/>
        <w:adjustRightInd w:val="0"/>
        <w:snapToGrid w:val="0"/>
        <w:spacing w:line="360" w:lineRule="auto"/>
        <w:ind w:firstLine="1606" w:firstLineChars="5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2525BBD">
      <w:pPr>
        <w:tabs>
          <w:tab w:val="left" w:pos="2410"/>
        </w:tabs>
        <w:autoSpaceDE w:val="0"/>
        <w:autoSpaceDN w:val="0"/>
        <w:adjustRightInd w:val="0"/>
        <w:snapToGrid w:val="0"/>
        <w:spacing w:line="360" w:lineRule="auto"/>
        <w:ind w:firstLine="1606" w:firstLineChars="5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3E7C49E">
      <w:pPr>
        <w:tabs>
          <w:tab w:val="left" w:pos="2410"/>
        </w:tabs>
        <w:autoSpaceDE w:val="0"/>
        <w:autoSpaceDN w:val="0"/>
        <w:adjustRightInd w:val="0"/>
        <w:snapToGrid w:val="0"/>
        <w:spacing w:line="360" w:lineRule="auto"/>
        <w:ind w:firstLine="1606" w:firstLineChars="5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供 应 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A336572">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650" w:name="_Toc27597"/>
      <w:bookmarkStart w:id="651" w:name="_Toc32582"/>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650"/>
      <w:bookmarkEnd w:id="651"/>
    </w:p>
    <w:p w14:paraId="17196DC4">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45748145">
      <w:pPr>
        <w:spacing w:line="360" w:lineRule="auto"/>
        <w:jc w:val="center"/>
        <w:outlineLvl w:val="1"/>
        <w:rPr>
          <w:rFonts w:asciiTheme="minorEastAsia" w:hAnsiTheme="minorEastAsia" w:eastAsiaTheme="minorEastAsia"/>
          <w:b/>
          <w:color w:val="auto"/>
          <w:sz w:val="24"/>
          <w:highlight w:val="none"/>
        </w:rPr>
      </w:pPr>
      <w:bookmarkStart w:id="652" w:name="_Toc461056631"/>
      <w:bookmarkStart w:id="653" w:name="_Toc461053086"/>
      <w:bookmarkStart w:id="654" w:name="_Toc26877"/>
      <w:bookmarkStart w:id="655" w:name="_Toc17778"/>
      <w:bookmarkStart w:id="656" w:name="_Toc520983587"/>
      <w:r>
        <w:rPr>
          <w:rFonts w:hint="eastAsia" w:asciiTheme="minorEastAsia" w:hAnsiTheme="minorEastAsia" w:eastAsiaTheme="minorEastAsia"/>
          <w:b/>
          <w:color w:val="auto"/>
          <w:sz w:val="24"/>
          <w:highlight w:val="none"/>
        </w:rPr>
        <w:t>一</w:t>
      </w:r>
      <w:bookmarkEnd w:id="652"/>
      <w:bookmarkEnd w:id="653"/>
      <w:r>
        <w:rPr>
          <w:rFonts w:hint="eastAsia" w:asciiTheme="minorEastAsia" w:hAnsiTheme="minorEastAsia" w:eastAsiaTheme="minorEastAsia"/>
          <w:b/>
          <w:color w:val="auto"/>
          <w:sz w:val="24"/>
          <w:highlight w:val="none"/>
        </w:rPr>
        <w:t>、报价表格式</w:t>
      </w:r>
      <w:bookmarkEnd w:id="654"/>
      <w:bookmarkEnd w:id="655"/>
      <w:bookmarkEnd w:id="656"/>
    </w:p>
    <w:p w14:paraId="1A4AAA46">
      <w:pPr>
        <w:spacing w:before="156" w:beforeLines="50" w:after="156" w:afterLines="50" w:line="360" w:lineRule="auto"/>
        <w:jc w:val="left"/>
        <w:outlineLvl w:val="2"/>
        <w:rPr>
          <w:rFonts w:cs="@仿宋_GB2312"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b/>
          <w:color w:val="auto"/>
          <w:kern w:val="2"/>
          <w:sz w:val="24"/>
          <w:szCs w:val="24"/>
          <w:highlight w:val="none"/>
        </w:rPr>
        <w:t>1-1 报价表</w:t>
      </w:r>
    </w:p>
    <w:p w14:paraId="65691F4A">
      <w:pPr>
        <w:snapToGrid w:val="0"/>
        <w:spacing w:line="360" w:lineRule="auto"/>
        <w:jc w:val="left"/>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p>
    <w:p w14:paraId="0294BFBF">
      <w:pPr>
        <w:snapToGrid w:val="0"/>
        <w:spacing w:after="156" w:afterLines="50" w:line="360" w:lineRule="auto"/>
        <w:jc w:val="left"/>
        <w:rPr>
          <w:rFonts w:cs="宋体" w:asciiTheme="minorEastAsia" w:hAnsiTheme="minorEastAsia" w:eastAsiaTheme="minorEastAsia"/>
          <w:b/>
          <w:bCs/>
          <w:color w:val="auto"/>
          <w:kern w:val="2"/>
          <w:sz w:val="24"/>
          <w:szCs w:val="24"/>
          <w:highlight w:val="none"/>
          <w:u w:val="single"/>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r>
        <w:rPr>
          <w:rFonts w:hint="eastAsia" w:cs="宋体" w:asciiTheme="minorEastAsia" w:hAnsiTheme="minorEastAsia" w:eastAsiaTheme="minorEastAsia"/>
          <w:b/>
          <w:color w:val="auto"/>
          <w:kern w:val="2"/>
          <w:sz w:val="24"/>
          <w:szCs w:val="24"/>
          <w:highlight w:val="none"/>
          <w:u w:val="single"/>
        </w:rPr>
        <w:t xml:space="preserve">   </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5342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18F3F4C4">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供应商名称</w:t>
            </w:r>
          </w:p>
        </w:tc>
        <w:tc>
          <w:tcPr>
            <w:tcW w:w="3557" w:type="pct"/>
            <w:tcBorders>
              <w:left w:val="single" w:color="auto" w:sz="4" w:space="0"/>
            </w:tcBorders>
          </w:tcPr>
          <w:p w14:paraId="43B23486">
            <w:pPr>
              <w:rPr>
                <w:rFonts w:cs="宋体" w:asciiTheme="minorEastAsia" w:hAnsiTheme="minorEastAsia" w:eastAsiaTheme="minorEastAsia"/>
                <w:b/>
                <w:color w:val="auto"/>
                <w:kern w:val="2"/>
                <w:sz w:val="24"/>
                <w:szCs w:val="24"/>
                <w:highlight w:val="none"/>
              </w:rPr>
            </w:pPr>
          </w:p>
        </w:tc>
      </w:tr>
      <w:tr w14:paraId="3B38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C846408">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谈判</w:t>
            </w:r>
            <w:r>
              <w:rPr>
                <w:rFonts w:hint="eastAsia" w:cs="宋体" w:asciiTheme="minorEastAsia" w:hAnsiTheme="minorEastAsia" w:eastAsiaTheme="minorEastAsia"/>
                <w:b/>
                <w:color w:val="auto"/>
                <w:kern w:val="2"/>
                <w:sz w:val="24"/>
                <w:szCs w:val="24"/>
                <w:highlight w:val="none"/>
              </w:rPr>
              <w:t>范围</w:t>
            </w:r>
          </w:p>
        </w:tc>
        <w:tc>
          <w:tcPr>
            <w:tcW w:w="3557" w:type="pct"/>
            <w:tcBorders>
              <w:left w:val="single" w:color="auto" w:sz="4" w:space="0"/>
            </w:tcBorders>
            <w:vAlign w:val="center"/>
          </w:tcPr>
          <w:p w14:paraId="348E2286">
            <w:pPr>
              <w:widowControl/>
              <w:rPr>
                <w:rFonts w:cs="宋体"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color w:val="auto"/>
                <w:kern w:val="2"/>
                <w:sz w:val="24"/>
                <w:szCs w:val="28"/>
                <w:highlight w:val="none"/>
              </w:rPr>
              <w:t xml:space="preserve">全部 </w:t>
            </w:r>
          </w:p>
        </w:tc>
      </w:tr>
      <w:tr w14:paraId="6AC6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487EBF7">
            <w:pPr>
              <w:spacing w:line="360" w:lineRule="auto"/>
              <w:jc w:val="center"/>
              <w:rPr>
                <w:rFonts w:cs="@仿宋_GB2312"/>
                <w:b/>
                <w:color w:val="auto"/>
                <w:kern w:val="2"/>
                <w:sz w:val="24"/>
                <w:highlight w:val="none"/>
              </w:rPr>
            </w:pPr>
            <w:r>
              <w:rPr>
                <w:rFonts w:hint="eastAsia" w:cs="@仿宋_GB2312"/>
                <w:b/>
                <w:color w:val="auto"/>
                <w:kern w:val="2"/>
                <w:sz w:val="24"/>
                <w:highlight w:val="none"/>
              </w:rPr>
              <w:t>报价</w:t>
            </w:r>
          </w:p>
          <w:p w14:paraId="75E22C43">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（详见备注说明）</w:t>
            </w:r>
          </w:p>
        </w:tc>
        <w:tc>
          <w:tcPr>
            <w:tcW w:w="3557" w:type="pct"/>
            <w:vAlign w:val="center"/>
          </w:tcPr>
          <w:p w14:paraId="267B23CE">
            <w:pPr>
              <w:snapToGrid w:val="0"/>
              <w:spacing w:line="360" w:lineRule="auto"/>
              <w:jc w:val="left"/>
              <w:rPr>
                <w:rFonts w:cs="宋体"/>
                <w:bCs/>
                <w:color w:val="auto"/>
                <w:sz w:val="21"/>
                <w:szCs w:val="21"/>
                <w:highlight w:val="none"/>
                <w:u w:val="single"/>
              </w:rPr>
            </w:pPr>
            <w:r>
              <w:rPr>
                <w:rFonts w:hint="eastAsia" w:cs="宋体"/>
                <w:bCs/>
                <w:color w:val="auto"/>
                <w:sz w:val="21"/>
                <w:szCs w:val="21"/>
                <w:highlight w:val="none"/>
              </w:rPr>
              <w:t>大写：</w:t>
            </w:r>
            <w:r>
              <w:rPr>
                <w:rFonts w:hint="eastAsia" w:cs="宋体"/>
                <w:bCs/>
                <w:color w:val="auto"/>
                <w:sz w:val="21"/>
                <w:szCs w:val="21"/>
                <w:highlight w:val="none"/>
                <w:u w:val="single"/>
              </w:rPr>
              <w:t xml:space="preserve">                     </w:t>
            </w:r>
          </w:p>
          <w:p w14:paraId="1FAD785C">
            <w:pPr>
              <w:snapToGrid w:val="0"/>
              <w:rPr>
                <w:rFonts w:cs="宋体" w:asciiTheme="minorEastAsia" w:hAnsiTheme="minorEastAsia" w:eastAsiaTheme="minorEastAsia"/>
                <w:b/>
                <w:color w:val="auto"/>
                <w:kern w:val="2"/>
                <w:sz w:val="24"/>
                <w:szCs w:val="24"/>
                <w:highlight w:val="none"/>
              </w:rPr>
            </w:pPr>
            <w:r>
              <w:rPr>
                <w:rFonts w:hint="eastAsia" w:cs="宋体"/>
                <w:bCs/>
                <w:color w:val="auto"/>
                <w:sz w:val="21"/>
                <w:szCs w:val="21"/>
                <w:highlight w:val="none"/>
              </w:rPr>
              <w:t>小写：</w:t>
            </w:r>
            <w:r>
              <w:rPr>
                <w:rFonts w:hint="eastAsia" w:cs="宋体"/>
                <w:bCs/>
                <w:color w:val="auto"/>
                <w:sz w:val="21"/>
                <w:szCs w:val="21"/>
                <w:highlight w:val="none"/>
                <w:u w:val="single"/>
              </w:rPr>
              <w:t xml:space="preserve">                     </w:t>
            </w:r>
          </w:p>
        </w:tc>
      </w:tr>
      <w:tr w14:paraId="7525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443" w:type="pct"/>
            <w:tcBorders>
              <w:top w:val="single" w:color="auto" w:sz="4" w:space="0"/>
            </w:tcBorders>
            <w:vAlign w:val="center"/>
          </w:tcPr>
          <w:p w14:paraId="27DB7B20">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质量标准</w:t>
            </w:r>
          </w:p>
        </w:tc>
        <w:tc>
          <w:tcPr>
            <w:tcW w:w="3557" w:type="pct"/>
            <w:vAlign w:val="center"/>
          </w:tcPr>
          <w:p w14:paraId="5B5C2850">
            <w:pPr>
              <w:snapToGrid w:val="0"/>
              <w:rPr>
                <w:rFonts w:cs="宋体" w:asciiTheme="minorEastAsia" w:hAnsiTheme="minorEastAsia" w:eastAsiaTheme="minorEastAsia"/>
                <w:b/>
                <w:color w:val="auto"/>
                <w:kern w:val="2"/>
                <w:sz w:val="24"/>
                <w:szCs w:val="24"/>
                <w:highlight w:val="none"/>
              </w:rPr>
            </w:pPr>
          </w:p>
        </w:tc>
      </w:tr>
      <w:tr w14:paraId="3EFE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443" w:type="pct"/>
            <w:tcBorders>
              <w:top w:val="single" w:color="auto" w:sz="4" w:space="0"/>
            </w:tcBorders>
            <w:vAlign w:val="center"/>
          </w:tcPr>
          <w:p w14:paraId="5BF4D379">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工    期</w:t>
            </w:r>
          </w:p>
        </w:tc>
        <w:tc>
          <w:tcPr>
            <w:tcW w:w="3557" w:type="pct"/>
            <w:vAlign w:val="center"/>
          </w:tcPr>
          <w:p w14:paraId="19E4E221">
            <w:pPr>
              <w:snapToGrid w:val="0"/>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Cs/>
                <w:color w:val="auto"/>
                <w:kern w:val="2"/>
                <w:sz w:val="24"/>
                <w:szCs w:val="24"/>
                <w:highlight w:val="none"/>
              </w:rPr>
              <w:t>合同签订后</w:t>
            </w:r>
            <w:r>
              <w:rPr>
                <w:rFonts w:hint="eastAsia" w:cs="宋体" w:asciiTheme="minorEastAsia" w:hAnsiTheme="minorEastAsia" w:eastAsiaTheme="minorEastAsia"/>
                <w:bCs/>
                <w:color w:val="auto"/>
                <w:kern w:val="2"/>
                <w:sz w:val="24"/>
                <w:szCs w:val="24"/>
                <w:highlight w:val="none"/>
                <w:u w:val="single"/>
              </w:rPr>
              <w:t xml:space="preserve">        </w:t>
            </w:r>
            <w:r>
              <w:rPr>
                <w:rFonts w:hint="eastAsia" w:cs="宋体" w:asciiTheme="minorEastAsia" w:hAnsiTheme="minorEastAsia" w:eastAsiaTheme="minorEastAsia"/>
                <w:bCs/>
                <w:color w:val="auto"/>
                <w:kern w:val="2"/>
                <w:sz w:val="24"/>
                <w:szCs w:val="24"/>
                <w:highlight w:val="none"/>
                <w:lang w:val="en-US" w:eastAsia="zh-CN"/>
              </w:rPr>
              <w:t>个</w:t>
            </w:r>
            <w:r>
              <w:rPr>
                <w:rFonts w:hint="eastAsia" w:cs="宋体" w:asciiTheme="minorEastAsia" w:hAnsiTheme="minorEastAsia" w:eastAsiaTheme="minorEastAsia"/>
                <w:bCs/>
                <w:color w:val="auto"/>
                <w:kern w:val="2"/>
                <w:sz w:val="24"/>
                <w:szCs w:val="24"/>
                <w:highlight w:val="none"/>
              </w:rPr>
              <w:t>日历天</w:t>
            </w:r>
            <w:r>
              <w:rPr>
                <w:rFonts w:hint="eastAsia" w:cs="宋体" w:asciiTheme="minorEastAsia" w:hAnsiTheme="minorEastAsia" w:eastAsiaTheme="minorEastAsia"/>
                <w:bCs/>
                <w:color w:val="auto"/>
                <w:kern w:val="2"/>
                <w:sz w:val="24"/>
                <w:szCs w:val="24"/>
                <w:highlight w:val="none"/>
                <w:lang w:val="en-US" w:eastAsia="zh-CN"/>
              </w:rPr>
              <w:t>内</w:t>
            </w:r>
            <w:r>
              <w:rPr>
                <w:rFonts w:hint="eastAsia" w:cs="宋体" w:asciiTheme="minorEastAsia" w:hAnsiTheme="minorEastAsia" w:eastAsiaTheme="minorEastAsia"/>
                <w:bCs/>
                <w:color w:val="auto"/>
                <w:kern w:val="2"/>
                <w:sz w:val="24"/>
                <w:szCs w:val="24"/>
                <w:highlight w:val="none"/>
              </w:rPr>
              <w:t>完工</w:t>
            </w:r>
          </w:p>
        </w:tc>
      </w:tr>
      <w:tr w14:paraId="23A5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443" w:type="pct"/>
            <w:tcBorders>
              <w:top w:val="single" w:color="auto" w:sz="4" w:space="0"/>
            </w:tcBorders>
            <w:vAlign w:val="center"/>
          </w:tcPr>
          <w:p w14:paraId="5340B384">
            <w:pPr>
              <w:snapToGrid w:val="0"/>
              <w:jc w:val="center"/>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是否响应付款方式</w:t>
            </w:r>
          </w:p>
        </w:tc>
        <w:tc>
          <w:tcPr>
            <w:tcW w:w="3557" w:type="pct"/>
            <w:vAlign w:val="center"/>
          </w:tcPr>
          <w:p w14:paraId="5BF93DFC">
            <w:pPr>
              <w:snapToGrid w:val="0"/>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是□    否□   （划√）</w:t>
            </w:r>
          </w:p>
        </w:tc>
      </w:tr>
      <w:tr w14:paraId="73F8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1443" w:type="pct"/>
            <w:vAlign w:val="center"/>
          </w:tcPr>
          <w:p w14:paraId="68ABE436">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备注说明</w:t>
            </w:r>
          </w:p>
        </w:tc>
        <w:tc>
          <w:tcPr>
            <w:tcW w:w="3557" w:type="pct"/>
          </w:tcPr>
          <w:p w14:paraId="49C90B95">
            <w:pPr>
              <w:rPr>
                <w:rFonts w:cs="宋体" w:asciiTheme="minorEastAsia" w:hAnsiTheme="minorEastAsia" w:eastAsiaTheme="minorEastAsia"/>
                <w:b/>
                <w:color w:val="auto"/>
                <w:kern w:val="2"/>
                <w:sz w:val="24"/>
                <w:szCs w:val="24"/>
                <w:highlight w:val="none"/>
              </w:rPr>
            </w:pPr>
          </w:p>
        </w:tc>
      </w:tr>
    </w:tbl>
    <w:p w14:paraId="22BC453D">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供应商电子签章：</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064E3D25">
      <w:pPr>
        <w:spacing w:line="440" w:lineRule="exact"/>
        <w:ind w:firstLine="4800" w:firstLineChars="2000"/>
        <w:rPr>
          <w:rFonts w:cs="@仿宋_GB2312"/>
          <w:color w:val="auto"/>
          <w:kern w:val="2"/>
          <w:sz w:val="24"/>
          <w:szCs w:val="24"/>
          <w:highlight w:val="none"/>
          <w:u w:val="singl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2EF8B44C">
      <w:pPr>
        <w:adjustRightInd w:val="0"/>
        <w:snapToGrid w:val="0"/>
        <w:spacing w:line="360" w:lineRule="auto"/>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603EBD1B">
      <w:pPr>
        <w:adjustRightInd w:val="0"/>
        <w:snapToGrid w:val="0"/>
        <w:spacing w:line="360" w:lineRule="auto"/>
        <w:ind w:firstLine="482"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1.本表内容根据谈判文件要求包括了谈判文件要求提供的全部内容的所有费用。</w:t>
      </w:r>
    </w:p>
    <w:p w14:paraId="2D679295">
      <w:pPr>
        <w:adjustRightInd w:val="0"/>
        <w:snapToGrid w:val="0"/>
        <w:spacing w:line="360" w:lineRule="auto"/>
        <w:ind w:firstLine="482" w:firstLineChars="200"/>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2.特殊事项在备注中注明。</w:t>
      </w:r>
    </w:p>
    <w:p w14:paraId="79607FAC">
      <w:pPr>
        <w:adjustRightInd w:val="0"/>
        <w:snapToGrid w:val="0"/>
        <w:spacing w:line="360" w:lineRule="auto"/>
        <w:ind w:firstLine="482" w:firstLineChars="200"/>
        <w:rPr>
          <w:rFonts w:cs="@仿宋_GB2312" w:asciiTheme="minorEastAsia" w:hAnsiTheme="minorEastAsia" w:eastAsiaTheme="minorEastAsia"/>
          <w:b/>
          <w:bCs/>
          <w:color w:val="auto"/>
          <w:kern w:val="2"/>
          <w:sz w:val="24"/>
          <w:szCs w:val="24"/>
          <w:highlight w:val="none"/>
        </w:rPr>
      </w:pPr>
      <w:r>
        <w:rPr>
          <w:rFonts w:hint="eastAsia" w:cs="@仿宋_GB2312" w:asciiTheme="minorEastAsia" w:hAnsiTheme="minorEastAsia" w:eastAsiaTheme="minorEastAsia"/>
          <w:b/>
          <w:bCs/>
          <w:color w:val="auto"/>
          <w:kern w:val="2"/>
          <w:sz w:val="24"/>
          <w:szCs w:val="24"/>
          <w:highlight w:val="none"/>
          <w:lang w:val="en-US" w:eastAsia="zh-CN"/>
        </w:rPr>
        <w:t>3</w:t>
      </w:r>
      <w:r>
        <w:rPr>
          <w:rFonts w:hint="eastAsia" w:cs="@仿宋_GB2312" w:asciiTheme="minorEastAsia" w:hAnsiTheme="minorEastAsia" w:eastAsiaTheme="minorEastAsia"/>
          <w:b/>
          <w:bCs/>
          <w:color w:val="auto"/>
          <w:kern w:val="2"/>
          <w:sz w:val="24"/>
          <w:szCs w:val="24"/>
          <w:highlight w:val="none"/>
        </w:rPr>
        <w:t>.表中大写金额与小写金额不一致的，以大写金额为准。</w:t>
      </w:r>
    </w:p>
    <w:p w14:paraId="0B2BE9A8">
      <w:pPr>
        <w:adjustRightInd w:val="0"/>
        <w:snapToGrid w:val="0"/>
        <w:spacing w:line="360" w:lineRule="auto"/>
        <w:ind w:firstLine="482" w:firstLineChars="200"/>
        <w:rPr>
          <w:rFonts w:cs="宋体" w:asciiTheme="minorEastAsia" w:hAnsiTheme="minorEastAsia" w:eastAsiaTheme="minorEastAsia"/>
          <w:b/>
          <w:bCs/>
          <w:color w:val="auto"/>
          <w:kern w:val="2"/>
          <w:sz w:val="24"/>
          <w:szCs w:val="24"/>
          <w:highlight w:val="none"/>
        </w:rPr>
      </w:pPr>
      <w:r>
        <w:rPr>
          <w:rFonts w:cs="宋体" w:asciiTheme="minorEastAsia" w:hAnsiTheme="minorEastAsia" w:eastAsiaTheme="minorEastAsia"/>
          <w:b/>
          <w:bCs/>
          <w:color w:val="auto"/>
          <w:kern w:val="2"/>
          <w:sz w:val="24"/>
          <w:szCs w:val="24"/>
          <w:highlight w:val="none"/>
        </w:rPr>
        <w:br w:type="page"/>
      </w:r>
    </w:p>
    <w:p w14:paraId="25FA0FFD">
      <w:pPr>
        <w:adjustRightInd w:val="0"/>
        <w:snapToGrid w:val="0"/>
        <w:spacing w:line="360" w:lineRule="auto"/>
        <w:outlineLvl w:val="2"/>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1-2 工程量清单报价书</w:t>
      </w:r>
    </w:p>
    <w:p w14:paraId="313CBF7B">
      <w:pPr>
        <w:autoSpaceDE w:val="0"/>
        <w:autoSpaceDN w:val="0"/>
        <w:adjustRightInd w:val="0"/>
        <w:spacing w:before="20" w:after="20" w:line="360" w:lineRule="auto"/>
        <w:jc w:val="center"/>
        <w:rPr>
          <w:rFonts w:cs="宋体" w:asciiTheme="minorEastAsia" w:hAnsiTheme="minorEastAsia" w:eastAsiaTheme="minorEastAsia"/>
          <w:b/>
          <w:color w:val="auto"/>
          <w:sz w:val="24"/>
          <w:szCs w:val="24"/>
          <w:highlight w:val="none"/>
        </w:rPr>
      </w:pPr>
    </w:p>
    <w:p w14:paraId="341DE6B5">
      <w:pPr>
        <w:autoSpaceDE w:val="0"/>
        <w:autoSpaceDN w:val="0"/>
        <w:adjustRightInd w:val="0"/>
        <w:spacing w:before="20" w:after="20" w:line="360" w:lineRule="auto"/>
        <w:jc w:val="center"/>
        <w:outlineLvl w:val="2"/>
        <w:rPr>
          <w:rFonts w:cs="宋体" w:asciiTheme="minorEastAsia" w:hAnsiTheme="minorEastAsia" w:eastAsiaTheme="minorEastAsia"/>
          <w:b/>
          <w:color w:val="auto"/>
          <w:sz w:val="24"/>
          <w:szCs w:val="24"/>
          <w:highlight w:val="none"/>
        </w:rPr>
      </w:pPr>
      <w:bookmarkStart w:id="657" w:name="_Toc30688"/>
      <w:r>
        <w:rPr>
          <w:rFonts w:hint="eastAsia" w:cs="宋体" w:asciiTheme="minorEastAsia" w:hAnsiTheme="minorEastAsia" w:eastAsiaTheme="minorEastAsia"/>
          <w:b/>
          <w:color w:val="auto"/>
          <w:sz w:val="24"/>
          <w:szCs w:val="24"/>
          <w:highlight w:val="none"/>
        </w:rPr>
        <w:t>工程量清单报价书</w:t>
      </w:r>
      <w:bookmarkEnd w:id="657"/>
    </w:p>
    <w:p w14:paraId="19E51D79">
      <w:pPr>
        <w:keepNext w:val="0"/>
        <w:keepLines w:val="0"/>
        <w:widowControl w:val="0"/>
        <w:suppressLineNumbers w:val="0"/>
        <w:spacing w:before="0" w:beforeAutospacing="0" w:after="0" w:afterAutospacing="0"/>
        <w:ind w:left="0" w:right="0"/>
        <w:jc w:val="center"/>
        <w:rPr>
          <w:rFonts w:hint="eastAsia" w:cs="宋体" w:asciiTheme="minorEastAsia" w:hAnsiTheme="minorEastAsia" w:eastAsiaTheme="minorEastAsia"/>
          <w:b/>
          <w:color w:val="auto"/>
          <w:kern w:val="2"/>
          <w:sz w:val="21"/>
          <w:szCs w:val="24"/>
          <w:highlight w:val="none"/>
        </w:rPr>
      </w:pPr>
      <w:r>
        <w:rPr>
          <w:rFonts w:hint="eastAsia" w:cs="宋体" w:asciiTheme="minorEastAsia" w:hAnsiTheme="minorEastAsia" w:eastAsiaTheme="minorEastAsia"/>
          <w:b/>
          <w:color w:val="auto"/>
          <w:kern w:val="2"/>
          <w:sz w:val="21"/>
          <w:szCs w:val="24"/>
          <w:highlight w:val="none"/>
        </w:rPr>
        <w:t>（格式详见工程量清单）</w:t>
      </w:r>
    </w:p>
    <w:p w14:paraId="2C820656">
      <w:pPr>
        <w:keepNext w:val="0"/>
        <w:keepLines w:val="0"/>
        <w:widowControl w:val="0"/>
        <w:suppressLineNumbers w:val="0"/>
        <w:spacing w:before="0" w:beforeAutospacing="0" w:after="0" w:afterAutospacing="0"/>
        <w:ind w:left="0" w:right="0"/>
        <w:jc w:val="center"/>
        <w:rPr>
          <w:rFonts w:hint="eastAsia" w:cs="宋体" w:asciiTheme="minorEastAsia" w:hAnsiTheme="minorEastAsia" w:eastAsiaTheme="minorEastAsia"/>
          <w:b/>
          <w:color w:val="auto"/>
          <w:kern w:val="2"/>
          <w:sz w:val="21"/>
          <w:szCs w:val="24"/>
          <w:highlight w:val="none"/>
        </w:rPr>
      </w:pPr>
    </w:p>
    <w:p w14:paraId="1DED587B">
      <w:pPr>
        <w:keepNext w:val="0"/>
        <w:keepLines w:val="0"/>
        <w:widowControl w:val="0"/>
        <w:suppressLineNumbers w:val="0"/>
        <w:spacing w:before="0" w:beforeAutospacing="0" w:after="0" w:afterAutospacing="0"/>
        <w:ind w:left="0" w:right="0"/>
        <w:jc w:val="center"/>
        <w:rPr>
          <w:rFonts w:hint="eastAsia" w:cs="宋体" w:asciiTheme="minorEastAsia" w:hAnsiTheme="minorEastAsia" w:eastAsiaTheme="minorEastAsia"/>
          <w:b/>
          <w:color w:val="auto"/>
          <w:kern w:val="2"/>
          <w:sz w:val="21"/>
          <w:szCs w:val="24"/>
          <w:highlight w:val="none"/>
        </w:rPr>
      </w:pPr>
    </w:p>
    <w:p w14:paraId="73D1BEC3">
      <w:pPr>
        <w:rPr>
          <w:rFonts w:hint="default" w:ascii="仿宋_GB2312" w:hAnsi="仿宋_GB2312" w:eastAsia="仿宋_GB2312" w:cs="仿宋_GB2312"/>
          <w:b/>
          <w:bCs w:val="0"/>
          <w:color w:val="auto"/>
          <w:kern w:val="0"/>
          <w:sz w:val="24"/>
          <w:szCs w:val="24"/>
          <w:highlight w:val="none"/>
          <w:lang w:val="en-US" w:eastAsia="zh-CN" w:bidi="ar"/>
        </w:rPr>
      </w:pPr>
      <w:r>
        <w:rPr>
          <w:rFonts w:hint="default" w:ascii="仿宋_GB2312" w:hAnsi="仿宋_GB2312" w:eastAsia="仿宋_GB2312" w:cs="仿宋_GB2312"/>
          <w:b/>
          <w:bCs w:val="0"/>
          <w:color w:val="auto"/>
          <w:kern w:val="0"/>
          <w:sz w:val="24"/>
          <w:szCs w:val="24"/>
          <w:highlight w:val="none"/>
          <w:lang w:val="en-US" w:eastAsia="zh-CN" w:bidi="ar"/>
        </w:rPr>
        <w:br w:type="page"/>
      </w:r>
    </w:p>
    <w:p w14:paraId="1D43766A">
      <w:pPr>
        <w:keepNext w:val="0"/>
        <w:keepLines w:val="0"/>
        <w:widowControl w:val="0"/>
        <w:suppressLineNumbers w:val="0"/>
        <w:spacing w:before="0" w:beforeAutospacing="0" w:after="0" w:afterAutospacing="0"/>
        <w:ind w:left="0" w:right="0"/>
        <w:jc w:val="center"/>
        <w:rPr>
          <w:rFonts w:hint="default" w:ascii="Calibri" w:hAnsi="Calibri" w:eastAsia="宋体" w:cs="Times New Roman"/>
          <w:b/>
          <w:bCs w:val="0"/>
          <w:color w:val="auto"/>
          <w:sz w:val="24"/>
          <w:szCs w:val="24"/>
          <w:highlight w:val="none"/>
        </w:rPr>
      </w:pPr>
      <w:r>
        <w:rPr>
          <w:rFonts w:hint="default" w:ascii="仿宋_GB2312" w:hAnsi="仿宋_GB2312" w:eastAsia="仿宋_GB2312" w:cs="仿宋_GB2312"/>
          <w:b/>
          <w:bCs w:val="0"/>
          <w:color w:val="auto"/>
          <w:kern w:val="0"/>
          <w:sz w:val="24"/>
          <w:szCs w:val="24"/>
          <w:highlight w:val="none"/>
          <w:lang w:val="en-US" w:eastAsia="zh-CN" w:bidi="ar"/>
        </w:rPr>
        <w:t>①</w:t>
      </w:r>
      <w:r>
        <w:rPr>
          <w:rFonts w:hint="eastAsia" w:ascii="宋体" w:hAnsi="宋体" w:eastAsia="宋体" w:cs="宋体"/>
          <w:b/>
          <w:bCs w:val="0"/>
          <w:color w:val="auto"/>
          <w:kern w:val="0"/>
          <w:sz w:val="24"/>
          <w:szCs w:val="24"/>
          <w:highlight w:val="none"/>
          <w:lang w:val="en-US" w:eastAsia="zh-CN" w:bidi="ar"/>
        </w:rPr>
        <w:t>工程量清单报价书（封面）</w:t>
      </w:r>
    </w:p>
    <w:p w14:paraId="112A6723">
      <w:pPr>
        <w:keepNext w:val="0"/>
        <w:keepLines w:val="0"/>
        <w:widowControl w:val="0"/>
        <w:suppressLineNumbers w:val="0"/>
        <w:spacing w:before="0" w:beforeAutospacing="0" w:after="0" w:afterAutospacing="0"/>
        <w:ind w:left="0" w:right="0" w:firstLine="482" w:firstLineChars="200"/>
        <w:jc w:val="center"/>
        <w:rPr>
          <w:rFonts w:hint="default" w:ascii="Calibri" w:hAnsi="Calibri" w:eastAsia="宋体" w:cs="Times New Roman"/>
          <w:b/>
          <w:bCs w:val="0"/>
          <w:color w:val="auto"/>
          <w:sz w:val="24"/>
          <w:szCs w:val="24"/>
          <w:highlight w:val="none"/>
        </w:rPr>
      </w:pPr>
      <w:r>
        <w:rPr>
          <w:rFonts w:hint="default" w:ascii="Calibri" w:hAnsi="Calibri" w:eastAsia="宋体" w:cs="Times New Roman"/>
          <w:b/>
          <w:bCs w:val="0"/>
          <w:color w:val="auto"/>
          <w:kern w:val="0"/>
          <w:sz w:val="24"/>
          <w:szCs w:val="24"/>
          <w:highlight w:val="none"/>
          <w:lang w:val="en-US" w:eastAsia="zh-CN" w:bidi="ar"/>
        </w:rPr>
        <w:t xml:space="preserve"> </w:t>
      </w:r>
    </w:p>
    <w:p w14:paraId="1E3C4E69">
      <w:pPr>
        <w:keepNext w:val="0"/>
        <w:keepLines w:val="0"/>
        <w:widowControl w:val="0"/>
        <w:suppressLineNumbers w:val="0"/>
        <w:spacing w:before="0" w:beforeAutospacing="0" w:after="0" w:afterAutospacing="0"/>
        <w:ind w:left="0" w:right="0" w:firstLine="482" w:firstLineChars="200"/>
        <w:jc w:val="center"/>
        <w:rPr>
          <w:rFonts w:hint="default" w:ascii="Calibri" w:hAnsi="Calibri" w:eastAsia="宋体" w:cs="Times New Roman"/>
          <w:b/>
          <w:bCs w:val="0"/>
          <w:color w:val="auto"/>
          <w:sz w:val="24"/>
          <w:szCs w:val="24"/>
          <w:highlight w:val="none"/>
        </w:rPr>
      </w:pPr>
      <w:r>
        <w:rPr>
          <w:rFonts w:hint="eastAsia" w:ascii="宋体" w:hAnsi="宋体" w:eastAsia="宋体" w:cs="宋体"/>
          <w:b/>
          <w:bCs w:val="0"/>
          <w:color w:val="auto"/>
          <w:kern w:val="0"/>
          <w:sz w:val="24"/>
          <w:szCs w:val="24"/>
          <w:highlight w:val="none"/>
          <w:lang w:val="en-US" w:eastAsia="zh-CN" w:bidi="ar"/>
        </w:rPr>
        <w:t>响应总价</w:t>
      </w:r>
    </w:p>
    <w:p w14:paraId="503688F0">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u w:val="single"/>
        </w:rPr>
      </w:pPr>
      <w:r>
        <w:rPr>
          <w:rFonts w:hint="eastAsia" w:ascii="宋体" w:hAnsi="宋体" w:eastAsia="宋体" w:cs="宋体"/>
          <w:color w:val="auto"/>
          <w:kern w:val="0"/>
          <w:sz w:val="24"/>
          <w:szCs w:val="24"/>
          <w:highlight w:val="none"/>
          <w:lang w:val="en-US" w:eastAsia="zh-CN" w:bidi="ar"/>
        </w:rPr>
        <w:t>采购人：</w:t>
      </w:r>
      <w:r>
        <w:rPr>
          <w:rFonts w:hint="eastAsia" w:ascii="Calibri" w:hAnsi="Calibri" w:eastAsia="宋体" w:cs="Times New Roman"/>
          <w:color w:val="auto"/>
          <w:kern w:val="0"/>
          <w:sz w:val="24"/>
          <w:szCs w:val="24"/>
          <w:highlight w:val="none"/>
          <w:u w:val="single"/>
          <w:lang w:val="en-US" w:eastAsia="zh-CN" w:bidi="ar"/>
        </w:rPr>
        <w:t xml:space="preserve">                                                 </w:t>
      </w:r>
    </w:p>
    <w:p w14:paraId="5DEF61FE">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w:t>
      </w:r>
      <w:r>
        <w:rPr>
          <w:rFonts w:hint="eastAsia" w:ascii="Calibri" w:hAnsi="Calibri" w:eastAsia="宋体" w:cs="Times New Roman"/>
          <w:color w:val="auto"/>
          <w:kern w:val="0"/>
          <w:sz w:val="24"/>
          <w:szCs w:val="24"/>
          <w:highlight w:val="none"/>
          <w:u w:val="single"/>
          <w:lang w:val="en-US" w:eastAsia="zh-CN" w:bidi="ar"/>
        </w:rPr>
        <w:t xml:space="preserve">                                               </w:t>
      </w:r>
    </w:p>
    <w:p w14:paraId="3869771B">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u w:val="single"/>
        </w:rPr>
      </w:pPr>
      <w:r>
        <w:rPr>
          <w:rFonts w:hint="eastAsia" w:ascii="宋体" w:hAnsi="宋体" w:eastAsia="宋体" w:cs="宋体"/>
          <w:color w:val="auto"/>
          <w:kern w:val="0"/>
          <w:sz w:val="24"/>
          <w:szCs w:val="24"/>
          <w:highlight w:val="none"/>
          <w:lang w:val="en-US" w:eastAsia="zh-CN" w:bidi="ar"/>
        </w:rPr>
        <w:t>响应总价（小写）：</w:t>
      </w:r>
      <w:r>
        <w:rPr>
          <w:rFonts w:hint="eastAsia" w:ascii="Calibri" w:hAnsi="Calibri" w:eastAsia="宋体" w:cs="Times New Roman"/>
          <w:color w:val="auto"/>
          <w:kern w:val="0"/>
          <w:sz w:val="24"/>
          <w:szCs w:val="24"/>
          <w:highlight w:val="none"/>
          <w:u w:val="single"/>
          <w:lang w:val="en-US" w:eastAsia="zh-CN" w:bidi="ar"/>
        </w:rPr>
        <w:t xml:space="preserve">                                       </w:t>
      </w:r>
    </w:p>
    <w:p w14:paraId="05870253">
      <w:pPr>
        <w:keepNext w:val="0"/>
        <w:keepLines w:val="0"/>
        <w:widowControl w:val="0"/>
        <w:suppressLineNumbers w:val="0"/>
        <w:spacing w:before="0" w:beforeAutospacing="0" w:after="0" w:afterAutospacing="0" w:line="800" w:lineRule="exact"/>
        <w:ind w:left="0" w:right="0" w:firstLine="1440" w:firstLineChars="6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（大写）：</w:t>
      </w:r>
      <w:r>
        <w:rPr>
          <w:rFonts w:hint="eastAsia" w:ascii="Calibri" w:hAnsi="Calibri" w:eastAsia="宋体" w:cs="Times New Roman"/>
          <w:color w:val="auto"/>
          <w:kern w:val="0"/>
          <w:sz w:val="24"/>
          <w:szCs w:val="24"/>
          <w:highlight w:val="none"/>
          <w:u w:val="single"/>
          <w:lang w:val="en-US" w:eastAsia="zh-CN" w:bidi="ar"/>
        </w:rPr>
        <w:t xml:space="preserve">                                       </w:t>
      </w:r>
    </w:p>
    <w:p w14:paraId="0EB894A0">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default" w:ascii="Calibri" w:hAnsi="Calibri" w:eastAsia="宋体" w:cs="Times New Roman"/>
          <w:color w:val="auto"/>
          <w:kern w:val="0"/>
          <w:sz w:val="24"/>
          <w:szCs w:val="24"/>
          <w:highlight w:val="none"/>
          <w:lang w:val="en-US" w:eastAsia="zh-CN" w:bidi="ar"/>
        </w:rPr>
        <w:t xml:space="preserve"> </w:t>
      </w:r>
    </w:p>
    <w:p w14:paraId="4D1EBC4D">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供应商：</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Calibri" w:hAnsi="Calibri" w:eastAsia="宋体" w:cs="Times New Roman"/>
          <w:color w:val="auto"/>
          <w:kern w:val="0"/>
          <w:sz w:val="24"/>
          <w:szCs w:val="24"/>
          <w:highlight w:val="none"/>
          <w:lang w:val="en-US" w:eastAsia="zh-CN" w:bidi="ar"/>
        </w:rPr>
        <w:t xml:space="preserve"> </w:t>
      </w:r>
      <w:r>
        <w:rPr>
          <w:rFonts w:hint="default" w:ascii="Calibri" w:hAnsi="Calibri" w:eastAsia="宋体" w:cs="Calibri"/>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单位盖章</w:t>
      </w:r>
      <w:r>
        <w:rPr>
          <w:rFonts w:hint="default" w:ascii="Calibri" w:hAnsi="Calibri" w:eastAsia="宋体" w:cs="Calibri"/>
          <w:color w:val="auto"/>
          <w:kern w:val="0"/>
          <w:sz w:val="24"/>
          <w:szCs w:val="24"/>
          <w:highlight w:val="none"/>
          <w:lang w:val="en-US" w:eastAsia="zh-CN" w:bidi="ar"/>
        </w:rPr>
        <w:t>)</w:t>
      </w:r>
    </w:p>
    <w:p w14:paraId="1CEDF7F1">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法定代表人：</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Calibri" w:hAnsi="Calibri" w:eastAsia="宋体" w:cs="Times New Roman"/>
          <w:color w:val="auto"/>
          <w:kern w:val="0"/>
          <w:sz w:val="24"/>
          <w:szCs w:val="24"/>
          <w:highlight w:val="none"/>
          <w:lang w:val="en-US" w:eastAsia="zh-CN" w:bidi="ar"/>
        </w:rPr>
        <w:t xml:space="preserve"> </w:t>
      </w:r>
      <w:r>
        <w:rPr>
          <w:rFonts w:hint="default" w:ascii="Calibri" w:hAnsi="Calibri" w:eastAsia="宋体" w:cs="Calibri"/>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签字或盖章</w:t>
      </w:r>
      <w:r>
        <w:rPr>
          <w:rFonts w:hint="default" w:ascii="Calibri" w:hAnsi="Calibri" w:eastAsia="宋体" w:cs="Calibri"/>
          <w:color w:val="auto"/>
          <w:kern w:val="0"/>
          <w:sz w:val="24"/>
          <w:szCs w:val="24"/>
          <w:highlight w:val="none"/>
          <w:lang w:val="en-US" w:eastAsia="zh-CN" w:bidi="ar"/>
        </w:rPr>
        <w:t>)</w:t>
      </w:r>
    </w:p>
    <w:p w14:paraId="33ED74D4">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u w:val="single"/>
        </w:rPr>
      </w:pPr>
      <w:r>
        <w:rPr>
          <w:rFonts w:hint="eastAsia" w:ascii="宋体" w:hAnsi="宋体" w:eastAsia="宋体" w:cs="宋体"/>
          <w:color w:val="auto"/>
          <w:kern w:val="0"/>
          <w:sz w:val="24"/>
          <w:szCs w:val="24"/>
          <w:highlight w:val="none"/>
          <w:lang w:val="en-US" w:eastAsia="zh-CN" w:bidi="ar"/>
        </w:rPr>
        <w:t>编制人：</w:t>
      </w:r>
      <w:r>
        <w:rPr>
          <w:rFonts w:hint="eastAsia" w:ascii="Calibri" w:hAnsi="Calibri" w:eastAsia="宋体" w:cs="Times New Roman"/>
          <w:color w:val="auto"/>
          <w:kern w:val="0"/>
          <w:sz w:val="24"/>
          <w:szCs w:val="24"/>
          <w:highlight w:val="none"/>
          <w:u w:val="single"/>
          <w:lang w:val="en-US" w:eastAsia="zh-CN" w:bidi="ar"/>
        </w:rPr>
        <w:t xml:space="preserve">                                                 </w:t>
      </w:r>
    </w:p>
    <w:p w14:paraId="2DB5B7FE">
      <w:pPr>
        <w:keepNext w:val="0"/>
        <w:keepLines w:val="0"/>
        <w:widowControl w:val="0"/>
        <w:suppressLineNumbers w:val="0"/>
        <w:spacing w:before="0" w:beforeAutospacing="0" w:after="0" w:afterAutospacing="0" w:line="800" w:lineRule="exact"/>
        <w:ind w:left="0" w:right="0" w:firstLine="2040" w:firstLineChars="850"/>
        <w:jc w:val="both"/>
        <w:rPr>
          <w:rFonts w:hint="default" w:ascii="Calibri" w:hAnsi="Calibri" w:eastAsia="宋体" w:cs="Times New Roman"/>
          <w:color w:val="auto"/>
          <w:sz w:val="24"/>
          <w:szCs w:val="24"/>
          <w:highlight w:val="none"/>
        </w:rPr>
      </w:pPr>
      <w:r>
        <w:rPr>
          <w:rFonts w:hint="eastAsia" w:ascii="Calibri" w:hAnsi="Calibri" w:eastAsia="宋体" w:cs="Times New Roman"/>
          <w:color w:val="auto"/>
          <w:kern w:val="0"/>
          <w:sz w:val="24"/>
          <w:szCs w:val="24"/>
          <w:highlight w:val="none"/>
          <w:lang w:val="en-US" w:eastAsia="zh-CN" w:bidi="ar"/>
        </w:rPr>
        <w:t xml:space="preserve"> </w:t>
      </w:r>
      <w:r>
        <w:rPr>
          <w:rFonts w:hint="default" w:ascii="Calibri" w:hAnsi="Calibri" w:eastAsia="宋体" w:cs="Calibri"/>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注册造价工程师签字并盖执业专用章</w:t>
      </w:r>
      <w:r>
        <w:rPr>
          <w:rFonts w:hint="default" w:ascii="Calibri" w:hAnsi="Calibri" w:eastAsia="宋体" w:cs="Calibri"/>
          <w:color w:val="auto"/>
          <w:kern w:val="0"/>
          <w:sz w:val="24"/>
          <w:szCs w:val="24"/>
          <w:highlight w:val="none"/>
          <w:lang w:val="en-US" w:eastAsia="zh-CN" w:bidi="ar"/>
        </w:rPr>
        <w:t>)</w:t>
      </w:r>
    </w:p>
    <w:p w14:paraId="235345EF">
      <w:pPr>
        <w:keepNext w:val="0"/>
        <w:keepLines w:val="0"/>
        <w:widowControl w:val="0"/>
        <w:suppressLineNumbers w:val="0"/>
        <w:spacing w:before="0" w:beforeAutospacing="0" w:after="0" w:afterAutospacing="0" w:line="800" w:lineRule="exact"/>
        <w:ind w:left="0" w:right="0" w:firstLine="480" w:firstLineChars="200"/>
        <w:jc w:val="both"/>
        <w:rPr>
          <w:rFonts w:hint="default" w:ascii="Calibri" w:hAnsi="Calibri"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编制时间：</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年</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月</w:t>
      </w:r>
      <w:r>
        <w:rPr>
          <w:rFonts w:hint="eastAsia" w:ascii="Calibri" w:hAnsi="Calibri" w:eastAsia="宋体" w:cs="Times New Roman"/>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日</w:t>
      </w:r>
    </w:p>
    <w:p w14:paraId="5100E6F2">
      <w:pPr>
        <w:adjustRightInd w:val="0"/>
        <w:snapToGrid w:val="0"/>
        <w:spacing w:line="360" w:lineRule="auto"/>
        <w:ind w:firstLine="482" w:firstLineChars="200"/>
        <w:jc w:val="center"/>
        <w:rPr>
          <w:b/>
          <w:bCs/>
          <w:color w:val="auto"/>
          <w:sz w:val="24"/>
          <w:szCs w:val="28"/>
          <w:highlight w:val="none"/>
        </w:rPr>
      </w:pPr>
    </w:p>
    <w:p w14:paraId="3C5FA1F8">
      <w:pPr>
        <w:widowControl/>
        <w:jc w:val="left"/>
        <w:rPr>
          <w:b/>
          <w:bCs/>
          <w:color w:val="auto"/>
          <w:sz w:val="24"/>
          <w:szCs w:val="28"/>
          <w:highlight w:val="none"/>
        </w:rPr>
      </w:pPr>
      <w:r>
        <w:rPr>
          <w:b/>
          <w:bCs/>
          <w:color w:val="auto"/>
          <w:sz w:val="24"/>
          <w:szCs w:val="28"/>
          <w:highlight w:val="none"/>
        </w:rPr>
        <w:br w:type="page"/>
      </w:r>
    </w:p>
    <w:p w14:paraId="56E2141A">
      <w:pPr>
        <w:spacing w:line="360" w:lineRule="auto"/>
        <w:jc w:val="center"/>
        <w:outlineLvl w:val="1"/>
        <w:rPr>
          <w:rFonts w:asciiTheme="minorEastAsia" w:hAnsiTheme="minorEastAsia" w:eastAsiaTheme="minorEastAsia"/>
          <w:b/>
          <w:color w:val="auto"/>
          <w:sz w:val="24"/>
          <w:highlight w:val="none"/>
        </w:rPr>
      </w:pPr>
      <w:bookmarkStart w:id="658" w:name="_Toc461053087"/>
      <w:bookmarkStart w:id="659" w:name="_Toc461056632"/>
      <w:bookmarkStart w:id="660" w:name="_Toc19576"/>
      <w:bookmarkStart w:id="661" w:name="_Toc28658"/>
      <w:bookmarkStart w:id="662" w:name="_Toc520983588"/>
      <w:r>
        <w:rPr>
          <w:rFonts w:hint="eastAsia" w:asciiTheme="minorEastAsia" w:hAnsiTheme="minorEastAsia" w:eastAsiaTheme="minorEastAsia"/>
          <w:b/>
          <w:color w:val="auto"/>
          <w:sz w:val="24"/>
          <w:highlight w:val="none"/>
        </w:rPr>
        <w:t>二</w:t>
      </w:r>
      <w:bookmarkEnd w:id="658"/>
      <w:bookmarkEnd w:id="659"/>
      <w:r>
        <w:rPr>
          <w:rFonts w:hint="eastAsia" w:asciiTheme="minorEastAsia" w:hAnsiTheme="minorEastAsia" w:eastAsiaTheme="minorEastAsia"/>
          <w:b/>
          <w:color w:val="auto"/>
          <w:sz w:val="24"/>
          <w:highlight w:val="none"/>
        </w:rPr>
        <w:t>、最后承诺报价表</w:t>
      </w:r>
      <w:bookmarkEnd w:id="660"/>
      <w:bookmarkEnd w:id="661"/>
      <w:bookmarkEnd w:id="662"/>
    </w:p>
    <w:p w14:paraId="394CFFCC">
      <w:pPr>
        <w:spacing w:before="156" w:beforeLines="50" w:after="156" w:afterLines="50" w:line="360" w:lineRule="auto"/>
        <w:ind w:firstLine="236" w:firstLineChars="98"/>
        <w:jc w:val="center"/>
        <w:outlineLvl w:val="9"/>
        <w:rPr>
          <w:b/>
          <w:color w:val="auto"/>
          <w:sz w:val="24"/>
          <w:szCs w:val="28"/>
          <w:highlight w:val="none"/>
        </w:rPr>
      </w:pPr>
      <w:bookmarkStart w:id="663" w:name="_Toc16156"/>
      <w:r>
        <w:rPr>
          <w:rFonts w:hint="eastAsia"/>
          <w:b/>
          <w:color w:val="auto"/>
          <w:sz w:val="24"/>
          <w:szCs w:val="28"/>
          <w:highlight w:val="none"/>
        </w:rPr>
        <w:t>（第</w:t>
      </w:r>
      <w:r>
        <w:rPr>
          <w:rFonts w:hint="eastAsia"/>
          <w:b/>
          <w:color w:val="auto"/>
          <w:sz w:val="24"/>
          <w:szCs w:val="28"/>
          <w:highlight w:val="none"/>
          <w:u w:val="single"/>
        </w:rPr>
        <w:t xml:space="preserve">   </w:t>
      </w:r>
      <w:r>
        <w:rPr>
          <w:rFonts w:hint="eastAsia"/>
          <w:b/>
          <w:color w:val="auto"/>
          <w:sz w:val="24"/>
          <w:szCs w:val="28"/>
          <w:highlight w:val="none"/>
        </w:rPr>
        <w:t>次报价书）</w:t>
      </w:r>
      <w:bookmarkEnd w:id="663"/>
    </w:p>
    <w:p w14:paraId="5A57671C">
      <w:pPr>
        <w:snapToGrid w:val="0"/>
        <w:spacing w:line="360" w:lineRule="auto"/>
        <w:jc w:val="left"/>
        <w:rPr>
          <w:rFonts w:hint="default" w:cs="宋体" w:asciiTheme="minorEastAsia" w:hAnsiTheme="minorEastAsia" w:eastAsiaTheme="minorEastAsia"/>
          <w:b/>
          <w:color w:val="auto"/>
          <w:kern w:val="2"/>
          <w:sz w:val="24"/>
          <w:szCs w:val="24"/>
          <w:highlight w:val="none"/>
          <w:lang w:val="en-US" w:eastAsia="zh-CN"/>
        </w:rPr>
      </w:pPr>
      <w:r>
        <w:rPr>
          <w:rFonts w:hint="eastAsia" w:cs="宋体" w:asciiTheme="minorEastAsia" w:hAnsiTheme="minorEastAsia" w:eastAsiaTheme="minorEastAsia"/>
          <w:b/>
          <w:color w:val="auto"/>
          <w:kern w:val="2"/>
          <w:sz w:val="24"/>
          <w:szCs w:val="24"/>
          <w:highlight w:val="none"/>
        </w:rPr>
        <w:t>项目名称：</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p>
    <w:p w14:paraId="642A9B40">
      <w:pPr>
        <w:snapToGrid w:val="0"/>
        <w:spacing w:after="156" w:afterLines="50" w:line="360" w:lineRule="auto"/>
        <w:jc w:val="left"/>
        <w:rPr>
          <w:rFonts w:hint="default" w:cs="宋体" w:asciiTheme="minorEastAsia" w:hAnsiTheme="minorEastAsia" w:eastAsiaTheme="minorEastAsia"/>
          <w:b/>
          <w:bCs/>
          <w:color w:val="auto"/>
          <w:kern w:val="2"/>
          <w:sz w:val="24"/>
          <w:szCs w:val="24"/>
          <w:highlight w:val="none"/>
          <w:u w:val="single"/>
          <w:lang w:val="en-US" w:eastAsia="zh-CN"/>
        </w:rPr>
      </w:pPr>
      <w:r>
        <w:rPr>
          <w:rFonts w:hint="eastAsia" w:cs="宋体" w:asciiTheme="minorEastAsia" w:hAnsiTheme="minorEastAsia" w:eastAsiaTheme="minorEastAsia"/>
          <w:b/>
          <w:color w:val="auto"/>
          <w:kern w:val="2"/>
          <w:sz w:val="24"/>
          <w:szCs w:val="24"/>
          <w:highlight w:val="none"/>
        </w:rPr>
        <w:t>项目编号：</w:t>
      </w:r>
      <w:r>
        <w:rPr>
          <w:rFonts w:hint="eastAsia" w:cs="宋体" w:asciiTheme="minorEastAsia" w:hAnsiTheme="minorEastAsia" w:eastAsiaTheme="minorEastAsia"/>
          <w:b/>
          <w:color w:val="auto"/>
          <w:kern w:val="2"/>
          <w:sz w:val="24"/>
          <w:szCs w:val="24"/>
          <w:highlight w:val="none"/>
          <w:u w:val="single"/>
        </w:rPr>
        <w:t xml:space="preserve">     </w:t>
      </w:r>
      <w:r>
        <w:rPr>
          <w:rFonts w:hint="eastAsia" w:cs="宋体" w:asciiTheme="minorEastAsia" w:hAnsiTheme="minorEastAsia" w:eastAsiaTheme="minorEastAsia"/>
          <w:b/>
          <w:color w:val="auto"/>
          <w:kern w:val="2"/>
          <w:sz w:val="24"/>
          <w:szCs w:val="24"/>
          <w:highlight w:val="none"/>
          <w:u w:val="single"/>
          <w:lang w:val="en-US" w:eastAsia="zh-CN"/>
        </w:rPr>
        <w:t xml:space="preserve">    </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2"/>
        <w:gridCol w:w="5950"/>
      </w:tblGrid>
      <w:tr w14:paraId="7778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509" w:type="pct"/>
            <w:tcBorders>
              <w:top w:val="single" w:color="auto" w:sz="4" w:space="0"/>
              <w:left w:val="single" w:color="auto" w:sz="4" w:space="0"/>
              <w:bottom w:val="single" w:color="auto" w:sz="4" w:space="0"/>
              <w:right w:val="single" w:color="auto" w:sz="4" w:space="0"/>
            </w:tcBorders>
            <w:vAlign w:val="center"/>
          </w:tcPr>
          <w:p w14:paraId="667ABD11">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供应商名称</w:t>
            </w:r>
          </w:p>
        </w:tc>
        <w:tc>
          <w:tcPr>
            <w:tcW w:w="3491" w:type="pct"/>
            <w:tcBorders>
              <w:left w:val="single" w:color="auto" w:sz="4" w:space="0"/>
            </w:tcBorders>
          </w:tcPr>
          <w:p w14:paraId="440F6862">
            <w:pPr>
              <w:rPr>
                <w:rFonts w:cs="宋体" w:asciiTheme="minorEastAsia" w:hAnsiTheme="minorEastAsia" w:eastAsiaTheme="minorEastAsia"/>
                <w:b/>
                <w:color w:val="auto"/>
                <w:kern w:val="2"/>
                <w:sz w:val="24"/>
                <w:szCs w:val="24"/>
                <w:highlight w:val="none"/>
              </w:rPr>
            </w:pPr>
          </w:p>
        </w:tc>
      </w:tr>
      <w:tr w14:paraId="64FA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509" w:type="pct"/>
            <w:tcBorders>
              <w:top w:val="single" w:color="auto" w:sz="4" w:space="0"/>
              <w:left w:val="single" w:color="auto" w:sz="4" w:space="0"/>
              <w:bottom w:val="single" w:color="auto" w:sz="4" w:space="0"/>
              <w:right w:val="single" w:color="auto" w:sz="4" w:space="0"/>
            </w:tcBorders>
            <w:vAlign w:val="center"/>
          </w:tcPr>
          <w:p w14:paraId="30B9B64E">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谈判</w:t>
            </w:r>
            <w:r>
              <w:rPr>
                <w:rFonts w:hint="eastAsia" w:cs="宋体" w:asciiTheme="minorEastAsia" w:hAnsiTheme="minorEastAsia" w:eastAsiaTheme="minorEastAsia"/>
                <w:b/>
                <w:color w:val="auto"/>
                <w:kern w:val="2"/>
                <w:sz w:val="24"/>
                <w:szCs w:val="24"/>
                <w:highlight w:val="none"/>
              </w:rPr>
              <w:t>范围</w:t>
            </w:r>
          </w:p>
        </w:tc>
        <w:tc>
          <w:tcPr>
            <w:tcW w:w="3491" w:type="pct"/>
            <w:tcBorders>
              <w:left w:val="single" w:color="auto" w:sz="4" w:space="0"/>
            </w:tcBorders>
            <w:vAlign w:val="center"/>
          </w:tcPr>
          <w:p w14:paraId="44602FA1">
            <w:pPr>
              <w:widowControl/>
              <w:rPr>
                <w:rFonts w:cs="宋体" w:asciiTheme="minorEastAsia" w:hAnsiTheme="minorEastAsia" w:eastAsiaTheme="minorEastAsia"/>
                <w:b/>
                <w:color w:val="auto"/>
                <w:kern w:val="2"/>
                <w:sz w:val="24"/>
                <w:szCs w:val="24"/>
                <w:highlight w:val="none"/>
              </w:rPr>
            </w:pPr>
            <w:r>
              <w:rPr>
                <w:rFonts w:hint="eastAsia" w:cs="@仿宋_GB2312" w:asciiTheme="minorEastAsia" w:hAnsiTheme="minorEastAsia" w:eastAsiaTheme="minorEastAsia"/>
                <w:color w:val="auto"/>
                <w:kern w:val="2"/>
                <w:sz w:val="24"/>
                <w:szCs w:val="28"/>
                <w:highlight w:val="none"/>
              </w:rPr>
              <w:t xml:space="preserve">全部 </w:t>
            </w:r>
          </w:p>
        </w:tc>
      </w:tr>
      <w:tr w14:paraId="0FB5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jc w:val="center"/>
        </w:trPr>
        <w:tc>
          <w:tcPr>
            <w:tcW w:w="1509" w:type="pct"/>
            <w:tcBorders>
              <w:top w:val="single" w:color="auto" w:sz="4" w:space="0"/>
            </w:tcBorders>
            <w:vAlign w:val="center"/>
          </w:tcPr>
          <w:p w14:paraId="2E5C39F4">
            <w:pPr>
              <w:spacing w:line="360" w:lineRule="auto"/>
              <w:jc w:val="center"/>
              <w:rPr>
                <w:rFonts w:cs="@仿宋_GB2312"/>
                <w:b/>
                <w:color w:val="auto"/>
                <w:kern w:val="2"/>
                <w:sz w:val="24"/>
                <w:highlight w:val="none"/>
              </w:rPr>
            </w:pPr>
            <w:r>
              <w:rPr>
                <w:rFonts w:hint="eastAsia" w:cs="@仿宋_GB2312"/>
                <w:b/>
                <w:bCs/>
                <w:color w:val="auto"/>
                <w:kern w:val="2"/>
                <w:sz w:val="24"/>
                <w:szCs w:val="28"/>
                <w:highlight w:val="none"/>
              </w:rPr>
              <w:t>最后报价</w:t>
            </w:r>
          </w:p>
          <w:p w14:paraId="3F32C929">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（详见备注说明）</w:t>
            </w:r>
          </w:p>
        </w:tc>
        <w:tc>
          <w:tcPr>
            <w:tcW w:w="3491" w:type="pct"/>
            <w:vAlign w:val="center"/>
          </w:tcPr>
          <w:p w14:paraId="5BF55CDB">
            <w:pPr>
              <w:snapToGrid w:val="0"/>
              <w:spacing w:line="360" w:lineRule="auto"/>
              <w:jc w:val="left"/>
              <w:rPr>
                <w:rFonts w:cs="宋体"/>
                <w:bCs/>
                <w:color w:val="auto"/>
                <w:sz w:val="21"/>
                <w:szCs w:val="21"/>
                <w:highlight w:val="none"/>
                <w:u w:val="single"/>
              </w:rPr>
            </w:pPr>
            <w:r>
              <w:rPr>
                <w:rFonts w:hint="eastAsia" w:cs="宋体"/>
                <w:bCs/>
                <w:color w:val="auto"/>
                <w:sz w:val="21"/>
                <w:szCs w:val="21"/>
                <w:highlight w:val="none"/>
              </w:rPr>
              <w:t>大写：</w:t>
            </w:r>
            <w:r>
              <w:rPr>
                <w:rFonts w:hint="eastAsia" w:cs="宋体"/>
                <w:bCs/>
                <w:color w:val="auto"/>
                <w:sz w:val="21"/>
                <w:szCs w:val="21"/>
                <w:highlight w:val="none"/>
                <w:u w:val="single"/>
              </w:rPr>
              <w:t xml:space="preserve">                     </w:t>
            </w:r>
          </w:p>
          <w:p w14:paraId="4A92EAC1">
            <w:pPr>
              <w:snapToGrid w:val="0"/>
              <w:rPr>
                <w:rFonts w:cs="宋体" w:asciiTheme="minorEastAsia" w:hAnsiTheme="minorEastAsia" w:eastAsiaTheme="minorEastAsia"/>
                <w:b/>
                <w:color w:val="auto"/>
                <w:kern w:val="2"/>
                <w:sz w:val="24"/>
                <w:szCs w:val="24"/>
                <w:highlight w:val="none"/>
              </w:rPr>
            </w:pPr>
            <w:r>
              <w:rPr>
                <w:rFonts w:hint="eastAsia" w:cs="宋体"/>
                <w:bCs/>
                <w:color w:val="auto"/>
                <w:sz w:val="21"/>
                <w:szCs w:val="21"/>
                <w:highlight w:val="none"/>
              </w:rPr>
              <w:t>小写：</w:t>
            </w:r>
            <w:r>
              <w:rPr>
                <w:rFonts w:hint="eastAsia" w:cs="宋体"/>
                <w:bCs/>
                <w:color w:val="auto"/>
                <w:sz w:val="21"/>
                <w:szCs w:val="21"/>
                <w:highlight w:val="none"/>
                <w:u w:val="single"/>
              </w:rPr>
              <w:t xml:space="preserve">                     </w:t>
            </w:r>
          </w:p>
        </w:tc>
      </w:tr>
      <w:tr w14:paraId="0FAC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509" w:type="pct"/>
            <w:tcBorders>
              <w:top w:val="single" w:color="auto" w:sz="4" w:space="0"/>
            </w:tcBorders>
            <w:vAlign w:val="center"/>
          </w:tcPr>
          <w:p w14:paraId="47181268">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质量标准</w:t>
            </w:r>
          </w:p>
        </w:tc>
        <w:tc>
          <w:tcPr>
            <w:tcW w:w="3491" w:type="pct"/>
            <w:vAlign w:val="center"/>
          </w:tcPr>
          <w:p w14:paraId="5EF01F22">
            <w:pPr>
              <w:snapToGrid w:val="0"/>
              <w:rPr>
                <w:rFonts w:cs="宋体" w:asciiTheme="minorEastAsia" w:hAnsiTheme="minorEastAsia" w:eastAsiaTheme="minorEastAsia"/>
                <w:b/>
                <w:color w:val="auto"/>
                <w:kern w:val="2"/>
                <w:sz w:val="24"/>
                <w:szCs w:val="24"/>
                <w:highlight w:val="none"/>
              </w:rPr>
            </w:pPr>
          </w:p>
        </w:tc>
      </w:tr>
      <w:tr w14:paraId="4F98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509" w:type="pct"/>
            <w:tcBorders>
              <w:top w:val="single" w:color="auto" w:sz="4" w:space="0"/>
            </w:tcBorders>
            <w:vAlign w:val="center"/>
          </w:tcPr>
          <w:p w14:paraId="65A5DDD5">
            <w:pPr>
              <w:snapToGrid w:val="0"/>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工    期</w:t>
            </w:r>
          </w:p>
        </w:tc>
        <w:tc>
          <w:tcPr>
            <w:tcW w:w="3491" w:type="pct"/>
            <w:vAlign w:val="center"/>
          </w:tcPr>
          <w:p w14:paraId="4F203BB6">
            <w:pPr>
              <w:snapToGrid w:val="0"/>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Cs/>
                <w:color w:val="auto"/>
                <w:kern w:val="2"/>
                <w:sz w:val="24"/>
                <w:szCs w:val="24"/>
                <w:highlight w:val="none"/>
              </w:rPr>
              <w:t>接开工令后</w:t>
            </w:r>
            <w:r>
              <w:rPr>
                <w:rFonts w:hint="eastAsia" w:cs="宋体" w:asciiTheme="minorEastAsia" w:hAnsiTheme="minorEastAsia" w:eastAsiaTheme="minorEastAsia"/>
                <w:bCs/>
                <w:color w:val="auto"/>
                <w:kern w:val="2"/>
                <w:sz w:val="24"/>
                <w:szCs w:val="24"/>
                <w:highlight w:val="none"/>
                <w:u w:val="single"/>
              </w:rPr>
              <w:t xml:space="preserve">      </w:t>
            </w:r>
            <w:r>
              <w:rPr>
                <w:rFonts w:hint="eastAsia" w:cs="宋体" w:asciiTheme="minorEastAsia" w:hAnsiTheme="minorEastAsia" w:eastAsiaTheme="minorEastAsia"/>
                <w:bCs/>
                <w:color w:val="auto"/>
                <w:kern w:val="2"/>
                <w:sz w:val="24"/>
                <w:szCs w:val="24"/>
                <w:highlight w:val="none"/>
              </w:rPr>
              <w:t>日历天完工</w:t>
            </w:r>
          </w:p>
        </w:tc>
      </w:tr>
      <w:tr w14:paraId="1335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509" w:type="pct"/>
            <w:tcBorders>
              <w:top w:val="single" w:color="auto" w:sz="4" w:space="0"/>
            </w:tcBorders>
            <w:vAlign w:val="center"/>
          </w:tcPr>
          <w:p w14:paraId="42580CAC">
            <w:pPr>
              <w:snapToGrid w:val="0"/>
              <w:jc w:val="center"/>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是否响应付款方式</w:t>
            </w:r>
          </w:p>
        </w:tc>
        <w:tc>
          <w:tcPr>
            <w:tcW w:w="3491" w:type="pct"/>
            <w:vAlign w:val="center"/>
          </w:tcPr>
          <w:p w14:paraId="09573331">
            <w:pPr>
              <w:snapToGrid w:val="0"/>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是□    否□   （划√）</w:t>
            </w:r>
          </w:p>
        </w:tc>
      </w:tr>
      <w:tr w14:paraId="2F8B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1509" w:type="pct"/>
            <w:vAlign w:val="center"/>
          </w:tcPr>
          <w:p w14:paraId="6BB542EE">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备注说明</w:t>
            </w:r>
          </w:p>
        </w:tc>
        <w:tc>
          <w:tcPr>
            <w:tcW w:w="3491" w:type="pct"/>
          </w:tcPr>
          <w:p w14:paraId="61AF47AA">
            <w:pP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i/>
                <w:color w:val="auto"/>
                <w:kern w:val="2"/>
                <w:sz w:val="24"/>
                <w:szCs w:val="24"/>
                <w:highlight w:val="none"/>
              </w:rPr>
              <w:t>（此处可补充谈判小组根据与供应商谈判情况变动的谈判文件的内容，包括采购需求中的技术、服务要求以及合同草案条款。）</w:t>
            </w:r>
          </w:p>
        </w:tc>
      </w:tr>
      <w:tr w14:paraId="4E78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509" w:type="pct"/>
            <w:vAlign w:val="center"/>
          </w:tcPr>
          <w:p w14:paraId="2CE5204A">
            <w:pPr>
              <w:jc w:val="center"/>
              <w:rPr>
                <w:rFonts w:cs="宋体" w:asciiTheme="minorEastAsia" w:hAnsiTheme="minorEastAsia" w:eastAsiaTheme="minorEastAsia"/>
                <w:b/>
                <w:color w:val="auto"/>
                <w:kern w:val="2"/>
                <w:sz w:val="24"/>
                <w:szCs w:val="24"/>
                <w:highlight w:val="none"/>
              </w:rPr>
            </w:pPr>
            <w:r>
              <w:rPr>
                <w:rFonts w:hint="eastAsia" w:cs="宋体" w:asciiTheme="minorEastAsia" w:hAnsiTheme="minorEastAsia" w:eastAsiaTheme="minorEastAsia"/>
                <w:b/>
                <w:color w:val="auto"/>
                <w:kern w:val="2"/>
                <w:sz w:val="24"/>
                <w:szCs w:val="24"/>
                <w:highlight w:val="none"/>
              </w:rPr>
              <w:t>谈判小组签字</w:t>
            </w:r>
          </w:p>
        </w:tc>
        <w:tc>
          <w:tcPr>
            <w:tcW w:w="3491" w:type="pct"/>
          </w:tcPr>
          <w:p w14:paraId="628405B1">
            <w:pPr>
              <w:rPr>
                <w:rFonts w:cs="宋体" w:asciiTheme="minorEastAsia" w:hAnsiTheme="minorEastAsia" w:eastAsiaTheme="minorEastAsia"/>
                <w:b/>
                <w:color w:val="auto"/>
                <w:kern w:val="2"/>
                <w:sz w:val="24"/>
                <w:szCs w:val="24"/>
                <w:highlight w:val="none"/>
              </w:rPr>
            </w:pPr>
          </w:p>
        </w:tc>
      </w:tr>
    </w:tbl>
    <w:p w14:paraId="0C0E94FC">
      <w:pPr>
        <w:spacing w:line="440" w:lineRule="exact"/>
        <w:ind w:firstLine="3600" w:firstLineChars="1500"/>
        <w:rPr>
          <w:rFonts w:cs="@仿宋_GB2312"/>
          <w:color w:val="auto"/>
          <w:kern w:val="2"/>
          <w:sz w:val="24"/>
          <w:szCs w:val="24"/>
          <w:highlight w:val="none"/>
          <w:u w:val="single"/>
        </w:rPr>
      </w:pPr>
      <w:r>
        <w:rPr>
          <w:rFonts w:hint="eastAsia" w:cs="@仿宋_GB2312"/>
          <w:color w:val="auto"/>
          <w:kern w:val="2"/>
          <w:sz w:val="24"/>
          <w:szCs w:val="24"/>
          <w:highlight w:val="none"/>
        </w:rPr>
        <w:t>供应商公章或授权代表签字：</w:t>
      </w:r>
      <w:r>
        <w:rPr>
          <w:rFonts w:hint="eastAsia" w:cs="@仿宋_GB2312"/>
          <w:color w:val="auto"/>
          <w:kern w:val="2"/>
          <w:sz w:val="24"/>
          <w:szCs w:val="24"/>
          <w:highlight w:val="none"/>
          <w:u w:val="single"/>
        </w:rPr>
        <w:t xml:space="preserve">     </w:t>
      </w:r>
      <w:r>
        <w:rPr>
          <w:rFonts w:cs="@仿宋_GB2312"/>
          <w:color w:val="auto"/>
          <w:kern w:val="2"/>
          <w:sz w:val="24"/>
          <w:szCs w:val="24"/>
          <w:highlight w:val="none"/>
          <w:u w:val="single"/>
        </w:rPr>
        <w:t xml:space="preserve">    </w:t>
      </w:r>
      <w:r>
        <w:rPr>
          <w:rFonts w:hint="eastAsia" w:cs="@仿宋_GB2312"/>
          <w:color w:val="auto"/>
          <w:kern w:val="2"/>
          <w:sz w:val="24"/>
          <w:szCs w:val="24"/>
          <w:highlight w:val="none"/>
          <w:u w:val="single"/>
        </w:rPr>
        <w:t xml:space="preserve">    </w:t>
      </w:r>
    </w:p>
    <w:p w14:paraId="390BC005">
      <w:pPr>
        <w:spacing w:line="440" w:lineRule="exact"/>
        <w:ind w:firstLine="4800" w:firstLineChars="2000"/>
        <w:rPr>
          <w:rFonts w:cs="宋体" w:asciiTheme="minorEastAsia" w:hAnsiTheme="minorEastAsia" w:eastAsiaTheme="minorEastAsia"/>
          <w:b/>
          <w:bCs/>
          <w:color w:val="auto"/>
          <w:kern w:val="2"/>
          <w:sz w:val="24"/>
          <w:szCs w:val="24"/>
          <w:highlight w:val="none"/>
        </w:rPr>
      </w:pPr>
      <w:r>
        <w:rPr>
          <w:rFonts w:hint="eastAsia" w:cs="@仿宋_GB2312"/>
          <w:color w:val="auto"/>
          <w:kern w:val="2"/>
          <w:sz w:val="24"/>
          <w:szCs w:val="24"/>
          <w:highlight w:val="none"/>
        </w:rPr>
        <w:t xml:space="preserve">日     </w:t>
      </w:r>
      <w:r>
        <w:rPr>
          <w:rFonts w:cs="@仿宋_GB2312"/>
          <w:color w:val="auto"/>
          <w:kern w:val="2"/>
          <w:sz w:val="24"/>
          <w:szCs w:val="24"/>
          <w:highlight w:val="none"/>
        </w:rPr>
        <w:t xml:space="preserve">    </w:t>
      </w:r>
      <w:r>
        <w:rPr>
          <w:rFonts w:hint="eastAsia" w:cs="@仿宋_GB2312"/>
          <w:color w:val="auto"/>
          <w:kern w:val="2"/>
          <w:sz w:val="24"/>
          <w:szCs w:val="24"/>
          <w:highlight w:val="none"/>
        </w:rPr>
        <w:t xml:space="preserve"> 期：</w:t>
      </w:r>
      <w:r>
        <w:rPr>
          <w:rFonts w:hint="eastAsia" w:cs="@仿宋_GB2312"/>
          <w:color w:val="auto"/>
          <w:kern w:val="2"/>
          <w:sz w:val="24"/>
          <w:szCs w:val="24"/>
          <w:highlight w:val="none"/>
          <w:u w:val="single"/>
        </w:rPr>
        <w:t xml:space="preserve">             </w:t>
      </w:r>
    </w:p>
    <w:p w14:paraId="10B07FFF">
      <w:pPr>
        <w:spacing w:line="360" w:lineRule="auto"/>
        <w:jc w:val="left"/>
        <w:rPr>
          <w:rFonts w:hint="eastAsia"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注：</w:t>
      </w:r>
    </w:p>
    <w:p w14:paraId="590F0D4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cs="宋体" w:asciiTheme="minorEastAsia" w:hAnsiTheme="minorEastAsia" w:eastAsiaTheme="minorEastAsia"/>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1.</w:t>
      </w:r>
      <w:r>
        <w:rPr>
          <w:rFonts w:hint="eastAsia" w:cs="@仿宋_GB2312"/>
          <w:b/>
          <w:bCs/>
          <w:color w:val="auto"/>
          <w:kern w:val="2"/>
          <w:sz w:val="24"/>
          <w:highlight w:val="none"/>
        </w:rPr>
        <w:t>本页《报价表》由供应商在接到报价通知后依据谈判情况填写,并在规定时间内提交。</w:t>
      </w:r>
      <w:r>
        <w:rPr>
          <w:rFonts w:hint="eastAsia" w:cs="宋体" w:asciiTheme="minorEastAsia" w:hAnsiTheme="minorEastAsia" w:eastAsiaTheme="minorEastAsia"/>
          <w:color w:val="auto"/>
          <w:kern w:val="2"/>
          <w:sz w:val="24"/>
          <w:szCs w:val="24"/>
          <w:highlight w:val="none"/>
        </w:rPr>
        <w:t>考虑谈判报价的方便，供应商在填写最后承诺报价后，（第一次报价-最后承诺报价）除以第一次报价后得出的优惠率视同为清单中全部分项工程量的优惠浮动值（特定分项优惠除外），而不考虑措施项目清单和规费税金清单的金额改变。</w:t>
      </w:r>
      <w:r>
        <w:rPr>
          <w:rFonts w:hint="eastAsia" w:cs="宋体" w:asciiTheme="minorEastAsia" w:hAnsiTheme="minorEastAsia" w:eastAsiaTheme="minorEastAsia"/>
          <w:bCs/>
          <w:color w:val="auto"/>
          <w:kern w:val="2"/>
          <w:sz w:val="24"/>
          <w:szCs w:val="24"/>
          <w:highlight w:val="none"/>
        </w:rPr>
        <w:t>此优惠率调整原则适用于合同内价格的计算及项目增减、变更时价格的计算。</w:t>
      </w:r>
    </w:p>
    <w:p w14:paraId="1F1BFEB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cs="宋体" w:asciiTheme="minorEastAsia" w:hAnsiTheme="minorEastAsia" w:eastAsiaTheme="minorEastAsia"/>
          <w:b/>
          <w:bCs/>
          <w:color w:val="auto"/>
          <w:kern w:val="2"/>
          <w:sz w:val="24"/>
          <w:szCs w:val="24"/>
          <w:highlight w:val="none"/>
        </w:rPr>
      </w:pPr>
      <w:r>
        <w:rPr>
          <w:rFonts w:hint="eastAsia" w:cs="宋体" w:asciiTheme="minorEastAsia" w:hAnsiTheme="minorEastAsia" w:eastAsiaTheme="minorEastAsia"/>
          <w:b/>
          <w:bCs/>
          <w:color w:val="auto"/>
          <w:kern w:val="2"/>
          <w:sz w:val="24"/>
          <w:szCs w:val="24"/>
          <w:highlight w:val="none"/>
        </w:rPr>
        <w:t>2.表中大写金额与小写金额不一致的，以大写金额为准。</w:t>
      </w:r>
    </w:p>
    <w:p w14:paraId="17B2D46B">
      <w:pPr>
        <w:widowControl/>
        <w:jc w:val="left"/>
        <w:rPr>
          <w:bCs/>
          <w:color w:val="auto"/>
          <w:sz w:val="24"/>
          <w:highlight w:val="none"/>
        </w:rPr>
      </w:pPr>
      <w:r>
        <w:rPr>
          <w:bCs/>
          <w:color w:val="auto"/>
          <w:sz w:val="24"/>
          <w:highlight w:val="none"/>
        </w:rPr>
        <w:br w:type="page"/>
      </w:r>
    </w:p>
    <w:p w14:paraId="1987DF08">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664" w:name="_Toc1235"/>
      <w:bookmarkStart w:id="665" w:name="_Toc15150"/>
      <w:bookmarkStart w:id="666" w:name="_Toc520983591"/>
      <w:r>
        <w:rPr>
          <w:rFonts w:hint="eastAsia" w:cs="@仿宋_GB2312" w:asciiTheme="minorEastAsia" w:hAnsiTheme="minorEastAsia" w:eastAsiaTheme="minorEastAsia"/>
          <w:b/>
          <w:bCs/>
          <w:color w:val="auto"/>
          <w:kern w:val="2"/>
          <w:sz w:val="24"/>
          <w:szCs w:val="24"/>
          <w:highlight w:val="none"/>
        </w:rPr>
        <w:t>三、供应商综合情况简介</w:t>
      </w:r>
      <w:bookmarkEnd w:id="664"/>
      <w:bookmarkEnd w:id="665"/>
    </w:p>
    <w:p w14:paraId="5FF12CA4">
      <w:pPr>
        <w:spacing w:before="156" w:beforeLines="50" w:after="156" w:afterLines="50" w:line="360" w:lineRule="auto"/>
        <w:ind w:firstLine="235" w:firstLineChars="98"/>
        <w:jc w:val="center"/>
        <w:rPr>
          <w:color w:val="auto"/>
          <w:sz w:val="24"/>
          <w:szCs w:val="28"/>
          <w:highlight w:val="none"/>
        </w:rPr>
      </w:pPr>
      <w:r>
        <w:rPr>
          <w:rFonts w:hint="eastAsia"/>
          <w:color w:val="auto"/>
          <w:sz w:val="24"/>
          <w:szCs w:val="28"/>
          <w:highlight w:val="none"/>
        </w:rPr>
        <w:t>（供应商可自行制作格式）</w:t>
      </w:r>
    </w:p>
    <w:p w14:paraId="03E7754B">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0556963">
      <w:pPr>
        <w:spacing w:line="360" w:lineRule="auto"/>
        <w:jc w:val="center"/>
        <w:outlineLvl w:val="1"/>
        <w:rPr>
          <w:rFonts w:asciiTheme="minorEastAsia" w:hAnsiTheme="minorEastAsia" w:eastAsiaTheme="minorEastAsia"/>
          <w:b/>
          <w:color w:val="auto"/>
          <w:sz w:val="24"/>
          <w:highlight w:val="none"/>
        </w:rPr>
      </w:pPr>
      <w:bookmarkStart w:id="667" w:name="_Toc6032"/>
      <w:bookmarkStart w:id="668" w:name="_Toc6969"/>
      <w:r>
        <w:rPr>
          <w:rFonts w:hint="eastAsia" w:asciiTheme="minorEastAsia" w:hAnsiTheme="minorEastAsia" w:eastAsiaTheme="minorEastAsia"/>
          <w:b/>
          <w:color w:val="auto"/>
          <w:sz w:val="24"/>
          <w:highlight w:val="none"/>
        </w:rPr>
        <w:t>四、谈判响应函</w:t>
      </w:r>
      <w:bookmarkEnd w:id="666"/>
      <w:bookmarkEnd w:id="667"/>
      <w:bookmarkEnd w:id="668"/>
    </w:p>
    <w:p w14:paraId="5109D588">
      <w:pPr>
        <w:spacing w:line="360" w:lineRule="auto"/>
        <w:rPr>
          <w:rFonts w:hint="eastAsia" w:cs="宋体" w:asciiTheme="minorEastAsia" w:hAnsiTheme="minorEastAsia" w:eastAsiaTheme="minorEastAsia"/>
          <w:b/>
          <w:color w:val="auto"/>
          <w:kern w:val="2"/>
          <w:sz w:val="24"/>
          <w:szCs w:val="24"/>
          <w:highlight w:val="none"/>
          <w:u w:val="single"/>
          <w:lang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single"/>
          <w:lang w:eastAsia="zh-CN"/>
        </w:rPr>
        <w:t>采购人</w:t>
      </w:r>
    </w:p>
    <w:p w14:paraId="3A471ECC">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根据贵方的竞争性谈判公告和谈判邀请，我方兹宣布同意如下：</w:t>
      </w:r>
    </w:p>
    <w:p w14:paraId="4A08C0C8">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asciiTheme="minorEastAsia" w:hAnsiTheme="minorEastAsia" w:eastAsiaTheme="minorEastAsia"/>
          <w:color w:val="auto"/>
          <w:kern w:val="2"/>
          <w:sz w:val="24"/>
          <w:szCs w:val="24"/>
          <w:highlight w:val="none"/>
        </w:rPr>
        <w:t>1.经踏勘项目现场和研究上述谈判文件的谈判须知、合同条款、图纸和工程建设技术标准及其他有关文件后，我方接受上述文件要求，并对工程量清单及最高投标限价无异议。我方</w:t>
      </w:r>
      <w:r>
        <w:rPr>
          <w:rFonts w:hint="eastAsia" w:cs="宋体" w:asciiTheme="minorEastAsia" w:hAnsiTheme="minorEastAsia" w:eastAsiaTheme="minorEastAsia"/>
          <w:bCs/>
          <w:color w:val="auto"/>
          <w:kern w:val="2"/>
          <w:sz w:val="24"/>
          <w:szCs w:val="24"/>
          <w:highlight w:val="none"/>
        </w:rPr>
        <w:t>承诺按本谈判文件、施工图纸、合同条款和工程建设技术标准的条件、</w:t>
      </w:r>
      <w:r>
        <w:rPr>
          <w:rFonts w:hint="eastAsia" w:cs="宋体" w:asciiTheme="minorEastAsia" w:hAnsiTheme="minorEastAsia" w:eastAsiaTheme="minorEastAsia"/>
          <w:color w:val="auto"/>
          <w:kern w:val="2"/>
          <w:sz w:val="24"/>
          <w:szCs w:val="24"/>
          <w:highlight w:val="none"/>
        </w:rPr>
        <w:t>承担</w:t>
      </w:r>
      <w:r>
        <w:rPr>
          <w:rFonts w:hint="eastAsia" w:cs="宋体" w:asciiTheme="minorEastAsia" w:hAnsiTheme="minorEastAsia" w:eastAsiaTheme="minorEastAsia"/>
          <w:bCs/>
          <w:color w:val="auto"/>
          <w:kern w:val="2"/>
          <w:sz w:val="24"/>
          <w:szCs w:val="24"/>
          <w:highlight w:val="none"/>
        </w:rPr>
        <w:t>上述工程的施工、竣工，并承担任何质量缺陷保修责任。</w:t>
      </w:r>
    </w:p>
    <w:p w14:paraId="0F1AF7CF">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asciiTheme="minorEastAsia" w:hAnsiTheme="minorEastAsia" w:eastAsiaTheme="minorEastAsia"/>
          <w:color w:val="auto"/>
          <w:kern w:val="2"/>
          <w:sz w:val="24"/>
          <w:szCs w:val="24"/>
          <w:highlight w:val="none"/>
        </w:rPr>
        <w:t>2.我方已详细审核并确认全部谈判文件及有关附件，充分理解谈判价格不得低于企业个别成本有关规定。我方经成本核算，所填报的谈判报价不低于企业个别成本。</w:t>
      </w:r>
    </w:p>
    <w:p w14:paraId="4AC97685">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w:t>
      </w:r>
      <w:r>
        <w:rPr>
          <w:rFonts w:hint="eastAsia" w:ascii="宋体" w:hAnsi="宋体" w:eastAsia="宋体" w:cs="宋体"/>
          <w:color w:val="auto"/>
          <w:sz w:val="24"/>
          <w:szCs w:val="24"/>
          <w:highlight w:val="none"/>
        </w:rPr>
        <w:t>我方保证按</w:t>
      </w:r>
      <w:r>
        <w:rPr>
          <w:rFonts w:hint="eastAsia" w:cs="宋体"/>
          <w:color w:val="auto"/>
          <w:sz w:val="24"/>
          <w:szCs w:val="24"/>
          <w:highlight w:val="none"/>
          <w:lang w:eastAsia="zh-CN"/>
        </w:rPr>
        <w:t>谈判文件</w:t>
      </w:r>
      <w:r>
        <w:rPr>
          <w:rFonts w:hint="eastAsia" w:ascii="宋体" w:hAnsi="宋体" w:eastAsia="宋体" w:cs="宋体"/>
          <w:color w:val="auto"/>
          <w:sz w:val="24"/>
          <w:szCs w:val="24"/>
          <w:highlight w:val="none"/>
        </w:rPr>
        <w:t>约定的工期和</w:t>
      </w:r>
      <w:r>
        <w:rPr>
          <w:rFonts w:hint="eastAsia" w:cs="宋体"/>
          <w:color w:val="auto"/>
          <w:sz w:val="24"/>
          <w:szCs w:val="24"/>
          <w:highlight w:val="none"/>
          <w:lang w:eastAsia="zh-CN"/>
        </w:rPr>
        <w:t>谈判文件</w:t>
      </w:r>
      <w:r>
        <w:rPr>
          <w:rFonts w:hint="eastAsia" w:ascii="宋体" w:hAnsi="宋体" w:eastAsia="宋体" w:cs="宋体"/>
          <w:color w:val="auto"/>
          <w:sz w:val="24"/>
          <w:szCs w:val="24"/>
          <w:highlight w:val="none"/>
        </w:rPr>
        <w:t>或业主开工令的要求如期开工、工程质量达到合格标准、如期竣工并移交整个工程。</w:t>
      </w:r>
    </w:p>
    <w:p w14:paraId="2B4AE7FE">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.我方同意所提交的响应文件在</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规定的</w:t>
      </w:r>
      <w:r>
        <w:rPr>
          <w:rFonts w:hint="eastAsia" w:cs="宋体"/>
          <w:color w:val="auto"/>
          <w:kern w:val="2"/>
          <w:sz w:val="24"/>
          <w:szCs w:val="24"/>
          <w:highlight w:val="none"/>
          <w:lang w:eastAsia="zh-CN"/>
        </w:rPr>
        <w:t>谈判有效期</w:t>
      </w:r>
      <w:r>
        <w:rPr>
          <w:rFonts w:hint="eastAsia" w:ascii="宋体" w:hAnsi="宋体" w:eastAsia="宋体" w:cs="宋体"/>
          <w:color w:val="auto"/>
          <w:kern w:val="2"/>
          <w:sz w:val="24"/>
          <w:szCs w:val="24"/>
          <w:highlight w:val="none"/>
        </w:rPr>
        <w:t>内有效，在此期间内如果成交，我方将受此约束。</w:t>
      </w:r>
    </w:p>
    <w:p w14:paraId="66EFEDE8">
      <w:pPr>
        <w:spacing w:line="360" w:lineRule="auto"/>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.除非另外达成协议并生效，你方的成交通知书和本响应文件以及</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w:t>
      </w:r>
      <w:r>
        <w:rPr>
          <w:rFonts w:hint="eastAsia" w:cs="宋体"/>
          <w:color w:val="auto"/>
          <w:kern w:val="2"/>
          <w:sz w:val="24"/>
          <w:szCs w:val="24"/>
          <w:highlight w:val="none"/>
          <w:lang w:eastAsia="zh-CN"/>
        </w:rPr>
        <w:t>谈判文件</w:t>
      </w:r>
      <w:r>
        <w:rPr>
          <w:rFonts w:hint="eastAsia" w:ascii="宋体" w:hAnsi="宋体" w:eastAsia="宋体" w:cs="宋体"/>
          <w:color w:val="auto"/>
          <w:kern w:val="2"/>
          <w:sz w:val="24"/>
          <w:szCs w:val="24"/>
          <w:highlight w:val="none"/>
        </w:rPr>
        <w:t>澄清、修改、补充将成为约束双方的合同文件的组成部分。</w:t>
      </w:r>
    </w:p>
    <w:p w14:paraId="6D623042">
      <w:pPr>
        <w:spacing w:line="360" w:lineRule="auto"/>
        <w:ind w:firstLine="480" w:firstLineChars="200"/>
        <w:rPr>
          <w:rFonts w:cs="宋体" w:asciiTheme="minorEastAsia" w:hAnsiTheme="minorEastAsia" w:eastAsiaTheme="minorEastAsia"/>
          <w:color w:val="auto"/>
          <w:kern w:val="2"/>
          <w:sz w:val="24"/>
          <w:szCs w:val="24"/>
          <w:highlight w:val="none"/>
          <w:u w:val="single"/>
        </w:rPr>
      </w:pPr>
      <w:r>
        <w:rPr>
          <w:rFonts w:hint="eastAsia"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.其他补充说明</w:t>
      </w:r>
      <w:r>
        <w:rPr>
          <w:rFonts w:hint="eastAsia" w:cs="宋体" w:asciiTheme="minorEastAsia" w:hAnsiTheme="minorEastAsia" w:eastAsiaTheme="minorEastAsia"/>
          <w:color w:val="auto"/>
          <w:kern w:val="2"/>
          <w:sz w:val="24"/>
          <w:szCs w:val="24"/>
          <w:highlight w:val="none"/>
        </w:rPr>
        <w:t>：</w:t>
      </w:r>
      <w:r>
        <w:rPr>
          <w:rFonts w:hint="eastAsia" w:cs="宋体" w:asciiTheme="minorEastAsia" w:hAnsiTheme="minorEastAsia" w:eastAsiaTheme="minorEastAsia"/>
          <w:color w:val="auto"/>
          <w:kern w:val="2"/>
          <w:sz w:val="24"/>
          <w:szCs w:val="24"/>
          <w:highlight w:val="none"/>
          <w:u w:val="single"/>
        </w:rPr>
        <w:t xml:space="preserve">  （</w:t>
      </w:r>
      <w:r>
        <w:rPr>
          <w:rFonts w:hint="eastAsia" w:cs="宋体" w:asciiTheme="minorEastAsia" w:hAnsiTheme="minorEastAsia" w:eastAsiaTheme="minorEastAsia"/>
          <w:i/>
          <w:iCs/>
          <w:color w:val="auto"/>
          <w:kern w:val="2"/>
          <w:sz w:val="24"/>
          <w:szCs w:val="24"/>
          <w:highlight w:val="none"/>
          <w:u w:val="single"/>
        </w:rPr>
        <w:t>如有</w:t>
      </w:r>
      <w:r>
        <w:rPr>
          <w:rFonts w:hint="eastAsia" w:cs="宋体" w:asciiTheme="minorEastAsia" w:hAnsiTheme="minorEastAsia" w:eastAsiaTheme="minorEastAsia"/>
          <w:color w:val="auto"/>
          <w:kern w:val="2"/>
          <w:sz w:val="24"/>
          <w:szCs w:val="24"/>
          <w:highlight w:val="none"/>
          <w:u w:val="single"/>
        </w:rPr>
        <w:t xml:space="preserve">）       </w:t>
      </w:r>
    </w:p>
    <w:p w14:paraId="45A0D98A">
      <w:pPr>
        <w:spacing w:line="360" w:lineRule="auto"/>
        <w:ind w:firstLine="3600" w:firstLineChars="1500"/>
        <w:rPr>
          <w:rFonts w:cs="@仿宋_GB2312"/>
          <w:color w:val="auto"/>
          <w:kern w:val="2"/>
          <w:sz w:val="24"/>
          <w:highlight w:val="none"/>
        </w:rPr>
      </w:pPr>
    </w:p>
    <w:p w14:paraId="1A87F574">
      <w:pPr>
        <w:spacing w:line="360" w:lineRule="auto"/>
        <w:ind w:firstLine="3600" w:firstLineChars="1500"/>
        <w:rPr>
          <w:rFonts w:cs="@仿宋_GB2312"/>
          <w:color w:val="auto"/>
          <w:kern w:val="2"/>
          <w:sz w:val="24"/>
          <w:highlight w:val="none"/>
        </w:rPr>
      </w:pPr>
      <w:r>
        <w:rPr>
          <w:rFonts w:hint="eastAsia" w:cs="@仿宋_GB2312"/>
          <w:color w:val="auto"/>
          <w:kern w:val="2"/>
          <w:sz w:val="24"/>
          <w:highlight w:val="none"/>
        </w:rPr>
        <w:t>供应商电子签章：</w:t>
      </w:r>
      <w:r>
        <w:rPr>
          <w:rFonts w:hint="eastAsia" w:cs="@仿宋_GB2312"/>
          <w:color w:val="auto"/>
          <w:kern w:val="2"/>
          <w:sz w:val="24"/>
          <w:highlight w:val="none"/>
          <w:u w:val="single"/>
        </w:rPr>
        <w:t xml:space="preserve">                      </w:t>
      </w:r>
    </w:p>
    <w:p w14:paraId="408F9F31">
      <w:pPr>
        <w:spacing w:line="360" w:lineRule="auto"/>
        <w:ind w:firstLine="3600" w:firstLineChars="1500"/>
        <w:rPr>
          <w:rFonts w:cs="@仿宋_GB2312"/>
          <w:color w:val="auto"/>
          <w:kern w:val="2"/>
          <w:sz w:val="24"/>
          <w:highlight w:val="none"/>
          <w:u w:val="single"/>
        </w:rPr>
      </w:pPr>
      <w:r>
        <w:rPr>
          <w:rFonts w:hint="eastAsia" w:cs="@仿宋_GB2312"/>
          <w:color w:val="auto"/>
          <w:kern w:val="2"/>
          <w:sz w:val="24"/>
          <w:highlight w:val="none"/>
        </w:rPr>
        <w:t>日          期：</w:t>
      </w:r>
      <w:r>
        <w:rPr>
          <w:rFonts w:hint="eastAsia" w:cs="@仿宋_GB2312"/>
          <w:color w:val="auto"/>
          <w:kern w:val="2"/>
          <w:sz w:val="24"/>
          <w:highlight w:val="none"/>
          <w:u w:val="single"/>
        </w:rPr>
        <w:t xml:space="preserve">                      </w:t>
      </w:r>
    </w:p>
    <w:p w14:paraId="2BD00C2C">
      <w:pPr>
        <w:widowControl/>
        <w:jc w:val="left"/>
        <w:rPr>
          <w:color w:val="auto"/>
          <w:sz w:val="24"/>
          <w:highlight w:val="none"/>
        </w:rPr>
      </w:pPr>
      <w:r>
        <w:rPr>
          <w:color w:val="auto"/>
          <w:sz w:val="24"/>
          <w:highlight w:val="none"/>
        </w:rPr>
        <w:br w:type="page"/>
      </w:r>
    </w:p>
    <w:p w14:paraId="5E244742">
      <w:pPr>
        <w:spacing w:line="360" w:lineRule="auto"/>
        <w:jc w:val="center"/>
        <w:outlineLvl w:val="1"/>
        <w:rPr>
          <w:b/>
          <w:i/>
          <w:color w:val="auto"/>
          <w:sz w:val="24"/>
          <w:highlight w:val="none"/>
        </w:rPr>
      </w:pPr>
      <w:bookmarkStart w:id="669" w:name="_Toc2947"/>
      <w:bookmarkStart w:id="670" w:name="_Toc16222"/>
      <w:r>
        <w:rPr>
          <w:rFonts w:hint="eastAsia" w:asciiTheme="minorEastAsia" w:hAnsiTheme="minorEastAsia" w:eastAsiaTheme="minorEastAsia"/>
          <w:b/>
          <w:color w:val="auto"/>
          <w:sz w:val="24"/>
          <w:highlight w:val="none"/>
        </w:rPr>
        <w:t>五、</w:t>
      </w:r>
      <w:bookmarkEnd w:id="669"/>
      <w:bookmarkStart w:id="671" w:name="_Toc8658"/>
      <w:r>
        <w:rPr>
          <w:rFonts w:hint="eastAsia" w:asciiTheme="minorEastAsia" w:hAnsiTheme="minorEastAsia" w:eastAsiaTheme="minorEastAsia"/>
          <w:b/>
          <w:color w:val="auto"/>
          <w:sz w:val="24"/>
          <w:highlight w:val="none"/>
          <w:lang w:val="en-US" w:eastAsia="zh-CN"/>
        </w:rPr>
        <w:t>供应商资格声明书</w:t>
      </w:r>
      <w:bookmarkEnd w:id="670"/>
      <w:r>
        <w:rPr>
          <w:rFonts w:hint="eastAsia" w:asciiTheme="minorEastAsia" w:hAnsiTheme="minorEastAsia" w:eastAsiaTheme="minorEastAsia"/>
          <w:b/>
          <w:color w:val="auto"/>
          <w:sz w:val="24"/>
          <w:highlight w:val="none"/>
          <w:lang w:val="en-US" w:eastAsia="zh-CN"/>
        </w:rPr>
        <w:t xml:space="preserve"> </w:t>
      </w:r>
    </w:p>
    <w:p w14:paraId="428BCAAF">
      <w:pPr>
        <w:pStyle w:val="30"/>
        <w:spacing w:line="360" w:lineRule="auto"/>
        <w:outlineLvl w:val="9"/>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3F887B88">
      <w:pPr>
        <w:keepNext w:val="0"/>
        <w:keepLines w:val="0"/>
        <w:pageBreakBefore w:val="0"/>
        <w:widowControl/>
        <w:suppressLineNumbers w:val="0"/>
        <w:kinsoku/>
        <w:wordWrap/>
        <w:overflowPunct/>
        <w:topLinePunct w:val="0"/>
        <w:autoSpaceDE/>
        <w:autoSpaceDN/>
        <w:bidi w:val="0"/>
        <w:adjustRightInd/>
        <w:snapToGrid/>
        <w:spacing w:line="336"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在参与本次项目谈判中，我单位承诺：</w:t>
      </w:r>
    </w:p>
    <w:p w14:paraId="638FA053">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F3FFE3C">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7EC8F76E">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5A3D663D">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6103D58">
      <w:pPr>
        <w:keepNext w:val="0"/>
        <w:keepLines w:val="0"/>
        <w:pageBreakBefore w:val="0"/>
        <w:kinsoku/>
        <w:wordWrap/>
        <w:overflowPunct/>
        <w:topLinePunct w:val="0"/>
        <w:autoSpaceDE/>
        <w:autoSpaceDN/>
        <w:bidi w:val="0"/>
        <w:adjustRightInd/>
        <w:snapToGrid/>
        <w:spacing w:line="336" w:lineRule="auto"/>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五</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近三年内，未发生重大质量事故和重大安全事故（以有关行政管理部门的行政处罚决定或司法机关出具的有关法律文书为准），前述行政处罚已完成信用修复的，但自行政处罚作出机关或信用修复主管部门同意修复之日起满一年的，不受三年期限限制；</w:t>
      </w:r>
    </w:p>
    <w:p w14:paraId="53D4AAC5">
      <w:pPr>
        <w:keepNext w:val="0"/>
        <w:keepLines w:val="0"/>
        <w:pageBreakBefore w:val="0"/>
        <w:kinsoku/>
        <w:wordWrap/>
        <w:overflowPunct/>
        <w:topLinePunct w:val="0"/>
        <w:autoSpaceDE/>
        <w:autoSpaceDN/>
        <w:bidi w:val="0"/>
        <w:adjustRightInd/>
        <w:snapToGrid/>
        <w:spacing w:line="336" w:lineRule="auto"/>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六</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kern w:val="2"/>
          <w:sz w:val="24"/>
          <w:szCs w:val="24"/>
          <w:highlight w:val="none"/>
        </w:rPr>
        <w:t>在本项目</w:t>
      </w:r>
      <w:r>
        <w:rPr>
          <w:rFonts w:hint="eastAsia" w:cs="宋体"/>
          <w:color w:val="auto"/>
          <w:kern w:val="2"/>
          <w:sz w:val="24"/>
          <w:szCs w:val="24"/>
          <w:highlight w:val="none"/>
          <w:lang w:val="en-US" w:eastAsia="zh-CN"/>
        </w:rPr>
        <w:t>谈判</w:t>
      </w:r>
      <w:r>
        <w:rPr>
          <w:rFonts w:hint="eastAsia" w:ascii="宋体" w:hAnsi="宋体" w:eastAsia="宋体" w:cs="宋体"/>
          <w:color w:val="auto"/>
          <w:kern w:val="2"/>
          <w:sz w:val="24"/>
          <w:szCs w:val="24"/>
          <w:highlight w:val="none"/>
        </w:rPr>
        <w:t>有效期内，在本项目所在区域未存在因质量事故、安全事故等被限期承包工程或市场不良行为等被限制</w:t>
      </w:r>
      <w:r>
        <w:rPr>
          <w:rFonts w:hint="eastAsia" w:cs="宋体"/>
          <w:color w:val="auto"/>
          <w:kern w:val="2"/>
          <w:sz w:val="24"/>
          <w:szCs w:val="24"/>
          <w:highlight w:val="none"/>
          <w:lang w:val="en-US" w:eastAsia="zh-CN"/>
        </w:rPr>
        <w:t>谈判</w:t>
      </w:r>
      <w:r>
        <w:rPr>
          <w:rFonts w:hint="eastAsia" w:ascii="宋体" w:hAnsi="宋体" w:eastAsia="宋体" w:cs="宋体"/>
          <w:color w:val="auto"/>
          <w:kern w:val="2"/>
          <w:sz w:val="24"/>
          <w:szCs w:val="24"/>
          <w:highlight w:val="none"/>
        </w:rPr>
        <w:t>资格行为，且处于处罚期内的情况；</w:t>
      </w:r>
    </w:p>
    <w:p w14:paraId="0A619CD8">
      <w:pPr>
        <w:keepNext w:val="0"/>
        <w:keepLines w:val="0"/>
        <w:pageBreakBefore w:val="0"/>
        <w:kinsoku/>
        <w:wordWrap/>
        <w:overflowPunct/>
        <w:topLinePunct w:val="0"/>
        <w:autoSpaceDE/>
        <w:autoSpaceDN/>
        <w:bidi w:val="0"/>
        <w:adjustRightInd/>
        <w:snapToGrid/>
        <w:spacing w:line="336" w:lineRule="auto"/>
        <w:textAlignment w:val="auto"/>
        <w:rPr>
          <w:rFonts w:hint="eastAsia"/>
          <w:color w:val="auto"/>
          <w:highlight w:val="none"/>
        </w:rPr>
      </w:pP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七</w:t>
      </w:r>
      <w:r>
        <w:rPr>
          <w:rFonts w:hint="eastAsia" w:cs="宋体"/>
          <w:color w:val="auto"/>
          <w:kern w:val="2"/>
          <w:sz w:val="24"/>
          <w:szCs w:val="24"/>
          <w:highlight w:val="none"/>
          <w:lang w:eastAsia="zh-CN"/>
        </w:rPr>
        <w:t>）</w:t>
      </w:r>
      <w:r>
        <w:rPr>
          <w:rFonts w:hint="eastAsia" w:cs="宋体"/>
          <w:color w:val="auto"/>
          <w:kern w:val="2"/>
          <w:sz w:val="24"/>
          <w:szCs w:val="24"/>
          <w:highlight w:val="none"/>
          <w:lang w:val="en-US" w:eastAsia="zh-CN"/>
        </w:rPr>
        <w:t>我单位</w:t>
      </w:r>
      <w:r>
        <w:rPr>
          <w:rFonts w:hint="eastAsia" w:ascii="宋体" w:hAnsi="宋体" w:eastAsia="宋体" w:cs="宋体"/>
          <w:color w:val="auto"/>
          <w:sz w:val="24"/>
          <w:szCs w:val="24"/>
          <w:highlight w:val="none"/>
        </w:rPr>
        <w:t>未被“信用中国”网站列入拖欠农民工工资失信联合惩戒对象名单</w:t>
      </w:r>
      <w:r>
        <w:rPr>
          <w:rFonts w:hint="eastAsia" w:ascii="宋体" w:hAnsi="宋体" w:eastAsia="宋体" w:cs="宋体"/>
          <w:color w:val="auto"/>
          <w:kern w:val="2"/>
          <w:sz w:val="24"/>
          <w:szCs w:val="24"/>
          <w:highlight w:val="none"/>
        </w:rPr>
        <w:t>；</w:t>
      </w:r>
    </w:p>
    <w:p w14:paraId="1085FED0">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（八）我单位不存在为采购项目提供整体设计、规范编制或者项目管理、监理、检测等服务后，再参加该采购项目的其他采购活动的情形（单一来源采购项目除外）；</w:t>
      </w:r>
    </w:p>
    <w:p w14:paraId="4DA86D09">
      <w:pPr>
        <w:keepNext w:val="0"/>
        <w:keepLines w:val="0"/>
        <w:pageBreakBefore w:val="0"/>
        <w:widowControl/>
        <w:suppressLineNumbers w:val="0"/>
        <w:kinsoku/>
        <w:wordWrap/>
        <w:overflowPunct/>
        <w:topLinePunct w:val="0"/>
        <w:autoSpaceDE/>
        <w:autoSpaceDN/>
        <w:bidi w:val="0"/>
        <w:adjustRightInd/>
        <w:snapToGrid/>
        <w:spacing w:line="336" w:lineRule="auto"/>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（九）与我单位存在单位负责人为同一人或者存在直接控股、管理关系的其他法人单位信息如下（如有，不论其是否参加同一合同项下的政府采购活动均须填写）：</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288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E836A66">
            <w:pPr>
              <w:keepNext w:val="0"/>
              <w:keepLines w:val="0"/>
              <w:pageBreakBefore w:val="0"/>
              <w:widowControl/>
              <w:suppressLineNumbers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42B0270B">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52025C05">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52F3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4987D93">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4B4070DE">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26536F19">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0304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ADBC968">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058FA02B">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56A704BA">
            <w:pPr>
              <w:pStyle w:val="19"/>
              <w:keepNext w:val="0"/>
              <w:keepLines w:val="0"/>
              <w:pageBreakBefore w:val="0"/>
              <w:kinsoku/>
              <w:wordWrap/>
              <w:overflowPunct/>
              <w:topLinePunct w:val="0"/>
              <w:autoSpaceDE/>
              <w:autoSpaceDN/>
              <w:bidi w:val="0"/>
              <w:adjustRightInd/>
              <w:snapToGrid/>
              <w:spacing w:before="157"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FAFF60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6C38D5A7">
      <w:pPr>
        <w:spacing w:line="360" w:lineRule="auto"/>
        <w:ind w:firstLine="4800" w:firstLineChars="2000"/>
        <w:rPr>
          <w:rFonts w:ascii="宋体" w:hAnsi="宋体" w:eastAsia="宋体"/>
          <w:color w:val="auto"/>
          <w:sz w:val="24"/>
          <w:highlight w:val="none"/>
          <w:u w:val="single"/>
        </w:rPr>
      </w:pPr>
      <w:r>
        <w:rPr>
          <w:rFonts w:hint="eastAsia"/>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9F38A06">
      <w:pPr>
        <w:spacing w:line="360" w:lineRule="auto"/>
        <w:jc w:val="center"/>
        <w:outlineLvl w:val="9"/>
        <w:rPr>
          <w:b/>
          <w:i/>
          <w:color w:val="auto"/>
          <w:sz w:val="24"/>
          <w:highlight w:val="none"/>
        </w:rPr>
      </w:pPr>
      <w:r>
        <w:rPr>
          <w:rFonts w:hint="eastAsia"/>
          <w:color w:val="auto"/>
          <w:sz w:val="24"/>
          <w:highlight w:val="none"/>
          <w:lang w:val="en-US" w:eastAsia="zh-CN"/>
        </w:rPr>
        <w:t xml:space="preserve">                           </w:t>
      </w: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bookmarkEnd w:id="671"/>
    <w:p w14:paraId="72E2C9EA">
      <w:pPr>
        <w:spacing w:line="360" w:lineRule="auto"/>
        <w:jc w:val="center"/>
        <w:outlineLvl w:val="1"/>
        <w:rPr>
          <w:rFonts w:hint="eastAsia" w:asciiTheme="minorEastAsia" w:hAnsiTheme="minorEastAsia" w:eastAsiaTheme="minorEastAsia"/>
          <w:b/>
          <w:color w:val="auto"/>
          <w:sz w:val="24"/>
          <w:highlight w:val="none"/>
        </w:rPr>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bookmarkStart w:id="672" w:name="_Toc520983594"/>
      <w:bookmarkStart w:id="673" w:name="_Toc516969106"/>
      <w:bookmarkStart w:id="674" w:name="_Toc204594911"/>
      <w:bookmarkStart w:id="675" w:name="_Toc8203"/>
      <w:bookmarkStart w:id="676" w:name="_Toc121626298"/>
    </w:p>
    <w:p w14:paraId="41DDF3D1">
      <w:pPr>
        <w:spacing w:line="360" w:lineRule="auto"/>
        <w:jc w:val="center"/>
        <w:outlineLvl w:val="1"/>
        <w:rPr>
          <w:rFonts w:asciiTheme="minorEastAsia" w:hAnsiTheme="minorEastAsia" w:eastAsiaTheme="minorEastAsia"/>
          <w:b/>
          <w:color w:val="auto"/>
          <w:sz w:val="24"/>
          <w:highlight w:val="none"/>
        </w:rPr>
      </w:pPr>
      <w:bookmarkStart w:id="677" w:name="_Toc11666"/>
      <w:r>
        <w:rPr>
          <w:rFonts w:hint="eastAsia" w:asciiTheme="minorEastAsia" w:hAnsiTheme="minorEastAsia" w:eastAsiaTheme="minorEastAsia"/>
          <w:b/>
          <w:color w:val="auto"/>
          <w:sz w:val="24"/>
          <w:highlight w:val="none"/>
        </w:rPr>
        <w:t>六、授权书</w:t>
      </w:r>
      <w:bookmarkEnd w:id="672"/>
      <w:bookmarkEnd w:id="673"/>
      <w:bookmarkEnd w:id="674"/>
      <w:bookmarkEnd w:id="675"/>
      <w:bookmarkEnd w:id="676"/>
      <w:bookmarkEnd w:id="677"/>
    </w:p>
    <w:p w14:paraId="07756719">
      <w:pPr>
        <w:spacing w:line="360" w:lineRule="auto"/>
        <w:jc w:val="center"/>
        <w:rPr>
          <w:rFonts w:asciiTheme="minorEastAsia" w:hAnsiTheme="minorEastAsia" w:eastAsiaTheme="minorEastAsia"/>
          <w:b/>
          <w:color w:val="auto"/>
          <w:sz w:val="24"/>
          <w:highlight w:val="none"/>
        </w:rPr>
      </w:pPr>
    </w:p>
    <w:p w14:paraId="0672196A">
      <w:pPr>
        <w:pStyle w:val="28"/>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50B95E24">
      <w:pPr>
        <w:pStyle w:val="28"/>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7F6FD9DC">
      <w:pPr>
        <w:pStyle w:val="28"/>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73D0B431">
      <w:pPr>
        <w:pStyle w:val="28"/>
        <w:snapToGrid w:val="0"/>
        <w:spacing w:line="360" w:lineRule="auto"/>
        <w:ind w:firstLine="480" w:firstLineChars="200"/>
        <w:jc w:val="left"/>
        <w:rPr>
          <w:rFonts w:hAnsi="宋体" w:eastAsia="宋体"/>
          <w:color w:val="auto"/>
          <w:sz w:val="24"/>
          <w:highlight w:val="none"/>
        </w:rPr>
      </w:pPr>
    </w:p>
    <w:p w14:paraId="4682E3A7">
      <w:pPr>
        <w:pStyle w:val="28"/>
        <w:snapToGrid w:val="0"/>
        <w:spacing w:line="360" w:lineRule="auto"/>
        <w:ind w:firstLine="480" w:firstLineChars="200"/>
        <w:jc w:val="left"/>
        <w:rPr>
          <w:rFonts w:hAnsi="宋体" w:eastAsia="宋体"/>
          <w:color w:val="auto"/>
          <w:sz w:val="24"/>
          <w:highlight w:val="none"/>
        </w:rPr>
      </w:pPr>
    </w:p>
    <w:p w14:paraId="3FC1D29C">
      <w:pPr>
        <w:pStyle w:val="28"/>
        <w:snapToGrid w:val="0"/>
        <w:spacing w:line="360" w:lineRule="auto"/>
        <w:ind w:firstLine="480" w:firstLineChars="200"/>
        <w:jc w:val="left"/>
        <w:rPr>
          <w:rFonts w:hAnsi="宋体" w:eastAsia="宋体"/>
          <w:color w:val="auto"/>
          <w:sz w:val="24"/>
          <w:highlight w:val="none"/>
        </w:rPr>
      </w:pPr>
    </w:p>
    <w:p w14:paraId="7610B127">
      <w:pPr>
        <w:pStyle w:val="28"/>
        <w:snapToGrid w:val="0"/>
        <w:spacing w:line="360" w:lineRule="auto"/>
        <w:ind w:firstLine="480" w:firstLineChars="200"/>
        <w:jc w:val="left"/>
        <w:rPr>
          <w:rFonts w:hAnsi="宋体" w:eastAsia="宋体"/>
          <w:color w:val="auto"/>
          <w:sz w:val="24"/>
          <w:highlight w:val="none"/>
        </w:rPr>
      </w:pPr>
    </w:p>
    <w:p w14:paraId="7E7F358A">
      <w:pPr>
        <w:pStyle w:val="28"/>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408F9D80">
      <w:pPr>
        <w:pStyle w:val="28"/>
        <w:snapToGrid w:val="0"/>
        <w:spacing w:line="360" w:lineRule="auto"/>
        <w:ind w:firstLine="480" w:firstLineChars="200"/>
        <w:jc w:val="left"/>
        <w:rPr>
          <w:rFonts w:hAnsi="宋体" w:eastAsia="宋体"/>
          <w:color w:val="auto"/>
          <w:sz w:val="24"/>
          <w:szCs w:val="28"/>
          <w:highlight w:val="none"/>
        </w:rPr>
      </w:pPr>
    </w:p>
    <w:p w14:paraId="0A24FD07">
      <w:pPr>
        <w:spacing w:line="360" w:lineRule="auto"/>
        <w:ind w:firstLine="360" w:firstLineChars="150"/>
        <w:rPr>
          <w:color w:val="auto"/>
          <w:sz w:val="24"/>
          <w:szCs w:val="28"/>
          <w:highlight w:val="none"/>
        </w:rPr>
      </w:pPr>
      <w:r>
        <w:rPr>
          <w:rFonts w:hint="eastAsia"/>
          <w:color w:val="auto"/>
          <w:sz w:val="24"/>
          <w:szCs w:val="28"/>
          <w:highlight w:val="none"/>
        </w:rPr>
        <w:t>特此声明。</w:t>
      </w:r>
    </w:p>
    <w:p w14:paraId="2A2A8817">
      <w:pPr>
        <w:spacing w:line="360" w:lineRule="auto"/>
        <w:rPr>
          <w:color w:val="auto"/>
          <w:sz w:val="24"/>
          <w:szCs w:val="28"/>
          <w:highlight w:val="none"/>
        </w:rPr>
      </w:pPr>
    </w:p>
    <w:p w14:paraId="0BA9E7C9">
      <w:pPr>
        <w:spacing w:line="360" w:lineRule="auto"/>
        <w:jc w:val="center"/>
        <w:rPr>
          <w:bCs/>
          <w:color w:val="auto"/>
          <w:sz w:val="24"/>
          <w:szCs w:val="28"/>
          <w:highlight w:val="none"/>
        </w:rPr>
      </w:pPr>
      <w:r>
        <w:rPr>
          <w:rFonts w:hint="eastAsia"/>
          <w:bCs/>
          <w:color w:val="auto"/>
          <w:sz w:val="24"/>
          <w:szCs w:val="28"/>
          <w:highlight w:val="none"/>
          <w:lang w:val="en-US" w:eastAsia="zh-CN"/>
        </w:rPr>
        <w:t xml:space="preserve">                        </w:t>
      </w:r>
      <w:r>
        <w:rPr>
          <w:rFonts w:hint="eastAsia"/>
          <w:bCs/>
          <w:color w:val="auto"/>
          <w:sz w:val="24"/>
          <w:szCs w:val="28"/>
          <w:highlight w:val="none"/>
        </w:rPr>
        <w:t>供应商电子签章：</w:t>
      </w:r>
      <w:r>
        <w:rPr>
          <w:rFonts w:hint="eastAsia"/>
          <w:bCs/>
          <w:color w:val="auto"/>
          <w:sz w:val="24"/>
          <w:szCs w:val="28"/>
          <w:highlight w:val="none"/>
          <w:u w:val="single"/>
        </w:rPr>
        <w:t xml:space="preserve">                    </w:t>
      </w:r>
    </w:p>
    <w:p w14:paraId="14E0B96C">
      <w:pPr>
        <w:spacing w:line="360" w:lineRule="auto"/>
        <w:jc w:val="center"/>
        <w:rPr>
          <w:color w:val="auto"/>
          <w:sz w:val="24"/>
          <w:szCs w:val="28"/>
          <w:highlight w:val="none"/>
        </w:rPr>
      </w:pPr>
      <w:r>
        <w:rPr>
          <w:rFonts w:hint="eastAsia"/>
          <w:color w:val="auto"/>
          <w:sz w:val="24"/>
          <w:szCs w:val="28"/>
          <w:highlight w:val="none"/>
          <w:lang w:val="en-US" w:eastAsia="zh-CN"/>
        </w:rPr>
        <w:t xml:space="preserve">                        </w:t>
      </w:r>
      <w:r>
        <w:rPr>
          <w:rFonts w:hint="eastAsia"/>
          <w:color w:val="auto"/>
          <w:sz w:val="24"/>
          <w:szCs w:val="28"/>
          <w:highlight w:val="none"/>
        </w:rPr>
        <w:t>日          期：</w:t>
      </w:r>
      <w:r>
        <w:rPr>
          <w:rFonts w:hint="eastAsia"/>
          <w:color w:val="auto"/>
          <w:sz w:val="24"/>
          <w:szCs w:val="28"/>
          <w:highlight w:val="none"/>
          <w:u w:val="single"/>
        </w:rPr>
        <w:t xml:space="preserve">                    </w:t>
      </w:r>
    </w:p>
    <w:p w14:paraId="7262CEDC">
      <w:pPr>
        <w:spacing w:line="360" w:lineRule="auto"/>
        <w:rPr>
          <w:color w:val="auto"/>
          <w:sz w:val="24"/>
          <w:szCs w:val="28"/>
          <w:highlight w:val="none"/>
        </w:rPr>
      </w:pPr>
    </w:p>
    <w:p w14:paraId="5B155DB6">
      <w:pPr>
        <w:spacing w:line="360" w:lineRule="auto"/>
        <w:rPr>
          <w:color w:val="auto"/>
          <w:sz w:val="24"/>
          <w:szCs w:val="28"/>
          <w:highlight w:val="none"/>
        </w:rPr>
      </w:pPr>
    </w:p>
    <w:p w14:paraId="042766A8">
      <w:pPr>
        <w:pStyle w:val="28"/>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4D7B760">
      <w:pPr>
        <w:pStyle w:val="28"/>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49BC3BD1">
      <w:pPr>
        <w:spacing w:line="360" w:lineRule="auto"/>
        <w:jc w:val="left"/>
        <w:rPr>
          <w:color w:val="auto"/>
          <w:sz w:val="24"/>
          <w:highlight w:val="none"/>
        </w:rPr>
      </w:pPr>
      <w:r>
        <w:rPr>
          <w:rFonts w:hint="eastAsia"/>
          <w:color w:val="auto"/>
          <w:sz w:val="24"/>
          <w:highlight w:val="none"/>
        </w:rPr>
        <w:t>2.法定代表人参加谈判的无需提供授权书，仅提供身份证明扫描件。</w:t>
      </w:r>
    </w:p>
    <w:p w14:paraId="532F015C">
      <w:pPr>
        <w:widowControl/>
        <w:jc w:val="left"/>
        <w:rPr>
          <w:color w:val="auto"/>
          <w:sz w:val="24"/>
          <w:highlight w:val="none"/>
        </w:rPr>
      </w:pPr>
      <w:r>
        <w:rPr>
          <w:color w:val="auto"/>
          <w:sz w:val="24"/>
          <w:highlight w:val="none"/>
        </w:rPr>
        <w:br w:type="page"/>
      </w:r>
    </w:p>
    <w:p w14:paraId="166F0A53">
      <w:pPr>
        <w:keepNext/>
        <w:keepLines/>
        <w:spacing w:before="260" w:after="260" w:line="416" w:lineRule="auto"/>
        <w:jc w:val="center"/>
        <w:outlineLvl w:val="1"/>
        <w:rPr>
          <w:rFonts w:cs="@仿宋_GB2312" w:asciiTheme="minorEastAsia" w:hAnsiTheme="minorEastAsia" w:eastAsiaTheme="minorEastAsia"/>
          <w:b/>
          <w:bCs/>
          <w:color w:val="auto"/>
          <w:kern w:val="2"/>
          <w:sz w:val="24"/>
          <w:szCs w:val="24"/>
          <w:highlight w:val="none"/>
        </w:rPr>
      </w:pPr>
      <w:bookmarkStart w:id="678" w:name="_Toc15839"/>
      <w:bookmarkStart w:id="679" w:name="_Toc24843"/>
      <w:r>
        <w:rPr>
          <w:rFonts w:hint="eastAsia" w:cs="@仿宋_GB2312" w:asciiTheme="minorEastAsia" w:hAnsiTheme="minorEastAsia" w:eastAsiaTheme="minorEastAsia"/>
          <w:b/>
          <w:bCs/>
          <w:color w:val="auto"/>
          <w:kern w:val="2"/>
          <w:sz w:val="24"/>
          <w:szCs w:val="24"/>
          <w:highlight w:val="none"/>
        </w:rPr>
        <w:t>七、法定代表人身份证明书</w:t>
      </w:r>
      <w:bookmarkEnd w:id="678"/>
      <w:bookmarkEnd w:id="679"/>
    </w:p>
    <w:p w14:paraId="6A673DBB">
      <w:pPr>
        <w:autoSpaceDE w:val="0"/>
        <w:autoSpaceDN w:val="0"/>
        <w:adjustRightInd w:val="0"/>
        <w:spacing w:line="360" w:lineRule="auto"/>
        <w:jc w:val="center"/>
        <w:rPr>
          <w:rFonts w:ascii="@仿宋_GB2312" w:eastAsia="@仿宋_GB2312" w:cs="宋体"/>
          <w:b/>
          <w:color w:val="auto"/>
          <w:kern w:val="2"/>
          <w:sz w:val="21"/>
          <w:szCs w:val="24"/>
          <w:highlight w:val="none"/>
          <w:lang w:val="zh-CN"/>
        </w:rPr>
      </w:pPr>
    </w:p>
    <w:p w14:paraId="3BAF4021">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单位名称：</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74C7F6CD">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单位性质：</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6A11A1F7">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地    址：</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75C7148D">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成立时间：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年</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月</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日</w:t>
      </w:r>
    </w:p>
    <w:p w14:paraId="1D0C7567">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经营期限：</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r>
        <w:rPr>
          <w:rFonts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u w:val="single"/>
        </w:rPr>
        <w:t xml:space="preserve">     </w:t>
      </w:r>
    </w:p>
    <w:p w14:paraId="58B0FD96">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姓    名：</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性 </w:t>
      </w:r>
      <w:r>
        <w:rPr>
          <w:rFonts w:ascii="Calibri" w:hAnsi="Calibri" w:cs="Times New Roman"/>
          <w:color w:val="auto"/>
          <w:kern w:val="2"/>
          <w:sz w:val="24"/>
          <w:szCs w:val="28"/>
          <w:highlight w:val="none"/>
        </w:rPr>
        <w:t xml:space="preserve">  </w:t>
      </w:r>
      <w:r>
        <w:rPr>
          <w:rFonts w:hint="eastAsia" w:ascii="Calibri" w:hAnsi="Calibri" w:cs="Times New Roman"/>
          <w:color w:val="auto"/>
          <w:kern w:val="2"/>
          <w:sz w:val="24"/>
          <w:szCs w:val="28"/>
          <w:highlight w:val="none"/>
        </w:rPr>
        <w:t xml:space="preserve"> 别：</w:t>
      </w:r>
      <w:r>
        <w:rPr>
          <w:rFonts w:hint="eastAsia" w:ascii="Calibri" w:hAnsi="Calibri" w:cs="Times New Roman"/>
          <w:color w:val="auto"/>
          <w:kern w:val="2"/>
          <w:sz w:val="24"/>
          <w:szCs w:val="28"/>
          <w:highlight w:val="none"/>
          <w:u w:val="single"/>
        </w:rPr>
        <w:t xml:space="preserve">             </w:t>
      </w:r>
    </w:p>
    <w:p w14:paraId="38A9C87D">
      <w:pPr>
        <w:snapToGrid w:val="0"/>
        <w:spacing w:line="360" w:lineRule="auto"/>
        <w:ind w:firstLine="480" w:firstLineChars="200"/>
        <w:jc w:val="left"/>
        <w:rPr>
          <w:rFonts w:ascii="Calibri" w:hAnsi="Calibri" w:cs="Times New Roman"/>
          <w:color w:val="auto"/>
          <w:kern w:val="2"/>
          <w:sz w:val="24"/>
          <w:szCs w:val="28"/>
          <w:highlight w:val="none"/>
          <w:u w:val="single"/>
        </w:rPr>
      </w:pPr>
      <w:r>
        <w:rPr>
          <w:rFonts w:hint="eastAsia" w:ascii="Calibri" w:hAnsi="Calibri" w:cs="Times New Roman"/>
          <w:color w:val="auto"/>
          <w:kern w:val="2"/>
          <w:sz w:val="24"/>
          <w:szCs w:val="28"/>
          <w:highlight w:val="none"/>
        </w:rPr>
        <w:t>年    龄：</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职    务：</w:t>
      </w:r>
      <w:r>
        <w:rPr>
          <w:rFonts w:hint="eastAsia" w:ascii="Calibri" w:hAnsi="Calibri" w:cs="Times New Roman"/>
          <w:color w:val="auto"/>
          <w:kern w:val="2"/>
          <w:sz w:val="24"/>
          <w:szCs w:val="28"/>
          <w:highlight w:val="none"/>
          <w:u w:val="single"/>
        </w:rPr>
        <w:t xml:space="preserve">             </w:t>
      </w:r>
    </w:p>
    <w:p w14:paraId="63E8A7E9">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rPr>
        <w:t>联系</w:t>
      </w:r>
      <w:r>
        <w:rPr>
          <w:rFonts w:ascii="Calibri" w:hAnsi="Calibri" w:cs="Times New Roman"/>
          <w:color w:val="auto"/>
          <w:kern w:val="2"/>
          <w:sz w:val="24"/>
          <w:szCs w:val="28"/>
          <w:highlight w:val="none"/>
        </w:rPr>
        <w:t>电话</w:t>
      </w:r>
      <w:r>
        <w:rPr>
          <w:rFonts w:hint="eastAsia" w:ascii="Calibri" w:hAnsi="Calibri" w:cs="Times New Roman"/>
          <w:color w:val="auto"/>
          <w:kern w:val="2"/>
          <w:sz w:val="24"/>
          <w:szCs w:val="28"/>
          <w:highlight w:val="none"/>
        </w:rPr>
        <w:t>：</w:t>
      </w: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 手机号码：</w:t>
      </w:r>
      <w:r>
        <w:rPr>
          <w:rFonts w:hint="eastAsia" w:ascii="Calibri" w:hAnsi="Calibri" w:cs="Times New Roman"/>
          <w:color w:val="auto"/>
          <w:kern w:val="2"/>
          <w:sz w:val="24"/>
          <w:szCs w:val="28"/>
          <w:highlight w:val="none"/>
          <w:u w:val="single"/>
        </w:rPr>
        <w:t xml:space="preserve">             </w:t>
      </w:r>
    </w:p>
    <w:p w14:paraId="08FEA0B9">
      <w:pPr>
        <w:snapToGrid w:val="0"/>
        <w:spacing w:line="360" w:lineRule="auto"/>
        <w:ind w:firstLine="480" w:firstLineChars="200"/>
        <w:jc w:val="left"/>
        <w:rPr>
          <w:rFonts w:ascii="Calibri" w:hAnsi="Calibri" w:cs="Times New Roman"/>
          <w:color w:val="auto"/>
          <w:kern w:val="2"/>
          <w:sz w:val="24"/>
          <w:szCs w:val="28"/>
          <w:highlight w:val="none"/>
        </w:rPr>
      </w:pPr>
      <w:r>
        <w:rPr>
          <w:rFonts w:hint="eastAsia" w:ascii="Calibri" w:hAnsi="Calibri" w:cs="Times New Roman"/>
          <w:color w:val="auto"/>
          <w:kern w:val="2"/>
          <w:sz w:val="24"/>
          <w:szCs w:val="28"/>
          <w:highlight w:val="none"/>
          <w:u w:val="single"/>
        </w:rPr>
        <w:t xml:space="preserve">        </w:t>
      </w:r>
      <w:r>
        <w:rPr>
          <w:rFonts w:hint="eastAsia" w:ascii="Calibri" w:hAnsi="Calibri" w:cs="Times New Roman"/>
          <w:color w:val="auto"/>
          <w:kern w:val="2"/>
          <w:sz w:val="24"/>
          <w:szCs w:val="28"/>
          <w:highlight w:val="none"/>
        </w:rPr>
        <w:t xml:space="preserve">系  </w:t>
      </w:r>
      <w:r>
        <w:rPr>
          <w:rFonts w:hint="eastAsia" w:ascii="Calibri" w:hAnsi="Calibri" w:cs="Times New Roman"/>
          <w:color w:val="auto"/>
          <w:kern w:val="2"/>
          <w:sz w:val="24"/>
          <w:szCs w:val="28"/>
          <w:highlight w:val="none"/>
          <w:u w:val="single"/>
        </w:rPr>
        <w:t xml:space="preserve">   （供应商单位名称）       </w:t>
      </w:r>
      <w:r>
        <w:rPr>
          <w:rFonts w:hint="eastAsia" w:ascii="Calibri" w:hAnsi="Calibri" w:cs="Times New Roman"/>
          <w:color w:val="auto"/>
          <w:kern w:val="2"/>
          <w:sz w:val="24"/>
          <w:szCs w:val="28"/>
          <w:highlight w:val="none"/>
        </w:rPr>
        <w:t>的法定代表人。</w:t>
      </w:r>
    </w:p>
    <w:p w14:paraId="46B77A1A">
      <w:pPr>
        <w:spacing w:before="62" w:beforeLines="20" w:after="62" w:afterLines="20" w:line="540" w:lineRule="exact"/>
        <w:ind w:firstLine="610"/>
        <w:rPr>
          <w:rFonts w:ascii="@仿宋_GB2312" w:hAnsi="Calibri" w:eastAsia="@仿宋_GB2312" w:cs="宋体"/>
          <w:color w:val="auto"/>
          <w:kern w:val="2"/>
          <w:sz w:val="24"/>
          <w:szCs w:val="24"/>
          <w:highlight w:val="none"/>
        </w:rPr>
      </w:pPr>
    </w:p>
    <w:p w14:paraId="4C9F765B">
      <w:pPr>
        <w:spacing w:before="62" w:beforeLines="20" w:after="62" w:afterLines="20" w:line="540" w:lineRule="exact"/>
        <w:ind w:left="400" w:leftChars="200" w:firstLine="240" w:firstLineChars="1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特此证明。</w:t>
      </w:r>
    </w:p>
    <w:p w14:paraId="19169BCF">
      <w:pPr>
        <w:tabs>
          <w:tab w:val="left" w:pos="720"/>
          <w:tab w:val="left" w:pos="900"/>
        </w:tabs>
        <w:spacing w:before="62" w:beforeLines="20" w:after="62" w:afterLines="20" w:line="540" w:lineRule="exact"/>
        <w:ind w:firstLine="480" w:firstLineChars="200"/>
        <w:rPr>
          <w:rFonts w:ascii="Calibri" w:hAnsi="Calibri" w:cs="宋体"/>
          <w:color w:val="auto"/>
          <w:kern w:val="2"/>
          <w:sz w:val="24"/>
          <w:szCs w:val="24"/>
          <w:highlight w:val="none"/>
        </w:rPr>
      </w:pPr>
      <w:r>
        <w:rPr>
          <w:rFonts w:hint="eastAsia" w:ascii="Calibri" w:hAnsi="Calibri" w:cs="宋体"/>
          <w:color w:val="auto"/>
          <w:kern w:val="2"/>
          <w:sz w:val="24"/>
          <w:szCs w:val="24"/>
          <w:highlight w:val="none"/>
        </w:rPr>
        <w:t>附：法定代表人身份证扫描件</w:t>
      </w:r>
    </w:p>
    <w:p w14:paraId="1CB9A9EA">
      <w:pPr>
        <w:tabs>
          <w:tab w:val="left" w:pos="720"/>
          <w:tab w:val="left" w:pos="900"/>
        </w:tabs>
        <w:spacing w:before="62" w:beforeLines="20" w:after="62" w:afterLines="20" w:line="540" w:lineRule="exact"/>
        <w:ind w:firstLine="480" w:firstLineChars="200"/>
        <w:rPr>
          <w:rFonts w:ascii="@仿宋_GB2312" w:hAnsi="Calibri" w:eastAsia="@仿宋_GB2312" w:cs="宋体"/>
          <w:color w:val="auto"/>
          <w:kern w:val="2"/>
          <w:sz w:val="24"/>
          <w:szCs w:val="24"/>
          <w:highlight w:val="none"/>
        </w:rPr>
      </w:pPr>
    </w:p>
    <w:p w14:paraId="76F44EF7">
      <w:pPr>
        <w:tabs>
          <w:tab w:val="left" w:pos="720"/>
          <w:tab w:val="left" w:pos="900"/>
        </w:tabs>
        <w:spacing w:before="62" w:beforeLines="20" w:after="62" w:afterLines="20" w:line="540" w:lineRule="exact"/>
        <w:ind w:firstLine="4560" w:firstLineChars="1900"/>
        <w:rPr>
          <w:rFonts w:ascii="@仿宋_GB2312" w:hAnsi="Calibri" w:eastAsia="@仿宋_GB2312" w:cs="宋体"/>
          <w:color w:val="auto"/>
          <w:kern w:val="2"/>
          <w:sz w:val="24"/>
          <w:szCs w:val="24"/>
          <w:highlight w:val="none"/>
        </w:rPr>
      </w:pPr>
    </w:p>
    <w:p w14:paraId="46ECDFE6">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供应商电子签章：</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26A62CF2">
      <w:pPr>
        <w:spacing w:line="360" w:lineRule="auto"/>
        <w:ind w:firstLine="3840" w:firstLineChars="1600"/>
        <w:rPr>
          <w:rFonts w:cs="宋体"/>
          <w:color w:val="auto"/>
          <w:kern w:val="2"/>
          <w:sz w:val="24"/>
          <w:szCs w:val="24"/>
          <w:highlight w:val="none"/>
        </w:rPr>
      </w:pPr>
      <w:r>
        <w:rPr>
          <w:rFonts w:hint="eastAsia" w:cs="宋体"/>
          <w:color w:val="auto"/>
          <w:kern w:val="2"/>
          <w:sz w:val="24"/>
          <w:szCs w:val="24"/>
          <w:highlight w:val="none"/>
        </w:rPr>
        <w:t>日</w:t>
      </w:r>
      <w:r>
        <w:rPr>
          <w:rFonts w:cs="宋体"/>
          <w:color w:val="auto"/>
          <w:kern w:val="2"/>
          <w:sz w:val="24"/>
          <w:szCs w:val="24"/>
          <w:highlight w:val="none"/>
        </w:rPr>
        <w:t xml:space="preserve">   </w:t>
      </w:r>
      <w:r>
        <w:rPr>
          <w:rFonts w:hint="eastAsia" w:cs="宋体"/>
          <w:color w:val="auto"/>
          <w:kern w:val="2"/>
          <w:sz w:val="24"/>
          <w:szCs w:val="24"/>
          <w:highlight w:val="none"/>
        </w:rPr>
        <w:t xml:space="preserve">    </w:t>
      </w:r>
      <w:r>
        <w:rPr>
          <w:rFonts w:cs="宋体"/>
          <w:color w:val="auto"/>
          <w:kern w:val="2"/>
          <w:sz w:val="24"/>
          <w:szCs w:val="24"/>
          <w:highlight w:val="none"/>
        </w:rPr>
        <w:t xml:space="preserve">   </w:t>
      </w:r>
      <w:r>
        <w:rPr>
          <w:rFonts w:hint="eastAsia" w:cs="宋体"/>
          <w:color w:val="auto"/>
          <w:kern w:val="2"/>
          <w:sz w:val="24"/>
          <w:szCs w:val="24"/>
          <w:highlight w:val="none"/>
        </w:rPr>
        <w:t>期：</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p>
    <w:p w14:paraId="12574F71">
      <w:pPr>
        <w:widowControl/>
        <w:jc w:val="left"/>
        <w:rPr>
          <w:rFonts w:cs="@仿宋_GB2312" w:asciiTheme="minorEastAsia" w:hAnsiTheme="minorEastAsia" w:eastAsiaTheme="minorEastAsia"/>
          <w:b/>
          <w:bCs/>
          <w:color w:val="auto"/>
          <w:kern w:val="2"/>
          <w:sz w:val="24"/>
          <w:szCs w:val="24"/>
          <w:highlight w:val="none"/>
        </w:rPr>
      </w:pPr>
      <w:r>
        <w:rPr>
          <w:rFonts w:cs="@仿宋_GB2312" w:asciiTheme="minorEastAsia" w:hAnsiTheme="minorEastAsia" w:eastAsiaTheme="minorEastAsia"/>
          <w:color w:val="auto"/>
          <w:kern w:val="2"/>
          <w:sz w:val="24"/>
          <w:szCs w:val="24"/>
          <w:highlight w:val="none"/>
        </w:rPr>
        <w:br w:type="page"/>
      </w:r>
    </w:p>
    <w:p w14:paraId="14D3389D">
      <w:pPr>
        <w:keepNext/>
        <w:keepLines/>
        <w:spacing w:before="260" w:after="260" w:line="416" w:lineRule="auto"/>
        <w:jc w:val="center"/>
        <w:outlineLvl w:val="1"/>
        <w:rPr>
          <w:rFonts w:hint="eastAsia" w:cs="@仿宋_GB2312" w:asciiTheme="minorEastAsia" w:hAnsiTheme="minorEastAsia" w:eastAsiaTheme="minorEastAsia"/>
          <w:b/>
          <w:bCs/>
          <w:color w:val="auto"/>
          <w:kern w:val="2"/>
          <w:sz w:val="24"/>
          <w:szCs w:val="24"/>
          <w:highlight w:val="none"/>
        </w:rPr>
      </w:pPr>
      <w:bookmarkStart w:id="680" w:name="_Toc32663"/>
      <w:bookmarkStart w:id="681" w:name="_Toc4373"/>
      <w:r>
        <w:rPr>
          <w:rFonts w:hint="eastAsia" w:cs="@仿宋_GB2312" w:asciiTheme="minorEastAsia" w:hAnsiTheme="minorEastAsia" w:eastAsiaTheme="minorEastAsia"/>
          <w:b/>
          <w:bCs/>
          <w:color w:val="auto"/>
          <w:kern w:val="2"/>
          <w:sz w:val="24"/>
          <w:szCs w:val="24"/>
          <w:highlight w:val="none"/>
          <w:lang w:val="en-US" w:eastAsia="zh-CN"/>
        </w:rPr>
        <w:t>八</w:t>
      </w:r>
      <w:r>
        <w:rPr>
          <w:rFonts w:hint="eastAsia" w:cs="@仿宋_GB2312" w:asciiTheme="minorEastAsia" w:hAnsiTheme="minorEastAsia" w:eastAsiaTheme="minorEastAsia"/>
          <w:b/>
          <w:bCs/>
          <w:color w:val="auto"/>
          <w:kern w:val="2"/>
          <w:sz w:val="24"/>
          <w:szCs w:val="24"/>
          <w:highlight w:val="none"/>
        </w:rPr>
        <w:t>、项目经理承诺书</w:t>
      </w:r>
      <w:bookmarkEnd w:id="680"/>
      <w:bookmarkEnd w:id="681"/>
    </w:p>
    <w:p w14:paraId="1E1D60A8">
      <w:pPr>
        <w:spacing w:line="360" w:lineRule="auto"/>
        <w:rPr>
          <w:rFonts w:hint="eastAsia" w:cs="宋体" w:asciiTheme="minorEastAsia" w:hAnsiTheme="minorEastAsia" w:eastAsiaTheme="minorEastAsia"/>
          <w:color w:val="auto"/>
          <w:kern w:val="2"/>
          <w:sz w:val="24"/>
          <w:szCs w:val="24"/>
          <w:highlight w:val="none"/>
          <w:lang w:eastAsia="zh-CN"/>
        </w:rPr>
      </w:pPr>
      <w:r>
        <w:rPr>
          <w:rFonts w:hint="eastAsia" w:cs="宋体" w:asciiTheme="minorEastAsia" w:hAnsiTheme="minorEastAsia" w:eastAsiaTheme="minorEastAsia"/>
          <w:b/>
          <w:color w:val="auto"/>
          <w:kern w:val="2"/>
          <w:sz w:val="24"/>
          <w:szCs w:val="24"/>
          <w:highlight w:val="none"/>
        </w:rPr>
        <w:t>致：</w:t>
      </w:r>
      <w:r>
        <w:rPr>
          <w:rFonts w:hint="eastAsia" w:cs="宋体" w:asciiTheme="minorEastAsia" w:hAnsiTheme="minorEastAsia" w:eastAsiaTheme="minorEastAsia"/>
          <w:b/>
          <w:color w:val="auto"/>
          <w:kern w:val="2"/>
          <w:sz w:val="24"/>
          <w:szCs w:val="24"/>
          <w:highlight w:val="none"/>
          <w:u w:val="none"/>
          <w:lang w:eastAsia="zh-CN"/>
        </w:rPr>
        <w:t>采购人</w:t>
      </w:r>
    </w:p>
    <w:p w14:paraId="6EAD0F77">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本人作为我单位在本项目</w:t>
      </w:r>
      <w:r>
        <w:rPr>
          <w:rFonts w:hint="eastAsia" w:cs="宋体"/>
          <w:color w:val="auto"/>
          <w:kern w:val="2"/>
          <w:sz w:val="24"/>
          <w:szCs w:val="24"/>
          <w:highlight w:val="none"/>
          <w:lang w:eastAsia="zh-CN"/>
        </w:rPr>
        <w:t>谈判</w:t>
      </w:r>
      <w:r>
        <w:rPr>
          <w:rFonts w:hint="eastAsia" w:cs="宋体"/>
          <w:color w:val="auto"/>
          <w:kern w:val="2"/>
          <w:sz w:val="24"/>
          <w:szCs w:val="24"/>
          <w:highlight w:val="none"/>
        </w:rPr>
        <w:t>担任的项目经理，郑重承诺：</w:t>
      </w:r>
    </w:p>
    <w:p w14:paraId="71E31A82">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rPr>
        <w:t>一、本项目提供的项目经理业绩已经本人核实，工程实施过程中项目经理确为本人，合同（或竣工相关资料证明）的本人签字均为该工程实施时段所签，真实无误，不存在虚假和挂靠现象，也不存在为</w:t>
      </w:r>
      <w:r>
        <w:rPr>
          <w:rFonts w:hint="eastAsia" w:cs="宋体"/>
          <w:color w:val="auto"/>
          <w:kern w:val="2"/>
          <w:sz w:val="24"/>
          <w:szCs w:val="24"/>
          <w:highlight w:val="none"/>
          <w:lang w:eastAsia="zh-CN"/>
        </w:rPr>
        <w:t>谈判</w:t>
      </w:r>
      <w:r>
        <w:rPr>
          <w:rFonts w:hint="eastAsia" w:cs="宋体"/>
          <w:color w:val="auto"/>
          <w:kern w:val="2"/>
          <w:sz w:val="24"/>
          <w:szCs w:val="24"/>
          <w:highlight w:val="none"/>
        </w:rPr>
        <w:t>而造假的行为。</w:t>
      </w:r>
    </w:p>
    <w:p w14:paraId="04456CDA">
      <w:pPr>
        <w:spacing w:line="360" w:lineRule="auto"/>
        <w:ind w:firstLine="480" w:firstLineChars="200"/>
        <w:rPr>
          <w:rFonts w:cs="宋体"/>
          <w:color w:val="auto"/>
          <w:kern w:val="2"/>
          <w:sz w:val="24"/>
          <w:szCs w:val="24"/>
          <w:highlight w:val="none"/>
        </w:rPr>
      </w:pPr>
      <w:r>
        <w:rPr>
          <w:rFonts w:hint="eastAsia" w:cs="宋体"/>
          <w:color w:val="auto"/>
          <w:kern w:val="2"/>
          <w:sz w:val="24"/>
          <w:szCs w:val="24"/>
          <w:highlight w:val="none"/>
          <w:lang w:val="en-US" w:eastAsia="zh-CN"/>
        </w:rPr>
        <w:t>二</w:t>
      </w:r>
      <w:r>
        <w:rPr>
          <w:rFonts w:hint="eastAsia" w:cs="宋体"/>
          <w:color w:val="auto"/>
          <w:kern w:val="2"/>
          <w:sz w:val="24"/>
          <w:szCs w:val="24"/>
          <w:highlight w:val="none"/>
        </w:rPr>
        <w:t>、本人承诺，一旦成交，将严格按照</w:t>
      </w:r>
      <w:r>
        <w:rPr>
          <w:rFonts w:hint="eastAsia" w:cs="宋体"/>
          <w:color w:val="auto"/>
          <w:kern w:val="2"/>
          <w:sz w:val="24"/>
          <w:szCs w:val="24"/>
          <w:highlight w:val="none"/>
          <w:lang w:val="en-US" w:eastAsia="zh-CN"/>
        </w:rPr>
        <w:t>谈判</w:t>
      </w:r>
      <w:r>
        <w:rPr>
          <w:rFonts w:hint="eastAsia" w:cs="宋体"/>
          <w:color w:val="auto"/>
          <w:kern w:val="2"/>
          <w:sz w:val="24"/>
          <w:szCs w:val="24"/>
          <w:highlight w:val="none"/>
        </w:rPr>
        <w:t>文件规定履约。</w:t>
      </w:r>
    </w:p>
    <w:p w14:paraId="211C690C">
      <w:pPr>
        <w:spacing w:line="360" w:lineRule="auto"/>
        <w:ind w:firstLine="480" w:firstLineChars="200"/>
        <w:rPr>
          <w:rFonts w:hint="eastAsia" w:cs="宋体"/>
          <w:color w:val="auto"/>
          <w:kern w:val="2"/>
          <w:sz w:val="24"/>
          <w:szCs w:val="24"/>
          <w:highlight w:val="none"/>
        </w:rPr>
      </w:pPr>
      <w:r>
        <w:rPr>
          <w:rFonts w:hint="eastAsia" w:cs="宋体"/>
          <w:color w:val="auto"/>
          <w:kern w:val="2"/>
          <w:sz w:val="24"/>
          <w:szCs w:val="24"/>
          <w:highlight w:val="none"/>
          <w:lang w:val="en-US" w:eastAsia="zh-CN"/>
        </w:rPr>
        <w:t>三</w:t>
      </w:r>
      <w:r>
        <w:rPr>
          <w:rFonts w:hint="eastAsia" w:cs="宋体"/>
          <w:color w:val="auto"/>
          <w:kern w:val="2"/>
          <w:sz w:val="24"/>
          <w:szCs w:val="24"/>
          <w:highlight w:val="none"/>
        </w:rPr>
        <w:t>、本人声明，对以上承诺，一旦发现虚假现象，本人愿意承担相应法律责任，并随时无条件配合监管部门调查取证。</w:t>
      </w:r>
    </w:p>
    <w:p w14:paraId="22688AEB">
      <w:pPr>
        <w:spacing w:line="360" w:lineRule="auto"/>
        <w:ind w:firstLine="480" w:firstLineChars="200"/>
        <w:rPr>
          <w:rFonts w:hint="eastAsia" w:cs="宋体"/>
          <w:color w:val="auto"/>
          <w:kern w:val="2"/>
          <w:sz w:val="24"/>
          <w:szCs w:val="24"/>
          <w:highlight w:val="none"/>
          <w:lang w:val="en-US" w:eastAsia="zh-CN"/>
        </w:rPr>
      </w:pPr>
      <w:r>
        <w:rPr>
          <w:rFonts w:hint="eastAsia" w:cs="宋体"/>
          <w:color w:val="auto"/>
          <w:kern w:val="2"/>
          <w:sz w:val="24"/>
          <w:szCs w:val="24"/>
          <w:highlight w:val="none"/>
          <w:lang w:val="en-US" w:eastAsia="zh-CN"/>
        </w:rPr>
        <w:t>四、</w:t>
      </w:r>
      <w:r>
        <w:rPr>
          <w:rFonts w:hint="eastAsia" w:cs="宋体"/>
          <w:color w:val="auto"/>
          <w:kern w:val="2"/>
          <w:sz w:val="24"/>
          <w:szCs w:val="24"/>
          <w:highlight w:val="none"/>
          <w:u w:val="single"/>
        </w:rPr>
        <w:t xml:space="preserve">                   </w:t>
      </w:r>
    </w:p>
    <w:p w14:paraId="1ABA0D16">
      <w:pPr>
        <w:spacing w:line="360" w:lineRule="auto"/>
        <w:ind w:firstLine="480" w:firstLineChars="200"/>
        <w:rPr>
          <w:rFonts w:cs="宋体"/>
          <w:color w:val="auto"/>
          <w:kern w:val="2"/>
          <w:sz w:val="24"/>
          <w:szCs w:val="24"/>
          <w:highlight w:val="none"/>
        </w:rPr>
      </w:pPr>
    </w:p>
    <w:p w14:paraId="6C5A6DE5">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项目经理签字：</w:t>
      </w:r>
      <w:r>
        <w:rPr>
          <w:rFonts w:hint="eastAsia" w:cs="宋体"/>
          <w:color w:val="auto"/>
          <w:kern w:val="2"/>
          <w:sz w:val="24"/>
          <w:szCs w:val="24"/>
          <w:highlight w:val="none"/>
          <w:u w:val="single"/>
        </w:rPr>
        <w:t xml:space="preserve">                   </w:t>
      </w:r>
    </w:p>
    <w:p w14:paraId="38237CFF">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身份证号：</w:t>
      </w:r>
      <w:r>
        <w:rPr>
          <w:rFonts w:hint="eastAsia" w:cs="宋体"/>
          <w:color w:val="auto"/>
          <w:kern w:val="2"/>
          <w:sz w:val="24"/>
          <w:szCs w:val="24"/>
          <w:highlight w:val="none"/>
          <w:u w:val="single"/>
        </w:rPr>
        <w:t xml:space="preserve">                       </w:t>
      </w:r>
    </w:p>
    <w:p w14:paraId="290ACAC0">
      <w:pPr>
        <w:spacing w:line="360" w:lineRule="auto"/>
        <w:ind w:firstLine="4200" w:firstLineChars="1750"/>
        <w:rPr>
          <w:rFonts w:cs="宋体"/>
          <w:color w:val="auto"/>
          <w:kern w:val="2"/>
          <w:sz w:val="24"/>
          <w:szCs w:val="24"/>
          <w:highlight w:val="none"/>
        </w:rPr>
      </w:pPr>
      <w:r>
        <w:rPr>
          <w:rFonts w:hint="eastAsia" w:cs="宋体"/>
          <w:color w:val="auto"/>
          <w:kern w:val="2"/>
          <w:sz w:val="24"/>
          <w:szCs w:val="24"/>
          <w:highlight w:val="none"/>
        </w:rPr>
        <w:t>日    期：</w:t>
      </w:r>
      <w:r>
        <w:rPr>
          <w:rFonts w:hint="eastAsia" w:cs="宋体"/>
          <w:color w:val="auto"/>
          <w:kern w:val="2"/>
          <w:sz w:val="24"/>
          <w:szCs w:val="24"/>
          <w:highlight w:val="none"/>
          <w:u w:val="single"/>
        </w:rPr>
        <w:t xml:space="preserve"> </w:t>
      </w:r>
      <w:r>
        <w:rPr>
          <w:rFonts w:cs="宋体"/>
          <w:color w:val="auto"/>
          <w:kern w:val="2"/>
          <w:sz w:val="24"/>
          <w:szCs w:val="24"/>
          <w:highlight w:val="none"/>
          <w:u w:val="single"/>
        </w:rPr>
        <w:t xml:space="preserve"> </w:t>
      </w:r>
      <w:r>
        <w:rPr>
          <w:rFonts w:hint="eastAsia" w:cs="宋体"/>
          <w:color w:val="auto"/>
          <w:kern w:val="2"/>
          <w:sz w:val="24"/>
          <w:szCs w:val="24"/>
          <w:highlight w:val="none"/>
          <w:u w:val="single"/>
        </w:rPr>
        <w:t xml:space="preserve">                     </w:t>
      </w:r>
    </w:p>
    <w:p w14:paraId="07FACC05">
      <w:pPr>
        <w:spacing w:line="360" w:lineRule="auto"/>
        <w:ind w:firstLine="480" w:firstLineChars="200"/>
        <w:rPr>
          <w:rFonts w:cs="宋体"/>
          <w:color w:val="auto"/>
          <w:kern w:val="2"/>
          <w:sz w:val="24"/>
          <w:szCs w:val="24"/>
          <w:highlight w:val="none"/>
        </w:rPr>
      </w:pPr>
    </w:p>
    <w:p w14:paraId="3A002917">
      <w:pPr>
        <w:spacing w:line="360" w:lineRule="auto"/>
        <w:ind w:firstLine="480" w:firstLineChars="200"/>
        <w:rPr>
          <w:rFonts w:cs="宋体" w:asciiTheme="minorEastAsia" w:hAnsiTheme="minorEastAsia" w:eastAsiaTheme="minorEastAsia"/>
          <w:color w:val="auto"/>
          <w:kern w:val="2"/>
          <w:sz w:val="24"/>
          <w:szCs w:val="24"/>
          <w:highlight w:val="none"/>
        </w:rPr>
      </w:pPr>
      <w:r>
        <w:rPr>
          <w:rFonts w:hint="eastAsia" w:cs="宋体"/>
          <w:color w:val="auto"/>
          <w:kern w:val="2"/>
          <w:sz w:val="24"/>
          <w:szCs w:val="24"/>
          <w:highlight w:val="none"/>
        </w:rPr>
        <w:t>注：本页后附项目经理身份证明扫描件。</w:t>
      </w:r>
    </w:p>
    <w:p w14:paraId="656F406E">
      <w:pPr>
        <w:spacing w:line="360" w:lineRule="auto"/>
        <w:ind w:firstLine="4200" w:firstLineChars="1750"/>
        <w:rPr>
          <w:rFonts w:ascii="@仿宋_GB2312" w:eastAsia="@仿宋_GB2312" w:cs="宋体"/>
          <w:color w:val="auto"/>
          <w:kern w:val="2"/>
          <w:sz w:val="24"/>
          <w:szCs w:val="24"/>
          <w:highlight w:val="none"/>
          <w:lang w:val="zh-CN"/>
        </w:rPr>
      </w:pPr>
      <w:r>
        <w:rPr>
          <w:rFonts w:hint="eastAsia" w:ascii="@仿宋_GB2312" w:cs="@仿宋_GB2312"/>
          <w:color w:val="auto"/>
          <w:kern w:val="2"/>
          <w:sz w:val="24"/>
          <w:szCs w:val="28"/>
          <w:highlight w:val="none"/>
        </w:rPr>
        <w:br w:type="page"/>
      </w:r>
    </w:p>
    <w:p w14:paraId="65D5CCBD">
      <w:pPr>
        <w:widowControl/>
        <w:jc w:val="left"/>
        <w:rPr>
          <w:rFonts w:asciiTheme="minorEastAsia" w:hAnsiTheme="minorEastAsia" w:eastAsiaTheme="minorEastAsia"/>
          <w:b/>
          <w:color w:val="auto"/>
          <w:sz w:val="24"/>
          <w:highlight w:val="none"/>
        </w:rPr>
      </w:pPr>
    </w:p>
    <w:p w14:paraId="4EAD70AC">
      <w:pPr>
        <w:spacing w:line="360" w:lineRule="auto"/>
        <w:jc w:val="center"/>
        <w:outlineLvl w:val="1"/>
        <w:rPr>
          <w:rFonts w:asciiTheme="minorEastAsia" w:hAnsiTheme="minorEastAsia" w:eastAsiaTheme="minorEastAsia"/>
          <w:b/>
          <w:color w:val="auto"/>
          <w:sz w:val="24"/>
          <w:highlight w:val="none"/>
        </w:rPr>
      </w:pPr>
      <w:bookmarkStart w:id="682" w:name="_Toc8061"/>
      <w:bookmarkStart w:id="683" w:name="_Toc32708"/>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w:t>
      </w:r>
      <w:bookmarkEnd w:id="682"/>
      <w:bookmarkEnd w:id="683"/>
      <w:bookmarkStart w:id="684" w:name="_Toc30935"/>
      <w:bookmarkStart w:id="685" w:name="_Toc30344"/>
      <w:r>
        <w:rPr>
          <w:rFonts w:hint="eastAsia" w:asciiTheme="minorEastAsia" w:hAnsiTheme="minorEastAsia" w:eastAsiaTheme="minorEastAsia"/>
          <w:b/>
          <w:color w:val="auto"/>
          <w:sz w:val="24"/>
          <w:highlight w:val="none"/>
        </w:rPr>
        <w:t>中小企业声明函</w:t>
      </w:r>
      <w:bookmarkEnd w:id="684"/>
      <w:bookmarkEnd w:id="685"/>
    </w:p>
    <w:p w14:paraId="2624D2FE">
      <w:pPr>
        <w:pStyle w:val="19"/>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w:t>
      </w:r>
      <w:r>
        <w:rPr>
          <w:rFonts w:hint="eastAsia" w:ascii="宋体" w:hAnsi="宋体" w:eastAsia="宋体"/>
          <w:b w:val="0"/>
          <w:i/>
          <w:color w:val="auto"/>
          <w:sz w:val="24"/>
          <w:highlight w:val="none"/>
          <w:lang w:val="en-US" w:eastAsia="zh-CN"/>
        </w:rPr>
        <w:t>谈判，不需此件，请删去“中小企业声明函”）</w:t>
      </w:r>
    </w:p>
    <w:p w14:paraId="45FE22FE">
      <w:pPr>
        <w:rPr>
          <w:rFonts w:asciiTheme="minorEastAsia" w:hAnsiTheme="minorEastAsia" w:eastAsiaTheme="minorEastAsia"/>
          <w:color w:val="auto"/>
          <w:sz w:val="24"/>
          <w:szCs w:val="24"/>
          <w:highlight w:val="none"/>
        </w:rPr>
      </w:pPr>
    </w:p>
    <w:p w14:paraId="70833344">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本公司（联合体）郑重声明，根据《政府采购促进中小企业发展管理办法》（财库﹝2020﹞46号）的规定，本公司（联合体）参加</w:t>
      </w:r>
      <w:r>
        <w:rPr>
          <w:rFonts w:hint="eastAsia" w:cs="@仿宋_GB2312"/>
          <w:color w:val="auto"/>
          <w:kern w:val="2"/>
          <w:sz w:val="24"/>
          <w:szCs w:val="24"/>
          <w:highlight w:val="none"/>
          <w:u w:val="single"/>
          <w:lang w:val="zh-CN"/>
        </w:rPr>
        <w:t>（单位</w:t>
      </w:r>
      <w:r>
        <w:rPr>
          <w:rFonts w:hint="eastAsia" w:cs="@仿宋_GB2312"/>
          <w:color w:val="auto"/>
          <w:kern w:val="2"/>
          <w:sz w:val="24"/>
          <w:szCs w:val="24"/>
          <w:highlight w:val="none"/>
          <w:u w:val="single"/>
          <w:lang w:val="en-US" w:eastAsia="zh-CN"/>
        </w:rPr>
        <w:t>名称</w:t>
      </w:r>
      <w:r>
        <w:rPr>
          <w:rFonts w:hint="eastAsia" w:cs="@仿宋_GB2312"/>
          <w:color w:val="auto"/>
          <w:kern w:val="2"/>
          <w:sz w:val="24"/>
          <w:szCs w:val="24"/>
          <w:highlight w:val="none"/>
          <w:u w:val="single"/>
          <w:lang w:val="zh-CN"/>
        </w:rPr>
        <w:t>）</w:t>
      </w:r>
      <w:r>
        <w:rPr>
          <w:rFonts w:hint="eastAsia" w:cs="@仿宋_GB2312"/>
          <w:color w:val="auto"/>
          <w:kern w:val="2"/>
          <w:sz w:val="24"/>
          <w:szCs w:val="24"/>
          <w:highlight w:val="none"/>
          <w:lang w:val="zh-CN"/>
        </w:rPr>
        <w:t>的</w:t>
      </w:r>
      <w:r>
        <w:rPr>
          <w:rFonts w:hint="eastAsia" w:cs="@仿宋_GB2312"/>
          <w:color w:val="auto"/>
          <w:kern w:val="2"/>
          <w:sz w:val="24"/>
          <w:szCs w:val="24"/>
          <w:highlight w:val="none"/>
          <w:u w:val="single"/>
          <w:lang w:val="zh-CN"/>
        </w:rPr>
        <w:t>（项目</w:t>
      </w:r>
      <w:r>
        <w:rPr>
          <w:rFonts w:hint="eastAsia" w:cs="@仿宋_GB2312"/>
          <w:color w:val="auto"/>
          <w:kern w:val="2"/>
          <w:sz w:val="24"/>
          <w:szCs w:val="24"/>
          <w:highlight w:val="none"/>
          <w:u w:val="single"/>
          <w:lang w:val="en-US" w:eastAsia="zh-CN"/>
        </w:rPr>
        <w:t>名称</w:t>
      </w:r>
      <w:r>
        <w:rPr>
          <w:rFonts w:hint="eastAsia" w:cs="@仿宋_GB2312"/>
          <w:color w:val="auto"/>
          <w:kern w:val="2"/>
          <w:sz w:val="24"/>
          <w:szCs w:val="24"/>
          <w:highlight w:val="none"/>
          <w:u w:val="single"/>
          <w:lang w:val="zh-CN"/>
        </w:rPr>
        <w:t>）</w:t>
      </w:r>
      <w:r>
        <w:rPr>
          <w:rFonts w:hint="eastAsia" w:cs="@仿宋_GB2312"/>
          <w:color w:val="auto"/>
          <w:kern w:val="2"/>
          <w:sz w:val="24"/>
          <w:szCs w:val="24"/>
          <w:highlight w:val="none"/>
          <w:lang w:val="zh-CN"/>
        </w:rPr>
        <w:t xml:space="preserve">采购活动，工程的施工单位全部为符合政策要求的中小企业。相关企业（含联合体中的中小企业、签订分包意向协议的中小企业）的具体情况如下： </w:t>
      </w:r>
    </w:p>
    <w:p w14:paraId="1B1C122E">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1.</w:t>
      </w:r>
      <w:r>
        <w:rPr>
          <w:rFonts w:hint="eastAsia" w:cs="@仿宋_GB2312"/>
          <w:color w:val="auto"/>
          <w:kern w:val="2"/>
          <w:sz w:val="24"/>
          <w:szCs w:val="24"/>
          <w:highlight w:val="none"/>
          <w:u w:val="single"/>
          <w:lang w:val="zh-CN"/>
        </w:rPr>
        <w:t xml:space="preserve"> （标的名称） </w:t>
      </w:r>
      <w:r>
        <w:rPr>
          <w:rFonts w:hint="eastAsia" w:cs="@仿宋_GB2312"/>
          <w:color w:val="auto"/>
          <w:kern w:val="2"/>
          <w:sz w:val="24"/>
          <w:szCs w:val="24"/>
          <w:highlight w:val="none"/>
          <w:lang w:val="zh-CN"/>
        </w:rPr>
        <w:t>，属于</w:t>
      </w:r>
      <w:r>
        <w:rPr>
          <w:rFonts w:hint="eastAsia" w:cs="@仿宋_GB2312"/>
          <w:color w:val="auto"/>
          <w:kern w:val="2"/>
          <w:sz w:val="24"/>
          <w:szCs w:val="24"/>
          <w:highlight w:val="none"/>
          <w:u w:val="single"/>
          <w:lang w:val="zh-CN"/>
        </w:rPr>
        <w:t>（采购文件中明确的所属行业）</w:t>
      </w:r>
      <w:r>
        <w:rPr>
          <w:rFonts w:hint="eastAsia" w:cs="@仿宋_GB2312"/>
          <w:color w:val="auto"/>
          <w:kern w:val="2"/>
          <w:sz w:val="24"/>
          <w:szCs w:val="24"/>
          <w:highlight w:val="none"/>
          <w:lang w:val="zh-CN"/>
        </w:rPr>
        <w:t>行业；承建企业为</w:t>
      </w:r>
      <w:r>
        <w:rPr>
          <w:rFonts w:hint="eastAsia" w:cs="@仿宋_GB2312"/>
          <w:color w:val="auto"/>
          <w:kern w:val="2"/>
          <w:sz w:val="24"/>
          <w:szCs w:val="24"/>
          <w:highlight w:val="none"/>
          <w:u w:val="single"/>
          <w:lang w:val="zh-CN"/>
        </w:rPr>
        <w:t>（企业名称）</w:t>
      </w:r>
      <w:r>
        <w:rPr>
          <w:rFonts w:hint="eastAsia" w:cs="@仿宋_GB2312"/>
          <w:color w:val="auto"/>
          <w:kern w:val="2"/>
          <w:sz w:val="24"/>
          <w:szCs w:val="24"/>
          <w:highlight w:val="none"/>
          <w:lang w:val="zh-CN"/>
        </w:rPr>
        <w:t>，从业人员</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人，营业收入为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万元，资产总额为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万元，属于</w:t>
      </w:r>
      <w:r>
        <w:rPr>
          <w:rFonts w:hint="eastAsia" w:cs="@仿宋_GB2312"/>
          <w:color w:val="auto"/>
          <w:kern w:val="2"/>
          <w:sz w:val="24"/>
          <w:szCs w:val="24"/>
          <w:highlight w:val="none"/>
          <w:u w:val="single"/>
          <w:lang w:val="zh-CN"/>
        </w:rPr>
        <w:t>（中型企业、小型企业、微型企业）</w:t>
      </w:r>
      <w:r>
        <w:rPr>
          <w:rFonts w:hint="eastAsia" w:cs="@仿宋_GB2312"/>
          <w:color w:val="auto"/>
          <w:kern w:val="2"/>
          <w:sz w:val="24"/>
          <w:szCs w:val="24"/>
          <w:highlight w:val="none"/>
          <w:lang w:val="zh-CN"/>
        </w:rPr>
        <w:t xml:space="preserve">； </w:t>
      </w:r>
    </w:p>
    <w:p w14:paraId="112E6A3F">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2.</w:t>
      </w:r>
      <w:r>
        <w:rPr>
          <w:rFonts w:hint="eastAsia" w:cs="@仿宋_GB2312"/>
          <w:color w:val="auto"/>
          <w:kern w:val="2"/>
          <w:sz w:val="24"/>
          <w:szCs w:val="24"/>
          <w:highlight w:val="none"/>
          <w:u w:val="single"/>
          <w:lang w:val="zh-CN"/>
        </w:rPr>
        <w:t xml:space="preserve"> （标的名称） </w:t>
      </w:r>
      <w:r>
        <w:rPr>
          <w:rFonts w:hint="eastAsia" w:cs="@仿宋_GB2312"/>
          <w:color w:val="auto"/>
          <w:kern w:val="2"/>
          <w:sz w:val="24"/>
          <w:szCs w:val="24"/>
          <w:highlight w:val="none"/>
          <w:lang w:val="zh-CN"/>
        </w:rPr>
        <w:t>，属于</w:t>
      </w:r>
      <w:r>
        <w:rPr>
          <w:rFonts w:hint="eastAsia" w:cs="@仿宋_GB2312"/>
          <w:color w:val="auto"/>
          <w:kern w:val="2"/>
          <w:sz w:val="24"/>
          <w:szCs w:val="24"/>
          <w:highlight w:val="none"/>
          <w:u w:val="single"/>
          <w:lang w:val="zh-CN"/>
        </w:rPr>
        <w:t>（采购文件中明确的所属行业）</w:t>
      </w:r>
      <w:r>
        <w:rPr>
          <w:rFonts w:hint="eastAsia" w:cs="@仿宋_GB2312"/>
          <w:color w:val="auto"/>
          <w:kern w:val="2"/>
          <w:sz w:val="24"/>
          <w:szCs w:val="24"/>
          <w:highlight w:val="none"/>
          <w:lang w:val="zh-CN"/>
        </w:rPr>
        <w:t>行业；承建企业为</w:t>
      </w:r>
      <w:r>
        <w:rPr>
          <w:rFonts w:hint="eastAsia" w:cs="@仿宋_GB2312"/>
          <w:color w:val="auto"/>
          <w:kern w:val="2"/>
          <w:sz w:val="24"/>
          <w:szCs w:val="24"/>
          <w:highlight w:val="none"/>
          <w:u w:val="single"/>
          <w:lang w:val="zh-CN"/>
        </w:rPr>
        <w:t>（企业名称）</w:t>
      </w:r>
      <w:r>
        <w:rPr>
          <w:rFonts w:hint="eastAsia" w:cs="@仿宋_GB2312"/>
          <w:color w:val="auto"/>
          <w:kern w:val="2"/>
          <w:sz w:val="24"/>
          <w:szCs w:val="24"/>
          <w:highlight w:val="none"/>
          <w:lang w:val="zh-CN"/>
        </w:rPr>
        <w:t>，从业人员</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人，营业收入为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万元，资产总额为</w:t>
      </w:r>
      <w:r>
        <w:rPr>
          <w:rFonts w:hint="eastAsia" w:cs="@仿宋_GB2312"/>
          <w:color w:val="auto"/>
          <w:kern w:val="2"/>
          <w:sz w:val="24"/>
          <w:szCs w:val="24"/>
          <w:highlight w:val="none"/>
          <w:u w:val="single"/>
          <w:lang w:val="zh-CN"/>
        </w:rPr>
        <w:t xml:space="preserve">     </w:t>
      </w:r>
      <w:r>
        <w:rPr>
          <w:rFonts w:hint="eastAsia" w:cs="@仿宋_GB2312"/>
          <w:color w:val="auto"/>
          <w:kern w:val="2"/>
          <w:sz w:val="24"/>
          <w:szCs w:val="24"/>
          <w:highlight w:val="none"/>
          <w:lang w:val="zh-CN"/>
        </w:rPr>
        <w:t>万元，属于</w:t>
      </w:r>
      <w:r>
        <w:rPr>
          <w:rFonts w:hint="eastAsia" w:cs="@仿宋_GB2312"/>
          <w:color w:val="auto"/>
          <w:kern w:val="2"/>
          <w:sz w:val="24"/>
          <w:szCs w:val="24"/>
          <w:highlight w:val="none"/>
          <w:u w:val="single"/>
          <w:lang w:val="zh-CN"/>
        </w:rPr>
        <w:t>（中型企业、小型企业、微型企业）</w:t>
      </w:r>
      <w:r>
        <w:rPr>
          <w:rFonts w:hint="eastAsia" w:cs="@仿宋_GB2312"/>
          <w:color w:val="auto"/>
          <w:kern w:val="2"/>
          <w:sz w:val="24"/>
          <w:szCs w:val="24"/>
          <w:highlight w:val="none"/>
          <w:lang w:val="zh-CN"/>
        </w:rPr>
        <w:t xml:space="preserve">； </w:t>
      </w:r>
    </w:p>
    <w:p w14:paraId="7A2D5B35">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w:t>
      </w:r>
    </w:p>
    <w:p w14:paraId="5D324CC6">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以上企业，不属于大企业的分支机构，不存在控股股东为大企业的情形，也不存在与大企业的负责人为同一人的情形。</w:t>
      </w:r>
    </w:p>
    <w:p w14:paraId="621AE0F3">
      <w:pPr>
        <w:spacing w:line="360" w:lineRule="auto"/>
        <w:ind w:firstLine="435"/>
        <w:rPr>
          <w:rFonts w:cs="@仿宋_GB2312"/>
          <w:color w:val="auto"/>
          <w:kern w:val="2"/>
          <w:sz w:val="24"/>
          <w:szCs w:val="24"/>
          <w:highlight w:val="none"/>
          <w:lang w:val="zh-CN"/>
        </w:rPr>
      </w:pPr>
      <w:r>
        <w:rPr>
          <w:rFonts w:hint="eastAsia" w:cs="@仿宋_GB2312"/>
          <w:color w:val="auto"/>
          <w:kern w:val="2"/>
          <w:sz w:val="24"/>
          <w:szCs w:val="24"/>
          <w:highlight w:val="none"/>
          <w:lang w:val="zh-CN"/>
        </w:rPr>
        <w:t xml:space="preserve">本企业对上述声明内容的真实性负责。如有虚假，将依法承担相应责任。 </w:t>
      </w:r>
    </w:p>
    <w:p w14:paraId="7C7B5069">
      <w:pPr>
        <w:spacing w:line="360" w:lineRule="auto"/>
        <w:ind w:firstLine="435"/>
        <w:rPr>
          <w:rFonts w:cs="@仿宋_GB2312" w:asciiTheme="minorEastAsia" w:hAnsiTheme="minorEastAsia" w:eastAsiaTheme="minorEastAsia"/>
          <w:color w:val="auto"/>
          <w:kern w:val="2"/>
          <w:sz w:val="24"/>
          <w:szCs w:val="24"/>
          <w:highlight w:val="none"/>
        </w:rPr>
      </w:pPr>
    </w:p>
    <w:p w14:paraId="0FCA109F">
      <w:pPr>
        <w:spacing w:line="360" w:lineRule="auto"/>
        <w:ind w:firstLine="435"/>
        <w:rPr>
          <w:rFonts w:cs="@仿宋_GB2312" w:asciiTheme="minorEastAsia" w:hAnsiTheme="minorEastAsia" w:eastAsiaTheme="minorEastAsia"/>
          <w:color w:val="auto"/>
          <w:kern w:val="2"/>
          <w:sz w:val="24"/>
          <w:szCs w:val="24"/>
          <w:highlight w:val="none"/>
        </w:rPr>
      </w:pPr>
    </w:p>
    <w:p w14:paraId="6279806C">
      <w:pPr>
        <w:spacing w:line="360" w:lineRule="auto"/>
        <w:ind w:firstLine="4228" w:firstLineChars="1762"/>
        <w:rPr>
          <w:rFonts w:cs="@仿宋_GB2312" w:asciiTheme="minorEastAsia" w:hAnsiTheme="minorEastAsia" w:eastAsiaTheme="minorEastAsia"/>
          <w:color w:val="auto"/>
          <w:kern w:val="2"/>
          <w:sz w:val="24"/>
          <w:szCs w:val="24"/>
          <w:highlight w:val="none"/>
          <w:u w:val="single"/>
        </w:rPr>
      </w:pPr>
      <w:r>
        <w:rPr>
          <w:rFonts w:hint="eastAsia" w:cs="@仿宋_GB2312" w:asciiTheme="minorEastAsia" w:hAnsiTheme="minorEastAsia" w:eastAsiaTheme="minorEastAsia"/>
          <w:color w:val="auto"/>
          <w:kern w:val="2"/>
          <w:sz w:val="24"/>
          <w:szCs w:val="24"/>
          <w:highlight w:val="none"/>
        </w:rPr>
        <w:t>供应商</w:t>
      </w:r>
      <w:r>
        <w:rPr>
          <w:rFonts w:cs="@仿宋_GB2312" w:asciiTheme="minorEastAsia" w:hAnsiTheme="minorEastAsia" w:eastAsiaTheme="minorEastAsia"/>
          <w:color w:val="auto"/>
          <w:kern w:val="2"/>
          <w:sz w:val="24"/>
          <w:szCs w:val="24"/>
          <w:highlight w:val="none"/>
        </w:rPr>
        <w:t>电子签章</w:t>
      </w:r>
      <w:r>
        <w:rPr>
          <w:rFonts w:hint="eastAsia" w:cs="@仿宋_GB2312" w:asciiTheme="minorEastAsia" w:hAnsiTheme="minorEastAsia" w:eastAsiaTheme="minorEastAsia"/>
          <w:color w:val="auto"/>
          <w:kern w:val="2"/>
          <w:sz w:val="24"/>
          <w:szCs w:val="24"/>
          <w:highlight w:val="none"/>
        </w:rPr>
        <w:t>：</w:t>
      </w:r>
      <w:r>
        <w:rPr>
          <w:rFonts w:cs="@仿宋_GB2312" w:asciiTheme="minorEastAsia" w:hAnsiTheme="minorEastAsia" w:eastAsiaTheme="minorEastAsia"/>
          <w:color w:val="auto"/>
          <w:kern w:val="2"/>
          <w:sz w:val="24"/>
          <w:szCs w:val="24"/>
          <w:highlight w:val="none"/>
          <w:u w:val="single"/>
        </w:rPr>
        <w:t xml:space="preserve">             </w:t>
      </w:r>
    </w:p>
    <w:p w14:paraId="4FA50B74">
      <w:pPr>
        <w:tabs>
          <w:tab w:val="left" w:pos="4620"/>
        </w:tabs>
        <w:spacing w:line="360" w:lineRule="auto"/>
        <w:ind w:firstLine="4252" w:firstLineChars="1772"/>
        <w:rPr>
          <w:rFonts w:cs="@仿宋_GB2312" w:asciiTheme="minorEastAsia" w:hAnsiTheme="minorEastAsia" w:eastAsiaTheme="minorEastAsia"/>
          <w:color w:val="auto"/>
          <w:kern w:val="2"/>
          <w:sz w:val="24"/>
          <w:szCs w:val="24"/>
          <w:highlight w:val="none"/>
          <w:u w:val="single"/>
        </w:rPr>
      </w:pPr>
      <w:r>
        <w:rPr>
          <w:rFonts w:hint="eastAsia" w:cs="@仿宋_GB2312" w:asciiTheme="minorEastAsia" w:hAnsiTheme="minorEastAsia" w:eastAsiaTheme="minorEastAsia"/>
          <w:color w:val="auto"/>
          <w:kern w:val="2"/>
          <w:sz w:val="24"/>
          <w:szCs w:val="24"/>
          <w:highlight w:val="none"/>
        </w:rPr>
        <w:t>日</w:t>
      </w:r>
      <w:r>
        <w:rPr>
          <w:rFonts w:cs="@仿宋_GB2312" w:asciiTheme="minorEastAsia" w:hAnsiTheme="minorEastAsia" w:eastAsiaTheme="minorEastAsia"/>
          <w:color w:val="auto"/>
          <w:kern w:val="2"/>
          <w:sz w:val="24"/>
          <w:szCs w:val="24"/>
          <w:highlight w:val="none"/>
        </w:rPr>
        <w:t xml:space="preserve">      </w:t>
      </w:r>
      <w:r>
        <w:rPr>
          <w:rFonts w:hint="eastAsia" w:cs="@仿宋_GB2312" w:asciiTheme="minorEastAsia" w:hAnsiTheme="minorEastAsia" w:eastAsiaTheme="minorEastAsia"/>
          <w:color w:val="auto"/>
          <w:kern w:val="2"/>
          <w:sz w:val="24"/>
          <w:szCs w:val="24"/>
          <w:highlight w:val="none"/>
        </w:rPr>
        <w:t xml:space="preserve">    期：</w:t>
      </w:r>
      <w:r>
        <w:rPr>
          <w:rFonts w:cs="@仿宋_GB2312" w:asciiTheme="minorEastAsia" w:hAnsiTheme="minorEastAsia" w:eastAsiaTheme="minorEastAsia"/>
          <w:color w:val="auto"/>
          <w:kern w:val="2"/>
          <w:sz w:val="24"/>
          <w:szCs w:val="24"/>
          <w:highlight w:val="none"/>
          <w:u w:val="single"/>
        </w:rPr>
        <w:t xml:space="preserve">             </w:t>
      </w:r>
    </w:p>
    <w:p w14:paraId="6B7AE3F7">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416ACC49">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082C5231">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3E31255B">
      <w:pPr>
        <w:tabs>
          <w:tab w:val="left" w:pos="4620"/>
        </w:tabs>
        <w:spacing w:line="360" w:lineRule="auto"/>
        <w:jc w:val="left"/>
        <w:rPr>
          <w:rFonts w:cs="@仿宋_GB2312" w:asciiTheme="minorEastAsia" w:hAnsiTheme="minorEastAsia" w:eastAsiaTheme="minorEastAsia"/>
          <w:color w:val="auto"/>
          <w:kern w:val="2"/>
          <w:sz w:val="24"/>
          <w:szCs w:val="24"/>
          <w:highlight w:val="none"/>
        </w:rPr>
      </w:pPr>
    </w:p>
    <w:p w14:paraId="40FB36D2">
      <w:pPr>
        <w:tabs>
          <w:tab w:val="left" w:pos="4620"/>
        </w:tabs>
        <w:spacing w:line="360" w:lineRule="auto"/>
        <w:jc w:val="left"/>
        <w:rPr>
          <w:rFonts w:hint="eastAsia" w:cs="@仿宋_GB2312" w:asciiTheme="minorEastAsia" w:hAnsiTheme="minorEastAsia" w:eastAsiaTheme="minorEastAsia"/>
          <w:b/>
          <w:color w:val="auto"/>
          <w:kern w:val="2"/>
          <w:sz w:val="21"/>
          <w:szCs w:val="24"/>
          <w:highlight w:val="none"/>
          <w:lang w:eastAsia="zh-CN"/>
        </w:rPr>
      </w:pPr>
      <w:r>
        <w:rPr>
          <w:rFonts w:hint="eastAsia" w:cs="@仿宋_GB2312" w:asciiTheme="minorEastAsia" w:hAnsiTheme="minorEastAsia" w:eastAsiaTheme="minorEastAsia"/>
          <w:b/>
          <w:color w:val="auto"/>
          <w:kern w:val="2"/>
          <w:sz w:val="21"/>
          <w:szCs w:val="24"/>
          <w:highlight w:val="none"/>
          <w:lang w:eastAsia="zh-CN"/>
        </w:rPr>
        <w:t>注：</w:t>
      </w:r>
    </w:p>
    <w:p w14:paraId="41DB90A5">
      <w:pPr>
        <w:tabs>
          <w:tab w:val="left" w:pos="4620"/>
        </w:tabs>
        <w:spacing w:line="360" w:lineRule="auto"/>
        <w:jc w:val="left"/>
        <w:rPr>
          <w:rFonts w:cs="@仿宋_GB2312" w:asciiTheme="minorEastAsia" w:hAnsiTheme="minorEastAsia" w:eastAsiaTheme="minorEastAsia"/>
          <w:color w:val="auto"/>
          <w:kern w:val="2"/>
          <w:sz w:val="21"/>
          <w:szCs w:val="24"/>
          <w:highlight w:val="none"/>
        </w:rPr>
      </w:pPr>
      <w:r>
        <w:rPr>
          <w:rFonts w:cs="@仿宋_GB2312" w:asciiTheme="minorEastAsia" w:hAnsiTheme="minorEastAsia" w:eastAsiaTheme="minorEastAsia"/>
          <w:color w:val="auto"/>
          <w:kern w:val="2"/>
          <w:sz w:val="21"/>
          <w:szCs w:val="24"/>
          <w:highlight w:val="none"/>
        </w:rPr>
        <w:t>1.从业人员、营业收入、资产总额填报上一年数据，无上一年数据的新成立企业可不填报。</w:t>
      </w:r>
    </w:p>
    <w:p w14:paraId="193EB1DE">
      <w:pPr>
        <w:tabs>
          <w:tab w:val="left" w:pos="4620"/>
        </w:tabs>
        <w:spacing w:line="360" w:lineRule="auto"/>
        <w:jc w:val="left"/>
        <w:rPr>
          <w:rFonts w:cs="宋体"/>
          <w:b/>
          <w:bCs/>
          <w:color w:val="auto"/>
          <w:kern w:val="2"/>
          <w:sz w:val="21"/>
          <w:szCs w:val="21"/>
          <w:highlight w:val="none"/>
        </w:rPr>
      </w:pPr>
      <w:r>
        <w:rPr>
          <w:rFonts w:hint="eastAsia" w:cs="宋体"/>
          <w:b/>
          <w:bCs/>
          <w:color w:val="auto"/>
          <w:sz w:val="21"/>
          <w:szCs w:val="21"/>
          <w:highlight w:val="none"/>
        </w:rPr>
        <w:t>2.</w:t>
      </w:r>
      <w:r>
        <w:rPr>
          <w:rFonts w:hint="eastAsia" w:cs="宋体"/>
          <w:b/>
          <w:bCs/>
          <w:color w:val="auto"/>
          <w:kern w:val="2"/>
          <w:sz w:val="21"/>
          <w:szCs w:val="21"/>
          <w:highlight w:val="none"/>
        </w:rPr>
        <w:t>供应商应根据《政府采购促进中小企业发展管理办法》（财库﹝2020﹞46号）和《关于印发中小企业划型标准规定的通知》(工信部联企业〔2011〕300号)相关规定，如实填写中小企业声明函。</w:t>
      </w:r>
      <w:r>
        <w:rPr>
          <w:rFonts w:hint="eastAsia" w:cs="宋体"/>
          <w:b/>
          <w:bCs/>
          <w:color w:val="auto"/>
          <w:kern w:val="2"/>
          <w:sz w:val="21"/>
          <w:szCs w:val="21"/>
          <w:highlight w:val="none"/>
          <w:lang w:val="zh-CN"/>
        </w:rPr>
        <w:t>如有虚假，将依法承担相应责任。</w:t>
      </w:r>
      <w:r>
        <w:rPr>
          <w:rFonts w:hint="eastAsia" w:cs="宋体"/>
          <w:b/>
          <w:bCs/>
          <w:color w:val="auto"/>
          <w:kern w:val="2"/>
          <w:sz w:val="21"/>
          <w:szCs w:val="21"/>
          <w:highlight w:val="none"/>
        </w:rPr>
        <w:t>供应商自行登录工业和信息化部官网进行中小企业规模类型自测（查询网址https://www.miit.gov.cn/）。</w:t>
      </w:r>
    </w:p>
    <w:p w14:paraId="4AB69522">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3.上述“</w:t>
      </w:r>
      <w:r>
        <w:rPr>
          <w:rFonts w:hint="eastAsia" w:cs="宋体"/>
          <w:b/>
          <w:bCs/>
          <w:color w:val="auto"/>
          <w:kern w:val="2"/>
          <w:sz w:val="21"/>
          <w:szCs w:val="21"/>
          <w:highlight w:val="none"/>
          <w:u w:val="single"/>
          <w:lang w:val="zh-CN"/>
        </w:rPr>
        <w:t>标的名称</w:t>
      </w:r>
      <w:r>
        <w:rPr>
          <w:rFonts w:hint="eastAsia" w:cs="宋体"/>
          <w:b/>
          <w:bCs/>
          <w:color w:val="auto"/>
          <w:kern w:val="2"/>
          <w:sz w:val="21"/>
          <w:szCs w:val="21"/>
          <w:highlight w:val="none"/>
        </w:rPr>
        <w:t>”，详见第三章采购需求前附表中明确的“标的名称”。</w:t>
      </w:r>
    </w:p>
    <w:p w14:paraId="57708ADB">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4.上述“</w:t>
      </w:r>
      <w:r>
        <w:rPr>
          <w:rFonts w:hint="eastAsia" w:cs="宋体"/>
          <w:b/>
          <w:bCs/>
          <w:color w:val="auto"/>
          <w:kern w:val="2"/>
          <w:sz w:val="21"/>
          <w:szCs w:val="21"/>
          <w:highlight w:val="none"/>
          <w:u w:val="single"/>
        </w:rPr>
        <w:t>采购文件中明确的所属行业</w:t>
      </w:r>
      <w:r>
        <w:rPr>
          <w:rFonts w:hint="eastAsia" w:cs="宋体"/>
          <w:b/>
          <w:bCs/>
          <w:color w:val="auto"/>
          <w:kern w:val="2"/>
          <w:sz w:val="21"/>
          <w:szCs w:val="21"/>
          <w:highlight w:val="none"/>
        </w:rPr>
        <w:t>”，详见第三章采购需求前附表中明确的“所属行业”。</w:t>
      </w:r>
    </w:p>
    <w:p w14:paraId="21282997">
      <w:pPr>
        <w:tabs>
          <w:tab w:val="left" w:pos="4620"/>
        </w:tabs>
        <w:spacing w:line="360" w:lineRule="auto"/>
        <w:jc w:val="left"/>
        <w:rPr>
          <w:rFonts w:cs="宋体"/>
          <w:b/>
          <w:bCs/>
          <w:color w:val="auto"/>
          <w:kern w:val="2"/>
          <w:sz w:val="21"/>
          <w:szCs w:val="21"/>
          <w:highlight w:val="none"/>
        </w:rPr>
      </w:pPr>
      <w:r>
        <w:rPr>
          <w:rFonts w:hint="eastAsia" w:cs="宋体"/>
          <w:b/>
          <w:bCs/>
          <w:color w:val="auto"/>
          <w:kern w:val="2"/>
          <w:sz w:val="21"/>
          <w:szCs w:val="21"/>
          <w:highlight w:val="none"/>
        </w:rPr>
        <w:t>5．填写示例：</w:t>
      </w:r>
      <w:r>
        <w:rPr>
          <w:rFonts w:hint="eastAsia" w:cs="宋体"/>
          <w:b/>
          <w:bCs/>
          <w:color w:val="auto"/>
          <w:kern w:val="2"/>
          <w:sz w:val="21"/>
          <w:szCs w:val="21"/>
          <w:highlight w:val="none"/>
          <w:u w:val="single"/>
        </w:rPr>
        <w:t>某标的名称</w:t>
      </w:r>
      <w:r>
        <w:rPr>
          <w:rFonts w:hint="eastAsia" w:cs="宋体"/>
          <w:b/>
          <w:bCs/>
          <w:color w:val="auto"/>
          <w:kern w:val="2"/>
          <w:sz w:val="21"/>
          <w:szCs w:val="21"/>
          <w:highlight w:val="none"/>
        </w:rPr>
        <w:t>（</w:t>
      </w:r>
      <w:r>
        <w:rPr>
          <w:rFonts w:hint="eastAsia" w:cs="宋体"/>
          <w:b/>
          <w:bCs/>
          <w:color w:val="auto"/>
          <w:kern w:val="2"/>
          <w:sz w:val="21"/>
          <w:szCs w:val="21"/>
          <w:highlight w:val="none"/>
          <w:u w:val="single"/>
        </w:rPr>
        <w:t>填写第三章采购需求前附表中明确的“标的名称”</w:t>
      </w:r>
      <w:r>
        <w:rPr>
          <w:rFonts w:hint="eastAsia" w:cs="宋体"/>
          <w:b/>
          <w:bCs/>
          <w:color w:val="auto"/>
          <w:kern w:val="2"/>
          <w:sz w:val="21"/>
          <w:szCs w:val="21"/>
          <w:highlight w:val="none"/>
        </w:rPr>
        <w:t>），属于</w:t>
      </w:r>
      <w:r>
        <w:rPr>
          <w:rFonts w:hint="eastAsia" w:cs="宋体"/>
          <w:b/>
          <w:bCs/>
          <w:color w:val="auto"/>
          <w:kern w:val="2"/>
          <w:sz w:val="21"/>
          <w:szCs w:val="21"/>
          <w:highlight w:val="none"/>
          <w:u w:val="single"/>
        </w:rPr>
        <w:t>（填写第三章采购需求前附表中明确的“所属行业”，如建筑业）</w:t>
      </w:r>
      <w:r>
        <w:rPr>
          <w:rFonts w:hint="eastAsia" w:cs="宋体"/>
          <w:b/>
          <w:bCs/>
          <w:color w:val="auto"/>
          <w:kern w:val="2"/>
          <w:sz w:val="21"/>
          <w:szCs w:val="21"/>
          <w:highlight w:val="none"/>
        </w:rPr>
        <w:t>行业；</w:t>
      </w:r>
      <w:r>
        <w:rPr>
          <w:rFonts w:hint="eastAsia" w:cs="宋体"/>
          <w:b/>
          <w:bCs/>
          <w:color w:val="auto"/>
          <w:kern w:val="2"/>
          <w:sz w:val="21"/>
          <w:szCs w:val="21"/>
          <w:highlight w:val="none"/>
          <w:lang w:eastAsia="zh-CN"/>
        </w:rPr>
        <w:t>承建</w:t>
      </w:r>
      <w:r>
        <w:rPr>
          <w:rFonts w:hint="eastAsia" w:cs="宋体"/>
          <w:b/>
          <w:bCs/>
          <w:color w:val="auto"/>
          <w:kern w:val="2"/>
          <w:sz w:val="21"/>
          <w:szCs w:val="21"/>
          <w:highlight w:val="none"/>
        </w:rPr>
        <w:t>企业为</w:t>
      </w:r>
      <w:r>
        <w:rPr>
          <w:rFonts w:hint="eastAsia" w:cs="宋体"/>
          <w:b/>
          <w:bCs/>
          <w:color w:val="auto"/>
          <w:kern w:val="2"/>
          <w:sz w:val="21"/>
          <w:szCs w:val="21"/>
          <w:highlight w:val="none"/>
          <w:u w:val="single"/>
          <w:lang w:val="zh-CN"/>
        </w:rPr>
        <w:t>某公司</w:t>
      </w:r>
      <w:r>
        <w:rPr>
          <w:rFonts w:hint="eastAsia" w:cs="宋体"/>
          <w:b/>
          <w:bCs/>
          <w:color w:val="auto"/>
          <w:kern w:val="2"/>
          <w:sz w:val="21"/>
          <w:szCs w:val="21"/>
          <w:highlight w:val="none"/>
        </w:rPr>
        <w:t>，</w:t>
      </w:r>
      <w:r>
        <w:rPr>
          <w:rFonts w:hint="eastAsia" w:cs="宋体"/>
          <w:b/>
          <w:bCs/>
          <w:color w:val="auto"/>
          <w:kern w:val="2"/>
          <w:sz w:val="21"/>
          <w:szCs w:val="21"/>
          <w:highlight w:val="none"/>
          <w:lang w:val="zh-CN"/>
        </w:rPr>
        <w:t>从业人员</w:t>
      </w:r>
      <w:r>
        <w:rPr>
          <w:rFonts w:hint="eastAsia" w:cs="宋体"/>
          <w:b/>
          <w:bCs/>
          <w:color w:val="auto"/>
          <w:kern w:val="2"/>
          <w:sz w:val="21"/>
          <w:szCs w:val="21"/>
          <w:highlight w:val="none"/>
          <w:u w:val="single"/>
        </w:rPr>
        <w:t>100</w:t>
      </w:r>
      <w:r>
        <w:rPr>
          <w:rFonts w:hint="eastAsia" w:cs="宋体"/>
          <w:b/>
          <w:bCs/>
          <w:color w:val="auto"/>
          <w:kern w:val="2"/>
          <w:sz w:val="21"/>
          <w:szCs w:val="21"/>
          <w:highlight w:val="none"/>
          <w:lang w:val="zh-CN"/>
        </w:rPr>
        <w:t>人</w:t>
      </w:r>
      <w:r>
        <w:rPr>
          <w:rFonts w:hint="eastAsia" w:cs="宋体"/>
          <w:b/>
          <w:bCs/>
          <w:color w:val="auto"/>
          <w:kern w:val="2"/>
          <w:sz w:val="21"/>
          <w:szCs w:val="21"/>
          <w:highlight w:val="none"/>
        </w:rPr>
        <w:t>，</w:t>
      </w:r>
      <w:r>
        <w:rPr>
          <w:rFonts w:hint="eastAsia" w:cs="宋体"/>
          <w:b/>
          <w:bCs/>
          <w:color w:val="auto"/>
          <w:kern w:val="2"/>
          <w:sz w:val="21"/>
          <w:szCs w:val="21"/>
          <w:highlight w:val="none"/>
          <w:lang w:val="zh-CN"/>
        </w:rPr>
        <w:t>营业收入为</w:t>
      </w:r>
      <w:r>
        <w:rPr>
          <w:rFonts w:hint="eastAsia" w:cs="宋体"/>
          <w:b/>
          <w:bCs/>
          <w:color w:val="auto"/>
          <w:kern w:val="2"/>
          <w:sz w:val="21"/>
          <w:szCs w:val="21"/>
          <w:highlight w:val="none"/>
          <w:u w:val="single"/>
        </w:rPr>
        <w:t>10000</w:t>
      </w:r>
      <w:r>
        <w:rPr>
          <w:rFonts w:hint="eastAsia" w:cs="宋体"/>
          <w:b/>
          <w:bCs/>
          <w:color w:val="auto"/>
          <w:kern w:val="2"/>
          <w:sz w:val="21"/>
          <w:szCs w:val="21"/>
          <w:highlight w:val="none"/>
          <w:lang w:val="zh-CN"/>
        </w:rPr>
        <w:t>万元</w:t>
      </w:r>
      <w:r>
        <w:rPr>
          <w:rFonts w:hint="eastAsia" w:cs="宋体"/>
          <w:b/>
          <w:bCs/>
          <w:color w:val="auto"/>
          <w:kern w:val="2"/>
          <w:sz w:val="21"/>
          <w:szCs w:val="21"/>
          <w:highlight w:val="none"/>
        </w:rPr>
        <w:t>，</w:t>
      </w:r>
      <w:r>
        <w:rPr>
          <w:rFonts w:hint="eastAsia" w:cs="宋体"/>
          <w:b/>
          <w:bCs/>
          <w:color w:val="auto"/>
          <w:kern w:val="2"/>
          <w:sz w:val="21"/>
          <w:szCs w:val="21"/>
          <w:highlight w:val="none"/>
          <w:lang w:val="zh-CN"/>
        </w:rPr>
        <w:t>资产总额为</w:t>
      </w:r>
      <w:r>
        <w:rPr>
          <w:rFonts w:hint="eastAsia" w:cs="宋体"/>
          <w:b/>
          <w:bCs/>
          <w:color w:val="auto"/>
          <w:kern w:val="2"/>
          <w:sz w:val="21"/>
          <w:szCs w:val="21"/>
          <w:highlight w:val="none"/>
          <w:u w:val="single"/>
        </w:rPr>
        <w:t>5000</w:t>
      </w:r>
      <w:r>
        <w:rPr>
          <w:rFonts w:hint="eastAsia" w:cs="宋体"/>
          <w:b/>
          <w:bCs/>
          <w:color w:val="auto"/>
          <w:kern w:val="2"/>
          <w:sz w:val="21"/>
          <w:szCs w:val="21"/>
          <w:highlight w:val="none"/>
          <w:lang w:val="zh-CN"/>
        </w:rPr>
        <w:t>万元</w:t>
      </w:r>
      <w:r>
        <w:rPr>
          <w:rFonts w:hint="eastAsia" w:cs="宋体"/>
          <w:b/>
          <w:bCs/>
          <w:color w:val="auto"/>
          <w:kern w:val="2"/>
          <w:sz w:val="21"/>
          <w:szCs w:val="21"/>
          <w:highlight w:val="none"/>
        </w:rPr>
        <w:t>，</w:t>
      </w:r>
      <w:r>
        <w:rPr>
          <w:rFonts w:hint="eastAsia" w:cs="宋体"/>
          <w:b/>
          <w:bCs/>
          <w:color w:val="auto"/>
          <w:kern w:val="2"/>
          <w:sz w:val="21"/>
          <w:szCs w:val="21"/>
          <w:highlight w:val="none"/>
          <w:lang w:val="zh-CN"/>
        </w:rPr>
        <w:t>属于</w:t>
      </w:r>
      <w:r>
        <w:rPr>
          <w:rFonts w:hint="eastAsia" w:cs="宋体"/>
          <w:b/>
          <w:bCs/>
          <w:color w:val="auto"/>
          <w:kern w:val="2"/>
          <w:sz w:val="21"/>
          <w:szCs w:val="21"/>
          <w:highlight w:val="none"/>
        </w:rPr>
        <w:t>中</w:t>
      </w:r>
      <w:r>
        <w:rPr>
          <w:rFonts w:hint="eastAsia" w:cs="宋体"/>
          <w:b/>
          <w:bCs/>
          <w:color w:val="auto"/>
          <w:kern w:val="2"/>
          <w:sz w:val="21"/>
          <w:szCs w:val="21"/>
          <w:highlight w:val="none"/>
          <w:u w:val="single"/>
          <w:lang w:val="zh-CN"/>
        </w:rPr>
        <w:t>型</w:t>
      </w:r>
      <w:r>
        <w:rPr>
          <w:rFonts w:hint="eastAsia" w:cs="宋体"/>
          <w:b/>
          <w:bCs/>
          <w:color w:val="auto"/>
          <w:kern w:val="2"/>
          <w:sz w:val="21"/>
          <w:szCs w:val="21"/>
          <w:highlight w:val="none"/>
          <w:lang w:val="zh-CN"/>
        </w:rPr>
        <w:t>企业</w:t>
      </w:r>
      <w:r>
        <w:rPr>
          <w:rFonts w:hint="eastAsia" w:cs="宋体"/>
          <w:b/>
          <w:bCs/>
          <w:color w:val="auto"/>
          <w:kern w:val="2"/>
          <w:sz w:val="21"/>
          <w:szCs w:val="21"/>
          <w:highlight w:val="none"/>
        </w:rPr>
        <w:t>[</w:t>
      </w:r>
      <w:r>
        <w:rPr>
          <w:rFonts w:hint="eastAsia" w:cs="宋体"/>
          <w:b/>
          <w:bCs/>
          <w:color w:val="auto"/>
          <w:kern w:val="2"/>
          <w:sz w:val="21"/>
          <w:szCs w:val="21"/>
          <w:highlight w:val="none"/>
          <w:lang w:val="en-US" w:eastAsia="zh-CN"/>
        </w:rPr>
        <w:t>供应商</w:t>
      </w:r>
      <w:r>
        <w:rPr>
          <w:rFonts w:hint="eastAsia" w:cs="宋体"/>
          <w:b/>
          <w:bCs/>
          <w:color w:val="auto"/>
          <w:kern w:val="2"/>
          <w:sz w:val="21"/>
          <w:szCs w:val="21"/>
          <w:highlight w:val="none"/>
        </w:rPr>
        <w:t>自行登录工业和信息化部官网进行中小企业规模类型自测（查询网址https://www.miit.gov.cn/）]。</w:t>
      </w:r>
    </w:p>
    <w:p w14:paraId="445EA083">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EA313D6">
      <w:pPr>
        <w:spacing w:line="360" w:lineRule="auto"/>
        <w:jc w:val="center"/>
        <w:outlineLvl w:val="1"/>
        <w:rPr>
          <w:rFonts w:asciiTheme="minorEastAsia" w:hAnsiTheme="minorEastAsia" w:eastAsiaTheme="minorEastAsia"/>
          <w:b/>
          <w:color w:val="auto"/>
          <w:sz w:val="24"/>
          <w:highlight w:val="none"/>
        </w:rPr>
      </w:pPr>
      <w:bookmarkStart w:id="686" w:name="_Toc28558"/>
      <w:bookmarkStart w:id="687" w:name="_Toc12123"/>
      <w:r>
        <w:rPr>
          <w:rFonts w:hint="eastAsia" w:asciiTheme="minorEastAsia" w:hAnsiTheme="minorEastAsia" w:eastAsiaTheme="minorEastAsia"/>
          <w:b/>
          <w:color w:val="auto"/>
          <w:sz w:val="24"/>
          <w:highlight w:val="none"/>
        </w:rPr>
        <w:t>十、残疾人福利性单位声明函</w:t>
      </w:r>
      <w:bookmarkEnd w:id="686"/>
      <w:bookmarkEnd w:id="687"/>
    </w:p>
    <w:p w14:paraId="023E64CB">
      <w:pPr>
        <w:pStyle w:val="19"/>
        <w:jc w:val="center"/>
        <w:rPr>
          <w:rFonts w:asciiTheme="minorEastAsia" w:hAnsiTheme="minorEastAsia" w:eastAsiaTheme="minorEastAsia"/>
          <w:color w:val="auto"/>
          <w:spacing w:val="6"/>
          <w:sz w:val="24"/>
          <w:szCs w:val="24"/>
          <w:highlight w:val="none"/>
        </w:rPr>
      </w:pPr>
      <w:r>
        <w:rPr>
          <w:rFonts w:hint="eastAsia" w:ascii="宋体" w:hAnsi="宋体" w:eastAsia="宋体"/>
          <w:b w:val="0"/>
          <w:i/>
          <w:color w:val="auto"/>
          <w:sz w:val="24"/>
          <w:highlight w:val="none"/>
          <w:lang w:val="en-US" w:eastAsia="zh-CN"/>
        </w:rPr>
        <w:t>（非残疾人福利性单位谈判，请删去“残疾人福利性单位声明函”）</w:t>
      </w:r>
    </w:p>
    <w:p w14:paraId="77742057">
      <w:pPr>
        <w:spacing w:line="360" w:lineRule="auto"/>
        <w:rPr>
          <w:rFonts w:cs="Times New Roman"/>
          <w:color w:val="auto"/>
          <w:spacing w:val="6"/>
          <w:kern w:val="2"/>
          <w:sz w:val="24"/>
          <w:szCs w:val="24"/>
          <w:highlight w:val="none"/>
        </w:rPr>
      </w:pPr>
    </w:p>
    <w:p w14:paraId="6BA9FBA6">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0247E70D">
      <w:pPr>
        <w:spacing w:line="360" w:lineRule="auto"/>
        <w:ind w:firstLine="435"/>
        <w:rPr>
          <w:rFonts w:cs="Times New Roman"/>
          <w:color w:val="auto"/>
          <w:spacing w:val="6"/>
          <w:kern w:val="2"/>
          <w:sz w:val="24"/>
          <w:szCs w:val="24"/>
          <w:highlight w:val="none"/>
        </w:rPr>
      </w:pPr>
      <w:r>
        <w:rPr>
          <w:rFonts w:hint="eastAsia" w:cs="Times New Roman"/>
          <w:color w:val="auto"/>
          <w:spacing w:val="6"/>
          <w:kern w:val="2"/>
          <w:sz w:val="24"/>
          <w:szCs w:val="24"/>
          <w:highlight w:val="none"/>
        </w:rPr>
        <w:t>本单位对上述声明的真实性负责。如有虚假，将依法承担相应责任。</w:t>
      </w:r>
    </w:p>
    <w:p w14:paraId="4B3824FC">
      <w:pPr>
        <w:spacing w:line="360" w:lineRule="auto"/>
        <w:ind w:firstLine="4228" w:firstLineChars="1762"/>
        <w:rPr>
          <w:rFonts w:cs="Times New Roman"/>
          <w:color w:val="auto"/>
          <w:kern w:val="2"/>
          <w:sz w:val="24"/>
          <w:szCs w:val="24"/>
          <w:highlight w:val="none"/>
        </w:rPr>
      </w:pPr>
    </w:p>
    <w:p w14:paraId="67C1E17C">
      <w:pPr>
        <w:spacing w:line="360" w:lineRule="auto"/>
        <w:ind w:firstLine="4228" w:firstLineChars="1762"/>
        <w:rPr>
          <w:rFonts w:cs="Times New Roman"/>
          <w:color w:val="auto"/>
          <w:kern w:val="2"/>
          <w:sz w:val="24"/>
          <w:szCs w:val="24"/>
          <w:highlight w:val="none"/>
        </w:rPr>
      </w:pPr>
    </w:p>
    <w:p w14:paraId="1DFDCD0C">
      <w:pPr>
        <w:spacing w:line="360" w:lineRule="auto"/>
        <w:ind w:firstLine="4228" w:firstLineChars="1762"/>
        <w:rPr>
          <w:rFonts w:cs="Times New Roman"/>
          <w:color w:val="auto"/>
          <w:kern w:val="2"/>
          <w:sz w:val="24"/>
          <w:szCs w:val="24"/>
          <w:highlight w:val="none"/>
          <w:u w:val="single"/>
        </w:rPr>
      </w:pPr>
      <w:r>
        <w:rPr>
          <w:rFonts w:hint="eastAsia" w:cs="Times New Roman"/>
          <w:color w:val="auto"/>
          <w:kern w:val="2"/>
          <w:sz w:val="24"/>
          <w:szCs w:val="24"/>
          <w:highlight w:val="none"/>
        </w:rPr>
        <w:t>供应商</w:t>
      </w:r>
      <w:r>
        <w:rPr>
          <w:rFonts w:cs="Times New Roman"/>
          <w:color w:val="auto"/>
          <w:kern w:val="2"/>
          <w:sz w:val="24"/>
          <w:szCs w:val="24"/>
          <w:highlight w:val="none"/>
        </w:rPr>
        <w:t>电子签章</w:t>
      </w:r>
      <w:r>
        <w:rPr>
          <w:rFonts w:hint="eastAsia" w:cs="Times New Roman"/>
          <w:color w:val="auto"/>
          <w:kern w:val="2"/>
          <w:sz w:val="24"/>
          <w:szCs w:val="24"/>
          <w:highlight w:val="none"/>
        </w:rPr>
        <w:t>：</w:t>
      </w:r>
      <w:r>
        <w:rPr>
          <w:rFonts w:cs="Times New Roman"/>
          <w:color w:val="auto"/>
          <w:kern w:val="2"/>
          <w:sz w:val="24"/>
          <w:szCs w:val="24"/>
          <w:highlight w:val="none"/>
          <w:u w:val="single"/>
        </w:rPr>
        <w:t xml:space="preserve">             </w:t>
      </w:r>
    </w:p>
    <w:p w14:paraId="470B8807">
      <w:pPr>
        <w:tabs>
          <w:tab w:val="left" w:pos="4620"/>
        </w:tabs>
        <w:spacing w:line="360" w:lineRule="auto"/>
        <w:ind w:firstLine="4252" w:firstLineChars="1772"/>
        <w:rPr>
          <w:rFonts w:cs="Times New Roman"/>
          <w:color w:val="auto"/>
          <w:kern w:val="2"/>
          <w:sz w:val="24"/>
          <w:szCs w:val="24"/>
          <w:highlight w:val="none"/>
          <w:u w:val="single"/>
        </w:rPr>
      </w:pPr>
      <w:r>
        <w:rPr>
          <w:rFonts w:hint="eastAsia" w:cs="Times New Roman"/>
          <w:color w:val="auto"/>
          <w:kern w:val="2"/>
          <w:sz w:val="24"/>
          <w:szCs w:val="24"/>
          <w:highlight w:val="none"/>
        </w:rPr>
        <w:t>日</w:t>
      </w:r>
      <w:r>
        <w:rPr>
          <w:rFonts w:cs="Times New Roman"/>
          <w:color w:val="auto"/>
          <w:kern w:val="2"/>
          <w:sz w:val="24"/>
          <w:szCs w:val="24"/>
          <w:highlight w:val="none"/>
        </w:rPr>
        <w:t xml:space="preserve">      </w:t>
      </w:r>
      <w:r>
        <w:rPr>
          <w:rFonts w:hint="eastAsia" w:cs="Times New Roman"/>
          <w:color w:val="auto"/>
          <w:kern w:val="2"/>
          <w:sz w:val="24"/>
          <w:szCs w:val="24"/>
          <w:highlight w:val="none"/>
        </w:rPr>
        <w:t xml:space="preserve">    期：</w:t>
      </w:r>
      <w:r>
        <w:rPr>
          <w:rFonts w:cs="Times New Roman"/>
          <w:color w:val="auto"/>
          <w:kern w:val="2"/>
          <w:sz w:val="24"/>
          <w:szCs w:val="24"/>
          <w:highlight w:val="none"/>
          <w:u w:val="single"/>
        </w:rPr>
        <w:t xml:space="preserve">             </w:t>
      </w:r>
    </w:p>
    <w:p w14:paraId="51D1C03B">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0AFA094">
      <w:pPr>
        <w:spacing w:line="360" w:lineRule="auto"/>
        <w:jc w:val="center"/>
        <w:outlineLvl w:val="1"/>
        <w:rPr>
          <w:rFonts w:asciiTheme="minorEastAsia" w:hAnsiTheme="minorEastAsia" w:eastAsiaTheme="minorEastAsia"/>
          <w:b/>
          <w:color w:val="auto"/>
          <w:sz w:val="24"/>
          <w:highlight w:val="none"/>
        </w:rPr>
      </w:pPr>
      <w:bookmarkStart w:id="688" w:name="_Toc16830"/>
      <w:bookmarkStart w:id="689" w:name="_Toc15906"/>
      <w:bookmarkStart w:id="690" w:name="_Hlk44283088"/>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、诚信履约承诺函</w:t>
      </w:r>
      <w:bookmarkEnd w:id="688"/>
      <w:bookmarkEnd w:id="689"/>
    </w:p>
    <w:p w14:paraId="23EFF63B">
      <w:pPr>
        <w:spacing w:line="360" w:lineRule="auto"/>
        <w:rPr>
          <w:rFonts w:cs="@仿宋_GB2312" w:asciiTheme="minorEastAsia" w:hAnsiTheme="minorEastAsia" w:eastAsiaTheme="minorEastAsia"/>
          <w:b/>
          <w:bCs/>
          <w:color w:val="auto"/>
          <w:kern w:val="2"/>
          <w:sz w:val="24"/>
          <w:highlight w:val="none"/>
        </w:rPr>
      </w:pPr>
    </w:p>
    <w:p w14:paraId="1357876D">
      <w:pPr>
        <w:spacing w:line="360" w:lineRule="auto"/>
        <w:rPr>
          <w:rFonts w:hint="eastAsia" w:cs="@仿宋_GB2312" w:asciiTheme="minorEastAsia" w:hAnsiTheme="minorEastAsia" w:eastAsiaTheme="minorEastAsia"/>
          <w:b/>
          <w:bCs/>
          <w:color w:val="auto"/>
          <w:kern w:val="2"/>
          <w:sz w:val="24"/>
          <w:highlight w:val="none"/>
          <w:u w:val="single"/>
          <w:lang w:eastAsia="zh-CN"/>
        </w:rPr>
      </w:pPr>
      <w:r>
        <w:rPr>
          <w:rFonts w:hint="eastAsia" w:cs="@仿宋_GB2312" w:asciiTheme="minorEastAsia" w:hAnsiTheme="minorEastAsia" w:eastAsiaTheme="minorEastAsia"/>
          <w:b/>
          <w:bCs/>
          <w:color w:val="auto"/>
          <w:kern w:val="2"/>
          <w:sz w:val="24"/>
          <w:highlight w:val="none"/>
        </w:rPr>
        <w:t>致：</w:t>
      </w:r>
      <w:r>
        <w:rPr>
          <w:rFonts w:hint="eastAsia" w:cs="@仿宋_GB2312" w:asciiTheme="minorEastAsia" w:hAnsiTheme="minorEastAsia" w:eastAsiaTheme="minorEastAsia"/>
          <w:b/>
          <w:bCs/>
          <w:color w:val="auto"/>
          <w:kern w:val="2"/>
          <w:sz w:val="24"/>
          <w:highlight w:val="none"/>
          <w:u w:val="none"/>
          <w:lang w:eastAsia="zh-CN"/>
        </w:rPr>
        <w:t>采购人</w:t>
      </w:r>
    </w:p>
    <w:p w14:paraId="6C757408">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572FD715">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（1）中标或者成交后无正当理由拒不与采购人签订政府采购合同；</w:t>
      </w:r>
    </w:p>
    <w:p w14:paraId="528B2013">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（2）未按照采购文件确定的事项签订政府采购合同；</w:t>
      </w:r>
    </w:p>
    <w:p w14:paraId="5FFD9BAD">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（3）将政府采购合同转包；</w:t>
      </w:r>
    </w:p>
    <w:p w14:paraId="7D6BB837">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（4）提供假冒伪劣产品；</w:t>
      </w:r>
    </w:p>
    <w:p w14:paraId="7B7386CC">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（5）擅自变更、中止或者终止政府采购合同。</w:t>
      </w:r>
    </w:p>
    <w:p w14:paraId="745F59E4">
      <w:pPr>
        <w:spacing w:line="360" w:lineRule="auto"/>
        <w:ind w:firstLine="480" w:firstLineChars="200"/>
        <w:rPr>
          <w:rFonts w:cs="@仿宋_GB2312" w:asciiTheme="minorEastAsia" w:hAnsiTheme="minorEastAsia" w:eastAsiaTheme="minorEastAsia"/>
          <w:bCs/>
          <w:color w:val="auto"/>
          <w:kern w:val="2"/>
          <w:sz w:val="24"/>
          <w:highlight w:val="none"/>
        </w:rPr>
      </w:pPr>
      <w:r>
        <w:rPr>
          <w:rFonts w:hint="eastAsia" w:cs="@仿宋_GB2312" w:asciiTheme="minorEastAsia" w:hAnsiTheme="minorEastAsia" w:eastAsiaTheme="minorEastAsia"/>
          <w:bCs/>
          <w:color w:val="auto"/>
          <w:kern w:val="2"/>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88482A0">
      <w:pPr>
        <w:spacing w:line="360" w:lineRule="auto"/>
        <w:rPr>
          <w:rFonts w:cs="@仿宋_GB2312" w:asciiTheme="minorEastAsia" w:hAnsiTheme="minorEastAsia" w:eastAsiaTheme="minorEastAsia"/>
          <w:bCs/>
          <w:color w:val="auto"/>
          <w:kern w:val="2"/>
          <w:sz w:val="24"/>
          <w:highlight w:val="none"/>
        </w:rPr>
      </w:pPr>
    </w:p>
    <w:p w14:paraId="092A6FD8">
      <w:pPr>
        <w:spacing w:line="360" w:lineRule="auto"/>
        <w:rPr>
          <w:rFonts w:cs="@仿宋_GB2312" w:asciiTheme="minorEastAsia" w:hAnsiTheme="minorEastAsia" w:eastAsiaTheme="minorEastAsia"/>
          <w:bCs/>
          <w:color w:val="auto"/>
          <w:kern w:val="2"/>
          <w:sz w:val="24"/>
          <w:highlight w:val="none"/>
        </w:rPr>
      </w:pPr>
    </w:p>
    <w:p w14:paraId="5A63C991">
      <w:pPr>
        <w:spacing w:line="360" w:lineRule="auto"/>
        <w:ind w:firstLine="4320" w:firstLineChars="1800"/>
        <w:rPr>
          <w:rFonts w:cs="@仿宋_GB2312" w:asciiTheme="minorEastAsia" w:hAnsiTheme="minorEastAsia" w:eastAsiaTheme="minorEastAsia"/>
          <w:bCs/>
          <w:color w:val="auto"/>
          <w:kern w:val="2"/>
          <w:sz w:val="24"/>
          <w:highlight w:val="none"/>
          <w:u w:val="single"/>
        </w:rPr>
      </w:pPr>
      <w:r>
        <w:rPr>
          <w:rFonts w:hint="eastAsia" w:cs="@仿宋_GB2312" w:asciiTheme="minorEastAsia" w:hAnsiTheme="minorEastAsia" w:eastAsiaTheme="minorEastAsia"/>
          <w:bCs/>
          <w:color w:val="auto"/>
          <w:kern w:val="2"/>
          <w:sz w:val="24"/>
          <w:highlight w:val="none"/>
        </w:rPr>
        <w:t>供应商电子签章：</w:t>
      </w:r>
      <w:r>
        <w:rPr>
          <w:rFonts w:hint="eastAsia" w:cs="@仿宋_GB2312" w:asciiTheme="minorEastAsia" w:hAnsiTheme="minorEastAsia" w:eastAsiaTheme="minorEastAsia"/>
          <w:bCs/>
          <w:color w:val="auto"/>
          <w:kern w:val="2"/>
          <w:sz w:val="24"/>
          <w:highlight w:val="none"/>
          <w:u w:val="single"/>
        </w:rPr>
        <w:t xml:space="preserve">     </w:t>
      </w:r>
      <w:r>
        <w:rPr>
          <w:rFonts w:cs="@仿宋_GB2312" w:asciiTheme="minorEastAsia" w:hAnsiTheme="minorEastAsia" w:eastAsiaTheme="minorEastAsia"/>
          <w:bCs/>
          <w:color w:val="auto"/>
          <w:kern w:val="2"/>
          <w:sz w:val="24"/>
          <w:highlight w:val="none"/>
          <w:u w:val="single"/>
        </w:rPr>
        <w:t xml:space="preserve">    </w:t>
      </w:r>
      <w:r>
        <w:rPr>
          <w:rFonts w:hint="eastAsia" w:cs="@仿宋_GB2312" w:asciiTheme="minorEastAsia" w:hAnsiTheme="minorEastAsia" w:eastAsiaTheme="minorEastAsia"/>
          <w:bCs/>
          <w:color w:val="auto"/>
          <w:kern w:val="2"/>
          <w:sz w:val="24"/>
          <w:highlight w:val="none"/>
          <w:u w:val="single"/>
        </w:rPr>
        <w:t xml:space="preserve">    </w:t>
      </w:r>
    </w:p>
    <w:p w14:paraId="07D750ED">
      <w:pPr>
        <w:spacing w:line="360" w:lineRule="auto"/>
        <w:ind w:firstLine="4320" w:firstLineChars="1800"/>
        <w:rPr>
          <w:rFonts w:asciiTheme="minorEastAsia" w:hAnsiTheme="minorEastAsia" w:eastAsiaTheme="minorEastAsia"/>
          <w:b/>
          <w:color w:val="auto"/>
          <w:sz w:val="24"/>
          <w:highlight w:val="none"/>
        </w:rPr>
      </w:pPr>
      <w:r>
        <w:rPr>
          <w:rFonts w:hint="eastAsia" w:cs="@仿宋_GB2312" w:asciiTheme="minorEastAsia" w:hAnsiTheme="minorEastAsia" w:eastAsiaTheme="minorEastAsia"/>
          <w:bCs/>
          <w:color w:val="auto"/>
          <w:kern w:val="2"/>
          <w:sz w:val="24"/>
          <w:highlight w:val="none"/>
        </w:rPr>
        <w:t>日          期：</w:t>
      </w:r>
      <w:r>
        <w:rPr>
          <w:rFonts w:hint="eastAsia" w:cs="@仿宋_GB2312" w:asciiTheme="minorEastAsia" w:hAnsiTheme="minorEastAsia" w:eastAsiaTheme="minorEastAsia"/>
          <w:bCs/>
          <w:color w:val="auto"/>
          <w:kern w:val="2"/>
          <w:sz w:val="24"/>
          <w:highlight w:val="none"/>
          <w:u w:val="single"/>
        </w:rPr>
        <w:t xml:space="preserve">             </w:t>
      </w:r>
    </w:p>
    <w:p w14:paraId="41704021">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bookmarkEnd w:id="690"/>
    <w:p w14:paraId="1E958B06">
      <w:pPr>
        <w:spacing w:line="360" w:lineRule="auto"/>
        <w:jc w:val="center"/>
        <w:outlineLvl w:val="1"/>
        <w:rPr>
          <w:rFonts w:asciiTheme="minorEastAsia" w:hAnsiTheme="minorEastAsia" w:eastAsiaTheme="minorEastAsia"/>
          <w:b/>
          <w:color w:val="auto"/>
          <w:sz w:val="24"/>
          <w:highlight w:val="none"/>
        </w:rPr>
      </w:pPr>
      <w:bookmarkStart w:id="691" w:name="_Toc13419"/>
      <w:bookmarkStart w:id="692" w:name="_Toc6061"/>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二</w:t>
      </w:r>
      <w:r>
        <w:rPr>
          <w:rFonts w:hint="eastAsia" w:asciiTheme="minorEastAsia" w:hAnsiTheme="minorEastAsia" w:eastAsiaTheme="minorEastAsia"/>
          <w:b/>
          <w:color w:val="auto"/>
          <w:sz w:val="24"/>
          <w:highlight w:val="none"/>
        </w:rPr>
        <w:t>、其他相关证明材料</w:t>
      </w:r>
      <w:bookmarkEnd w:id="691"/>
      <w:bookmarkEnd w:id="692"/>
    </w:p>
    <w:p w14:paraId="42C3EE1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邀请、采购需求及评标方法和标准规定的相关证明文件。</w:t>
      </w:r>
    </w:p>
    <w:p w14:paraId="7084964D">
      <w:pPr>
        <w:spacing w:line="360" w:lineRule="auto"/>
        <w:ind w:firstLine="480" w:firstLineChars="200"/>
        <w:rPr>
          <w:rFonts w:asciiTheme="minorEastAsia" w:hAnsiTheme="minorEastAsia" w:eastAsiaTheme="minorEastAsia"/>
          <w:color w:val="auto"/>
          <w:sz w:val="24"/>
          <w:highlight w:val="none"/>
        </w:rPr>
      </w:pPr>
    </w:p>
    <w:p w14:paraId="0ED8E42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5D783A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w:t>
      </w:r>
      <w:r>
        <w:rPr>
          <w:rFonts w:asciiTheme="minorEastAsia" w:hAnsiTheme="minorEastAsia" w:eastAsiaTheme="minorEastAsia"/>
          <w:color w:val="auto"/>
          <w:sz w:val="24"/>
          <w:highlight w:val="none"/>
        </w:rPr>
        <w:t>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634B4F34">
      <w:pPr>
        <w:pStyle w:val="50"/>
        <w:spacing w:before="0" w:beforeAutospacing="0" w:after="0" w:afterAutospacing="0" w:line="360" w:lineRule="auto"/>
        <w:ind w:firstLine="640"/>
        <w:jc w:val="both"/>
        <w:rPr>
          <w:color w:val="auto"/>
          <w:highlight w:val="none"/>
        </w:rPr>
      </w:pPr>
      <w:r>
        <w:rPr>
          <w:rFonts w:asciiTheme="minorEastAsia" w:hAnsiTheme="minorEastAsia" w:eastAsiaTheme="minorEastAsia"/>
          <w:color w:val="auto"/>
          <w:sz w:val="24"/>
          <w:highlight w:val="none"/>
        </w:rPr>
        <w:br w:type="page"/>
      </w:r>
    </w:p>
    <w:p w14:paraId="664DB770">
      <w:pPr>
        <w:widowControl/>
        <w:jc w:val="left"/>
        <w:rPr>
          <w:bCs/>
          <w:color w:val="auto"/>
          <w:sz w:val="24"/>
          <w:highlight w:val="none"/>
        </w:rPr>
      </w:pPr>
    </w:p>
    <w:p w14:paraId="7B3F8F9D">
      <w:pPr>
        <w:spacing w:line="360" w:lineRule="auto"/>
        <w:jc w:val="center"/>
        <w:outlineLvl w:val="0"/>
        <w:rPr>
          <w:b/>
          <w:bCs/>
          <w:color w:val="auto"/>
          <w:sz w:val="28"/>
          <w:highlight w:val="none"/>
        </w:rPr>
      </w:pPr>
      <w:bookmarkStart w:id="693" w:name="_Toc921"/>
      <w:bookmarkStart w:id="694" w:name="_Toc25478"/>
      <w:r>
        <w:rPr>
          <w:rFonts w:hint="eastAsia"/>
          <w:b/>
          <w:bCs/>
          <w:color w:val="auto"/>
          <w:sz w:val="28"/>
          <w:highlight w:val="none"/>
        </w:rPr>
        <w:t>第</w:t>
      </w:r>
      <w:r>
        <w:rPr>
          <w:rFonts w:hint="eastAsia"/>
          <w:b/>
          <w:bCs/>
          <w:color w:val="auto"/>
          <w:sz w:val="28"/>
          <w:highlight w:val="none"/>
          <w:lang w:val="en-US" w:eastAsia="zh-CN"/>
        </w:rPr>
        <w:t>七</w:t>
      </w:r>
      <w:r>
        <w:rPr>
          <w:rFonts w:hint="eastAsia"/>
          <w:b/>
          <w:bCs/>
          <w:color w:val="auto"/>
          <w:sz w:val="28"/>
          <w:highlight w:val="none"/>
        </w:rPr>
        <w:t>章  政府采购</w:t>
      </w:r>
      <w:r>
        <w:rPr>
          <w:rFonts w:hint="eastAsia" w:asciiTheme="minorEastAsia" w:hAnsiTheme="minorEastAsia" w:eastAsiaTheme="minorEastAsia"/>
          <w:b/>
          <w:color w:val="auto"/>
          <w:sz w:val="28"/>
          <w:highlight w:val="none"/>
        </w:rPr>
        <w:t>供应</w:t>
      </w:r>
      <w:r>
        <w:rPr>
          <w:rFonts w:hint="eastAsia"/>
          <w:b/>
          <w:bCs/>
          <w:color w:val="auto"/>
          <w:sz w:val="28"/>
          <w:highlight w:val="none"/>
        </w:rPr>
        <w:t>商询问函和质疑函范本</w:t>
      </w:r>
      <w:bookmarkEnd w:id="693"/>
      <w:bookmarkEnd w:id="694"/>
    </w:p>
    <w:p w14:paraId="064B6906">
      <w:pPr>
        <w:spacing w:line="360" w:lineRule="auto"/>
        <w:jc w:val="center"/>
        <w:outlineLvl w:val="1"/>
        <w:rPr>
          <w:rFonts w:ascii="仿宋" w:hAnsi="仿宋" w:eastAsia="仿宋" w:cs="仿宋"/>
          <w:b/>
          <w:bCs/>
          <w:color w:val="auto"/>
          <w:sz w:val="32"/>
          <w:szCs w:val="44"/>
          <w:highlight w:val="none"/>
        </w:rPr>
      </w:pPr>
      <w:bookmarkStart w:id="695" w:name="_Toc30776"/>
      <w:bookmarkStart w:id="696" w:name="_Toc7450"/>
      <w:r>
        <w:rPr>
          <w:rFonts w:hint="eastAsia" w:ascii="仿宋" w:hAnsi="仿宋" w:eastAsia="仿宋" w:cs="仿宋"/>
          <w:b/>
          <w:bCs/>
          <w:color w:val="auto"/>
          <w:sz w:val="32"/>
          <w:szCs w:val="44"/>
          <w:highlight w:val="none"/>
        </w:rPr>
        <w:t>询问函范本</w:t>
      </w:r>
      <w:bookmarkEnd w:id="695"/>
      <w:bookmarkEnd w:id="696"/>
    </w:p>
    <w:p w14:paraId="763A7628">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0C73ABE1">
      <w:pPr>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lang w:val="en-US" w:eastAsia="zh-CN"/>
        </w:rPr>
        <w:t>致：</w:t>
      </w:r>
      <w:r>
        <w:rPr>
          <w:rFonts w:hint="eastAsia" w:cs="仿宋" w:asciiTheme="minorEastAsia" w:hAnsiTheme="minorEastAsia" w:eastAsiaTheme="minorEastAsia"/>
          <w:color w:val="auto"/>
          <w:sz w:val="24"/>
          <w:szCs w:val="24"/>
          <w:highlight w:val="none"/>
          <w:lang w:eastAsia="zh-CN"/>
        </w:rPr>
        <w:t>采购人</w:t>
      </w:r>
    </w:p>
    <w:p w14:paraId="2664FA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137D769">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697" w:name="_Toc13620"/>
      <w:r>
        <w:rPr>
          <w:rFonts w:hint="eastAsia" w:cs="仿宋" w:asciiTheme="minorEastAsia" w:hAnsiTheme="minorEastAsia" w:eastAsiaTheme="minorEastAsia"/>
          <w:color w:val="auto"/>
          <w:sz w:val="24"/>
          <w:szCs w:val="24"/>
          <w:highlight w:val="none"/>
        </w:rPr>
        <w:t>一、(事项一)</w:t>
      </w:r>
      <w:bookmarkEnd w:id="697"/>
    </w:p>
    <w:p w14:paraId="666DE06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5B563B3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868CCD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7B5A353">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698" w:name="_Toc14277"/>
      <w:r>
        <w:rPr>
          <w:rFonts w:hint="eastAsia" w:cs="仿宋" w:asciiTheme="minorEastAsia" w:hAnsiTheme="minorEastAsia" w:eastAsiaTheme="minorEastAsia"/>
          <w:color w:val="auto"/>
          <w:sz w:val="24"/>
          <w:szCs w:val="24"/>
          <w:highlight w:val="none"/>
        </w:rPr>
        <w:t>二、(事项二)</w:t>
      </w:r>
      <w:bookmarkEnd w:id="698"/>
    </w:p>
    <w:p w14:paraId="41E1C47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EECD9C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06C58BA7">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3D1B41C1">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6F231AE6">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61798EDB">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138DF1C">
      <w:pPr>
        <w:jc w:val="center"/>
        <w:outlineLvl w:val="1"/>
        <w:rPr>
          <w:rFonts w:ascii="仿宋" w:hAnsi="仿宋" w:eastAsia="仿宋" w:cs="仿宋"/>
          <w:b/>
          <w:bCs/>
          <w:color w:val="auto"/>
          <w:sz w:val="32"/>
          <w:szCs w:val="44"/>
          <w:highlight w:val="none"/>
        </w:rPr>
      </w:pPr>
      <w:bookmarkStart w:id="699" w:name="_Toc16939"/>
      <w:bookmarkStart w:id="700" w:name="_Toc28125"/>
      <w:r>
        <w:rPr>
          <w:rFonts w:hint="eastAsia" w:ascii="仿宋" w:hAnsi="仿宋" w:eastAsia="仿宋" w:cs="仿宋"/>
          <w:b/>
          <w:bCs/>
          <w:color w:val="auto"/>
          <w:sz w:val="32"/>
          <w:szCs w:val="44"/>
          <w:highlight w:val="none"/>
        </w:rPr>
        <w:t>质疑函范本</w:t>
      </w:r>
      <w:bookmarkEnd w:id="699"/>
      <w:bookmarkEnd w:id="700"/>
    </w:p>
    <w:p w14:paraId="4634E69A">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701" w:name="_Toc21660"/>
      <w:r>
        <w:rPr>
          <w:rFonts w:hint="eastAsia" w:cs="仿宋" w:asciiTheme="minorEastAsia" w:hAnsiTheme="minorEastAsia" w:eastAsiaTheme="minorEastAsia"/>
          <w:b/>
          <w:bCs/>
          <w:color w:val="auto"/>
          <w:sz w:val="24"/>
          <w:szCs w:val="24"/>
          <w:highlight w:val="none"/>
        </w:rPr>
        <w:t>一、质疑供应商基本信息</w:t>
      </w:r>
      <w:bookmarkEnd w:id="701"/>
    </w:p>
    <w:p w14:paraId="60F9070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5143088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58FCFD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D2776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57D0FC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7BCBD0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F23C61F">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702" w:name="_Toc4238"/>
      <w:r>
        <w:rPr>
          <w:rFonts w:hint="eastAsia" w:cs="仿宋" w:asciiTheme="minorEastAsia" w:hAnsiTheme="minorEastAsia" w:eastAsiaTheme="minorEastAsia"/>
          <w:b/>
          <w:bCs/>
          <w:color w:val="auto"/>
          <w:sz w:val="24"/>
          <w:szCs w:val="24"/>
          <w:highlight w:val="none"/>
        </w:rPr>
        <w:t>二、质疑项目基本情况</w:t>
      </w:r>
      <w:bookmarkEnd w:id="702"/>
    </w:p>
    <w:p w14:paraId="546B5D8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1BAA1A2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2C9EBA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52D5C6A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3960DAD4">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703" w:name="_Toc10846"/>
      <w:r>
        <w:rPr>
          <w:rFonts w:hint="eastAsia" w:cs="仿宋" w:asciiTheme="minorEastAsia" w:hAnsiTheme="minorEastAsia" w:eastAsiaTheme="minorEastAsia"/>
          <w:b/>
          <w:bCs/>
          <w:color w:val="auto"/>
          <w:sz w:val="24"/>
          <w:szCs w:val="24"/>
          <w:highlight w:val="none"/>
        </w:rPr>
        <w:t>三、质疑事项具体内容</w:t>
      </w:r>
      <w:bookmarkEnd w:id="703"/>
    </w:p>
    <w:p w14:paraId="6D105BA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21FDB11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09220B9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500E6D6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C994694">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21AA1FA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5098D5E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E8CD5F5">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704" w:name="_Toc15784"/>
      <w:r>
        <w:rPr>
          <w:rFonts w:hint="eastAsia" w:cs="仿宋" w:asciiTheme="minorEastAsia" w:hAnsiTheme="minorEastAsia" w:eastAsiaTheme="minorEastAsia"/>
          <w:b/>
          <w:bCs/>
          <w:color w:val="auto"/>
          <w:sz w:val="24"/>
          <w:szCs w:val="24"/>
          <w:highlight w:val="none"/>
        </w:rPr>
        <w:t>四、与质疑事项相关的质疑请求</w:t>
      </w:r>
      <w:bookmarkEnd w:id="704"/>
    </w:p>
    <w:p w14:paraId="47D5F86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E32E9F0">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0F6A8A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F803E4C">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302808F">
      <w:pPr>
        <w:outlineLvl w:val="0"/>
        <w:rPr>
          <w:rFonts w:asciiTheme="minorEastAsia" w:hAnsiTheme="minorEastAsia" w:eastAsiaTheme="minorEastAsia"/>
          <w:b/>
          <w:color w:val="auto"/>
          <w:sz w:val="28"/>
          <w:szCs w:val="32"/>
          <w:highlight w:val="none"/>
        </w:rPr>
      </w:pPr>
      <w:bookmarkStart w:id="705" w:name="_Toc17542"/>
      <w:bookmarkStart w:id="706" w:name="_Toc23661"/>
      <w:r>
        <w:rPr>
          <w:rFonts w:hint="eastAsia" w:asciiTheme="minorEastAsia" w:hAnsiTheme="minorEastAsia" w:eastAsiaTheme="minorEastAsia"/>
          <w:b/>
          <w:color w:val="auto"/>
          <w:sz w:val="28"/>
          <w:szCs w:val="32"/>
          <w:highlight w:val="none"/>
        </w:rPr>
        <w:t>质疑函制作说明：</w:t>
      </w:r>
      <w:bookmarkEnd w:id="705"/>
      <w:bookmarkEnd w:id="706"/>
    </w:p>
    <w:p w14:paraId="38E718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6862A9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D648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C7D2F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33CD84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79E86A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创艺简黑体">
    <w:altName w:val="黑体"/>
    <w:panose1 w:val="00000000000000000000"/>
    <w:charset w:val="7A"/>
    <w:family w:val="auto"/>
    <w:pitch w:val="default"/>
    <w:sig w:usb0="00000000" w:usb1="00000000" w:usb2="00000010" w:usb3="00000000" w:csb0="0004000A"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F7078">
    <w:pPr>
      <w:pStyle w:val="3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F0C63">
    <w:pPr>
      <w:pStyle w:val="33"/>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BCB99">
                          <w:pPr>
                            <w:pStyle w:val="33"/>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EBCB99">
                    <w:pPr>
                      <w:pStyle w:val="33"/>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D036C">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9EB34C">
                          <w:pPr>
                            <w:pStyle w:val="33"/>
                          </w:pPr>
                          <w:r>
                            <w:t xml:space="preserve">第 </w:t>
                          </w:r>
                          <w:r>
                            <w:fldChar w:fldCharType="begin"/>
                          </w:r>
                          <w:r>
                            <w:instrText xml:space="preserve"> PAGE  \* MERGEFORMAT </w:instrText>
                          </w:r>
                          <w:r>
                            <w:fldChar w:fldCharType="separate"/>
                          </w:r>
                          <w:r>
                            <w:t>90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D9EB34C">
                    <w:pPr>
                      <w:pStyle w:val="33"/>
                    </w:pPr>
                    <w:r>
                      <w:t xml:space="preserve">第 </w:t>
                    </w:r>
                    <w:r>
                      <w:fldChar w:fldCharType="begin"/>
                    </w:r>
                    <w:r>
                      <w:instrText xml:space="preserve"> PAGE  \* MERGEFORMAT </w:instrText>
                    </w:r>
                    <w:r>
                      <w:fldChar w:fldCharType="separate"/>
                    </w:r>
                    <w:r>
                      <w:t>90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4CBA1">
    <w:pPr>
      <w:pStyle w:val="34"/>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A9243">
    <w:pPr>
      <w:pStyle w:val="34"/>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CA1B2">
    <w:pPr>
      <w:pStyle w:val="34"/>
      <w:pBdr>
        <w:bottom w:val="none" w:color="auto" w:sz="0" w:space="1"/>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BF563F"/>
    <w:multiLevelType w:val="singleLevel"/>
    <w:tmpl w:val="97BF563F"/>
    <w:lvl w:ilvl="0" w:tentative="0">
      <w:start w:val="1"/>
      <w:numFmt w:val="decimal"/>
      <w:suff w:val="nothing"/>
      <w:lvlText w:val="（%1）"/>
      <w:lvlJc w:val="left"/>
    </w:lvl>
  </w:abstractNum>
  <w:abstractNum w:abstractNumId="1">
    <w:nsid w:val="D59201F4"/>
    <w:multiLevelType w:val="singleLevel"/>
    <w:tmpl w:val="D59201F4"/>
    <w:lvl w:ilvl="0" w:tentative="0">
      <w:start w:val="1"/>
      <w:numFmt w:val="decimal"/>
      <w:lvlText w:val="%1"/>
      <w:lvlJc w:val="left"/>
      <w:pPr>
        <w:tabs>
          <w:tab w:val="left" w:pos="420"/>
        </w:tabs>
        <w:ind w:left="425" w:hanging="425"/>
      </w:pPr>
      <w:rPr>
        <w:rFonts w:hint="default"/>
      </w:rPr>
    </w:lvl>
  </w:abstractNum>
  <w:abstractNum w:abstractNumId="2">
    <w:nsid w:val="506C173F"/>
    <w:multiLevelType w:val="singleLevel"/>
    <w:tmpl w:val="506C173F"/>
    <w:lvl w:ilvl="0" w:tentative="0">
      <w:start w:val="2"/>
      <w:numFmt w:val="chineseCounting"/>
      <w:suff w:val="nothing"/>
      <w:lvlText w:val="%1、"/>
      <w:lvlJc w:val="left"/>
      <w:rPr>
        <w:rFonts w:hint="eastAsia"/>
      </w:rPr>
    </w:lvl>
  </w:abstractNum>
  <w:abstractNum w:abstractNumId="3">
    <w:nsid w:val="7F7E5238"/>
    <w:multiLevelType w:val="multilevel"/>
    <w:tmpl w:val="7F7E5238"/>
    <w:lvl w:ilvl="0" w:tentative="0">
      <w:start w:val="1"/>
      <w:numFmt w:val="none"/>
      <w:pStyle w:val="177"/>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17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79"/>
      <w:lvlText w:val="           "/>
      <w:lvlJc w:val="left"/>
      <w:pPr>
        <w:tabs>
          <w:tab w:val="left" w:pos="1440"/>
        </w:tabs>
        <w:ind w:left="1152" w:hanging="1152"/>
      </w:pPr>
      <w:rPr>
        <w:rFonts w:hint="eastAsia"/>
      </w:rPr>
    </w:lvl>
    <w:lvl w:ilvl="6" w:tentative="0">
      <w:start w:val="1"/>
      <w:numFmt w:val="decimal"/>
      <w:pStyle w:val="181"/>
      <w:lvlText w:val="%1.%2.%3.%4.%5.%6.%7"/>
      <w:lvlJc w:val="left"/>
      <w:pPr>
        <w:tabs>
          <w:tab w:val="left" w:pos="2520"/>
        </w:tabs>
        <w:ind w:left="1296" w:hanging="1296"/>
      </w:pPr>
      <w:rPr>
        <w:rFonts w:hint="eastAsia"/>
      </w:rPr>
    </w:lvl>
    <w:lvl w:ilvl="7" w:tentative="0">
      <w:start w:val="1"/>
      <w:numFmt w:val="decimal"/>
      <w:pStyle w:val="183"/>
      <w:lvlText w:val="%1.%2.%3.%4.%5.%6.%7.%8"/>
      <w:lvlJc w:val="left"/>
      <w:pPr>
        <w:tabs>
          <w:tab w:val="left" w:pos="1440"/>
        </w:tabs>
        <w:ind w:left="1440" w:hanging="1440"/>
      </w:pPr>
      <w:rPr>
        <w:rFonts w:hint="eastAsia"/>
      </w:rPr>
    </w:lvl>
    <w:lvl w:ilvl="8" w:tentative="0">
      <w:start w:val="1"/>
      <w:numFmt w:val="decimal"/>
      <w:pStyle w:val="185"/>
      <w:lvlText w:val="%1.%2.%3.%4.%5.%6.%7.%8.%9"/>
      <w:lvlJc w:val="left"/>
      <w:pPr>
        <w:tabs>
          <w:tab w:val="left" w:pos="1584"/>
        </w:tabs>
        <w:ind w:left="1584" w:hanging="1584"/>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7F9"/>
    <w:rsid w:val="000049DA"/>
    <w:rsid w:val="000056B7"/>
    <w:rsid w:val="00005914"/>
    <w:rsid w:val="00007D87"/>
    <w:rsid w:val="000131F7"/>
    <w:rsid w:val="00014039"/>
    <w:rsid w:val="00016B6C"/>
    <w:rsid w:val="00020B57"/>
    <w:rsid w:val="00020B6D"/>
    <w:rsid w:val="00022976"/>
    <w:rsid w:val="000323E2"/>
    <w:rsid w:val="00040C25"/>
    <w:rsid w:val="00042139"/>
    <w:rsid w:val="00042B14"/>
    <w:rsid w:val="00044F49"/>
    <w:rsid w:val="000450C3"/>
    <w:rsid w:val="0005061B"/>
    <w:rsid w:val="00050A3F"/>
    <w:rsid w:val="00054AA3"/>
    <w:rsid w:val="00056ECB"/>
    <w:rsid w:val="00057B40"/>
    <w:rsid w:val="000648D2"/>
    <w:rsid w:val="00066AD7"/>
    <w:rsid w:val="00070E0E"/>
    <w:rsid w:val="0007146E"/>
    <w:rsid w:val="0007385B"/>
    <w:rsid w:val="00076DB7"/>
    <w:rsid w:val="00080FEB"/>
    <w:rsid w:val="00084047"/>
    <w:rsid w:val="00094D41"/>
    <w:rsid w:val="00097CB9"/>
    <w:rsid w:val="000A0161"/>
    <w:rsid w:val="000A10A9"/>
    <w:rsid w:val="000A2DA0"/>
    <w:rsid w:val="000A6693"/>
    <w:rsid w:val="000A7403"/>
    <w:rsid w:val="000A7970"/>
    <w:rsid w:val="000A7D94"/>
    <w:rsid w:val="000B1511"/>
    <w:rsid w:val="000B6249"/>
    <w:rsid w:val="000B6562"/>
    <w:rsid w:val="000C1068"/>
    <w:rsid w:val="000C1DB1"/>
    <w:rsid w:val="000D3F37"/>
    <w:rsid w:val="000E3C74"/>
    <w:rsid w:val="000E3F9B"/>
    <w:rsid w:val="000E478E"/>
    <w:rsid w:val="000E6689"/>
    <w:rsid w:val="000E69B9"/>
    <w:rsid w:val="000F0EBF"/>
    <w:rsid w:val="000F172B"/>
    <w:rsid w:val="000F2198"/>
    <w:rsid w:val="000F39B6"/>
    <w:rsid w:val="000F3A94"/>
    <w:rsid w:val="000F6B7B"/>
    <w:rsid w:val="000F6F95"/>
    <w:rsid w:val="0010021F"/>
    <w:rsid w:val="00100B0F"/>
    <w:rsid w:val="00101448"/>
    <w:rsid w:val="0010187C"/>
    <w:rsid w:val="0010219C"/>
    <w:rsid w:val="001037E3"/>
    <w:rsid w:val="00107022"/>
    <w:rsid w:val="0011660B"/>
    <w:rsid w:val="0012143A"/>
    <w:rsid w:val="0012203E"/>
    <w:rsid w:val="001258BA"/>
    <w:rsid w:val="0012753E"/>
    <w:rsid w:val="00130601"/>
    <w:rsid w:val="00130690"/>
    <w:rsid w:val="00130CD3"/>
    <w:rsid w:val="00132F4D"/>
    <w:rsid w:val="00133EA0"/>
    <w:rsid w:val="00140687"/>
    <w:rsid w:val="0014543C"/>
    <w:rsid w:val="00146421"/>
    <w:rsid w:val="00153B20"/>
    <w:rsid w:val="00155F64"/>
    <w:rsid w:val="001571EE"/>
    <w:rsid w:val="00157856"/>
    <w:rsid w:val="00157B7B"/>
    <w:rsid w:val="00160729"/>
    <w:rsid w:val="0016455F"/>
    <w:rsid w:val="00165398"/>
    <w:rsid w:val="00166794"/>
    <w:rsid w:val="00166ED8"/>
    <w:rsid w:val="001714C9"/>
    <w:rsid w:val="00171515"/>
    <w:rsid w:val="00172073"/>
    <w:rsid w:val="001721FA"/>
    <w:rsid w:val="00172B93"/>
    <w:rsid w:val="0018119B"/>
    <w:rsid w:val="001844AB"/>
    <w:rsid w:val="001853C7"/>
    <w:rsid w:val="00192879"/>
    <w:rsid w:val="001944B8"/>
    <w:rsid w:val="00196DA3"/>
    <w:rsid w:val="001971E5"/>
    <w:rsid w:val="001974FD"/>
    <w:rsid w:val="001A0C0F"/>
    <w:rsid w:val="001A68E5"/>
    <w:rsid w:val="001B25BE"/>
    <w:rsid w:val="001B2A54"/>
    <w:rsid w:val="001B2BA4"/>
    <w:rsid w:val="001B5014"/>
    <w:rsid w:val="001B7327"/>
    <w:rsid w:val="001C1E34"/>
    <w:rsid w:val="001D22EA"/>
    <w:rsid w:val="001D503E"/>
    <w:rsid w:val="001D53B4"/>
    <w:rsid w:val="001E1835"/>
    <w:rsid w:val="001E6BA1"/>
    <w:rsid w:val="001F28D2"/>
    <w:rsid w:val="001F2F45"/>
    <w:rsid w:val="001F3023"/>
    <w:rsid w:val="001F35F6"/>
    <w:rsid w:val="001F4AAF"/>
    <w:rsid w:val="001F74CA"/>
    <w:rsid w:val="001F7590"/>
    <w:rsid w:val="002003B6"/>
    <w:rsid w:val="0020244A"/>
    <w:rsid w:val="002049B4"/>
    <w:rsid w:val="0020520B"/>
    <w:rsid w:val="002076AD"/>
    <w:rsid w:val="00213C55"/>
    <w:rsid w:val="0021401C"/>
    <w:rsid w:val="00216DA5"/>
    <w:rsid w:val="00223CF4"/>
    <w:rsid w:val="00224B69"/>
    <w:rsid w:val="00224C4A"/>
    <w:rsid w:val="00231187"/>
    <w:rsid w:val="002329EB"/>
    <w:rsid w:val="0023407E"/>
    <w:rsid w:val="00240B40"/>
    <w:rsid w:val="00244182"/>
    <w:rsid w:val="002544A1"/>
    <w:rsid w:val="00257ECE"/>
    <w:rsid w:val="00260382"/>
    <w:rsid w:val="00260B94"/>
    <w:rsid w:val="0026247F"/>
    <w:rsid w:val="00264F2E"/>
    <w:rsid w:val="00271245"/>
    <w:rsid w:val="00272B17"/>
    <w:rsid w:val="00273F66"/>
    <w:rsid w:val="00274A9E"/>
    <w:rsid w:val="00276BA1"/>
    <w:rsid w:val="00280984"/>
    <w:rsid w:val="002832CF"/>
    <w:rsid w:val="002835E3"/>
    <w:rsid w:val="00284542"/>
    <w:rsid w:val="002856FD"/>
    <w:rsid w:val="002A0EE7"/>
    <w:rsid w:val="002A14D1"/>
    <w:rsid w:val="002A1A1D"/>
    <w:rsid w:val="002A28AD"/>
    <w:rsid w:val="002B04FD"/>
    <w:rsid w:val="002B5318"/>
    <w:rsid w:val="002B6D27"/>
    <w:rsid w:val="002B7A09"/>
    <w:rsid w:val="002C00C4"/>
    <w:rsid w:val="002C060C"/>
    <w:rsid w:val="002C078A"/>
    <w:rsid w:val="002D05DD"/>
    <w:rsid w:val="002D0E4D"/>
    <w:rsid w:val="002D2965"/>
    <w:rsid w:val="002D3D02"/>
    <w:rsid w:val="002D4CB5"/>
    <w:rsid w:val="002D5900"/>
    <w:rsid w:val="002D684B"/>
    <w:rsid w:val="002E003E"/>
    <w:rsid w:val="002E2142"/>
    <w:rsid w:val="002E2D3A"/>
    <w:rsid w:val="002E3B26"/>
    <w:rsid w:val="002E4AB8"/>
    <w:rsid w:val="002E7FC4"/>
    <w:rsid w:val="00310070"/>
    <w:rsid w:val="0031081B"/>
    <w:rsid w:val="003110EC"/>
    <w:rsid w:val="00314289"/>
    <w:rsid w:val="003206A6"/>
    <w:rsid w:val="0032560D"/>
    <w:rsid w:val="00327C92"/>
    <w:rsid w:val="00333292"/>
    <w:rsid w:val="003344E7"/>
    <w:rsid w:val="0033580B"/>
    <w:rsid w:val="003365E7"/>
    <w:rsid w:val="003378D5"/>
    <w:rsid w:val="003473D7"/>
    <w:rsid w:val="00351AC8"/>
    <w:rsid w:val="00353075"/>
    <w:rsid w:val="00363E02"/>
    <w:rsid w:val="00363F8C"/>
    <w:rsid w:val="00370201"/>
    <w:rsid w:val="00373A37"/>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A5521"/>
    <w:rsid w:val="003B25A5"/>
    <w:rsid w:val="003B4130"/>
    <w:rsid w:val="003B715B"/>
    <w:rsid w:val="003C2C62"/>
    <w:rsid w:val="003C5566"/>
    <w:rsid w:val="003C577A"/>
    <w:rsid w:val="003C7E43"/>
    <w:rsid w:val="003D1D14"/>
    <w:rsid w:val="003D6C7C"/>
    <w:rsid w:val="003D6EFB"/>
    <w:rsid w:val="003D7E52"/>
    <w:rsid w:val="003E10B9"/>
    <w:rsid w:val="003E259A"/>
    <w:rsid w:val="003E25C6"/>
    <w:rsid w:val="003E46E1"/>
    <w:rsid w:val="003F7528"/>
    <w:rsid w:val="004011AA"/>
    <w:rsid w:val="0040202C"/>
    <w:rsid w:val="00404A8F"/>
    <w:rsid w:val="00406508"/>
    <w:rsid w:val="004110F6"/>
    <w:rsid w:val="00412755"/>
    <w:rsid w:val="0041456E"/>
    <w:rsid w:val="004148E3"/>
    <w:rsid w:val="00414F7E"/>
    <w:rsid w:val="004164F8"/>
    <w:rsid w:val="00421164"/>
    <w:rsid w:val="00426F05"/>
    <w:rsid w:val="004328E1"/>
    <w:rsid w:val="004427B7"/>
    <w:rsid w:val="0044349F"/>
    <w:rsid w:val="00443AB7"/>
    <w:rsid w:val="0044541D"/>
    <w:rsid w:val="00445F1F"/>
    <w:rsid w:val="00447862"/>
    <w:rsid w:val="00451F60"/>
    <w:rsid w:val="00452BB2"/>
    <w:rsid w:val="00456054"/>
    <w:rsid w:val="0045656D"/>
    <w:rsid w:val="00462D98"/>
    <w:rsid w:val="00463E7D"/>
    <w:rsid w:val="00472498"/>
    <w:rsid w:val="00472A44"/>
    <w:rsid w:val="00473A89"/>
    <w:rsid w:val="00475899"/>
    <w:rsid w:val="00482C78"/>
    <w:rsid w:val="00483ABC"/>
    <w:rsid w:val="0048634A"/>
    <w:rsid w:val="004874AE"/>
    <w:rsid w:val="0049056F"/>
    <w:rsid w:val="0049106C"/>
    <w:rsid w:val="004916E7"/>
    <w:rsid w:val="00491FF7"/>
    <w:rsid w:val="00492217"/>
    <w:rsid w:val="00494D24"/>
    <w:rsid w:val="004951D1"/>
    <w:rsid w:val="004960BB"/>
    <w:rsid w:val="004A1BA3"/>
    <w:rsid w:val="004A27D0"/>
    <w:rsid w:val="004A4D67"/>
    <w:rsid w:val="004B7E79"/>
    <w:rsid w:val="004C13CB"/>
    <w:rsid w:val="004C5B90"/>
    <w:rsid w:val="004D37D7"/>
    <w:rsid w:val="004D3D4B"/>
    <w:rsid w:val="004D4557"/>
    <w:rsid w:val="004D5498"/>
    <w:rsid w:val="004D66A5"/>
    <w:rsid w:val="004D6B00"/>
    <w:rsid w:val="004E1D50"/>
    <w:rsid w:val="004E3266"/>
    <w:rsid w:val="004E38BA"/>
    <w:rsid w:val="004E3EB6"/>
    <w:rsid w:val="004E50CA"/>
    <w:rsid w:val="004F27A0"/>
    <w:rsid w:val="0050027D"/>
    <w:rsid w:val="00501382"/>
    <w:rsid w:val="00502831"/>
    <w:rsid w:val="005048FB"/>
    <w:rsid w:val="00510798"/>
    <w:rsid w:val="005119B5"/>
    <w:rsid w:val="005125F1"/>
    <w:rsid w:val="005150CC"/>
    <w:rsid w:val="00524A11"/>
    <w:rsid w:val="00527768"/>
    <w:rsid w:val="00530EA4"/>
    <w:rsid w:val="005327FB"/>
    <w:rsid w:val="00533251"/>
    <w:rsid w:val="00533FCA"/>
    <w:rsid w:val="005346EF"/>
    <w:rsid w:val="005369F1"/>
    <w:rsid w:val="005470D4"/>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3C39"/>
    <w:rsid w:val="005B7D08"/>
    <w:rsid w:val="005C1D52"/>
    <w:rsid w:val="005D0200"/>
    <w:rsid w:val="005D44EF"/>
    <w:rsid w:val="005D5112"/>
    <w:rsid w:val="005D5D67"/>
    <w:rsid w:val="005F34CC"/>
    <w:rsid w:val="005F3914"/>
    <w:rsid w:val="005F3B5A"/>
    <w:rsid w:val="005F6AB4"/>
    <w:rsid w:val="00604549"/>
    <w:rsid w:val="0060572E"/>
    <w:rsid w:val="00606EBA"/>
    <w:rsid w:val="00607471"/>
    <w:rsid w:val="00610A66"/>
    <w:rsid w:val="006119B8"/>
    <w:rsid w:val="00613177"/>
    <w:rsid w:val="00613F7C"/>
    <w:rsid w:val="00614BF2"/>
    <w:rsid w:val="0061557C"/>
    <w:rsid w:val="00623DE2"/>
    <w:rsid w:val="00627601"/>
    <w:rsid w:val="006300D0"/>
    <w:rsid w:val="00632012"/>
    <w:rsid w:val="00634694"/>
    <w:rsid w:val="00634D55"/>
    <w:rsid w:val="00636517"/>
    <w:rsid w:val="00636EE7"/>
    <w:rsid w:val="00637690"/>
    <w:rsid w:val="00637ED5"/>
    <w:rsid w:val="00640E1E"/>
    <w:rsid w:val="00641BA3"/>
    <w:rsid w:val="0064389A"/>
    <w:rsid w:val="00645442"/>
    <w:rsid w:val="006525CD"/>
    <w:rsid w:val="00653F7F"/>
    <w:rsid w:val="006572DE"/>
    <w:rsid w:val="00662DCD"/>
    <w:rsid w:val="00662EE8"/>
    <w:rsid w:val="00663813"/>
    <w:rsid w:val="00664AFD"/>
    <w:rsid w:val="006665DC"/>
    <w:rsid w:val="00667567"/>
    <w:rsid w:val="0067391A"/>
    <w:rsid w:val="00674173"/>
    <w:rsid w:val="0067534F"/>
    <w:rsid w:val="00676A33"/>
    <w:rsid w:val="0067717E"/>
    <w:rsid w:val="00677D87"/>
    <w:rsid w:val="00690DB1"/>
    <w:rsid w:val="00693404"/>
    <w:rsid w:val="006953D9"/>
    <w:rsid w:val="006A1269"/>
    <w:rsid w:val="006A5803"/>
    <w:rsid w:val="006A65F3"/>
    <w:rsid w:val="006A69C3"/>
    <w:rsid w:val="006A7C15"/>
    <w:rsid w:val="006B1242"/>
    <w:rsid w:val="006B1DBC"/>
    <w:rsid w:val="006B1F84"/>
    <w:rsid w:val="006B3712"/>
    <w:rsid w:val="006B7D9A"/>
    <w:rsid w:val="006C06D9"/>
    <w:rsid w:val="006C3E22"/>
    <w:rsid w:val="006C5716"/>
    <w:rsid w:val="006C64B2"/>
    <w:rsid w:val="006C74A9"/>
    <w:rsid w:val="006D07DE"/>
    <w:rsid w:val="006D361A"/>
    <w:rsid w:val="006D4550"/>
    <w:rsid w:val="006D5B6D"/>
    <w:rsid w:val="006D6A81"/>
    <w:rsid w:val="006D7213"/>
    <w:rsid w:val="006E06D9"/>
    <w:rsid w:val="006E1D40"/>
    <w:rsid w:val="006E2E1F"/>
    <w:rsid w:val="006E5059"/>
    <w:rsid w:val="006F4C5B"/>
    <w:rsid w:val="006F5F03"/>
    <w:rsid w:val="006F5FFF"/>
    <w:rsid w:val="006F7F4C"/>
    <w:rsid w:val="00701431"/>
    <w:rsid w:val="00710804"/>
    <w:rsid w:val="00711FC6"/>
    <w:rsid w:val="00712952"/>
    <w:rsid w:val="007130B1"/>
    <w:rsid w:val="00713487"/>
    <w:rsid w:val="00715071"/>
    <w:rsid w:val="007231E9"/>
    <w:rsid w:val="00723731"/>
    <w:rsid w:val="00724F0E"/>
    <w:rsid w:val="007270A6"/>
    <w:rsid w:val="00727C59"/>
    <w:rsid w:val="007328C6"/>
    <w:rsid w:val="00733730"/>
    <w:rsid w:val="00734E5D"/>
    <w:rsid w:val="0073514E"/>
    <w:rsid w:val="00736013"/>
    <w:rsid w:val="00737BF8"/>
    <w:rsid w:val="0074339B"/>
    <w:rsid w:val="00750B60"/>
    <w:rsid w:val="00756245"/>
    <w:rsid w:val="00761662"/>
    <w:rsid w:val="00764043"/>
    <w:rsid w:val="00766A36"/>
    <w:rsid w:val="007757CF"/>
    <w:rsid w:val="007769F6"/>
    <w:rsid w:val="00780F9D"/>
    <w:rsid w:val="0078128F"/>
    <w:rsid w:val="007819D9"/>
    <w:rsid w:val="0078642F"/>
    <w:rsid w:val="0078683C"/>
    <w:rsid w:val="00790EDB"/>
    <w:rsid w:val="00791538"/>
    <w:rsid w:val="0079326E"/>
    <w:rsid w:val="00796E1C"/>
    <w:rsid w:val="00796EDE"/>
    <w:rsid w:val="007A5A58"/>
    <w:rsid w:val="007B1C56"/>
    <w:rsid w:val="007B29AB"/>
    <w:rsid w:val="007C1DD7"/>
    <w:rsid w:val="007C35D3"/>
    <w:rsid w:val="007C3CD5"/>
    <w:rsid w:val="007C4756"/>
    <w:rsid w:val="007C5E88"/>
    <w:rsid w:val="007C61EF"/>
    <w:rsid w:val="007D03DE"/>
    <w:rsid w:val="007D1C0D"/>
    <w:rsid w:val="007D2D23"/>
    <w:rsid w:val="007D6A53"/>
    <w:rsid w:val="007E27D6"/>
    <w:rsid w:val="007E2B06"/>
    <w:rsid w:val="007E3921"/>
    <w:rsid w:val="00801028"/>
    <w:rsid w:val="00803793"/>
    <w:rsid w:val="00804000"/>
    <w:rsid w:val="00805254"/>
    <w:rsid w:val="008101A2"/>
    <w:rsid w:val="00817A01"/>
    <w:rsid w:val="00820937"/>
    <w:rsid w:val="00825E35"/>
    <w:rsid w:val="00830A4E"/>
    <w:rsid w:val="008334F8"/>
    <w:rsid w:val="00834249"/>
    <w:rsid w:val="00835FFD"/>
    <w:rsid w:val="0084381F"/>
    <w:rsid w:val="00843E35"/>
    <w:rsid w:val="008455A8"/>
    <w:rsid w:val="00845F72"/>
    <w:rsid w:val="0084791E"/>
    <w:rsid w:val="00850A91"/>
    <w:rsid w:val="008524CE"/>
    <w:rsid w:val="00857633"/>
    <w:rsid w:val="00862EAF"/>
    <w:rsid w:val="00863491"/>
    <w:rsid w:val="0086440C"/>
    <w:rsid w:val="008674ED"/>
    <w:rsid w:val="00874EE6"/>
    <w:rsid w:val="00876659"/>
    <w:rsid w:val="0087734C"/>
    <w:rsid w:val="00882141"/>
    <w:rsid w:val="00886BD4"/>
    <w:rsid w:val="00886CA2"/>
    <w:rsid w:val="008876EC"/>
    <w:rsid w:val="008922A8"/>
    <w:rsid w:val="00895BD5"/>
    <w:rsid w:val="008A16C4"/>
    <w:rsid w:val="008A4A27"/>
    <w:rsid w:val="008A649F"/>
    <w:rsid w:val="008A6FED"/>
    <w:rsid w:val="008B0945"/>
    <w:rsid w:val="008B39C5"/>
    <w:rsid w:val="008B51AA"/>
    <w:rsid w:val="008C67F2"/>
    <w:rsid w:val="008C7E63"/>
    <w:rsid w:val="008D064A"/>
    <w:rsid w:val="008D2537"/>
    <w:rsid w:val="008D2B0F"/>
    <w:rsid w:val="008D633C"/>
    <w:rsid w:val="008D76DA"/>
    <w:rsid w:val="008D7DB2"/>
    <w:rsid w:val="008E449E"/>
    <w:rsid w:val="008E4BDD"/>
    <w:rsid w:val="008E770C"/>
    <w:rsid w:val="008F00F4"/>
    <w:rsid w:val="008F187F"/>
    <w:rsid w:val="008F402F"/>
    <w:rsid w:val="008F76E8"/>
    <w:rsid w:val="00904508"/>
    <w:rsid w:val="009078A1"/>
    <w:rsid w:val="00911E9C"/>
    <w:rsid w:val="0091345E"/>
    <w:rsid w:val="00917405"/>
    <w:rsid w:val="00920F7C"/>
    <w:rsid w:val="00922718"/>
    <w:rsid w:val="00924743"/>
    <w:rsid w:val="00932A87"/>
    <w:rsid w:val="00932F92"/>
    <w:rsid w:val="00934CAE"/>
    <w:rsid w:val="0093560E"/>
    <w:rsid w:val="0094257D"/>
    <w:rsid w:val="009443B6"/>
    <w:rsid w:val="00946F68"/>
    <w:rsid w:val="0095467C"/>
    <w:rsid w:val="00954A61"/>
    <w:rsid w:val="00955C6F"/>
    <w:rsid w:val="00956789"/>
    <w:rsid w:val="00966C7B"/>
    <w:rsid w:val="009679A2"/>
    <w:rsid w:val="009701DC"/>
    <w:rsid w:val="009715D8"/>
    <w:rsid w:val="009811A8"/>
    <w:rsid w:val="00985C4F"/>
    <w:rsid w:val="00986E3C"/>
    <w:rsid w:val="00991460"/>
    <w:rsid w:val="009932CF"/>
    <w:rsid w:val="009941BF"/>
    <w:rsid w:val="00995BF9"/>
    <w:rsid w:val="009975CC"/>
    <w:rsid w:val="009A0CAF"/>
    <w:rsid w:val="009A2207"/>
    <w:rsid w:val="009B0EDA"/>
    <w:rsid w:val="009B6C42"/>
    <w:rsid w:val="009C3F38"/>
    <w:rsid w:val="009D2998"/>
    <w:rsid w:val="009D31F7"/>
    <w:rsid w:val="009D32C2"/>
    <w:rsid w:val="009D50DB"/>
    <w:rsid w:val="009E2932"/>
    <w:rsid w:val="009E2DFA"/>
    <w:rsid w:val="009E3A0A"/>
    <w:rsid w:val="009F1936"/>
    <w:rsid w:val="009F3E91"/>
    <w:rsid w:val="009F4E0E"/>
    <w:rsid w:val="00A008DA"/>
    <w:rsid w:val="00A00C93"/>
    <w:rsid w:val="00A0571E"/>
    <w:rsid w:val="00A1397D"/>
    <w:rsid w:val="00A13A27"/>
    <w:rsid w:val="00A1499B"/>
    <w:rsid w:val="00A170D8"/>
    <w:rsid w:val="00A26BC5"/>
    <w:rsid w:val="00A27D73"/>
    <w:rsid w:val="00A30A1B"/>
    <w:rsid w:val="00A314C2"/>
    <w:rsid w:val="00A40B71"/>
    <w:rsid w:val="00A501BF"/>
    <w:rsid w:val="00A519A0"/>
    <w:rsid w:val="00A6249F"/>
    <w:rsid w:val="00A62A2E"/>
    <w:rsid w:val="00A63E86"/>
    <w:rsid w:val="00A75185"/>
    <w:rsid w:val="00A754A0"/>
    <w:rsid w:val="00A757C3"/>
    <w:rsid w:val="00A75E5B"/>
    <w:rsid w:val="00A75F4B"/>
    <w:rsid w:val="00A7684A"/>
    <w:rsid w:val="00A77B8B"/>
    <w:rsid w:val="00A80C58"/>
    <w:rsid w:val="00A83B69"/>
    <w:rsid w:val="00A86533"/>
    <w:rsid w:val="00A91CA2"/>
    <w:rsid w:val="00A9220A"/>
    <w:rsid w:val="00A92FB8"/>
    <w:rsid w:val="00A948F1"/>
    <w:rsid w:val="00AA0BE3"/>
    <w:rsid w:val="00AA18F9"/>
    <w:rsid w:val="00AA1D7D"/>
    <w:rsid w:val="00AA2790"/>
    <w:rsid w:val="00AA3806"/>
    <w:rsid w:val="00AB139D"/>
    <w:rsid w:val="00AB2A35"/>
    <w:rsid w:val="00AB2D05"/>
    <w:rsid w:val="00AB348D"/>
    <w:rsid w:val="00AB3EFB"/>
    <w:rsid w:val="00AC0B05"/>
    <w:rsid w:val="00AC1962"/>
    <w:rsid w:val="00AC7F9D"/>
    <w:rsid w:val="00AD079A"/>
    <w:rsid w:val="00AD1890"/>
    <w:rsid w:val="00AD6588"/>
    <w:rsid w:val="00AD7CCB"/>
    <w:rsid w:val="00AE2149"/>
    <w:rsid w:val="00AE2BF3"/>
    <w:rsid w:val="00AE33AE"/>
    <w:rsid w:val="00AE3F91"/>
    <w:rsid w:val="00AF5B63"/>
    <w:rsid w:val="00B0053D"/>
    <w:rsid w:val="00B039E3"/>
    <w:rsid w:val="00B06D36"/>
    <w:rsid w:val="00B12BC4"/>
    <w:rsid w:val="00B22838"/>
    <w:rsid w:val="00B30C9B"/>
    <w:rsid w:val="00B33E8F"/>
    <w:rsid w:val="00B33E95"/>
    <w:rsid w:val="00B3720B"/>
    <w:rsid w:val="00B372DF"/>
    <w:rsid w:val="00B420C8"/>
    <w:rsid w:val="00B45D0B"/>
    <w:rsid w:val="00B5558A"/>
    <w:rsid w:val="00B56513"/>
    <w:rsid w:val="00B5736B"/>
    <w:rsid w:val="00B576F1"/>
    <w:rsid w:val="00B6167E"/>
    <w:rsid w:val="00B61B64"/>
    <w:rsid w:val="00B64376"/>
    <w:rsid w:val="00B6570C"/>
    <w:rsid w:val="00B7401F"/>
    <w:rsid w:val="00B748E5"/>
    <w:rsid w:val="00B769CF"/>
    <w:rsid w:val="00B806C3"/>
    <w:rsid w:val="00B80D6F"/>
    <w:rsid w:val="00B84FCA"/>
    <w:rsid w:val="00B9089F"/>
    <w:rsid w:val="00B9127B"/>
    <w:rsid w:val="00B91826"/>
    <w:rsid w:val="00B91AEE"/>
    <w:rsid w:val="00B93568"/>
    <w:rsid w:val="00B95F5A"/>
    <w:rsid w:val="00B96EAD"/>
    <w:rsid w:val="00BA4B7C"/>
    <w:rsid w:val="00BA79F5"/>
    <w:rsid w:val="00BA7EA7"/>
    <w:rsid w:val="00BB30B2"/>
    <w:rsid w:val="00BB3AB6"/>
    <w:rsid w:val="00BB766D"/>
    <w:rsid w:val="00BC007B"/>
    <w:rsid w:val="00BC26BA"/>
    <w:rsid w:val="00BC35F8"/>
    <w:rsid w:val="00BC403F"/>
    <w:rsid w:val="00BC481B"/>
    <w:rsid w:val="00BD08DF"/>
    <w:rsid w:val="00BD2D29"/>
    <w:rsid w:val="00BD617C"/>
    <w:rsid w:val="00BE5974"/>
    <w:rsid w:val="00BE746B"/>
    <w:rsid w:val="00BE782C"/>
    <w:rsid w:val="00BF17B4"/>
    <w:rsid w:val="00BF376F"/>
    <w:rsid w:val="00BF426A"/>
    <w:rsid w:val="00BF46A6"/>
    <w:rsid w:val="00BF572F"/>
    <w:rsid w:val="00BF6CAD"/>
    <w:rsid w:val="00BF71FB"/>
    <w:rsid w:val="00C04DBF"/>
    <w:rsid w:val="00C05C07"/>
    <w:rsid w:val="00C05E4C"/>
    <w:rsid w:val="00C06545"/>
    <w:rsid w:val="00C11D8C"/>
    <w:rsid w:val="00C134AF"/>
    <w:rsid w:val="00C13A88"/>
    <w:rsid w:val="00C220FC"/>
    <w:rsid w:val="00C24DFA"/>
    <w:rsid w:val="00C24F9D"/>
    <w:rsid w:val="00C2521C"/>
    <w:rsid w:val="00C30182"/>
    <w:rsid w:val="00C31FC9"/>
    <w:rsid w:val="00C37581"/>
    <w:rsid w:val="00C37A63"/>
    <w:rsid w:val="00C42248"/>
    <w:rsid w:val="00C46A36"/>
    <w:rsid w:val="00C47037"/>
    <w:rsid w:val="00C509E3"/>
    <w:rsid w:val="00C53625"/>
    <w:rsid w:val="00C548BA"/>
    <w:rsid w:val="00C5679D"/>
    <w:rsid w:val="00C57784"/>
    <w:rsid w:val="00C602C1"/>
    <w:rsid w:val="00C63FC0"/>
    <w:rsid w:val="00C66392"/>
    <w:rsid w:val="00C71B9E"/>
    <w:rsid w:val="00C73D09"/>
    <w:rsid w:val="00C74C5E"/>
    <w:rsid w:val="00C768B0"/>
    <w:rsid w:val="00C82558"/>
    <w:rsid w:val="00C827A2"/>
    <w:rsid w:val="00C82965"/>
    <w:rsid w:val="00C82B69"/>
    <w:rsid w:val="00C82C8E"/>
    <w:rsid w:val="00C82CB3"/>
    <w:rsid w:val="00C91B28"/>
    <w:rsid w:val="00C91F3A"/>
    <w:rsid w:val="00C92E1A"/>
    <w:rsid w:val="00C93590"/>
    <w:rsid w:val="00CA4C7F"/>
    <w:rsid w:val="00CA5446"/>
    <w:rsid w:val="00CB123D"/>
    <w:rsid w:val="00CB14E5"/>
    <w:rsid w:val="00CB218D"/>
    <w:rsid w:val="00CB377B"/>
    <w:rsid w:val="00CB5625"/>
    <w:rsid w:val="00CB5797"/>
    <w:rsid w:val="00CC1400"/>
    <w:rsid w:val="00CC1C17"/>
    <w:rsid w:val="00CC4F7F"/>
    <w:rsid w:val="00CD09E1"/>
    <w:rsid w:val="00CE1780"/>
    <w:rsid w:val="00CE4913"/>
    <w:rsid w:val="00CE66BD"/>
    <w:rsid w:val="00CF0671"/>
    <w:rsid w:val="00CF247A"/>
    <w:rsid w:val="00CF44AD"/>
    <w:rsid w:val="00CF4D7C"/>
    <w:rsid w:val="00CF4FC0"/>
    <w:rsid w:val="00CF7486"/>
    <w:rsid w:val="00D1072F"/>
    <w:rsid w:val="00D108A5"/>
    <w:rsid w:val="00D12CF8"/>
    <w:rsid w:val="00D14585"/>
    <w:rsid w:val="00D153C8"/>
    <w:rsid w:val="00D169F2"/>
    <w:rsid w:val="00D20EFF"/>
    <w:rsid w:val="00D236BB"/>
    <w:rsid w:val="00D3019D"/>
    <w:rsid w:val="00D31324"/>
    <w:rsid w:val="00D4386E"/>
    <w:rsid w:val="00D51432"/>
    <w:rsid w:val="00D53ED8"/>
    <w:rsid w:val="00D541A0"/>
    <w:rsid w:val="00D54BB8"/>
    <w:rsid w:val="00D5697F"/>
    <w:rsid w:val="00D64857"/>
    <w:rsid w:val="00D6493A"/>
    <w:rsid w:val="00D649A5"/>
    <w:rsid w:val="00D660EA"/>
    <w:rsid w:val="00D66833"/>
    <w:rsid w:val="00D67875"/>
    <w:rsid w:val="00D71E86"/>
    <w:rsid w:val="00D72F0F"/>
    <w:rsid w:val="00D731C6"/>
    <w:rsid w:val="00D745C5"/>
    <w:rsid w:val="00D75327"/>
    <w:rsid w:val="00D77D6B"/>
    <w:rsid w:val="00D801FE"/>
    <w:rsid w:val="00D80C36"/>
    <w:rsid w:val="00D81A32"/>
    <w:rsid w:val="00D86EE1"/>
    <w:rsid w:val="00D90F82"/>
    <w:rsid w:val="00D945DC"/>
    <w:rsid w:val="00D95E90"/>
    <w:rsid w:val="00D96126"/>
    <w:rsid w:val="00DA2FD5"/>
    <w:rsid w:val="00DB0C86"/>
    <w:rsid w:val="00DB4B1C"/>
    <w:rsid w:val="00DB5085"/>
    <w:rsid w:val="00DB619F"/>
    <w:rsid w:val="00DB7211"/>
    <w:rsid w:val="00DC1062"/>
    <w:rsid w:val="00DC132C"/>
    <w:rsid w:val="00DC181A"/>
    <w:rsid w:val="00DC5727"/>
    <w:rsid w:val="00DD149F"/>
    <w:rsid w:val="00DD43F0"/>
    <w:rsid w:val="00DD44DE"/>
    <w:rsid w:val="00DE09AB"/>
    <w:rsid w:val="00DE352F"/>
    <w:rsid w:val="00DE4A3F"/>
    <w:rsid w:val="00DE5A99"/>
    <w:rsid w:val="00DF4367"/>
    <w:rsid w:val="00DF7291"/>
    <w:rsid w:val="00E03FF0"/>
    <w:rsid w:val="00E0574A"/>
    <w:rsid w:val="00E1243D"/>
    <w:rsid w:val="00E12742"/>
    <w:rsid w:val="00E146D4"/>
    <w:rsid w:val="00E14815"/>
    <w:rsid w:val="00E21D37"/>
    <w:rsid w:val="00E220ED"/>
    <w:rsid w:val="00E22B44"/>
    <w:rsid w:val="00E233AD"/>
    <w:rsid w:val="00E2457D"/>
    <w:rsid w:val="00E26EB1"/>
    <w:rsid w:val="00E30ACD"/>
    <w:rsid w:val="00E32735"/>
    <w:rsid w:val="00E34236"/>
    <w:rsid w:val="00E44B88"/>
    <w:rsid w:val="00E50BFA"/>
    <w:rsid w:val="00E66E36"/>
    <w:rsid w:val="00E702ED"/>
    <w:rsid w:val="00E709A4"/>
    <w:rsid w:val="00E71D4A"/>
    <w:rsid w:val="00E75917"/>
    <w:rsid w:val="00E772DB"/>
    <w:rsid w:val="00E86012"/>
    <w:rsid w:val="00E860CA"/>
    <w:rsid w:val="00E86BAB"/>
    <w:rsid w:val="00E92962"/>
    <w:rsid w:val="00E94E10"/>
    <w:rsid w:val="00E96743"/>
    <w:rsid w:val="00E96A42"/>
    <w:rsid w:val="00E97497"/>
    <w:rsid w:val="00EA046F"/>
    <w:rsid w:val="00EA49C5"/>
    <w:rsid w:val="00EA6279"/>
    <w:rsid w:val="00EB402C"/>
    <w:rsid w:val="00EB5027"/>
    <w:rsid w:val="00EC1836"/>
    <w:rsid w:val="00EC3990"/>
    <w:rsid w:val="00EC484B"/>
    <w:rsid w:val="00EC7E58"/>
    <w:rsid w:val="00ED15FA"/>
    <w:rsid w:val="00ED4BB4"/>
    <w:rsid w:val="00ED5C9F"/>
    <w:rsid w:val="00EE050C"/>
    <w:rsid w:val="00EE2113"/>
    <w:rsid w:val="00EE34D0"/>
    <w:rsid w:val="00EE5730"/>
    <w:rsid w:val="00EE6E9A"/>
    <w:rsid w:val="00EF2AC4"/>
    <w:rsid w:val="00EF397E"/>
    <w:rsid w:val="00F0340C"/>
    <w:rsid w:val="00F04CED"/>
    <w:rsid w:val="00F06F68"/>
    <w:rsid w:val="00F11241"/>
    <w:rsid w:val="00F11D35"/>
    <w:rsid w:val="00F15E9D"/>
    <w:rsid w:val="00F23FA7"/>
    <w:rsid w:val="00F24C2D"/>
    <w:rsid w:val="00F272C4"/>
    <w:rsid w:val="00F27D59"/>
    <w:rsid w:val="00F316E1"/>
    <w:rsid w:val="00F31BE4"/>
    <w:rsid w:val="00F32155"/>
    <w:rsid w:val="00F32A81"/>
    <w:rsid w:val="00F40C82"/>
    <w:rsid w:val="00F4197F"/>
    <w:rsid w:val="00F41F2C"/>
    <w:rsid w:val="00F438EE"/>
    <w:rsid w:val="00F44F2A"/>
    <w:rsid w:val="00F45367"/>
    <w:rsid w:val="00F46998"/>
    <w:rsid w:val="00F5093F"/>
    <w:rsid w:val="00F5382D"/>
    <w:rsid w:val="00F53D9C"/>
    <w:rsid w:val="00F5462B"/>
    <w:rsid w:val="00F54653"/>
    <w:rsid w:val="00F569DE"/>
    <w:rsid w:val="00F57205"/>
    <w:rsid w:val="00F634AD"/>
    <w:rsid w:val="00F63677"/>
    <w:rsid w:val="00F659DA"/>
    <w:rsid w:val="00F671CE"/>
    <w:rsid w:val="00F674DA"/>
    <w:rsid w:val="00F70658"/>
    <w:rsid w:val="00F74B50"/>
    <w:rsid w:val="00F75B81"/>
    <w:rsid w:val="00F761CA"/>
    <w:rsid w:val="00F804C4"/>
    <w:rsid w:val="00F80C7E"/>
    <w:rsid w:val="00F82F83"/>
    <w:rsid w:val="00F90C64"/>
    <w:rsid w:val="00F9210C"/>
    <w:rsid w:val="00F92B30"/>
    <w:rsid w:val="00F933B9"/>
    <w:rsid w:val="00F94674"/>
    <w:rsid w:val="00F94919"/>
    <w:rsid w:val="00F94A59"/>
    <w:rsid w:val="00FA25B6"/>
    <w:rsid w:val="00FA2FAF"/>
    <w:rsid w:val="00FA54F6"/>
    <w:rsid w:val="00FA64B1"/>
    <w:rsid w:val="00FA70F3"/>
    <w:rsid w:val="00FA71CD"/>
    <w:rsid w:val="00FB0453"/>
    <w:rsid w:val="00FB0C07"/>
    <w:rsid w:val="00FB298D"/>
    <w:rsid w:val="00FB3171"/>
    <w:rsid w:val="00FB444E"/>
    <w:rsid w:val="00FB5DC9"/>
    <w:rsid w:val="00FC1439"/>
    <w:rsid w:val="00FC3F65"/>
    <w:rsid w:val="00FC5007"/>
    <w:rsid w:val="00FC724B"/>
    <w:rsid w:val="00FC7910"/>
    <w:rsid w:val="00FD01E0"/>
    <w:rsid w:val="00FD50FC"/>
    <w:rsid w:val="00FE1627"/>
    <w:rsid w:val="00FE2D4E"/>
    <w:rsid w:val="00FE4C3C"/>
    <w:rsid w:val="00FF092F"/>
    <w:rsid w:val="00FF0DA7"/>
    <w:rsid w:val="00FF2DF6"/>
    <w:rsid w:val="00FF44E0"/>
    <w:rsid w:val="00FF6C72"/>
    <w:rsid w:val="015659DA"/>
    <w:rsid w:val="02486573"/>
    <w:rsid w:val="02CB7F49"/>
    <w:rsid w:val="035F40DD"/>
    <w:rsid w:val="03EF075E"/>
    <w:rsid w:val="040E548E"/>
    <w:rsid w:val="04643CEC"/>
    <w:rsid w:val="057535C8"/>
    <w:rsid w:val="058B39C0"/>
    <w:rsid w:val="059565ED"/>
    <w:rsid w:val="05AC0D47"/>
    <w:rsid w:val="062C3E14"/>
    <w:rsid w:val="069C5B81"/>
    <w:rsid w:val="06CE52A8"/>
    <w:rsid w:val="0726460B"/>
    <w:rsid w:val="073B3E0F"/>
    <w:rsid w:val="074D717F"/>
    <w:rsid w:val="07C16525"/>
    <w:rsid w:val="09652EA6"/>
    <w:rsid w:val="0A6D6A59"/>
    <w:rsid w:val="0AD835BA"/>
    <w:rsid w:val="0AF87D87"/>
    <w:rsid w:val="0B6D7C36"/>
    <w:rsid w:val="0BD115F6"/>
    <w:rsid w:val="0BD718A0"/>
    <w:rsid w:val="0BE33FF4"/>
    <w:rsid w:val="0C6852C9"/>
    <w:rsid w:val="0C8F3D96"/>
    <w:rsid w:val="0C913FA4"/>
    <w:rsid w:val="0D844972"/>
    <w:rsid w:val="0D992BFA"/>
    <w:rsid w:val="0F960BD1"/>
    <w:rsid w:val="102C27E7"/>
    <w:rsid w:val="103D2038"/>
    <w:rsid w:val="1055163A"/>
    <w:rsid w:val="1056270F"/>
    <w:rsid w:val="11102465"/>
    <w:rsid w:val="11956312"/>
    <w:rsid w:val="12067E67"/>
    <w:rsid w:val="12FC1310"/>
    <w:rsid w:val="14257B28"/>
    <w:rsid w:val="14442136"/>
    <w:rsid w:val="162419F3"/>
    <w:rsid w:val="16AB2114"/>
    <w:rsid w:val="172C6BAA"/>
    <w:rsid w:val="17750F09"/>
    <w:rsid w:val="1784011D"/>
    <w:rsid w:val="189866C8"/>
    <w:rsid w:val="18F5648F"/>
    <w:rsid w:val="19E155F7"/>
    <w:rsid w:val="19F33BB6"/>
    <w:rsid w:val="1A187C36"/>
    <w:rsid w:val="1A3B4F13"/>
    <w:rsid w:val="1C753DEE"/>
    <w:rsid w:val="1D81260B"/>
    <w:rsid w:val="1DE52AD1"/>
    <w:rsid w:val="1E711203"/>
    <w:rsid w:val="1F3276F4"/>
    <w:rsid w:val="1FEE0D9C"/>
    <w:rsid w:val="20C11F53"/>
    <w:rsid w:val="21797FE0"/>
    <w:rsid w:val="21AF0D0A"/>
    <w:rsid w:val="234C3DF7"/>
    <w:rsid w:val="23907598"/>
    <w:rsid w:val="23E06A22"/>
    <w:rsid w:val="241646BB"/>
    <w:rsid w:val="242C3F8C"/>
    <w:rsid w:val="2449262D"/>
    <w:rsid w:val="24673AC7"/>
    <w:rsid w:val="246F40D7"/>
    <w:rsid w:val="24774A18"/>
    <w:rsid w:val="24A06DFA"/>
    <w:rsid w:val="2506185B"/>
    <w:rsid w:val="25B10902"/>
    <w:rsid w:val="267D63A6"/>
    <w:rsid w:val="26A61FB0"/>
    <w:rsid w:val="26D97A21"/>
    <w:rsid w:val="278301EA"/>
    <w:rsid w:val="278A787E"/>
    <w:rsid w:val="27AA76B5"/>
    <w:rsid w:val="27E85AF1"/>
    <w:rsid w:val="28090FC9"/>
    <w:rsid w:val="28BE1833"/>
    <w:rsid w:val="2920604A"/>
    <w:rsid w:val="296333CC"/>
    <w:rsid w:val="297406FE"/>
    <w:rsid w:val="29B368CB"/>
    <w:rsid w:val="2B806CA3"/>
    <w:rsid w:val="2B9B0870"/>
    <w:rsid w:val="2BED6E09"/>
    <w:rsid w:val="2D1633EB"/>
    <w:rsid w:val="2DF16206"/>
    <w:rsid w:val="2DFA27F2"/>
    <w:rsid w:val="2E3D3BD6"/>
    <w:rsid w:val="2E76495E"/>
    <w:rsid w:val="2F5C6564"/>
    <w:rsid w:val="302E5052"/>
    <w:rsid w:val="30522E72"/>
    <w:rsid w:val="31007675"/>
    <w:rsid w:val="32D94B0D"/>
    <w:rsid w:val="3321791E"/>
    <w:rsid w:val="334A3B6B"/>
    <w:rsid w:val="344C063B"/>
    <w:rsid w:val="34930017"/>
    <w:rsid w:val="350E7D08"/>
    <w:rsid w:val="3528253D"/>
    <w:rsid w:val="361D268E"/>
    <w:rsid w:val="36A03381"/>
    <w:rsid w:val="377E398B"/>
    <w:rsid w:val="37A37610"/>
    <w:rsid w:val="38767A34"/>
    <w:rsid w:val="38AF2CB3"/>
    <w:rsid w:val="392A6A70"/>
    <w:rsid w:val="3A190B5C"/>
    <w:rsid w:val="3B92336A"/>
    <w:rsid w:val="3D464925"/>
    <w:rsid w:val="3D8E3A72"/>
    <w:rsid w:val="3D9A7546"/>
    <w:rsid w:val="3E654273"/>
    <w:rsid w:val="3E8E1868"/>
    <w:rsid w:val="3E925791"/>
    <w:rsid w:val="3F3426F2"/>
    <w:rsid w:val="3F8F0431"/>
    <w:rsid w:val="401435B0"/>
    <w:rsid w:val="40254DC4"/>
    <w:rsid w:val="403C77B5"/>
    <w:rsid w:val="407B7BAD"/>
    <w:rsid w:val="411E510D"/>
    <w:rsid w:val="41C869E6"/>
    <w:rsid w:val="42842924"/>
    <w:rsid w:val="431C567C"/>
    <w:rsid w:val="43E678CC"/>
    <w:rsid w:val="458D714C"/>
    <w:rsid w:val="465C4C5A"/>
    <w:rsid w:val="469E3992"/>
    <w:rsid w:val="47FA40E1"/>
    <w:rsid w:val="481C1BC8"/>
    <w:rsid w:val="485E6108"/>
    <w:rsid w:val="48665B32"/>
    <w:rsid w:val="48743B3D"/>
    <w:rsid w:val="48A24875"/>
    <w:rsid w:val="48FE5CE3"/>
    <w:rsid w:val="49B276EA"/>
    <w:rsid w:val="49B605D8"/>
    <w:rsid w:val="49BF2A4F"/>
    <w:rsid w:val="4A471230"/>
    <w:rsid w:val="4BBC7D76"/>
    <w:rsid w:val="4BF54CBC"/>
    <w:rsid w:val="4C5440D8"/>
    <w:rsid w:val="4CCB12D0"/>
    <w:rsid w:val="4D13189E"/>
    <w:rsid w:val="4D4759EB"/>
    <w:rsid w:val="4D545FE5"/>
    <w:rsid w:val="4DA6688A"/>
    <w:rsid w:val="4EA15069"/>
    <w:rsid w:val="4EE03A01"/>
    <w:rsid w:val="4F8C5937"/>
    <w:rsid w:val="4FC350DF"/>
    <w:rsid w:val="5001570E"/>
    <w:rsid w:val="500718A1"/>
    <w:rsid w:val="50E00577"/>
    <w:rsid w:val="51973BEE"/>
    <w:rsid w:val="5209326F"/>
    <w:rsid w:val="52185A99"/>
    <w:rsid w:val="52334F8D"/>
    <w:rsid w:val="528D3D0D"/>
    <w:rsid w:val="52B2321D"/>
    <w:rsid w:val="52BE482B"/>
    <w:rsid w:val="52CB277F"/>
    <w:rsid w:val="54CD3304"/>
    <w:rsid w:val="55131DDA"/>
    <w:rsid w:val="556C28C7"/>
    <w:rsid w:val="565B309E"/>
    <w:rsid w:val="56C66210"/>
    <w:rsid w:val="574941A0"/>
    <w:rsid w:val="57595F84"/>
    <w:rsid w:val="57BB14B0"/>
    <w:rsid w:val="5809250B"/>
    <w:rsid w:val="581035A9"/>
    <w:rsid w:val="58170ED4"/>
    <w:rsid w:val="58DA7713"/>
    <w:rsid w:val="5A113DE3"/>
    <w:rsid w:val="5B64628F"/>
    <w:rsid w:val="5C391541"/>
    <w:rsid w:val="5CA01A5A"/>
    <w:rsid w:val="5CE943C9"/>
    <w:rsid w:val="5D1350D5"/>
    <w:rsid w:val="5DF97B87"/>
    <w:rsid w:val="5E785A05"/>
    <w:rsid w:val="5E9241C4"/>
    <w:rsid w:val="5F245B8C"/>
    <w:rsid w:val="5F722862"/>
    <w:rsid w:val="5FC77254"/>
    <w:rsid w:val="60665609"/>
    <w:rsid w:val="60705C16"/>
    <w:rsid w:val="6295006F"/>
    <w:rsid w:val="632A1297"/>
    <w:rsid w:val="64EA414E"/>
    <w:rsid w:val="65C15EE3"/>
    <w:rsid w:val="66A009FE"/>
    <w:rsid w:val="66E96F94"/>
    <w:rsid w:val="679127F1"/>
    <w:rsid w:val="68FE6526"/>
    <w:rsid w:val="692F6511"/>
    <w:rsid w:val="69B9672F"/>
    <w:rsid w:val="6A0674F5"/>
    <w:rsid w:val="6A3B3D97"/>
    <w:rsid w:val="6A7F28CF"/>
    <w:rsid w:val="6B0F2FA0"/>
    <w:rsid w:val="6BA95B9A"/>
    <w:rsid w:val="6C5D623A"/>
    <w:rsid w:val="6D674868"/>
    <w:rsid w:val="6D6904D2"/>
    <w:rsid w:val="6E066998"/>
    <w:rsid w:val="6E087F44"/>
    <w:rsid w:val="6E672132"/>
    <w:rsid w:val="71E575C6"/>
    <w:rsid w:val="72743DB7"/>
    <w:rsid w:val="727447D3"/>
    <w:rsid w:val="72B8066E"/>
    <w:rsid w:val="72C41A54"/>
    <w:rsid w:val="72C62AF2"/>
    <w:rsid w:val="730A0F49"/>
    <w:rsid w:val="73306456"/>
    <w:rsid w:val="73693599"/>
    <w:rsid w:val="736E72E6"/>
    <w:rsid w:val="73C963C3"/>
    <w:rsid w:val="7489001F"/>
    <w:rsid w:val="74AE38FD"/>
    <w:rsid w:val="74FC2405"/>
    <w:rsid w:val="753F634B"/>
    <w:rsid w:val="75504B8E"/>
    <w:rsid w:val="75F96FD3"/>
    <w:rsid w:val="76797C2F"/>
    <w:rsid w:val="76FA503D"/>
    <w:rsid w:val="76FC1307"/>
    <w:rsid w:val="775678A3"/>
    <w:rsid w:val="795F2373"/>
    <w:rsid w:val="799B26EC"/>
    <w:rsid w:val="79FA090D"/>
    <w:rsid w:val="7AB21E46"/>
    <w:rsid w:val="7ACA7190"/>
    <w:rsid w:val="7ACF47A6"/>
    <w:rsid w:val="7AFD5272"/>
    <w:rsid w:val="7B021ACD"/>
    <w:rsid w:val="7B1E7CC8"/>
    <w:rsid w:val="7C312D2E"/>
    <w:rsid w:val="7D3B4910"/>
    <w:rsid w:val="7E3B658C"/>
    <w:rsid w:val="7F285D26"/>
    <w:rsid w:val="7F4813E0"/>
    <w:rsid w:val="7F565496"/>
    <w:rsid w:val="7FBA7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nhideWhenUsed="0" w:uiPriority="0" w:semiHidden="0" w:name="HTML Sample"/>
    <w:lsdException w:qFormat="1" w:uiPriority="99" w:name="HTML Typewriter"/>
    <w:lsdException w:qFormat="1"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宋体" w:eastAsia="宋体" w:cstheme="minorBidi"/>
      <w:lang w:val="en-US" w:eastAsia="zh-CN" w:bidi="ar-SA"/>
    </w:rPr>
  </w:style>
  <w:style w:type="paragraph" w:styleId="2">
    <w:name w:val="heading 1"/>
    <w:basedOn w:val="1"/>
    <w:next w:val="1"/>
    <w:link w:val="92"/>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5"/>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4">
    <w:name w:val="heading 3"/>
    <w:basedOn w:val="1"/>
    <w:next w:val="1"/>
    <w:link w:val="94"/>
    <w:autoRedefine/>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99"/>
    <w:autoRedefine/>
    <w:qFormat/>
    <w:uiPriority w:val="0"/>
    <w:pPr>
      <w:keepNext/>
      <w:keepLines/>
      <w:spacing w:before="280" w:after="290" w:line="376" w:lineRule="auto"/>
      <w:outlineLvl w:val="3"/>
    </w:pPr>
    <w:rPr>
      <w:b/>
      <w:bCs/>
      <w:sz w:val="28"/>
      <w:szCs w:val="28"/>
    </w:rPr>
  </w:style>
  <w:style w:type="paragraph" w:styleId="6">
    <w:name w:val="heading 5"/>
    <w:basedOn w:val="1"/>
    <w:next w:val="1"/>
    <w:link w:val="106"/>
    <w:autoRedefine/>
    <w:qFormat/>
    <w:uiPriority w:val="0"/>
    <w:pPr>
      <w:keepNext/>
      <w:keepLines/>
      <w:spacing w:before="280" w:after="290" w:line="376" w:lineRule="auto"/>
      <w:outlineLvl w:val="4"/>
    </w:pPr>
    <w:rPr>
      <w:rFonts w:ascii="Calibri" w:hAnsi="Calibri" w:cs="Times New Roman"/>
      <w:b/>
      <w:bCs/>
      <w:kern w:val="2"/>
      <w:sz w:val="28"/>
      <w:szCs w:val="28"/>
      <w:lang w:val="zh-CN"/>
    </w:rPr>
  </w:style>
  <w:style w:type="paragraph" w:styleId="7">
    <w:name w:val="heading 6"/>
    <w:basedOn w:val="6"/>
    <w:next w:val="1"/>
    <w:link w:val="107"/>
    <w:autoRedefine/>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8">
    <w:name w:val="heading 7"/>
    <w:basedOn w:val="7"/>
    <w:next w:val="1"/>
    <w:link w:val="108"/>
    <w:autoRedefine/>
    <w:qFormat/>
    <w:uiPriority w:val="0"/>
    <w:pPr>
      <w:tabs>
        <w:tab w:val="left" w:pos="1800"/>
        <w:tab w:val="clear" w:pos="1440"/>
      </w:tabs>
      <w:ind w:left="1276" w:hanging="1276"/>
      <w:outlineLvl w:val="6"/>
    </w:pPr>
  </w:style>
  <w:style w:type="paragraph" w:styleId="9">
    <w:name w:val="heading 8"/>
    <w:basedOn w:val="1"/>
    <w:next w:val="1"/>
    <w:link w:val="109"/>
    <w:autoRedefine/>
    <w:qFormat/>
    <w:uiPriority w:val="0"/>
    <w:pPr>
      <w:keepNext/>
      <w:keepLines/>
      <w:spacing w:line="400" w:lineRule="exact"/>
      <w:jc w:val="center"/>
      <w:outlineLvl w:val="7"/>
    </w:pPr>
    <w:rPr>
      <w:rFonts w:eastAsia="黑体" w:cs="Times New Roman"/>
      <w:kern w:val="2"/>
      <w:sz w:val="32"/>
      <w:szCs w:val="32"/>
      <w:lang w:val="zh-CN"/>
    </w:rPr>
  </w:style>
  <w:style w:type="paragraph" w:styleId="10">
    <w:name w:val="heading 9"/>
    <w:basedOn w:val="1"/>
    <w:next w:val="1"/>
    <w:link w:val="110"/>
    <w:autoRedefine/>
    <w:unhideWhenUsed/>
    <w:qFormat/>
    <w:uiPriority w:val="0"/>
    <w:pPr>
      <w:keepNext/>
      <w:keepLines/>
      <w:spacing w:before="240" w:after="64" w:line="320" w:lineRule="auto"/>
      <w:outlineLvl w:val="8"/>
    </w:pPr>
    <w:rPr>
      <w:rFonts w:ascii="Cambria" w:hAnsi="Cambria" w:cs="Times New Roman"/>
      <w:kern w:val="2"/>
      <w:sz w:val="21"/>
      <w:szCs w:val="21"/>
      <w:lang w:val="zh-CN"/>
    </w:rPr>
  </w:style>
  <w:style w:type="character" w:default="1" w:styleId="57">
    <w:name w:val="Default Paragraph Font"/>
    <w:autoRedefine/>
    <w:semiHidden/>
    <w:unhideWhenUsed/>
    <w:qFormat/>
    <w:uiPriority w:val="1"/>
  </w:style>
  <w:style w:type="table" w:default="1" w:styleId="55">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ind w:left="100" w:leftChars="400" w:hanging="200" w:hangingChars="200"/>
    </w:pPr>
    <w:rPr>
      <w:rFonts w:ascii="Calibri" w:hAnsi="Calibri" w:cs="Times New Roman"/>
      <w:kern w:val="2"/>
      <w:sz w:val="21"/>
      <w:szCs w:val="22"/>
    </w:rPr>
  </w:style>
  <w:style w:type="paragraph" w:styleId="12">
    <w:name w:val="toc 7"/>
    <w:basedOn w:val="1"/>
    <w:next w:val="1"/>
    <w:autoRedefine/>
    <w:unhideWhenUsed/>
    <w:qFormat/>
    <w:uiPriority w:val="39"/>
    <w:pPr>
      <w:ind w:left="1260"/>
      <w:jc w:val="left"/>
    </w:pPr>
    <w:rPr>
      <w:rFonts w:ascii="Calibri" w:hAnsi="Calibri" w:cs="Calibri"/>
      <w:kern w:val="2"/>
      <w:sz w:val="18"/>
      <w:szCs w:val="18"/>
    </w:rPr>
  </w:style>
  <w:style w:type="paragraph" w:styleId="13">
    <w:name w:val="Normal Indent"/>
    <w:basedOn w:val="1"/>
    <w:autoRedefine/>
    <w:qFormat/>
    <w:uiPriority w:val="0"/>
    <w:pPr>
      <w:autoSpaceDE w:val="0"/>
      <w:autoSpaceDN w:val="0"/>
      <w:adjustRightInd w:val="0"/>
      <w:ind w:firstLine="420"/>
      <w:jc w:val="left"/>
    </w:pPr>
    <w:rPr>
      <w:rFonts w:hAnsi="Times New Roman" w:cs="Times New Roman"/>
      <w:sz w:val="24"/>
    </w:rPr>
  </w:style>
  <w:style w:type="paragraph" w:styleId="14">
    <w:name w:val="caption"/>
    <w:basedOn w:val="1"/>
    <w:next w:val="1"/>
    <w:autoRedefine/>
    <w:qFormat/>
    <w:uiPriority w:val="0"/>
    <w:pPr>
      <w:spacing w:before="152" w:after="160"/>
    </w:pPr>
    <w:rPr>
      <w:rFonts w:ascii="Arial" w:hAnsi="Arial" w:eastAsia="黑体" w:cs="Arial"/>
      <w:kern w:val="2"/>
    </w:rPr>
  </w:style>
  <w:style w:type="paragraph" w:styleId="15">
    <w:name w:val="Document Map"/>
    <w:basedOn w:val="1"/>
    <w:link w:val="154"/>
    <w:autoRedefine/>
    <w:qFormat/>
    <w:uiPriority w:val="0"/>
    <w:pPr>
      <w:shd w:val="clear" w:color="auto" w:fill="000080"/>
    </w:pPr>
    <w:rPr>
      <w:rFonts w:ascii="Calibri" w:hAnsi="Calibri" w:cs="Times New Roman"/>
      <w:bCs/>
      <w:kern w:val="2"/>
      <w:sz w:val="21"/>
      <w:szCs w:val="32"/>
      <w:lang w:val="zh-CN"/>
    </w:rPr>
  </w:style>
  <w:style w:type="paragraph" w:styleId="16">
    <w:name w:val="annotation text"/>
    <w:basedOn w:val="1"/>
    <w:link w:val="91"/>
    <w:autoRedefine/>
    <w:qFormat/>
    <w:uiPriority w:val="0"/>
    <w:pPr>
      <w:jc w:val="left"/>
    </w:pPr>
    <w:rPr>
      <w:rFonts w:ascii="Arial" w:hAnsi="Arial" w:eastAsia="黑体" w:cs="Arial"/>
    </w:rPr>
  </w:style>
  <w:style w:type="paragraph" w:styleId="17">
    <w:name w:val="Salutation"/>
    <w:basedOn w:val="1"/>
    <w:next w:val="1"/>
    <w:link w:val="121"/>
    <w:autoRedefine/>
    <w:qFormat/>
    <w:uiPriority w:val="0"/>
    <w:rPr>
      <w:rFonts w:ascii="仿宋_GB2312" w:hAnsi="Times New Roman" w:eastAsia="仿宋_GB2312" w:cs="Times New Roman"/>
      <w:kern w:val="2"/>
      <w:sz w:val="28"/>
      <w:lang w:val="zh-CN"/>
    </w:rPr>
  </w:style>
  <w:style w:type="paragraph" w:styleId="18">
    <w:name w:val="Body Text 3"/>
    <w:basedOn w:val="1"/>
    <w:link w:val="140"/>
    <w:autoRedefine/>
    <w:qFormat/>
    <w:uiPriority w:val="0"/>
    <w:pPr>
      <w:adjustRightInd w:val="0"/>
      <w:snapToGrid w:val="0"/>
    </w:pPr>
    <w:rPr>
      <w:rFonts w:ascii="仿宋_GB2312" w:eastAsia="仿宋_GB2312" w:cs="Times New Roman"/>
      <w:bCs/>
      <w:color w:val="000000"/>
      <w:kern w:val="2"/>
      <w:sz w:val="24"/>
      <w:szCs w:val="32"/>
      <w:lang w:val="zh-CN"/>
    </w:rPr>
  </w:style>
  <w:style w:type="paragraph" w:styleId="19">
    <w:name w:val="Body Text"/>
    <w:basedOn w:val="1"/>
    <w:link w:val="100"/>
    <w:autoRedefine/>
    <w:qFormat/>
    <w:uiPriority w:val="0"/>
    <w:pPr>
      <w:spacing w:after="120"/>
    </w:pPr>
    <w:rPr>
      <w:rFonts w:ascii="@微软简标宋" w:hAnsi="@微软简标宋" w:eastAsia="@微软简标宋" w:cs="@微软简标宋"/>
      <w:szCs w:val="24"/>
      <w:lang w:val="zh-CN"/>
    </w:rPr>
  </w:style>
  <w:style w:type="paragraph" w:styleId="20">
    <w:name w:val="Body Text Indent"/>
    <w:basedOn w:val="1"/>
    <w:next w:val="21"/>
    <w:link w:val="115"/>
    <w:autoRedefine/>
    <w:unhideWhenUsed/>
    <w:qFormat/>
    <w:uiPriority w:val="0"/>
    <w:pPr>
      <w:spacing w:after="120"/>
      <w:ind w:left="420" w:leftChars="200"/>
    </w:pPr>
    <w:rPr>
      <w:rFonts w:asciiTheme="minorHAnsi" w:hAnsiTheme="minorHAnsi"/>
      <w:kern w:val="2"/>
      <w:sz w:val="21"/>
      <w:szCs w:val="22"/>
    </w:rPr>
  </w:style>
  <w:style w:type="paragraph" w:styleId="21">
    <w:name w:val="envelope return"/>
    <w:basedOn w:val="1"/>
    <w:next w:val="12"/>
    <w:qFormat/>
    <w:uiPriority w:val="0"/>
    <w:pPr>
      <w:widowControl/>
      <w:snapToGrid w:val="0"/>
      <w:spacing w:line="357" w:lineRule="atLeast"/>
      <w:textAlignment w:val="baseline"/>
    </w:pPr>
    <w:rPr>
      <w:rFonts w:ascii="Arial" w:hAnsi="Arial"/>
      <w:color w:val="000000"/>
      <w:kern w:val="0"/>
      <w:u w:val="none" w:color="000000"/>
    </w:rPr>
  </w:style>
  <w:style w:type="paragraph" w:styleId="22">
    <w:name w:val="List 2"/>
    <w:basedOn w:val="1"/>
    <w:autoRedefine/>
    <w:qFormat/>
    <w:uiPriority w:val="0"/>
    <w:pPr>
      <w:ind w:left="100" w:leftChars="200" w:hanging="200" w:hangingChars="200"/>
    </w:pPr>
    <w:rPr>
      <w:rFonts w:ascii="Calibri" w:hAnsi="Calibri" w:cs="Times New Roman"/>
      <w:kern w:val="2"/>
      <w:sz w:val="21"/>
      <w:szCs w:val="22"/>
    </w:rPr>
  </w:style>
  <w:style w:type="paragraph" w:styleId="23">
    <w:name w:val="List Continue"/>
    <w:basedOn w:val="1"/>
    <w:autoRedefine/>
    <w:qFormat/>
    <w:uiPriority w:val="0"/>
    <w:pPr>
      <w:spacing w:after="120"/>
      <w:ind w:left="420" w:leftChars="200"/>
    </w:pPr>
    <w:rPr>
      <w:rFonts w:ascii="Calibri" w:hAnsi="Calibri" w:cs="Times New Roman"/>
      <w:kern w:val="2"/>
      <w:sz w:val="21"/>
      <w:szCs w:val="22"/>
    </w:rPr>
  </w:style>
  <w:style w:type="paragraph" w:styleId="24">
    <w:name w:val="Block Text"/>
    <w:basedOn w:val="1"/>
    <w:autoRedefine/>
    <w:qFormat/>
    <w:uiPriority w:val="0"/>
    <w:pPr>
      <w:autoSpaceDE w:val="0"/>
      <w:autoSpaceDN w:val="0"/>
      <w:adjustRightInd w:val="0"/>
      <w:spacing w:line="1270" w:lineRule="exact"/>
      <w:ind w:left="2160" w:right="-20" w:hanging="2160" w:hangingChars="300"/>
      <w:jc w:val="left"/>
    </w:pPr>
    <w:rPr>
      <w:rFonts w:ascii="Calibri" w:hAnsi="Calibri" w:eastAsia="仿宋_GB2312" w:cs="Times New Roman"/>
      <w:kern w:val="2"/>
      <w:sz w:val="72"/>
    </w:rPr>
  </w:style>
  <w:style w:type="paragraph" w:styleId="25">
    <w:name w:val="index 4"/>
    <w:basedOn w:val="1"/>
    <w:next w:val="1"/>
    <w:autoRedefine/>
    <w:qFormat/>
    <w:uiPriority w:val="0"/>
    <w:pPr>
      <w:ind w:left="600" w:leftChars="600"/>
    </w:pPr>
    <w:rPr>
      <w:rFonts w:ascii="Times New Roman" w:hAnsi="Times New Roman" w:cs="Times New Roman"/>
      <w:kern w:val="2"/>
      <w:sz w:val="21"/>
      <w:szCs w:val="24"/>
    </w:rPr>
  </w:style>
  <w:style w:type="paragraph" w:styleId="26">
    <w:name w:val="toc 5"/>
    <w:basedOn w:val="1"/>
    <w:next w:val="1"/>
    <w:autoRedefine/>
    <w:unhideWhenUsed/>
    <w:qFormat/>
    <w:uiPriority w:val="39"/>
    <w:pPr>
      <w:ind w:left="840"/>
      <w:jc w:val="left"/>
    </w:pPr>
    <w:rPr>
      <w:rFonts w:ascii="Calibri" w:hAnsi="Calibri" w:cs="Calibri"/>
      <w:kern w:val="2"/>
      <w:sz w:val="18"/>
      <w:szCs w:val="18"/>
    </w:rPr>
  </w:style>
  <w:style w:type="paragraph" w:styleId="27">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sz w:val="22"/>
      <w:szCs w:val="22"/>
    </w:rPr>
  </w:style>
  <w:style w:type="paragraph" w:styleId="28">
    <w:name w:val="Plain Text"/>
    <w:basedOn w:val="1"/>
    <w:link w:val="80"/>
    <w:autoRedefine/>
    <w:qFormat/>
    <w:uiPriority w:val="0"/>
    <w:rPr>
      <w:rFonts w:hAnsi="Courier New" w:eastAsiaTheme="minorEastAsia"/>
      <w:szCs w:val="22"/>
    </w:rPr>
  </w:style>
  <w:style w:type="paragraph" w:styleId="29">
    <w:name w:val="toc 8"/>
    <w:basedOn w:val="1"/>
    <w:next w:val="1"/>
    <w:autoRedefine/>
    <w:unhideWhenUsed/>
    <w:qFormat/>
    <w:uiPriority w:val="39"/>
    <w:pPr>
      <w:ind w:left="1470"/>
      <w:jc w:val="left"/>
    </w:pPr>
    <w:rPr>
      <w:rFonts w:ascii="Calibri" w:hAnsi="Calibri" w:cs="Calibri"/>
      <w:kern w:val="2"/>
      <w:sz w:val="18"/>
      <w:szCs w:val="18"/>
    </w:rPr>
  </w:style>
  <w:style w:type="paragraph" w:styleId="30">
    <w:name w:val="Date"/>
    <w:basedOn w:val="1"/>
    <w:next w:val="1"/>
    <w:link w:val="87"/>
    <w:autoRedefine/>
    <w:qFormat/>
    <w:uiPriority w:val="0"/>
    <w:rPr>
      <w:rFonts w:ascii="Arial" w:hAnsi="Arial" w:cs="Arial"/>
      <w:b/>
      <w:sz w:val="28"/>
    </w:rPr>
  </w:style>
  <w:style w:type="paragraph" w:styleId="31">
    <w:name w:val="Body Text Indent 2"/>
    <w:basedOn w:val="1"/>
    <w:link w:val="136"/>
    <w:autoRedefine/>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32">
    <w:name w:val="Balloon Text"/>
    <w:basedOn w:val="1"/>
    <w:link w:val="74"/>
    <w:autoRedefine/>
    <w:unhideWhenUsed/>
    <w:qFormat/>
    <w:uiPriority w:val="0"/>
    <w:rPr>
      <w:sz w:val="18"/>
      <w:szCs w:val="18"/>
    </w:rPr>
  </w:style>
  <w:style w:type="paragraph" w:styleId="33">
    <w:name w:val="footer"/>
    <w:basedOn w:val="1"/>
    <w:link w:val="79"/>
    <w:autoRedefine/>
    <w:unhideWhenUsed/>
    <w:qFormat/>
    <w:uiPriority w:val="99"/>
    <w:pPr>
      <w:tabs>
        <w:tab w:val="center" w:pos="4153"/>
        <w:tab w:val="right" w:pos="8306"/>
      </w:tabs>
      <w:snapToGrid w:val="0"/>
      <w:jc w:val="left"/>
    </w:pPr>
    <w:rPr>
      <w:sz w:val="18"/>
      <w:szCs w:val="18"/>
    </w:rPr>
  </w:style>
  <w:style w:type="paragraph" w:styleId="34">
    <w:name w:val="header"/>
    <w:basedOn w:val="1"/>
    <w:link w:val="7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autoRedefine/>
    <w:unhideWhenUsed/>
    <w:qFormat/>
    <w:uiPriority w:val="39"/>
    <w:pPr>
      <w:widowControl/>
      <w:spacing w:after="100" w:line="276" w:lineRule="auto"/>
      <w:jc w:val="left"/>
    </w:pPr>
    <w:rPr>
      <w:rFonts w:asciiTheme="minorHAnsi" w:hAnsiTheme="minorHAnsi" w:eastAsiaTheme="minorEastAsia"/>
      <w:sz w:val="22"/>
      <w:szCs w:val="22"/>
    </w:rPr>
  </w:style>
  <w:style w:type="paragraph" w:styleId="36">
    <w:name w:val="List Continue 4"/>
    <w:basedOn w:val="1"/>
    <w:autoRedefine/>
    <w:qFormat/>
    <w:uiPriority w:val="0"/>
    <w:pPr>
      <w:spacing w:after="120"/>
      <w:ind w:left="1680" w:leftChars="800"/>
    </w:pPr>
    <w:rPr>
      <w:rFonts w:ascii="Calibri" w:hAnsi="Calibri" w:cs="Times New Roman"/>
      <w:kern w:val="2"/>
      <w:sz w:val="21"/>
      <w:szCs w:val="22"/>
    </w:rPr>
  </w:style>
  <w:style w:type="paragraph" w:styleId="37">
    <w:name w:val="toc 4"/>
    <w:basedOn w:val="1"/>
    <w:next w:val="1"/>
    <w:autoRedefine/>
    <w:unhideWhenUsed/>
    <w:qFormat/>
    <w:uiPriority w:val="39"/>
    <w:pPr>
      <w:ind w:left="630"/>
      <w:jc w:val="left"/>
    </w:pPr>
    <w:rPr>
      <w:rFonts w:ascii="Calibri" w:hAnsi="Calibri" w:cs="Calibri"/>
      <w:kern w:val="2"/>
      <w:sz w:val="18"/>
      <w:szCs w:val="18"/>
    </w:rPr>
  </w:style>
  <w:style w:type="paragraph" w:styleId="38">
    <w:name w:val="index heading"/>
    <w:basedOn w:val="1"/>
    <w:next w:val="39"/>
    <w:autoRedefine/>
    <w:semiHidden/>
    <w:qFormat/>
    <w:uiPriority w:val="0"/>
    <w:rPr>
      <w:rFonts w:ascii="Times New Roman" w:hAnsi="Times New Roman" w:cs="Times New Roman"/>
      <w:kern w:val="2"/>
      <w:sz w:val="21"/>
      <w:szCs w:val="24"/>
    </w:rPr>
  </w:style>
  <w:style w:type="paragraph" w:styleId="39">
    <w:name w:val="index 1"/>
    <w:basedOn w:val="1"/>
    <w:next w:val="1"/>
    <w:autoRedefine/>
    <w:qFormat/>
    <w:uiPriority w:val="0"/>
    <w:pPr>
      <w:jc w:val="center"/>
    </w:pPr>
    <w:rPr>
      <w:rFonts w:ascii="Arial" w:hAnsi="Arial" w:eastAsia="Arial" w:cs="Arial"/>
      <w:b/>
      <w:bCs/>
      <w:sz w:val="28"/>
    </w:rPr>
  </w:style>
  <w:style w:type="paragraph" w:styleId="40">
    <w:name w:val="Subtitle"/>
    <w:basedOn w:val="1"/>
    <w:link w:val="228"/>
    <w:autoRedefine/>
    <w:qFormat/>
    <w:uiPriority w:val="0"/>
    <w:pPr>
      <w:spacing w:before="240" w:after="60" w:line="312" w:lineRule="auto"/>
      <w:jc w:val="center"/>
      <w:outlineLvl w:val="1"/>
    </w:pPr>
    <w:rPr>
      <w:rFonts w:ascii="Arial" w:hAnsi="Arial" w:cs="Times New Roman"/>
      <w:b/>
      <w:bCs/>
      <w:kern w:val="28"/>
      <w:sz w:val="32"/>
      <w:szCs w:val="32"/>
      <w:lang w:val="zh-CN"/>
    </w:rPr>
  </w:style>
  <w:style w:type="paragraph" w:styleId="41">
    <w:name w:val="List"/>
    <w:basedOn w:val="1"/>
    <w:autoRedefine/>
    <w:qFormat/>
    <w:uiPriority w:val="0"/>
    <w:pPr>
      <w:ind w:left="200" w:hanging="200" w:hangingChars="200"/>
    </w:pPr>
    <w:rPr>
      <w:rFonts w:ascii="Calibri" w:hAnsi="Calibri" w:cs="Times New Roman"/>
      <w:kern w:val="2"/>
      <w:sz w:val="21"/>
      <w:szCs w:val="22"/>
    </w:rPr>
  </w:style>
  <w:style w:type="paragraph" w:styleId="42">
    <w:name w:val="footnote text"/>
    <w:basedOn w:val="1"/>
    <w:link w:val="117"/>
    <w:autoRedefine/>
    <w:unhideWhenUsed/>
    <w:qFormat/>
    <w:uiPriority w:val="0"/>
    <w:pPr>
      <w:snapToGrid w:val="0"/>
      <w:jc w:val="left"/>
    </w:pPr>
    <w:rPr>
      <w:rFonts w:ascii="Times New Roman" w:hAnsi="Times New Roman" w:cs="Times New Roman"/>
      <w:kern w:val="2"/>
      <w:sz w:val="18"/>
      <w:szCs w:val="18"/>
      <w:lang w:val="zh-CN"/>
    </w:rPr>
  </w:style>
  <w:style w:type="paragraph" w:styleId="43">
    <w:name w:val="toc 6"/>
    <w:basedOn w:val="1"/>
    <w:next w:val="1"/>
    <w:autoRedefine/>
    <w:unhideWhenUsed/>
    <w:qFormat/>
    <w:uiPriority w:val="39"/>
    <w:pPr>
      <w:ind w:left="1050"/>
      <w:jc w:val="left"/>
    </w:pPr>
    <w:rPr>
      <w:rFonts w:ascii="Calibri" w:hAnsi="Calibri" w:cs="Calibri"/>
      <w:kern w:val="2"/>
      <w:sz w:val="18"/>
      <w:szCs w:val="18"/>
    </w:rPr>
  </w:style>
  <w:style w:type="paragraph" w:styleId="44">
    <w:name w:val="Body Text Indent 3"/>
    <w:basedOn w:val="1"/>
    <w:link w:val="135"/>
    <w:autoRedefine/>
    <w:qFormat/>
    <w:uiPriority w:val="0"/>
    <w:pPr>
      <w:widowControl/>
      <w:overflowPunct w:val="0"/>
      <w:autoSpaceDE w:val="0"/>
      <w:autoSpaceDN w:val="0"/>
      <w:adjustRightInd w:val="0"/>
      <w:spacing w:line="360" w:lineRule="auto"/>
      <w:ind w:firstLine="540"/>
      <w:textAlignment w:val="baseline"/>
    </w:pPr>
    <w:rPr>
      <w:rFonts w:hAnsi="MS Sans Serif" w:cs="Times New Roman"/>
      <w:bCs/>
      <w:color w:val="000000"/>
      <w:sz w:val="24"/>
      <w:lang w:val="zh-CN"/>
    </w:rPr>
  </w:style>
  <w:style w:type="paragraph" w:styleId="45">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46">
    <w:name w:val="toc 9"/>
    <w:basedOn w:val="1"/>
    <w:next w:val="1"/>
    <w:autoRedefine/>
    <w:unhideWhenUsed/>
    <w:qFormat/>
    <w:uiPriority w:val="39"/>
    <w:pPr>
      <w:ind w:left="1680"/>
      <w:jc w:val="left"/>
    </w:pPr>
    <w:rPr>
      <w:rFonts w:ascii="Calibri" w:hAnsi="Calibri" w:cs="Calibri"/>
      <w:kern w:val="2"/>
      <w:sz w:val="18"/>
      <w:szCs w:val="18"/>
    </w:rPr>
  </w:style>
  <w:style w:type="paragraph" w:styleId="47">
    <w:name w:val="Body Text 2"/>
    <w:basedOn w:val="1"/>
    <w:link w:val="139"/>
    <w:autoRedefine/>
    <w:qFormat/>
    <w:uiPriority w:val="0"/>
    <w:pPr>
      <w:spacing w:line="360" w:lineRule="auto"/>
    </w:pPr>
    <w:rPr>
      <w:rFonts w:hAnsi="Times New Roman" w:cs="Times New Roman"/>
      <w:spacing w:val="-20"/>
      <w:kern w:val="2"/>
      <w:sz w:val="28"/>
      <w:lang w:val="zh-CN"/>
    </w:rPr>
  </w:style>
  <w:style w:type="paragraph" w:styleId="48">
    <w:name w:val="List 4"/>
    <w:basedOn w:val="1"/>
    <w:autoRedefine/>
    <w:qFormat/>
    <w:uiPriority w:val="0"/>
    <w:pPr>
      <w:ind w:left="100" w:leftChars="600" w:hanging="200" w:hangingChars="200"/>
    </w:pPr>
    <w:rPr>
      <w:rFonts w:ascii="Calibri" w:hAnsi="Calibri" w:cs="Times New Roman"/>
      <w:kern w:val="2"/>
      <w:sz w:val="21"/>
      <w:szCs w:val="22"/>
    </w:rPr>
  </w:style>
  <w:style w:type="paragraph" w:styleId="49">
    <w:name w:val="List Continue 2"/>
    <w:basedOn w:val="1"/>
    <w:autoRedefine/>
    <w:qFormat/>
    <w:uiPriority w:val="0"/>
    <w:pPr>
      <w:spacing w:after="120"/>
      <w:ind w:left="840" w:leftChars="400"/>
    </w:pPr>
    <w:rPr>
      <w:rFonts w:ascii="Calibri" w:hAnsi="Calibri" w:cs="Times New Roman"/>
      <w:kern w:val="2"/>
      <w:sz w:val="21"/>
      <w:szCs w:val="22"/>
    </w:rPr>
  </w:style>
  <w:style w:type="paragraph" w:styleId="50">
    <w:name w:val="Normal (Web)"/>
    <w:basedOn w:val="1"/>
    <w:autoRedefine/>
    <w:qFormat/>
    <w:uiPriority w:val="0"/>
    <w:pPr>
      <w:widowControl/>
      <w:spacing w:before="100" w:beforeAutospacing="1" w:after="100" w:afterAutospacing="1"/>
      <w:jc w:val="left"/>
    </w:pPr>
    <w:rPr>
      <w:rFonts w:cs="宋体"/>
      <w:color w:val="0066CC"/>
      <w:sz w:val="24"/>
      <w:szCs w:val="24"/>
    </w:rPr>
  </w:style>
  <w:style w:type="paragraph" w:styleId="51">
    <w:name w:val="Title"/>
    <w:basedOn w:val="3"/>
    <w:next w:val="1"/>
    <w:link w:val="143"/>
    <w:autoRedefine/>
    <w:qFormat/>
    <w:uiPriority w:val="0"/>
    <w:pPr>
      <w:spacing w:before="0" w:after="0" w:line="360" w:lineRule="auto"/>
      <w:jc w:val="center"/>
    </w:pPr>
    <w:rPr>
      <w:rFonts w:ascii="宋体" w:hAnsi="宋体" w:eastAsia="黑体"/>
      <w:bCs w:val="0"/>
      <w:smallCaps/>
      <w:snapToGrid w:val="0"/>
      <w:sz w:val="44"/>
      <w:szCs w:val="24"/>
    </w:rPr>
  </w:style>
  <w:style w:type="paragraph" w:styleId="52">
    <w:name w:val="annotation subject"/>
    <w:basedOn w:val="16"/>
    <w:next w:val="16"/>
    <w:link w:val="102"/>
    <w:autoRedefine/>
    <w:unhideWhenUsed/>
    <w:qFormat/>
    <w:uiPriority w:val="0"/>
    <w:rPr>
      <w:rFonts w:ascii="宋体" w:hAnsi="宋体" w:eastAsia="宋体" w:cstheme="minorBidi"/>
      <w:b/>
      <w:bCs/>
    </w:rPr>
  </w:style>
  <w:style w:type="paragraph" w:styleId="53">
    <w:name w:val="Body Text First Indent"/>
    <w:basedOn w:val="19"/>
    <w:autoRedefine/>
    <w:semiHidden/>
    <w:unhideWhenUsed/>
    <w:qFormat/>
    <w:uiPriority w:val="99"/>
    <w:pPr>
      <w:ind w:firstLine="420" w:firstLineChars="100"/>
    </w:pPr>
  </w:style>
  <w:style w:type="paragraph" w:styleId="54">
    <w:name w:val="Body Text First Indent 2"/>
    <w:basedOn w:val="20"/>
    <w:next w:val="1"/>
    <w:qFormat/>
    <w:uiPriority w:val="0"/>
    <w:pPr>
      <w:spacing w:after="120" w:afterLines="0"/>
      <w:ind w:left="420" w:leftChars="200" w:firstLine="420" w:firstLineChars="200"/>
    </w:pPr>
  </w:style>
  <w:style w:type="table" w:styleId="56">
    <w:name w:val="Table Grid"/>
    <w:basedOn w:val="55"/>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8">
    <w:name w:val="Strong"/>
    <w:autoRedefine/>
    <w:qFormat/>
    <w:uiPriority w:val="0"/>
    <w:rPr>
      <w:b/>
      <w:bCs/>
    </w:rPr>
  </w:style>
  <w:style w:type="character" w:styleId="59">
    <w:name w:val="page number"/>
    <w:basedOn w:val="57"/>
    <w:autoRedefine/>
    <w:qFormat/>
    <w:uiPriority w:val="0"/>
  </w:style>
  <w:style w:type="character" w:styleId="60">
    <w:name w:val="FollowedHyperlink"/>
    <w:basedOn w:val="57"/>
    <w:autoRedefine/>
    <w:semiHidden/>
    <w:unhideWhenUsed/>
    <w:qFormat/>
    <w:uiPriority w:val="99"/>
    <w:rPr>
      <w:color w:val="800080" w:themeColor="followedHyperlink"/>
      <w:u w:val="single"/>
      <w14:textFill>
        <w14:solidFill>
          <w14:schemeClr w14:val="folHlink"/>
        </w14:solidFill>
      </w14:textFill>
    </w:rPr>
  </w:style>
  <w:style w:type="character" w:styleId="61">
    <w:name w:val="Emphasis"/>
    <w:autoRedefine/>
    <w:qFormat/>
    <w:uiPriority w:val="0"/>
    <w:rPr>
      <w:color w:val="CC0033"/>
    </w:rPr>
  </w:style>
  <w:style w:type="character" w:styleId="62">
    <w:name w:val="HTML Definition"/>
    <w:basedOn w:val="57"/>
    <w:semiHidden/>
    <w:unhideWhenUsed/>
    <w:qFormat/>
    <w:uiPriority w:val="99"/>
  </w:style>
  <w:style w:type="character" w:styleId="63">
    <w:name w:val="HTML Typewriter"/>
    <w:basedOn w:val="57"/>
    <w:semiHidden/>
    <w:unhideWhenUsed/>
    <w:qFormat/>
    <w:uiPriority w:val="99"/>
    <w:rPr>
      <w:rFonts w:hint="default" w:ascii="monospace" w:hAnsi="monospace" w:eastAsia="monospace" w:cs="monospace"/>
      <w:sz w:val="20"/>
    </w:rPr>
  </w:style>
  <w:style w:type="character" w:styleId="64">
    <w:name w:val="HTML Acronym"/>
    <w:basedOn w:val="57"/>
    <w:semiHidden/>
    <w:unhideWhenUsed/>
    <w:qFormat/>
    <w:uiPriority w:val="99"/>
  </w:style>
  <w:style w:type="character" w:styleId="65">
    <w:name w:val="HTML Variable"/>
    <w:basedOn w:val="57"/>
    <w:semiHidden/>
    <w:unhideWhenUsed/>
    <w:qFormat/>
    <w:uiPriority w:val="99"/>
  </w:style>
  <w:style w:type="character" w:styleId="66">
    <w:name w:val="Hyperlink"/>
    <w:basedOn w:val="57"/>
    <w:autoRedefine/>
    <w:unhideWhenUsed/>
    <w:qFormat/>
    <w:uiPriority w:val="99"/>
    <w:rPr>
      <w:color w:val="0000FF" w:themeColor="hyperlink"/>
      <w:u w:val="single"/>
      <w14:textFill>
        <w14:solidFill>
          <w14:schemeClr w14:val="hlink"/>
        </w14:solidFill>
      </w14:textFill>
    </w:rPr>
  </w:style>
  <w:style w:type="character" w:styleId="67">
    <w:name w:val="HTML Code"/>
    <w:basedOn w:val="57"/>
    <w:semiHidden/>
    <w:unhideWhenUsed/>
    <w:qFormat/>
    <w:uiPriority w:val="99"/>
    <w:rPr>
      <w:rFonts w:hint="default" w:ascii="monospace" w:hAnsi="monospace" w:eastAsia="monospace" w:cs="monospace"/>
      <w:sz w:val="20"/>
    </w:rPr>
  </w:style>
  <w:style w:type="character" w:styleId="68">
    <w:name w:val="annotation reference"/>
    <w:basedOn w:val="57"/>
    <w:autoRedefine/>
    <w:unhideWhenUsed/>
    <w:qFormat/>
    <w:uiPriority w:val="0"/>
    <w:rPr>
      <w:sz w:val="21"/>
      <w:szCs w:val="21"/>
    </w:rPr>
  </w:style>
  <w:style w:type="character" w:styleId="69">
    <w:name w:val="HTML Cite"/>
    <w:basedOn w:val="57"/>
    <w:semiHidden/>
    <w:unhideWhenUsed/>
    <w:qFormat/>
    <w:uiPriority w:val="99"/>
  </w:style>
  <w:style w:type="character" w:styleId="70">
    <w:name w:val="footnote reference"/>
    <w:autoRedefine/>
    <w:unhideWhenUsed/>
    <w:qFormat/>
    <w:uiPriority w:val="0"/>
    <w:rPr>
      <w:vertAlign w:val="superscript"/>
    </w:rPr>
  </w:style>
  <w:style w:type="character" w:styleId="71">
    <w:name w:val="HTML Keyboard"/>
    <w:basedOn w:val="57"/>
    <w:semiHidden/>
    <w:unhideWhenUsed/>
    <w:qFormat/>
    <w:uiPriority w:val="99"/>
    <w:rPr>
      <w:rFonts w:hint="default" w:ascii="monospace" w:hAnsi="monospace" w:eastAsia="monospace" w:cs="monospace"/>
      <w:sz w:val="20"/>
    </w:rPr>
  </w:style>
  <w:style w:type="character" w:styleId="72">
    <w:name w:val="HTML Sample"/>
    <w:autoRedefine/>
    <w:qFormat/>
    <w:uiPriority w:val="0"/>
    <w:rPr>
      <w:rFonts w:hint="default" w:ascii="monospace" w:hAnsi="monospace" w:eastAsia="monospace" w:cs="monospace"/>
      <w:sz w:val="21"/>
      <w:szCs w:val="21"/>
    </w:rPr>
  </w:style>
  <w:style w:type="paragraph" w:customStyle="1" w:styleId="73">
    <w:name w:val="样式1"/>
    <w:basedOn w:val="1"/>
    <w:next w:val="5"/>
    <w:autoRedefine/>
    <w:qFormat/>
    <w:uiPriority w:val="0"/>
    <w:pPr>
      <w:spacing w:line="360" w:lineRule="auto"/>
      <w:ind w:firstLine="420" w:firstLineChars="200"/>
    </w:pPr>
    <w:rPr>
      <w:rFonts w:cs="Times New Roman"/>
      <w:kern w:val="2"/>
      <w:sz w:val="21"/>
      <w:szCs w:val="21"/>
    </w:rPr>
  </w:style>
  <w:style w:type="character" w:customStyle="1" w:styleId="74">
    <w:name w:val="批注框文本 Char"/>
    <w:basedOn w:val="57"/>
    <w:link w:val="32"/>
    <w:autoRedefine/>
    <w:qFormat/>
    <w:uiPriority w:val="0"/>
    <w:rPr>
      <w:rFonts w:ascii="@仿宋_GB2312" w:hAnsi="@仿宋_GB2312" w:eastAsia="@仿宋_GB2312" w:cs="@仿宋_GB2312"/>
      <w:sz w:val="18"/>
      <w:szCs w:val="18"/>
    </w:rPr>
  </w:style>
  <w:style w:type="paragraph" w:customStyle="1" w:styleId="75">
    <w:name w:val="正文（缩进）"/>
    <w:basedOn w:val="1"/>
    <w:autoRedefine/>
    <w:qFormat/>
    <w:uiPriority w:val="0"/>
    <w:pPr>
      <w:widowControl/>
      <w:spacing w:before="156" w:after="156"/>
      <w:ind w:firstLine="480" w:firstLineChars="200"/>
      <w:jc w:val="left"/>
    </w:pPr>
    <w:rPr>
      <w:sz w:val="24"/>
      <w:szCs w:val="24"/>
    </w:rPr>
  </w:style>
  <w:style w:type="paragraph" w:customStyle="1" w:styleId="76">
    <w:name w:val="xl31"/>
    <w:basedOn w:val="1"/>
    <w:autoRedefine/>
    <w:qFormat/>
    <w:uiPriority w:val="0"/>
    <w:pPr>
      <w:widowControl/>
      <w:spacing w:before="100" w:beforeAutospacing="1" w:after="100" w:afterAutospacing="1"/>
      <w:jc w:val="center"/>
    </w:pPr>
    <w:rPr>
      <w:b/>
      <w:bCs/>
      <w:sz w:val="28"/>
      <w:szCs w:val="28"/>
    </w:rPr>
  </w:style>
  <w:style w:type="paragraph" w:customStyle="1" w:styleId="77">
    <w:name w:val="D&amp;L"/>
    <w:basedOn w:val="34"/>
    <w:autoRedefine/>
    <w:qFormat/>
    <w:uiPriority w:val="0"/>
    <w:pPr>
      <w:pBdr>
        <w:bottom w:val="thinThickSmallGap" w:color="auto" w:sz="18" w:space="1"/>
      </w:pBdr>
      <w:adjustRightInd w:val="0"/>
      <w:snapToGrid/>
      <w:spacing w:line="240" w:lineRule="atLeast"/>
      <w:textAlignment w:val="baseline"/>
    </w:pPr>
    <w:rPr>
      <w:sz w:val="24"/>
      <w:szCs w:val="20"/>
    </w:rPr>
  </w:style>
  <w:style w:type="character" w:customStyle="1" w:styleId="78">
    <w:name w:val="页眉 Char"/>
    <w:basedOn w:val="57"/>
    <w:link w:val="34"/>
    <w:autoRedefine/>
    <w:qFormat/>
    <w:uiPriority w:val="99"/>
    <w:rPr>
      <w:rFonts w:ascii="@仿宋_GB2312" w:hAnsi="@仿宋_GB2312" w:eastAsia="@仿宋_GB2312" w:cs="@仿宋_GB2312"/>
      <w:sz w:val="18"/>
      <w:szCs w:val="18"/>
    </w:rPr>
  </w:style>
  <w:style w:type="character" w:customStyle="1" w:styleId="79">
    <w:name w:val="页脚 Char"/>
    <w:basedOn w:val="57"/>
    <w:link w:val="33"/>
    <w:autoRedefine/>
    <w:qFormat/>
    <w:uiPriority w:val="99"/>
    <w:rPr>
      <w:rFonts w:ascii="@仿宋_GB2312" w:hAnsi="@仿宋_GB2312" w:eastAsia="@仿宋_GB2312" w:cs="@仿宋_GB2312"/>
      <w:sz w:val="18"/>
      <w:szCs w:val="18"/>
    </w:rPr>
  </w:style>
  <w:style w:type="character" w:customStyle="1" w:styleId="80">
    <w:name w:val="纯文本 Char"/>
    <w:link w:val="28"/>
    <w:autoRedefine/>
    <w:qFormat/>
    <w:uiPriority w:val="0"/>
    <w:rPr>
      <w:rFonts w:ascii="宋体" w:hAnsi="Courier New"/>
    </w:rPr>
  </w:style>
  <w:style w:type="character" w:customStyle="1" w:styleId="81">
    <w:name w:val="纯文本 字符1"/>
    <w:basedOn w:val="57"/>
    <w:autoRedefine/>
    <w:semiHidden/>
    <w:qFormat/>
    <w:uiPriority w:val="99"/>
    <w:rPr>
      <w:rFonts w:hAnsi="Courier New" w:cs="Courier New" w:asciiTheme="minorEastAsia"/>
      <w:szCs w:val="20"/>
    </w:rPr>
  </w:style>
  <w:style w:type="character" w:customStyle="1" w:styleId="82">
    <w:name w:val="未处理的提及1"/>
    <w:basedOn w:val="57"/>
    <w:autoRedefine/>
    <w:semiHidden/>
    <w:unhideWhenUsed/>
    <w:qFormat/>
    <w:uiPriority w:val="99"/>
    <w:rPr>
      <w:color w:val="605E5C"/>
      <w:shd w:val="clear" w:color="auto" w:fill="E1DFDD"/>
    </w:rPr>
  </w:style>
  <w:style w:type="paragraph" w:styleId="83">
    <w:name w:val="List Paragraph"/>
    <w:basedOn w:val="1"/>
    <w:autoRedefine/>
    <w:qFormat/>
    <w:uiPriority w:val="34"/>
    <w:pPr>
      <w:ind w:firstLine="420" w:firstLineChars="200"/>
    </w:pPr>
  </w:style>
  <w:style w:type="paragraph" w:customStyle="1" w:styleId="84">
    <w:name w:val="Char Char Char Char Char Char Char1 Char"/>
    <w:basedOn w:val="1"/>
    <w:autoRedefine/>
    <w:qFormat/>
    <w:uiPriority w:val="0"/>
    <w:rPr>
      <w:rFonts w:ascii="Arial" w:hAnsi="Arial" w:cs="Arial"/>
      <w:sz w:val="24"/>
    </w:rPr>
  </w:style>
  <w:style w:type="table" w:customStyle="1" w:styleId="85">
    <w:name w:val="网格表 1 浅色1"/>
    <w:basedOn w:val="55"/>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86">
    <w:name w:val="日期 字符"/>
    <w:basedOn w:val="57"/>
    <w:autoRedefine/>
    <w:semiHidden/>
    <w:qFormat/>
    <w:uiPriority w:val="99"/>
    <w:rPr>
      <w:rFonts w:ascii="@仿宋_GB2312" w:hAnsi="@仿宋_GB2312" w:eastAsia="@仿宋_GB2312" w:cs="@仿宋_GB2312"/>
      <w:szCs w:val="20"/>
    </w:rPr>
  </w:style>
  <w:style w:type="character" w:customStyle="1" w:styleId="87">
    <w:name w:val="日期 Char"/>
    <w:link w:val="30"/>
    <w:autoRedefine/>
    <w:qFormat/>
    <w:uiPriority w:val="0"/>
    <w:rPr>
      <w:rFonts w:ascii="Arial" w:hAnsi="Arial" w:eastAsia="宋体" w:cs="Arial"/>
      <w:b/>
      <w:sz w:val="28"/>
      <w:szCs w:val="20"/>
    </w:rPr>
  </w:style>
  <w:style w:type="character" w:customStyle="1" w:styleId="88">
    <w:name w:val="纯文本 Char1"/>
    <w:link w:val="89"/>
    <w:autoRedefine/>
    <w:qFormat/>
    <w:locked/>
    <w:uiPriority w:val="99"/>
    <w:rPr>
      <w:rFonts w:ascii="Arial" w:hAnsi="Arial" w:eastAsia="Arial"/>
      <w:kern w:val="2"/>
      <w:sz w:val="21"/>
      <w:lang w:val="en-US" w:eastAsia="zh-CN" w:bidi="ar-SA"/>
    </w:rPr>
  </w:style>
  <w:style w:type="paragraph" w:customStyle="1" w:styleId="89">
    <w:name w:val="纯文本1"/>
    <w:basedOn w:val="1"/>
    <w:link w:val="88"/>
    <w:autoRedefine/>
    <w:qFormat/>
    <w:uiPriority w:val="0"/>
    <w:rPr>
      <w:rFonts w:ascii="Arial" w:hAnsi="Arial" w:eastAsia="Arial"/>
    </w:rPr>
  </w:style>
  <w:style w:type="character" w:customStyle="1" w:styleId="90">
    <w:name w:val="批注文字 Char"/>
    <w:basedOn w:val="57"/>
    <w:autoRedefine/>
    <w:qFormat/>
    <w:uiPriority w:val="0"/>
    <w:rPr>
      <w:rFonts w:ascii="@仿宋_GB2312" w:hAnsi="@仿宋_GB2312" w:eastAsia="@仿宋_GB2312" w:cs="@仿宋_GB2312"/>
      <w:szCs w:val="20"/>
    </w:rPr>
  </w:style>
  <w:style w:type="character" w:customStyle="1" w:styleId="91">
    <w:name w:val="批注文字 Char1"/>
    <w:link w:val="16"/>
    <w:autoRedefine/>
    <w:qFormat/>
    <w:uiPriority w:val="99"/>
    <w:rPr>
      <w:rFonts w:ascii="Arial" w:hAnsi="Arial" w:eastAsia="黑体" w:cs="Arial"/>
      <w:szCs w:val="20"/>
    </w:rPr>
  </w:style>
  <w:style w:type="character" w:customStyle="1" w:styleId="92">
    <w:name w:val="标题 1 Char"/>
    <w:basedOn w:val="57"/>
    <w:link w:val="2"/>
    <w:autoRedefine/>
    <w:qFormat/>
    <w:uiPriority w:val="0"/>
    <w:rPr>
      <w:rFonts w:ascii="@仿宋_GB2312" w:hAnsi="@仿宋_GB2312" w:eastAsia="@仿宋_GB2312" w:cs="@仿宋_GB2312"/>
      <w:b/>
      <w:bCs/>
      <w:kern w:val="44"/>
      <w:sz w:val="44"/>
      <w:szCs w:val="44"/>
    </w:rPr>
  </w:style>
  <w:style w:type="paragraph" w:customStyle="1" w:styleId="93">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94">
    <w:name w:val="标题 3 Char"/>
    <w:basedOn w:val="57"/>
    <w:link w:val="4"/>
    <w:autoRedefine/>
    <w:qFormat/>
    <w:uiPriority w:val="0"/>
    <w:rPr>
      <w:rFonts w:ascii="@仿宋_GB2312" w:hAnsi="@仿宋_GB2312" w:eastAsia="@仿宋_GB2312" w:cs="@仿宋_GB2312"/>
      <w:b/>
      <w:bCs/>
      <w:sz w:val="32"/>
      <w:szCs w:val="32"/>
    </w:rPr>
  </w:style>
  <w:style w:type="character" w:customStyle="1" w:styleId="95">
    <w:name w:val="fontstyle01"/>
    <w:basedOn w:val="57"/>
    <w:autoRedefine/>
    <w:qFormat/>
    <w:uiPriority w:val="0"/>
    <w:rPr>
      <w:rFonts w:hint="eastAsia" w:ascii="宋体" w:hAnsi="宋体" w:eastAsia="宋体"/>
      <w:color w:val="000000"/>
      <w:sz w:val="22"/>
      <w:szCs w:val="22"/>
    </w:rPr>
  </w:style>
  <w:style w:type="character" w:customStyle="1" w:styleId="96">
    <w:name w:val="fontstyle21"/>
    <w:basedOn w:val="57"/>
    <w:autoRedefine/>
    <w:qFormat/>
    <w:uiPriority w:val="0"/>
    <w:rPr>
      <w:rFonts w:hint="default" w:ascii="TimesNewRomanPSMT" w:hAnsi="TimesNewRomanPSMT"/>
      <w:color w:val="000000"/>
      <w:sz w:val="22"/>
      <w:szCs w:val="22"/>
    </w:rPr>
  </w:style>
  <w:style w:type="character" w:customStyle="1" w:styleId="9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98">
    <w:name w:val="标题 4 字符"/>
    <w:basedOn w:val="57"/>
    <w:autoRedefine/>
    <w:semiHidden/>
    <w:qFormat/>
    <w:uiPriority w:val="9"/>
    <w:rPr>
      <w:rFonts w:asciiTheme="majorHAnsi" w:hAnsiTheme="majorHAnsi" w:eastAsiaTheme="majorEastAsia" w:cstheme="majorBidi"/>
      <w:b/>
      <w:bCs/>
      <w:sz w:val="28"/>
      <w:szCs w:val="28"/>
    </w:rPr>
  </w:style>
  <w:style w:type="character" w:customStyle="1" w:styleId="99">
    <w:name w:val="标题 4 Char"/>
    <w:link w:val="5"/>
    <w:autoRedefine/>
    <w:qFormat/>
    <w:uiPriority w:val="0"/>
    <w:rPr>
      <w:rFonts w:ascii="@仿宋_GB2312" w:hAnsi="@仿宋_GB2312" w:eastAsia="@仿宋_GB2312" w:cs="@仿宋_GB2312"/>
      <w:b/>
      <w:bCs/>
      <w:sz w:val="28"/>
      <w:szCs w:val="28"/>
    </w:rPr>
  </w:style>
  <w:style w:type="character" w:customStyle="1" w:styleId="100">
    <w:name w:val="正文文本 Char"/>
    <w:basedOn w:val="57"/>
    <w:link w:val="19"/>
    <w:autoRedefine/>
    <w:qFormat/>
    <w:uiPriority w:val="0"/>
    <w:rPr>
      <w:rFonts w:ascii="@微软简标宋" w:hAnsi="@微软简标宋" w:eastAsia="@微软简标宋" w:cs="@微软简标宋"/>
      <w:szCs w:val="24"/>
      <w:lang w:val="zh-CN" w:eastAsia="zh-CN"/>
    </w:rPr>
  </w:style>
  <w:style w:type="table" w:customStyle="1" w:styleId="101">
    <w:name w:val="网格型1"/>
    <w:basedOn w:val="55"/>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2">
    <w:name w:val="批注主题 Char"/>
    <w:basedOn w:val="91"/>
    <w:link w:val="52"/>
    <w:autoRedefine/>
    <w:qFormat/>
    <w:uiPriority w:val="0"/>
    <w:rPr>
      <w:rFonts w:ascii="Arial" w:hAnsi="Arial" w:eastAsia="黑体" w:cs="Arial"/>
      <w:b/>
      <w:bCs/>
      <w:szCs w:val="20"/>
    </w:rPr>
  </w:style>
  <w:style w:type="paragraph" w:customStyle="1" w:styleId="103">
    <w:name w:val="普通 (Web)"/>
    <w:basedOn w:val="1"/>
    <w:autoRedefine/>
    <w:qFormat/>
    <w:uiPriority w:val="0"/>
    <w:pPr>
      <w:widowControl/>
      <w:spacing w:before="100" w:beforeAutospacing="1" w:after="100" w:afterAutospacing="1"/>
      <w:jc w:val="left"/>
    </w:pPr>
    <w:rPr>
      <w:rFonts w:cs="Times New Roman"/>
      <w:sz w:val="24"/>
      <w:szCs w:val="24"/>
    </w:rPr>
  </w:style>
  <w:style w:type="table" w:customStyle="1" w:styleId="104">
    <w:name w:val="网格型2"/>
    <w:basedOn w:val="55"/>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5">
    <w:name w:val="标题 2 Char"/>
    <w:basedOn w:val="57"/>
    <w:link w:val="3"/>
    <w:autoRedefine/>
    <w:qFormat/>
    <w:uiPriority w:val="0"/>
    <w:rPr>
      <w:rFonts w:ascii="Cambria" w:hAnsi="Cambria" w:cs="Times New Roman"/>
      <w:b/>
      <w:bCs/>
      <w:kern w:val="2"/>
      <w:sz w:val="32"/>
      <w:szCs w:val="32"/>
      <w:lang w:val="zh-CN" w:eastAsia="zh-CN"/>
    </w:rPr>
  </w:style>
  <w:style w:type="character" w:customStyle="1" w:styleId="106">
    <w:name w:val="标题 5 Char"/>
    <w:basedOn w:val="57"/>
    <w:link w:val="6"/>
    <w:autoRedefine/>
    <w:qFormat/>
    <w:uiPriority w:val="0"/>
    <w:rPr>
      <w:rFonts w:ascii="Calibri" w:hAnsi="Calibri" w:cs="Times New Roman"/>
      <w:b/>
      <w:bCs/>
      <w:kern w:val="2"/>
      <w:sz w:val="28"/>
      <w:szCs w:val="28"/>
      <w:lang w:val="zh-CN" w:eastAsia="zh-CN"/>
    </w:rPr>
  </w:style>
  <w:style w:type="character" w:customStyle="1" w:styleId="107">
    <w:name w:val="标题 6 Char"/>
    <w:basedOn w:val="57"/>
    <w:link w:val="7"/>
    <w:autoRedefine/>
    <w:qFormat/>
    <w:uiPriority w:val="0"/>
    <w:rPr>
      <w:rFonts w:ascii="Times New Roman" w:hAnsi="Times New Roman" w:cs="Times New Roman"/>
      <w:b/>
      <w:bCs/>
      <w:kern w:val="2"/>
      <w:sz w:val="30"/>
      <w:szCs w:val="18"/>
      <w:lang w:val="zh-CN" w:eastAsia="zh-CN"/>
    </w:rPr>
  </w:style>
  <w:style w:type="character" w:customStyle="1" w:styleId="108">
    <w:name w:val="标题 7 Char"/>
    <w:basedOn w:val="57"/>
    <w:link w:val="8"/>
    <w:autoRedefine/>
    <w:qFormat/>
    <w:uiPriority w:val="0"/>
    <w:rPr>
      <w:rFonts w:ascii="Times New Roman" w:hAnsi="Times New Roman" w:cs="Times New Roman"/>
      <w:b/>
      <w:bCs/>
      <w:kern w:val="2"/>
      <w:sz w:val="30"/>
      <w:szCs w:val="18"/>
      <w:lang w:val="zh-CN" w:eastAsia="zh-CN"/>
    </w:rPr>
  </w:style>
  <w:style w:type="character" w:customStyle="1" w:styleId="109">
    <w:name w:val="标题 8 Char"/>
    <w:basedOn w:val="57"/>
    <w:link w:val="9"/>
    <w:autoRedefine/>
    <w:qFormat/>
    <w:uiPriority w:val="0"/>
    <w:rPr>
      <w:rFonts w:eastAsia="黑体" w:cs="Times New Roman"/>
      <w:kern w:val="2"/>
      <w:sz w:val="32"/>
      <w:szCs w:val="32"/>
      <w:lang w:val="zh-CN" w:eastAsia="zh-CN"/>
    </w:rPr>
  </w:style>
  <w:style w:type="character" w:customStyle="1" w:styleId="110">
    <w:name w:val="标题 9 Char"/>
    <w:basedOn w:val="57"/>
    <w:link w:val="10"/>
    <w:autoRedefine/>
    <w:qFormat/>
    <w:uiPriority w:val="0"/>
    <w:rPr>
      <w:rFonts w:ascii="Cambria" w:hAnsi="Cambria" w:cs="Times New Roman"/>
      <w:kern w:val="2"/>
      <w:sz w:val="21"/>
      <w:szCs w:val="21"/>
      <w:lang w:val="zh-CN" w:eastAsia="zh-CN"/>
    </w:rPr>
  </w:style>
  <w:style w:type="character" w:customStyle="1" w:styleId="111">
    <w:name w:val="纯文本 Char2"/>
    <w:autoRedefine/>
    <w:qFormat/>
    <w:uiPriority w:val="0"/>
    <w:rPr>
      <w:rFonts w:ascii="宋体" w:hAnsi="Courier New"/>
    </w:rPr>
  </w:style>
  <w:style w:type="table" w:customStyle="1" w:styleId="112">
    <w:name w:val="网格型3"/>
    <w:basedOn w:val="55"/>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3">
    <w:name w:val="网格表 1 浅色11"/>
    <w:basedOn w:val="55"/>
    <w:autoRedefine/>
    <w:qFormat/>
    <w:uiPriority w:val="46"/>
    <w:rPr>
      <w:rFonts w:asciiTheme="minorHAnsi" w:hAnsiTheme="minorHAnsi" w:eastAsiaTheme="minorEastAsia"/>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14">
    <w:name w:val="TOC 标题2"/>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15">
    <w:name w:val="正文文本缩进 Char"/>
    <w:basedOn w:val="57"/>
    <w:link w:val="20"/>
    <w:autoRedefine/>
    <w:qFormat/>
    <w:uiPriority w:val="0"/>
    <w:rPr>
      <w:rFonts w:asciiTheme="minorHAnsi" w:hAnsiTheme="minorHAnsi"/>
      <w:kern w:val="2"/>
      <w:sz w:val="21"/>
      <w:szCs w:val="22"/>
    </w:rPr>
  </w:style>
  <w:style w:type="paragraph" w:customStyle="1" w:styleId="116">
    <w:name w:val="Char"/>
    <w:basedOn w:val="1"/>
    <w:autoRedefine/>
    <w:qFormat/>
    <w:uiPriority w:val="0"/>
    <w:rPr>
      <w:rFonts w:ascii="Tahoma" w:hAnsi="Tahoma" w:cs="Times New Roman"/>
      <w:sz w:val="24"/>
    </w:rPr>
  </w:style>
  <w:style w:type="character" w:customStyle="1" w:styleId="117">
    <w:name w:val="脚注文本 Char"/>
    <w:basedOn w:val="57"/>
    <w:link w:val="42"/>
    <w:autoRedefine/>
    <w:qFormat/>
    <w:uiPriority w:val="0"/>
    <w:rPr>
      <w:rFonts w:ascii="Times New Roman" w:hAnsi="Times New Roman" w:cs="Times New Roman"/>
      <w:kern w:val="2"/>
      <w:sz w:val="18"/>
      <w:szCs w:val="18"/>
      <w:lang w:val="zh-CN" w:eastAsia="zh-CN"/>
    </w:rPr>
  </w:style>
  <w:style w:type="paragraph" w:customStyle="1" w:styleId="118">
    <w:name w:val="样式 标题 3 + (中文) 黑体 小四 非加粗 段前: 7.8 磅 段后: 0 磅 行距: 固定值 20 磅"/>
    <w:basedOn w:val="4"/>
    <w:autoRedefine/>
    <w:qFormat/>
    <w:uiPriority w:val="0"/>
    <w:pPr>
      <w:spacing w:before="120" w:after="120" w:line="400" w:lineRule="exact"/>
      <w:jc w:val="left"/>
    </w:pPr>
    <w:rPr>
      <w:rFonts w:ascii="黑体" w:hAnsi="黑体" w:eastAsia="黑体" w:cs="宋体"/>
      <w:bCs w:val="0"/>
      <w:kern w:val="2"/>
      <w:sz w:val="24"/>
      <w:szCs w:val="20"/>
      <w:lang w:val="zh-CN"/>
    </w:rPr>
  </w:style>
  <w:style w:type="paragraph" w:customStyle="1" w:styleId="119">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eastAsia="黑体" w:cs="宋体"/>
      <w:b w:val="0"/>
      <w:bCs w:val="0"/>
      <w:sz w:val="28"/>
      <w:szCs w:val="20"/>
    </w:rPr>
  </w:style>
  <w:style w:type="paragraph" w:customStyle="1" w:styleId="120">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121">
    <w:name w:val="称呼 Char"/>
    <w:basedOn w:val="57"/>
    <w:link w:val="17"/>
    <w:autoRedefine/>
    <w:qFormat/>
    <w:uiPriority w:val="0"/>
    <w:rPr>
      <w:rFonts w:ascii="仿宋_GB2312" w:hAnsi="Times New Roman" w:eastAsia="仿宋_GB2312" w:cs="Times New Roman"/>
      <w:kern w:val="2"/>
      <w:sz w:val="28"/>
      <w:lang w:val="zh-CN" w:eastAsia="zh-CN"/>
    </w:rPr>
  </w:style>
  <w:style w:type="paragraph" w:customStyle="1" w:styleId="1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23">
    <w:name w:val="正文1"/>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24">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5">
    <w:name w:val="正文_2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6">
    <w:name w:val="正文_2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7">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128">
    <w:name w:val="Normal_3"/>
    <w:autoRedefine/>
    <w:qFormat/>
    <w:uiPriority w:val="0"/>
    <w:rPr>
      <w:rFonts w:ascii="Times New Roman" w:hAnsi="Times New Roman" w:eastAsia="Times New Roman" w:cs="Times New Roman"/>
      <w:sz w:val="24"/>
      <w:szCs w:val="24"/>
      <w:lang w:val="en-US" w:eastAsia="zh-CN" w:bidi="ar-SA"/>
    </w:rPr>
  </w:style>
  <w:style w:type="paragraph" w:customStyle="1" w:styleId="129">
    <w:name w:val="Char Char Char Char Char Char"/>
    <w:basedOn w:val="1"/>
    <w:autoRedefine/>
    <w:qFormat/>
    <w:uiPriority w:val="0"/>
    <w:rPr>
      <w:rFonts w:ascii="Tahoma" w:hAnsi="Tahoma" w:cs="Times New Roman"/>
      <w:kern w:val="2"/>
      <w:sz w:val="24"/>
    </w:rPr>
  </w:style>
  <w:style w:type="paragraph" w:customStyle="1" w:styleId="130">
    <w:name w:val="Blockquote"/>
    <w:basedOn w:val="1"/>
    <w:link w:val="131"/>
    <w:autoRedefine/>
    <w:qFormat/>
    <w:uiPriority w:val="0"/>
    <w:pPr>
      <w:autoSpaceDE w:val="0"/>
      <w:autoSpaceDN w:val="0"/>
      <w:adjustRightInd w:val="0"/>
      <w:spacing w:before="100" w:after="100"/>
      <w:ind w:left="360" w:right="360"/>
      <w:jc w:val="left"/>
    </w:pPr>
    <w:rPr>
      <w:rFonts w:ascii="Times New Roman" w:hAnsi="Times New Roman" w:cs="Times New Roman"/>
      <w:sz w:val="24"/>
      <w:lang w:val="zh-CN"/>
    </w:rPr>
  </w:style>
  <w:style w:type="character" w:customStyle="1" w:styleId="131">
    <w:name w:val="Blockquote Char"/>
    <w:link w:val="130"/>
    <w:autoRedefine/>
    <w:qFormat/>
    <w:uiPriority w:val="0"/>
    <w:rPr>
      <w:rFonts w:ascii="Times New Roman" w:hAnsi="Times New Roman" w:cs="Times New Roman"/>
      <w:sz w:val="24"/>
      <w:lang w:val="zh-CN" w:eastAsia="zh-CN"/>
    </w:rPr>
  </w:style>
  <w:style w:type="paragraph" w:customStyle="1" w:styleId="132">
    <w:name w:val="xl22"/>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Calibri" w:hAnsi="Calibri" w:cs="Times New Roman"/>
      <w:sz w:val="24"/>
      <w:szCs w:val="22"/>
    </w:rPr>
  </w:style>
  <w:style w:type="character" w:customStyle="1" w:styleId="133">
    <w:name w:val="tdrownotice1"/>
    <w:autoRedefine/>
    <w:qFormat/>
    <w:uiPriority w:val="0"/>
    <w:rPr>
      <w:sz w:val="22"/>
    </w:rPr>
  </w:style>
  <w:style w:type="paragraph" w:customStyle="1" w:styleId="134">
    <w:name w:val="段落2"/>
    <w:basedOn w:val="1"/>
    <w:autoRedefine/>
    <w:qFormat/>
    <w:uiPriority w:val="0"/>
    <w:pPr>
      <w:spacing w:line="360" w:lineRule="auto"/>
      <w:ind w:firstLine="480" w:firstLineChars="200"/>
    </w:pPr>
    <w:rPr>
      <w:rFonts w:ascii="Calibri" w:hAnsi="Calibri" w:cs="Courier New"/>
      <w:kern w:val="2"/>
      <w:sz w:val="24"/>
      <w:szCs w:val="21"/>
    </w:rPr>
  </w:style>
  <w:style w:type="character" w:customStyle="1" w:styleId="135">
    <w:name w:val="正文文本缩进 3 Char"/>
    <w:basedOn w:val="57"/>
    <w:link w:val="44"/>
    <w:autoRedefine/>
    <w:qFormat/>
    <w:uiPriority w:val="0"/>
    <w:rPr>
      <w:rFonts w:hAnsi="MS Sans Serif" w:cs="Times New Roman"/>
      <w:bCs/>
      <w:color w:val="000000"/>
      <w:sz w:val="24"/>
      <w:lang w:val="zh-CN" w:eastAsia="zh-CN"/>
    </w:rPr>
  </w:style>
  <w:style w:type="character" w:customStyle="1" w:styleId="136">
    <w:name w:val="正文文本缩进 2 Char"/>
    <w:basedOn w:val="57"/>
    <w:link w:val="31"/>
    <w:autoRedefine/>
    <w:qFormat/>
    <w:uiPriority w:val="0"/>
    <w:rPr>
      <w:rFonts w:hAnsi="MS Sans Serif" w:cs="Times New Roman"/>
      <w:bCs/>
      <w:spacing w:val="12"/>
      <w:sz w:val="24"/>
      <w:lang w:val="zh-CN" w:eastAsia="zh-CN"/>
    </w:rPr>
  </w:style>
  <w:style w:type="paragraph" w:customStyle="1" w:styleId="137">
    <w:name w:val="目录"/>
    <w:basedOn w:val="1"/>
    <w:autoRedefine/>
    <w:qFormat/>
    <w:uiPriority w:val="0"/>
    <w:pPr>
      <w:widowControl/>
      <w:jc w:val="center"/>
    </w:pPr>
    <w:rPr>
      <w:rFonts w:hAnsi="Calibri" w:cs="Times New Roman"/>
      <w:b/>
      <w:sz w:val="36"/>
    </w:rPr>
  </w:style>
  <w:style w:type="paragraph" w:customStyle="1" w:styleId="138">
    <w:name w:val="目录文字"/>
    <w:basedOn w:val="1"/>
    <w:autoRedefine/>
    <w:qFormat/>
    <w:uiPriority w:val="0"/>
    <w:pPr>
      <w:widowControl/>
      <w:spacing w:line="480" w:lineRule="auto"/>
      <w:jc w:val="left"/>
    </w:pPr>
    <w:rPr>
      <w:rFonts w:cs="Times New Roman"/>
      <w:sz w:val="24"/>
    </w:rPr>
  </w:style>
  <w:style w:type="character" w:customStyle="1" w:styleId="139">
    <w:name w:val="正文文本 2 Char"/>
    <w:basedOn w:val="57"/>
    <w:link w:val="47"/>
    <w:autoRedefine/>
    <w:qFormat/>
    <w:uiPriority w:val="0"/>
    <w:rPr>
      <w:rFonts w:hAnsi="Times New Roman" w:cs="Times New Roman"/>
      <w:spacing w:val="-20"/>
      <w:kern w:val="2"/>
      <w:sz w:val="28"/>
      <w:lang w:val="zh-CN" w:eastAsia="zh-CN"/>
    </w:rPr>
  </w:style>
  <w:style w:type="character" w:customStyle="1" w:styleId="140">
    <w:name w:val="正文文本 3 Char"/>
    <w:basedOn w:val="57"/>
    <w:link w:val="18"/>
    <w:autoRedefine/>
    <w:qFormat/>
    <w:uiPriority w:val="0"/>
    <w:rPr>
      <w:rFonts w:ascii="仿宋_GB2312" w:eastAsia="仿宋_GB2312" w:cs="Times New Roman"/>
      <w:bCs/>
      <w:color w:val="000000"/>
      <w:kern w:val="2"/>
      <w:sz w:val="24"/>
      <w:szCs w:val="32"/>
      <w:lang w:val="zh-CN" w:eastAsia="zh-CN"/>
    </w:rPr>
  </w:style>
  <w:style w:type="paragraph" w:customStyle="1" w:styleId="141">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rPr>
  </w:style>
  <w:style w:type="paragraph" w:customStyle="1" w:styleId="142">
    <w:name w:val="xl33"/>
    <w:basedOn w:val="1"/>
    <w:autoRedefine/>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28"/>
      <w:szCs w:val="28"/>
    </w:rPr>
  </w:style>
  <w:style w:type="character" w:customStyle="1" w:styleId="143">
    <w:name w:val="标题 Char"/>
    <w:basedOn w:val="57"/>
    <w:link w:val="51"/>
    <w:autoRedefine/>
    <w:qFormat/>
    <w:uiPriority w:val="0"/>
    <w:rPr>
      <w:rFonts w:eastAsia="黑体" w:cs="Times New Roman"/>
      <w:b/>
      <w:smallCaps/>
      <w:snapToGrid w:val="0"/>
      <w:kern w:val="2"/>
      <w:sz w:val="44"/>
      <w:szCs w:val="24"/>
      <w:lang w:val="zh-CN" w:eastAsia="zh-CN"/>
    </w:rPr>
  </w:style>
  <w:style w:type="paragraph" w:customStyle="1" w:styleId="144">
    <w:name w:val="段落1 Char"/>
    <w:basedOn w:val="28"/>
    <w:autoRedefine/>
    <w:qFormat/>
    <w:uiPriority w:val="0"/>
    <w:pPr>
      <w:spacing w:line="360" w:lineRule="auto"/>
    </w:pPr>
    <w:rPr>
      <w:rFonts w:ascii="Times New Roman" w:hAnsi="Times New Roman" w:eastAsia="宋体" w:cs="Times New Roman"/>
      <w:kern w:val="2"/>
      <w:sz w:val="24"/>
      <w:szCs w:val="21"/>
      <w:lang w:val="zh-CN"/>
    </w:rPr>
  </w:style>
  <w:style w:type="paragraph" w:customStyle="1" w:styleId="145">
    <w:name w:val="样式3"/>
    <w:basedOn w:val="1"/>
    <w:autoRedefine/>
    <w:qFormat/>
    <w:uiPriority w:val="0"/>
    <w:pPr>
      <w:tabs>
        <w:tab w:val="left" w:pos="560"/>
        <w:tab w:val="left" w:pos="1120"/>
      </w:tabs>
      <w:spacing w:line="480" w:lineRule="atLeast"/>
    </w:pPr>
    <w:rPr>
      <w:rFonts w:ascii="Calibri" w:hAnsi="Calibri" w:eastAsia="创艺简黑体" w:cs="Times New Roman"/>
      <w:b/>
      <w:kern w:val="2"/>
      <w:sz w:val="28"/>
    </w:rPr>
  </w:style>
  <w:style w:type="paragraph" w:customStyle="1" w:styleId="146">
    <w:name w:val="简单回函地址"/>
    <w:basedOn w:val="1"/>
    <w:autoRedefine/>
    <w:qFormat/>
    <w:uiPriority w:val="0"/>
    <w:rPr>
      <w:rFonts w:ascii="Calibri" w:hAnsi="Calibri" w:cs="Times New Roman"/>
      <w:kern w:val="2"/>
      <w:sz w:val="21"/>
      <w:szCs w:val="22"/>
    </w:rPr>
  </w:style>
  <w:style w:type="paragraph" w:customStyle="1" w:styleId="147">
    <w:name w:val="Char Char Char Char"/>
    <w:basedOn w:val="1"/>
    <w:autoRedefine/>
    <w:qFormat/>
    <w:uiPriority w:val="0"/>
    <w:pPr>
      <w:snapToGrid w:val="0"/>
      <w:spacing w:line="360" w:lineRule="auto"/>
      <w:ind w:firstLine="200" w:firstLineChars="200"/>
    </w:pPr>
    <w:rPr>
      <w:rFonts w:ascii="Calibri" w:hAnsi="Calibri" w:eastAsia="仿宋_GB2312" w:cs="Times New Roman"/>
      <w:kern w:val="2"/>
      <w:sz w:val="24"/>
      <w:szCs w:val="22"/>
    </w:rPr>
  </w:style>
  <w:style w:type="paragraph" w:customStyle="1" w:styleId="148">
    <w:name w:val="Default Paragraph Char Char Char Char"/>
    <w:basedOn w:val="1"/>
    <w:next w:val="1"/>
    <w:autoRedefine/>
    <w:qFormat/>
    <w:uiPriority w:val="0"/>
    <w:pPr>
      <w:widowControl/>
      <w:spacing w:line="360" w:lineRule="auto"/>
      <w:jc w:val="left"/>
    </w:pPr>
    <w:rPr>
      <w:rFonts w:ascii="Calibri" w:hAnsi="Calibri" w:cs="Times New Roman"/>
      <w:sz w:val="21"/>
      <w:lang w:eastAsia="en-US"/>
    </w:rPr>
  </w:style>
  <w:style w:type="character" w:customStyle="1" w:styleId="149">
    <w:name w:val="t_tag"/>
    <w:basedOn w:val="57"/>
    <w:autoRedefine/>
    <w:qFormat/>
    <w:uiPriority w:val="0"/>
  </w:style>
  <w:style w:type="table" w:customStyle="1" w:styleId="150">
    <w:name w:val="网格型11"/>
    <w:basedOn w:val="55"/>
    <w:autoRedefine/>
    <w:qFormat/>
    <w:uiPriority w:val="5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1">
    <w:name w:val="批注框文本 Char1"/>
    <w:basedOn w:val="57"/>
    <w:autoRedefine/>
    <w:qFormat/>
    <w:uiPriority w:val="0"/>
    <w:rPr>
      <w:rFonts w:ascii="Times New Roman" w:hAnsi="Times New Roman" w:eastAsia="宋体" w:cs="Times New Roman"/>
      <w:sz w:val="18"/>
      <w:szCs w:val="18"/>
    </w:rPr>
  </w:style>
  <w:style w:type="character" w:customStyle="1" w:styleId="152">
    <w:name w:val="批注主题 Char1"/>
    <w:basedOn w:val="91"/>
    <w:autoRedefine/>
    <w:qFormat/>
    <w:uiPriority w:val="0"/>
    <w:rPr>
      <w:rFonts w:ascii="@仿宋_GB2312" w:hAnsi="@仿宋_GB2312" w:eastAsia="@仿宋_GB2312" w:cs="@仿宋_GB2312"/>
      <w:b/>
      <w:bCs/>
      <w:szCs w:val="20"/>
    </w:rPr>
  </w:style>
  <w:style w:type="paragraph" w:customStyle="1" w:styleId="153">
    <w:name w:val="Char10 Char Char Char Char Char Char Char Char Char"/>
    <w:basedOn w:val="1"/>
    <w:next w:val="1"/>
    <w:autoRedefine/>
    <w:qFormat/>
    <w:uiPriority w:val="0"/>
    <w:rPr>
      <w:rFonts w:ascii="Calibri" w:hAnsi="Calibri" w:cs="Times New Roman"/>
      <w:kern w:val="2"/>
      <w:sz w:val="21"/>
      <w:szCs w:val="22"/>
    </w:rPr>
  </w:style>
  <w:style w:type="character" w:customStyle="1" w:styleId="154">
    <w:name w:val="文档结构图 Char"/>
    <w:basedOn w:val="57"/>
    <w:link w:val="15"/>
    <w:autoRedefine/>
    <w:qFormat/>
    <w:uiPriority w:val="0"/>
    <w:rPr>
      <w:rFonts w:ascii="Calibri" w:hAnsi="Calibri" w:cs="Times New Roman"/>
      <w:bCs/>
      <w:kern w:val="2"/>
      <w:sz w:val="21"/>
      <w:szCs w:val="32"/>
      <w:shd w:val="clear" w:color="auto" w:fill="000080"/>
      <w:lang w:val="zh-CN" w:eastAsia="zh-CN"/>
    </w:rPr>
  </w:style>
  <w:style w:type="character" w:customStyle="1" w:styleId="155">
    <w:name w:val="标题 1 Char1"/>
    <w:autoRedefine/>
    <w:qFormat/>
    <w:uiPriority w:val="0"/>
    <w:rPr>
      <w:rFonts w:ascii="Calibri" w:hAnsi="Calibri" w:eastAsia="宋体"/>
      <w:b/>
      <w:kern w:val="44"/>
      <w:sz w:val="44"/>
      <w:szCs w:val="44"/>
    </w:rPr>
  </w:style>
  <w:style w:type="character" w:customStyle="1" w:styleId="156">
    <w:name w:val="标题 3 Char1"/>
    <w:autoRedefine/>
    <w:semiHidden/>
    <w:qFormat/>
    <w:uiPriority w:val="0"/>
    <w:rPr>
      <w:rFonts w:ascii="Calibri" w:hAnsi="Calibri" w:eastAsia="宋体"/>
      <w:b/>
      <w:kern w:val="2"/>
      <w:sz w:val="32"/>
    </w:rPr>
  </w:style>
  <w:style w:type="character" w:customStyle="1" w:styleId="157">
    <w:name w:val="标题 4 Char1"/>
    <w:autoRedefine/>
    <w:semiHidden/>
    <w:qFormat/>
    <w:uiPriority w:val="0"/>
    <w:rPr>
      <w:rFonts w:ascii="Cambria" w:hAnsi="Cambria" w:eastAsia="宋体"/>
      <w:b/>
      <w:kern w:val="2"/>
      <w:sz w:val="28"/>
      <w:szCs w:val="28"/>
    </w:rPr>
  </w:style>
  <w:style w:type="character" w:customStyle="1" w:styleId="158">
    <w:name w:val="标题 5 Char1"/>
    <w:autoRedefine/>
    <w:semiHidden/>
    <w:qFormat/>
    <w:uiPriority w:val="0"/>
    <w:rPr>
      <w:rFonts w:ascii="Calibri" w:hAnsi="Calibri" w:eastAsia="宋体"/>
      <w:b/>
      <w:kern w:val="2"/>
      <w:sz w:val="28"/>
      <w:szCs w:val="28"/>
    </w:rPr>
  </w:style>
  <w:style w:type="character" w:customStyle="1" w:styleId="159">
    <w:name w:val="标题 6 Char1"/>
    <w:autoRedefine/>
    <w:semiHidden/>
    <w:qFormat/>
    <w:uiPriority w:val="0"/>
    <w:rPr>
      <w:rFonts w:ascii="Cambria" w:hAnsi="Cambria" w:eastAsia="宋体"/>
      <w:b/>
      <w:kern w:val="2"/>
      <w:sz w:val="24"/>
      <w:szCs w:val="24"/>
    </w:rPr>
  </w:style>
  <w:style w:type="character" w:customStyle="1" w:styleId="160">
    <w:name w:val="标题 7 Char1"/>
    <w:autoRedefine/>
    <w:semiHidden/>
    <w:qFormat/>
    <w:uiPriority w:val="0"/>
    <w:rPr>
      <w:rFonts w:ascii="Calibri" w:hAnsi="Calibri" w:eastAsia="宋体"/>
      <w:b/>
      <w:kern w:val="2"/>
      <w:sz w:val="24"/>
      <w:szCs w:val="24"/>
    </w:rPr>
  </w:style>
  <w:style w:type="character" w:customStyle="1" w:styleId="161">
    <w:name w:val="标题 8 Char1"/>
    <w:autoRedefine/>
    <w:semiHidden/>
    <w:qFormat/>
    <w:uiPriority w:val="0"/>
    <w:rPr>
      <w:rFonts w:ascii="Cambria" w:hAnsi="Cambria" w:eastAsia="宋体"/>
      <w:kern w:val="2"/>
      <w:sz w:val="24"/>
      <w:szCs w:val="24"/>
    </w:rPr>
  </w:style>
  <w:style w:type="character" w:customStyle="1" w:styleId="162">
    <w:name w:val="标题 9 Char1"/>
    <w:autoRedefine/>
    <w:semiHidden/>
    <w:qFormat/>
    <w:uiPriority w:val="0"/>
    <w:rPr>
      <w:rFonts w:ascii="Cambria" w:hAnsi="Cambria" w:eastAsia="宋体"/>
      <w:kern w:val="2"/>
      <w:sz w:val="21"/>
      <w:szCs w:val="21"/>
    </w:rPr>
  </w:style>
  <w:style w:type="paragraph" w:customStyle="1" w:styleId="163">
    <w:name w:val="MsoNormal"/>
    <w:basedOn w:val="164"/>
    <w:autoRedefine/>
    <w:qFormat/>
    <w:uiPriority w:val="0"/>
    <w:rPr>
      <w:rFonts w:ascii="Calibri" w:hAnsi="Calibri" w:eastAsia="Calibri"/>
      <w:sz w:val="21"/>
    </w:rPr>
  </w:style>
  <w:style w:type="paragraph" w:customStyle="1" w:styleId="164">
    <w:name w:val="Normal_0"/>
    <w:autoRedefine/>
    <w:qFormat/>
    <w:uiPriority w:val="0"/>
    <w:rPr>
      <w:rFonts w:ascii="Times New Roman" w:hAnsi="Times New Roman" w:eastAsia="宋体" w:cs="Times New Roman"/>
      <w:sz w:val="24"/>
      <w:szCs w:val="24"/>
      <w:lang w:val="en-US" w:eastAsia="zh-CN" w:bidi="ar-SA"/>
    </w:rPr>
  </w:style>
  <w:style w:type="paragraph" w:customStyle="1" w:styleId="165">
    <w:name w:val="标题 2_0"/>
    <w:basedOn w:val="166"/>
    <w:next w:val="167"/>
    <w:link w:val="168"/>
    <w:autoRedefine/>
    <w:qFormat/>
    <w:uiPriority w:val="0"/>
    <w:pPr>
      <w:keepNext/>
      <w:keepLines/>
      <w:spacing w:before="260" w:after="260" w:line="500" w:lineRule="exact"/>
      <w:jc w:val="center"/>
      <w:outlineLvl w:val="1"/>
    </w:pPr>
    <w:rPr>
      <w:rFonts w:ascii="黑体" w:hAnsi="宋体" w:eastAsia="黑体"/>
      <w:b/>
      <w:smallCaps/>
      <w:snapToGrid w:val="0"/>
      <w:kern w:val="0"/>
      <w:sz w:val="36"/>
      <w:lang w:val="zh-CN"/>
    </w:rPr>
  </w:style>
  <w:style w:type="paragraph" w:customStyle="1" w:styleId="166">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7">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8">
    <w:name w:val="标题 2 Char_0"/>
    <w:link w:val="165"/>
    <w:autoRedefine/>
    <w:qFormat/>
    <w:uiPriority w:val="0"/>
    <w:rPr>
      <w:rFonts w:ascii="黑体" w:eastAsia="黑体" w:cs="Times New Roman"/>
      <w:b/>
      <w:smallCaps/>
      <w:snapToGrid w:val="0"/>
      <w:sz w:val="36"/>
      <w:szCs w:val="24"/>
      <w:lang w:val="zh-CN" w:eastAsia="zh-CN"/>
    </w:rPr>
  </w:style>
  <w:style w:type="paragraph" w:customStyle="1" w:styleId="169">
    <w:name w:val="纯文本_0"/>
    <w:basedOn w:val="167"/>
    <w:link w:val="170"/>
    <w:autoRedefine/>
    <w:qFormat/>
    <w:uiPriority w:val="99"/>
    <w:rPr>
      <w:rFonts w:ascii="宋体" w:hAnsi="Courier New"/>
      <w:szCs w:val="21"/>
    </w:rPr>
  </w:style>
  <w:style w:type="character" w:customStyle="1" w:styleId="170">
    <w:name w:val="Texte Char1"/>
    <w:link w:val="169"/>
    <w:autoRedefine/>
    <w:qFormat/>
    <w:uiPriority w:val="99"/>
    <w:rPr>
      <w:rFonts w:hAnsi="Courier New" w:cs="Times New Roman"/>
      <w:kern w:val="2"/>
      <w:sz w:val="21"/>
      <w:szCs w:val="21"/>
    </w:rPr>
  </w:style>
  <w:style w:type="paragraph" w:customStyle="1" w:styleId="171">
    <w:name w:val="纯文本_1"/>
    <w:basedOn w:val="172"/>
    <w:link w:val="173"/>
    <w:autoRedefine/>
    <w:qFormat/>
    <w:uiPriority w:val="0"/>
    <w:rPr>
      <w:rFonts w:ascii="宋体" w:hAnsi="Courier New"/>
      <w:szCs w:val="21"/>
      <w:lang w:val="zh-CN"/>
    </w:rPr>
  </w:style>
  <w:style w:type="paragraph" w:customStyle="1" w:styleId="172">
    <w:name w:val="正文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3">
    <w:name w:val="纯文本 Char1_0"/>
    <w:link w:val="171"/>
    <w:autoRedefine/>
    <w:qFormat/>
    <w:uiPriority w:val="0"/>
    <w:rPr>
      <w:rFonts w:hAnsi="Courier New" w:cs="Times New Roman"/>
      <w:kern w:val="2"/>
      <w:sz w:val="21"/>
      <w:szCs w:val="21"/>
      <w:lang w:val="zh-CN" w:eastAsia="zh-CN"/>
    </w:rPr>
  </w:style>
  <w:style w:type="paragraph" w:customStyle="1" w:styleId="174">
    <w:name w:val="标题 3_0"/>
    <w:basedOn w:val="175"/>
    <w:next w:val="176"/>
    <w:link w:val="187"/>
    <w:autoRedefine/>
    <w:qFormat/>
    <w:uiPriority w:val="0"/>
    <w:pPr>
      <w:keepNext/>
      <w:keepLines/>
      <w:widowControl/>
      <w:numPr>
        <w:ilvl w:val="2"/>
        <w:numId w:val="1"/>
      </w:numPr>
      <w:spacing w:before="120" w:after="120" w:line="360" w:lineRule="auto"/>
      <w:jc w:val="center"/>
      <w:outlineLvl w:val="2"/>
    </w:pPr>
    <w:rPr>
      <w:b/>
      <w:kern w:val="0"/>
      <w:sz w:val="32"/>
      <w:szCs w:val="20"/>
      <w:lang w:val="zh-CN"/>
    </w:rPr>
  </w:style>
  <w:style w:type="paragraph" w:customStyle="1" w:styleId="175">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正文缩进_0"/>
    <w:basedOn w:val="175"/>
    <w:autoRedefine/>
    <w:unhideWhenUsed/>
    <w:qFormat/>
    <w:uiPriority w:val="0"/>
    <w:pPr>
      <w:ind w:firstLine="420" w:firstLineChars="200"/>
    </w:pPr>
    <w:rPr>
      <w:rFonts w:ascii="Calibri" w:hAnsi="Calibri"/>
      <w:bCs/>
      <w:szCs w:val="32"/>
    </w:rPr>
  </w:style>
  <w:style w:type="paragraph" w:customStyle="1" w:styleId="177">
    <w:name w:val="标题 1_0"/>
    <w:basedOn w:val="175"/>
    <w:next w:val="175"/>
    <w:link w:val="178"/>
    <w:autoRedefine/>
    <w:qFormat/>
    <w:uiPriority w:val="0"/>
    <w:pPr>
      <w:keepNext/>
      <w:widowControl/>
      <w:numPr>
        <w:ilvl w:val="0"/>
        <w:numId w:val="1"/>
      </w:numPr>
      <w:jc w:val="center"/>
      <w:outlineLvl w:val="0"/>
    </w:pPr>
    <w:rPr>
      <w:rFonts w:ascii="黑体" w:eastAsia="黑体"/>
      <w:kern w:val="0"/>
      <w:sz w:val="52"/>
      <w:szCs w:val="20"/>
      <w:lang w:val="zh-CN"/>
    </w:rPr>
  </w:style>
  <w:style w:type="character" w:customStyle="1" w:styleId="178">
    <w:name w:val="标题 1 Char_0"/>
    <w:link w:val="177"/>
    <w:autoRedefine/>
    <w:qFormat/>
    <w:uiPriority w:val="0"/>
    <w:rPr>
      <w:rFonts w:ascii="黑体" w:hAnsi="Times New Roman" w:eastAsia="黑体" w:cs="Times New Roman"/>
      <w:sz w:val="52"/>
      <w:lang w:val="zh-CN" w:eastAsia="zh-CN"/>
    </w:rPr>
  </w:style>
  <w:style w:type="paragraph" w:customStyle="1" w:styleId="179">
    <w:name w:val="标题 6_0"/>
    <w:basedOn w:val="175"/>
    <w:next w:val="175"/>
    <w:link w:val="180"/>
    <w:autoRedefine/>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lang w:val="zh-CN"/>
    </w:rPr>
  </w:style>
  <w:style w:type="character" w:customStyle="1" w:styleId="180">
    <w:name w:val="标题 6 Char_0"/>
    <w:link w:val="179"/>
    <w:autoRedefine/>
    <w:qFormat/>
    <w:uiPriority w:val="0"/>
    <w:rPr>
      <w:rFonts w:ascii="Arial" w:hAnsi="Arial" w:eastAsia="黑体" w:cs="Times New Roman"/>
      <w:b/>
      <w:bCs/>
      <w:sz w:val="24"/>
      <w:szCs w:val="24"/>
      <w:lang w:val="zh-CN" w:eastAsia="zh-CN"/>
    </w:rPr>
  </w:style>
  <w:style w:type="paragraph" w:customStyle="1" w:styleId="181">
    <w:name w:val="标题 7_0"/>
    <w:basedOn w:val="175"/>
    <w:next w:val="175"/>
    <w:link w:val="182"/>
    <w:autoRedefine/>
    <w:qFormat/>
    <w:uiPriority w:val="0"/>
    <w:pPr>
      <w:keepNext/>
      <w:keepLines/>
      <w:widowControl/>
      <w:numPr>
        <w:ilvl w:val="6"/>
        <w:numId w:val="1"/>
      </w:numPr>
      <w:spacing w:before="240" w:after="64" w:line="320" w:lineRule="auto"/>
      <w:jc w:val="left"/>
      <w:outlineLvl w:val="6"/>
    </w:pPr>
    <w:rPr>
      <w:b/>
      <w:bCs/>
      <w:kern w:val="0"/>
      <w:sz w:val="24"/>
      <w:lang w:val="zh-CN"/>
    </w:rPr>
  </w:style>
  <w:style w:type="character" w:customStyle="1" w:styleId="182">
    <w:name w:val="标题 7 Char_0"/>
    <w:link w:val="181"/>
    <w:autoRedefine/>
    <w:qFormat/>
    <w:uiPriority w:val="0"/>
    <w:rPr>
      <w:rFonts w:ascii="Times New Roman" w:hAnsi="Times New Roman" w:cs="Times New Roman"/>
      <w:b/>
      <w:bCs/>
      <w:sz w:val="24"/>
      <w:szCs w:val="24"/>
      <w:lang w:val="zh-CN" w:eastAsia="zh-CN"/>
    </w:rPr>
  </w:style>
  <w:style w:type="paragraph" w:customStyle="1" w:styleId="183">
    <w:name w:val="标题 8_0"/>
    <w:basedOn w:val="175"/>
    <w:next w:val="175"/>
    <w:link w:val="184"/>
    <w:autoRedefine/>
    <w:qFormat/>
    <w:uiPriority w:val="0"/>
    <w:pPr>
      <w:keepNext/>
      <w:keepLines/>
      <w:widowControl/>
      <w:numPr>
        <w:ilvl w:val="7"/>
        <w:numId w:val="1"/>
      </w:numPr>
      <w:spacing w:before="240" w:after="64" w:line="320" w:lineRule="auto"/>
      <w:jc w:val="left"/>
      <w:outlineLvl w:val="7"/>
    </w:pPr>
    <w:rPr>
      <w:rFonts w:ascii="Arial" w:hAnsi="Arial" w:eastAsia="黑体"/>
      <w:kern w:val="0"/>
      <w:sz w:val="24"/>
      <w:lang w:val="zh-CN"/>
    </w:rPr>
  </w:style>
  <w:style w:type="character" w:customStyle="1" w:styleId="184">
    <w:name w:val="标题 8 Char_0"/>
    <w:link w:val="183"/>
    <w:autoRedefine/>
    <w:qFormat/>
    <w:uiPriority w:val="0"/>
    <w:rPr>
      <w:rFonts w:ascii="Arial" w:hAnsi="Arial" w:eastAsia="黑体" w:cs="Times New Roman"/>
      <w:sz w:val="24"/>
      <w:szCs w:val="24"/>
      <w:lang w:val="zh-CN" w:eastAsia="zh-CN"/>
    </w:rPr>
  </w:style>
  <w:style w:type="paragraph" w:customStyle="1" w:styleId="185">
    <w:name w:val="标题 9_0"/>
    <w:basedOn w:val="175"/>
    <w:next w:val="175"/>
    <w:link w:val="186"/>
    <w:autoRedefine/>
    <w:qFormat/>
    <w:uiPriority w:val="0"/>
    <w:pPr>
      <w:keepNext/>
      <w:keepLines/>
      <w:widowControl/>
      <w:numPr>
        <w:ilvl w:val="8"/>
        <w:numId w:val="1"/>
      </w:numPr>
      <w:spacing w:before="240" w:after="64" w:line="320" w:lineRule="auto"/>
      <w:jc w:val="left"/>
      <w:outlineLvl w:val="8"/>
    </w:pPr>
    <w:rPr>
      <w:rFonts w:ascii="Arial" w:hAnsi="Arial" w:eastAsia="黑体"/>
      <w:kern w:val="0"/>
      <w:szCs w:val="21"/>
      <w:lang w:val="zh-CN"/>
    </w:rPr>
  </w:style>
  <w:style w:type="character" w:customStyle="1" w:styleId="186">
    <w:name w:val="标题 9 Char_0"/>
    <w:link w:val="185"/>
    <w:autoRedefine/>
    <w:qFormat/>
    <w:uiPriority w:val="0"/>
    <w:rPr>
      <w:rFonts w:ascii="Arial" w:hAnsi="Arial" w:eastAsia="黑体" w:cs="Times New Roman"/>
      <w:sz w:val="21"/>
      <w:szCs w:val="21"/>
      <w:lang w:val="zh-CN" w:eastAsia="zh-CN"/>
    </w:rPr>
  </w:style>
  <w:style w:type="character" w:customStyle="1" w:styleId="187">
    <w:name w:val="标题 3 Char_0"/>
    <w:link w:val="174"/>
    <w:autoRedefine/>
    <w:qFormat/>
    <w:uiPriority w:val="0"/>
    <w:rPr>
      <w:rFonts w:ascii="Times New Roman" w:hAnsi="Times New Roman" w:cs="Times New Roman"/>
      <w:b/>
      <w:sz w:val="32"/>
      <w:lang w:val="zh-CN" w:eastAsia="zh-CN"/>
    </w:rPr>
  </w:style>
  <w:style w:type="paragraph" w:customStyle="1" w:styleId="188">
    <w:name w:val="Blockquote_0"/>
    <w:basedOn w:val="175"/>
    <w:link w:val="189"/>
    <w:autoRedefine/>
    <w:qFormat/>
    <w:uiPriority w:val="0"/>
    <w:pPr>
      <w:autoSpaceDE w:val="0"/>
      <w:autoSpaceDN w:val="0"/>
      <w:adjustRightInd w:val="0"/>
      <w:spacing w:before="100" w:after="100"/>
      <w:ind w:left="360" w:right="360"/>
      <w:jc w:val="left"/>
    </w:pPr>
    <w:rPr>
      <w:kern w:val="0"/>
      <w:sz w:val="24"/>
      <w:szCs w:val="20"/>
      <w:lang w:val="zh-CN"/>
    </w:rPr>
  </w:style>
  <w:style w:type="character" w:customStyle="1" w:styleId="189">
    <w:name w:val="Blockquote Char_0"/>
    <w:link w:val="188"/>
    <w:autoRedefine/>
    <w:qFormat/>
    <w:locked/>
    <w:uiPriority w:val="0"/>
    <w:rPr>
      <w:rFonts w:ascii="Times New Roman" w:hAnsi="Times New Roman" w:cs="Times New Roman"/>
      <w:sz w:val="24"/>
      <w:lang w:val="zh-CN" w:eastAsia="zh-CN"/>
    </w:rPr>
  </w:style>
  <w:style w:type="paragraph" w:customStyle="1" w:styleId="190">
    <w:name w:val="标题 4_0"/>
    <w:basedOn w:val="175"/>
    <w:next w:val="175"/>
    <w:link w:val="191"/>
    <w:autoRedefine/>
    <w:qFormat/>
    <w:uiPriority w:val="0"/>
    <w:pPr>
      <w:keepNext/>
      <w:keepLines/>
      <w:widowControl/>
      <w:spacing w:before="120" w:after="120" w:line="360" w:lineRule="auto"/>
      <w:jc w:val="center"/>
      <w:outlineLvl w:val="3"/>
    </w:pPr>
    <w:rPr>
      <w:rFonts w:ascii="Arial" w:hAnsi="Arial" w:eastAsia="黑体"/>
      <w:kern w:val="0"/>
      <w:sz w:val="28"/>
      <w:szCs w:val="20"/>
      <w:lang w:val="zh-CN"/>
    </w:rPr>
  </w:style>
  <w:style w:type="character" w:customStyle="1" w:styleId="191">
    <w:name w:val="标题 4 Char_0"/>
    <w:link w:val="190"/>
    <w:autoRedefine/>
    <w:qFormat/>
    <w:uiPriority w:val="0"/>
    <w:rPr>
      <w:rFonts w:ascii="Arial" w:hAnsi="Arial" w:eastAsia="黑体" w:cs="Times New Roman"/>
      <w:sz w:val="28"/>
      <w:lang w:val="zh-CN" w:eastAsia="zh-CN"/>
    </w:rPr>
  </w:style>
  <w:style w:type="paragraph" w:customStyle="1" w:styleId="192">
    <w:name w:val="纯文本_2"/>
    <w:basedOn w:val="175"/>
    <w:link w:val="193"/>
    <w:autoRedefine/>
    <w:qFormat/>
    <w:uiPriority w:val="0"/>
    <w:rPr>
      <w:rFonts w:ascii="宋体" w:hAnsi="Courier New"/>
      <w:szCs w:val="21"/>
      <w:lang w:val="zh-CN"/>
    </w:rPr>
  </w:style>
  <w:style w:type="character" w:customStyle="1" w:styleId="193">
    <w:name w:val="纯文本 Char1_1"/>
    <w:link w:val="192"/>
    <w:autoRedefine/>
    <w:qFormat/>
    <w:uiPriority w:val="0"/>
    <w:rPr>
      <w:rFonts w:hAnsi="Courier New" w:cs="Times New Roman"/>
      <w:kern w:val="2"/>
      <w:sz w:val="21"/>
      <w:szCs w:val="21"/>
      <w:lang w:val="zh-CN" w:eastAsia="zh-CN"/>
    </w:rPr>
  </w:style>
  <w:style w:type="paragraph" w:customStyle="1" w:styleId="194">
    <w:name w:val="Blockquote_0_1"/>
    <w:basedOn w:val="195"/>
    <w:link w:val="196"/>
    <w:autoRedefine/>
    <w:qFormat/>
    <w:uiPriority w:val="0"/>
    <w:pPr>
      <w:autoSpaceDE w:val="0"/>
      <w:autoSpaceDN w:val="0"/>
      <w:adjustRightInd w:val="0"/>
      <w:spacing w:before="100" w:after="100"/>
      <w:ind w:left="360" w:right="360"/>
      <w:jc w:val="left"/>
    </w:pPr>
    <w:rPr>
      <w:kern w:val="0"/>
      <w:sz w:val="24"/>
      <w:szCs w:val="20"/>
      <w:lang w:val="zh-CN"/>
    </w:rPr>
  </w:style>
  <w:style w:type="paragraph" w:customStyle="1" w:styleId="195">
    <w:name w:val="正文_1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6">
    <w:name w:val="Blockquote Char_0_1"/>
    <w:link w:val="194"/>
    <w:autoRedefine/>
    <w:qFormat/>
    <w:locked/>
    <w:uiPriority w:val="0"/>
    <w:rPr>
      <w:rFonts w:ascii="Times New Roman" w:hAnsi="Times New Roman" w:cs="Times New Roman"/>
      <w:sz w:val="24"/>
      <w:lang w:val="zh-CN" w:eastAsia="zh-CN"/>
    </w:rPr>
  </w:style>
  <w:style w:type="paragraph" w:customStyle="1" w:styleId="197">
    <w:name w:val="正文文本_0"/>
    <w:basedOn w:val="175"/>
    <w:link w:val="198"/>
    <w:autoRedefine/>
    <w:qFormat/>
    <w:uiPriority w:val="0"/>
    <w:pPr>
      <w:spacing w:after="120"/>
    </w:pPr>
    <w:rPr>
      <w:lang w:val="zh-CN"/>
    </w:rPr>
  </w:style>
  <w:style w:type="character" w:customStyle="1" w:styleId="198">
    <w:name w:val="正文文本 Char_0"/>
    <w:link w:val="197"/>
    <w:autoRedefine/>
    <w:qFormat/>
    <w:uiPriority w:val="0"/>
    <w:rPr>
      <w:rFonts w:ascii="Times New Roman" w:hAnsi="Times New Roman" w:cs="Times New Roman"/>
      <w:kern w:val="2"/>
      <w:sz w:val="21"/>
      <w:szCs w:val="24"/>
      <w:lang w:val="zh-CN" w:eastAsia="zh-CN"/>
    </w:rPr>
  </w:style>
  <w:style w:type="paragraph" w:customStyle="1" w:styleId="199">
    <w:name w:val="普通(网站)_0"/>
    <w:basedOn w:val="175"/>
    <w:autoRedefine/>
    <w:qFormat/>
    <w:uiPriority w:val="0"/>
    <w:pPr>
      <w:widowControl/>
      <w:spacing w:before="100" w:beforeAutospacing="1" w:after="100" w:afterAutospacing="1"/>
      <w:jc w:val="left"/>
    </w:pPr>
    <w:rPr>
      <w:rFonts w:ascii="宋体" w:hAnsi="宋体"/>
      <w:kern w:val="0"/>
      <w:sz w:val="24"/>
    </w:rPr>
  </w:style>
  <w:style w:type="paragraph" w:customStyle="1" w:styleId="200">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1">
    <w:name w:val="正文_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2">
    <w:name w:val="脚注文本_0"/>
    <w:basedOn w:val="124"/>
    <w:link w:val="203"/>
    <w:autoRedefine/>
    <w:unhideWhenUsed/>
    <w:qFormat/>
    <w:uiPriority w:val="0"/>
    <w:pPr>
      <w:adjustRightInd w:val="0"/>
      <w:snapToGrid w:val="0"/>
      <w:spacing w:line="420" w:lineRule="atLeast"/>
      <w:ind w:firstLine="454"/>
      <w:jc w:val="left"/>
    </w:pPr>
    <w:rPr>
      <w:rFonts w:ascii="Times New Roman" w:hAnsi="Times New Roman"/>
      <w:kern w:val="0"/>
      <w:sz w:val="18"/>
      <w:szCs w:val="20"/>
      <w:lang w:val="zh-CN"/>
    </w:rPr>
  </w:style>
  <w:style w:type="character" w:customStyle="1" w:styleId="203">
    <w:name w:val="脚注文本 Char_0"/>
    <w:link w:val="202"/>
    <w:autoRedefine/>
    <w:qFormat/>
    <w:uiPriority w:val="0"/>
    <w:rPr>
      <w:rFonts w:ascii="Times New Roman" w:hAnsi="Times New Roman" w:cs="Times New Roman"/>
      <w:sz w:val="18"/>
      <w:lang w:val="zh-CN" w:eastAsia="zh-CN"/>
    </w:rPr>
  </w:style>
  <w:style w:type="paragraph" w:customStyle="1" w:styleId="204">
    <w:name w:val="font5"/>
    <w:basedOn w:val="1"/>
    <w:autoRedefine/>
    <w:qFormat/>
    <w:uiPriority w:val="0"/>
    <w:pPr>
      <w:widowControl/>
      <w:spacing w:before="100" w:beforeAutospacing="1" w:after="100" w:afterAutospacing="1"/>
      <w:jc w:val="left"/>
    </w:pPr>
    <w:rPr>
      <w:rFonts w:hint="eastAsia" w:cs="Times New Roman"/>
      <w:sz w:val="18"/>
      <w:szCs w:val="18"/>
    </w:rPr>
  </w:style>
  <w:style w:type="paragraph" w:customStyle="1" w:styleId="205">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6">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7">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08">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18"/>
      <w:szCs w:val="18"/>
    </w:rPr>
  </w:style>
  <w:style w:type="paragraph" w:customStyle="1" w:styleId="20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10">
    <w:name w:val="xl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1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4"/>
      <w:szCs w:val="24"/>
    </w:rPr>
  </w:style>
  <w:style w:type="paragraph" w:customStyle="1" w:styleId="212">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13">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214">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15">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2"/>
      <w:szCs w:val="22"/>
    </w:rPr>
  </w:style>
  <w:style w:type="paragraph" w:customStyle="1" w:styleId="216">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24"/>
      <w:szCs w:val="24"/>
    </w:rPr>
  </w:style>
  <w:style w:type="paragraph" w:customStyle="1" w:styleId="217">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18">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9">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20">
    <w:name w:val="xl4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21">
    <w:name w:val="xl42"/>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22">
    <w:name w:val="xl43"/>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23">
    <w:name w:val="xl44"/>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24">
    <w:name w:val="xl45"/>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25">
    <w:name w:val="font6"/>
    <w:basedOn w:val="1"/>
    <w:autoRedefine/>
    <w:qFormat/>
    <w:uiPriority w:val="0"/>
    <w:pPr>
      <w:widowControl/>
      <w:spacing w:before="100" w:beforeAutospacing="1" w:after="100" w:afterAutospacing="1"/>
      <w:jc w:val="left"/>
    </w:pPr>
    <w:rPr>
      <w:rFonts w:ascii="Times New Roman" w:hAnsi="Times New Roman" w:cs="Times New Roman"/>
      <w:sz w:val="18"/>
      <w:szCs w:val="18"/>
    </w:rPr>
  </w:style>
  <w:style w:type="paragraph" w:customStyle="1" w:styleId="226">
    <w:name w:val="Char Char Char Char Char"/>
    <w:basedOn w:val="1"/>
    <w:autoRedefine/>
    <w:qFormat/>
    <w:uiPriority w:val="0"/>
    <w:rPr>
      <w:rFonts w:ascii="Tahoma" w:hAnsi="Tahoma" w:cs="Times New Roman"/>
      <w:kern w:val="2"/>
      <w:sz w:val="24"/>
    </w:rPr>
  </w:style>
  <w:style w:type="paragraph" w:customStyle="1" w:styleId="227">
    <w:name w:val="范本目录"/>
    <w:basedOn w:val="1"/>
    <w:autoRedefine/>
    <w:qFormat/>
    <w:uiPriority w:val="0"/>
    <w:pPr>
      <w:adjustRightInd w:val="0"/>
      <w:snapToGrid w:val="0"/>
      <w:spacing w:before="48" w:beforeLines="20" w:after="48" w:afterLines="20" w:line="540" w:lineRule="exact"/>
      <w:jc w:val="center"/>
    </w:pPr>
    <w:rPr>
      <w:rFonts w:ascii="Times New Roman" w:cs="Times New Roman"/>
      <w:b/>
      <w:bCs/>
      <w:kern w:val="2"/>
      <w:sz w:val="36"/>
      <w:szCs w:val="24"/>
    </w:rPr>
  </w:style>
  <w:style w:type="character" w:customStyle="1" w:styleId="228">
    <w:name w:val="副标题 Char"/>
    <w:basedOn w:val="57"/>
    <w:link w:val="40"/>
    <w:autoRedefine/>
    <w:qFormat/>
    <w:uiPriority w:val="0"/>
    <w:rPr>
      <w:rFonts w:ascii="Arial" w:hAnsi="Arial" w:cs="Times New Roman"/>
      <w:b/>
      <w:bCs/>
      <w:kern w:val="28"/>
      <w:sz w:val="32"/>
      <w:szCs w:val="32"/>
      <w:lang w:val="zh-CN" w:eastAsia="zh-CN"/>
    </w:rPr>
  </w:style>
  <w:style w:type="character" w:customStyle="1" w:styleId="229">
    <w:name w:val="Char Char"/>
    <w:autoRedefine/>
    <w:qFormat/>
    <w:uiPriority w:val="0"/>
    <w:rPr>
      <w:rFonts w:ascii="宋体" w:hAnsi="Courier New" w:eastAsia="宋体" w:cs="Courier New"/>
      <w:kern w:val="2"/>
      <w:sz w:val="21"/>
      <w:szCs w:val="21"/>
      <w:lang w:val="en-US" w:eastAsia="zh-CN" w:bidi="ar-SA"/>
    </w:rPr>
  </w:style>
  <w:style w:type="character" w:customStyle="1" w:styleId="230">
    <w:name w:val="标题4 Char Char"/>
    <w:link w:val="231"/>
    <w:autoRedefine/>
    <w:qFormat/>
    <w:uiPriority w:val="0"/>
    <w:rPr>
      <w:rFonts w:ascii="Arial" w:hAnsi="Arial"/>
      <w:b/>
      <w:bCs/>
      <w:sz w:val="24"/>
      <w:szCs w:val="32"/>
    </w:rPr>
  </w:style>
  <w:style w:type="paragraph" w:customStyle="1" w:styleId="231">
    <w:name w:val="标题4"/>
    <w:basedOn w:val="3"/>
    <w:next w:val="25"/>
    <w:link w:val="230"/>
    <w:autoRedefine/>
    <w:qFormat/>
    <w:uiPriority w:val="0"/>
    <w:pPr>
      <w:spacing w:before="0" w:after="0" w:line="413" w:lineRule="auto"/>
    </w:pPr>
    <w:rPr>
      <w:rFonts w:ascii="Arial" w:hAnsi="Arial" w:cstheme="minorBidi"/>
      <w:kern w:val="0"/>
      <w:sz w:val="24"/>
      <w:lang w:val="en-US"/>
    </w:rPr>
  </w:style>
  <w:style w:type="character" w:customStyle="1" w:styleId="232">
    <w:name w:val="明显引用 Char"/>
    <w:link w:val="233"/>
    <w:autoRedefine/>
    <w:qFormat/>
    <w:uiPriority w:val="0"/>
    <w:rPr>
      <w:b/>
      <w:bCs/>
      <w:i/>
      <w:iCs/>
      <w:color w:val="4F81BD"/>
    </w:rPr>
  </w:style>
  <w:style w:type="paragraph" w:styleId="233">
    <w:name w:val="Intense Quote"/>
    <w:basedOn w:val="1"/>
    <w:next w:val="1"/>
    <w:link w:val="232"/>
    <w:autoRedefine/>
    <w:qFormat/>
    <w:uiPriority w:val="0"/>
    <w:pPr>
      <w:pBdr>
        <w:bottom w:val="single" w:color="4F81BD" w:themeColor="accent1" w:sz="4" w:space="4"/>
      </w:pBdr>
      <w:spacing w:before="200" w:after="280"/>
      <w:ind w:left="936" w:right="936"/>
    </w:pPr>
    <w:rPr>
      <w:b/>
      <w:bCs/>
      <w:i/>
      <w:iCs/>
      <w:color w:val="4F81BD"/>
    </w:rPr>
  </w:style>
  <w:style w:type="paragraph" w:customStyle="1" w:styleId="234">
    <w:name w:val="明显引用1"/>
    <w:basedOn w:val="1"/>
    <w:next w:val="1"/>
    <w:autoRedefine/>
    <w:qFormat/>
    <w:uiPriority w:val="0"/>
    <w:pPr>
      <w:pBdr>
        <w:bottom w:val="single" w:color="4F81BD" w:sz="4" w:space="4"/>
      </w:pBdr>
      <w:spacing w:before="200" w:after="280"/>
      <w:ind w:left="936" w:right="936"/>
    </w:pPr>
    <w:rPr>
      <w:rFonts w:ascii="Calibri" w:hAnsi="Calibri" w:cs="Times New Roman"/>
      <w:b/>
      <w:bCs/>
      <w:i/>
      <w:iCs/>
      <w:color w:val="4F81BD"/>
      <w:kern w:val="2"/>
      <w:sz w:val="21"/>
      <w:szCs w:val="22"/>
    </w:rPr>
  </w:style>
  <w:style w:type="character" w:customStyle="1" w:styleId="235">
    <w:name w:val="明显引用 Char1"/>
    <w:basedOn w:val="57"/>
    <w:autoRedefine/>
    <w:qFormat/>
    <w:uiPriority w:val="30"/>
    <w:rPr>
      <w:rFonts w:ascii="Times New Roman" w:hAnsi="Times New Roman" w:eastAsia="宋体" w:cs="Times New Roman"/>
      <w:i/>
      <w:iCs/>
      <w:color w:val="5B9BD5"/>
      <w:szCs w:val="24"/>
    </w:rPr>
  </w:style>
  <w:style w:type="character" w:customStyle="1" w:styleId="236">
    <w:name w:val="标题5 Char Char"/>
    <w:link w:val="237"/>
    <w:autoRedefine/>
    <w:qFormat/>
    <w:uiPriority w:val="0"/>
    <w:rPr>
      <w:rFonts w:ascii="Arial" w:hAnsi="Arial"/>
      <w:b/>
      <w:bCs/>
      <w:sz w:val="24"/>
      <w:szCs w:val="32"/>
    </w:rPr>
  </w:style>
  <w:style w:type="paragraph" w:customStyle="1" w:styleId="237">
    <w:name w:val="标题5"/>
    <w:basedOn w:val="4"/>
    <w:link w:val="236"/>
    <w:autoRedefine/>
    <w:qFormat/>
    <w:uiPriority w:val="0"/>
    <w:pPr>
      <w:spacing w:line="413" w:lineRule="auto"/>
      <w:jc w:val="left"/>
    </w:pPr>
    <w:rPr>
      <w:rFonts w:ascii="Arial" w:hAnsi="Arial"/>
      <w:sz w:val="24"/>
    </w:rPr>
  </w:style>
  <w:style w:type="character" w:customStyle="1" w:styleId="238">
    <w:name w:val="引用 Char"/>
    <w:link w:val="239"/>
    <w:autoRedefine/>
    <w:qFormat/>
    <w:uiPriority w:val="0"/>
    <w:rPr>
      <w:i/>
      <w:iCs/>
      <w:color w:val="000000"/>
    </w:rPr>
  </w:style>
  <w:style w:type="paragraph" w:styleId="239">
    <w:name w:val="Quote"/>
    <w:basedOn w:val="1"/>
    <w:next w:val="1"/>
    <w:link w:val="238"/>
    <w:autoRedefine/>
    <w:qFormat/>
    <w:uiPriority w:val="0"/>
    <w:rPr>
      <w:i/>
      <w:iCs/>
      <w:color w:val="000000"/>
    </w:rPr>
  </w:style>
  <w:style w:type="paragraph" w:customStyle="1" w:styleId="240">
    <w:name w:val="引用1"/>
    <w:basedOn w:val="1"/>
    <w:next w:val="1"/>
    <w:autoRedefine/>
    <w:qFormat/>
    <w:uiPriority w:val="0"/>
    <w:rPr>
      <w:rFonts w:ascii="Calibri" w:hAnsi="Calibri" w:cs="Times New Roman"/>
      <w:i/>
      <w:iCs/>
      <w:color w:val="000000"/>
      <w:kern w:val="2"/>
      <w:sz w:val="21"/>
      <w:szCs w:val="22"/>
    </w:rPr>
  </w:style>
  <w:style w:type="character" w:customStyle="1" w:styleId="241">
    <w:name w:val="引用 Char1"/>
    <w:basedOn w:val="57"/>
    <w:autoRedefine/>
    <w:qFormat/>
    <w:uiPriority w:val="29"/>
    <w:rPr>
      <w:rFonts w:ascii="Times New Roman" w:hAnsi="Times New Roman" w:eastAsia="宋体" w:cs="Times New Roman"/>
      <w:i/>
      <w:iCs/>
      <w:color w:val="404040"/>
      <w:szCs w:val="24"/>
    </w:rPr>
  </w:style>
  <w:style w:type="character" w:customStyle="1" w:styleId="242">
    <w:name w:val="ask-title2"/>
    <w:autoRedefine/>
    <w:qFormat/>
    <w:uiPriority w:val="0"/>
  </w:style>
  <w:style w:type="character" w:customStyle="1" w:styleId="243">
    <w:name w:val="正文文本 Char1"/>
    <w:autoRedefine/>
    <w:qFormat/>
    <w:uiPriority w:val="0"/>
    <w:rPr>
      <w:kern w:val="2"/>
      <w:sz w:val="21"/>
      <w:szCs w:val="22"/>
    </w:rPr>
  </w:style>
  <w:style w:type="character" w:customStyle="1" w:styleId="244">
    <w:name w:val="不明显强调1"/>
    <w:autoRedefine/>
    <w:qFormat/>
    <w:uiPriority w:val="0"/>
    <w:rPr>
      <w:i/>
      <w:iCs/>
      <w:color w:val="808080"/>
    </w:rPr>
  </w:style>
  <w:style w:type="character" w:customStyle="1" w:styleId="245">
    <w:name w:val="明显参考1"/>
    <w:autoRedefine/>
    <w:qFormat/>
    <w:uiPriority w:val="0"/>
    <w:rPr>
      <w:b/>
      <w:bCs/>
      <w:smallCaps/>
      <w:color w:val="C0504D"/>
      <w:spacing w:val="5"/>
      <w:u w:val="single"/>
    </w:rPr>
  </w:style>
  <w:style w:type="character" w:customStyle="1" w:styleId="246">
    <w:name w:val="书籍标题1"/>
    <w:autoRedefine/>
    <w:qFormat/>
    <w:uiPriority w:val="0"/>
    <w:rPr>
      <w:b/>
      <w:bCs/>
      <w:smallCaps/>
      <w:spacing w:val="5"/>
    </w:rPr>
  </w:style>
  <w:style w:type="character" w:customStyle="1" w:styleId="247">
    <w:name w:val="日期 Char1"/>
    <w:autoRedefine/>
    <w:qFormat/>
    <w:uiPriority w:val="0"/>
    <w:rPr>
      <w:kern w:val="2"/>
      <w:sz w:val="21"/>
      <w:szCs w:val="22"/>
    </w:rPr>
  </w:style>
  <w:style w:type="character" w:customStyle="1" w:styleId="248">
    <w:name w:val="明显强调1"/>
    <w:autoRedefine/>
    <w:qFormat/>
    <w:uiPriority w:val="0"/>
    <w:rPr>
      <w:b/>
      <w:bCs/>
      <w:i/>
      <w:iCs/>
      <w:color w:val="4F81BD"/>
    </w:rPr>
  </w:style>
  <w:style w:type="character" w:customStyle="1" w:styleId="249">
    <w:name w:val="textcontents"/>
    <w:autoRedefine/>
    <w:qFormat/>
    <w:uiPriority w:val="0"/>
    <w:rPr>
      <w:rFonts w:cs="Times New Roman"/>
    </w:rPr>
  </w:style>
  <w:style w:type="character" w:customStyle="1" w:styleId="250">
    <w:name w:val="不明显参考1"/>
    <w:autoRedefine/>
    <w:qFormat/>
    <w:uiPriority w:val="0"/>
    <w:rPr>
      <w:smallCaps/>
      <w:color w:val="C0504D"/>
      <w:u w:val="single"/>
    </w:rPr>
  </w:style>
  <w:style w:type="character" w:customStyle="1" w:styleId="251">
    <w:name w:val="批注文字 Char Char"/>
    <w:autoRedefine/>
    <w:qFormat/>
    <w:uiPriority w:val="0"/>
    <w:rPr>
      <w:rFonts w:ascii="宋体" w:hAnsi="Times New Roman" w:eastAsia="宋体" w:cs="Times New Roman"/>
      <w:sz w:val="28"/>
      <w:szCs w:val="20"/>
    </w:rPr>
  </w:style>
  <w:style w:type="character" w:customStyle="1" w:styleId="252">
    <w:name w:val="文档结构图 Char1"/>
    <w:autoRedefine/>
    <w:qFormat/>
    <w:uiPriority w:val="0"/>
    <w:rPr>
      <w:rFonts w:ascii="宋体"/>
      <w:kern w:val="2"/>
      <w:sz w:val="18"/>
      <w:szCs w:val="18"/>
    </w:rPr>
  </w:style>
  <w:style w:type="paragraph" w:customStyle="1" w:styleId="253">
    <w:name w:val="修订1"/>
    <w:autoRedefine/>
    <w:qFormat/>
    <w:uiPriority w:val="0"/>
    <w:rPr>
      <w:rFonts w:ascii="Times New Roman" w:hAnsi="Times New Roman" w:eastAsia="宋体" w:cs="Times New Roman"/>
      <w:kern w:val="2"/>
      <w:sz w:val="21"/>
      <w:szCs w:val="24"/>
      <w:lang w:val="en-US" w:eastAsia="zh-CN" w:bidi="ar-SA"/>
    </w:rPr>
  </w:style>
  <w:style w:type="character" w:customStyle="1" w:styleId="254">
    <w:name w:val="页脚 Char1"/>
    <w:autoRedefine/>
    <w:semiHidden/>
    <w:qFormat/>
    <w:uiPriority w:val="99"/>
    <w:rPr>
      <w:kern w:val="2"/>
      <w:sz w:val="18"/>
      <w:szCs w:val="18"/>
    </w:rPr>
  </w:style>
  <w:style w:type="character" w:customStyle="1" w:styleId="255">
    <w:name w:val="批注框文本 Char2"/>
    <w:autoRedefine/>
    <w:semiHidden/>
    <w:qFormat/>
    <w:uiPriority w:val="99"/>
    <w:rPr>
      <w:kern w:val="2"/>
      <w:sz w:val="18"/>
      <w:szCs w:val="18"/>
    </w:rPr>
  </w:style>
  <w:style w:type="character" w:customStyle="1" w:styleId="256">
    <w:name w:val="批注主题 Char2"/>
    <w:autoRedefine/>
    <w:semiHidden/>
    <w:qFormat/>
    <w:uiPriority w:val="99"/>
    <w:rPr>
      <w:b/>
      <w:bCs/>
      <w:kern w:val="2"/>
      <w:sz w:val="21"/>
      <w:szCs w:val="22"/>
    </w:rPr>
  </w:style>
  <w:style w:type="character" w:customStyle="1" w:styleId="257">
    <w:name w:val="文档结构图 Char2"/>
    <w:autoRedefine/>
    <w:semiHidden/>
    <w:qFormat/>
    <w:uiPriority w:val="99"/>
    <w:rPr>
      <w:rFonts w:ascii="宋体"/>
      <w:kern w:val="2"/>
      <w:sz w:val="18"/>
      <w:szCs w:val="18"/>
    </w:rPr>
  </w:style>
  <w:style w:type="character" w:customStyle="1" w:styleId="258">
    <w:name w:val="页眉 Char1"/>
    <w:autoRedefine/>
    <w:semiHidden/>
    <w:qFormat/>
    <w:uiPriority w:val="99"/>
    <w:rPr>
      <w:kern w:val="2"/>
      <w:sz w:val="18"/>
      <w:szCs w:val="18"/>
    </w:rPr>
  </w:style>
  <w:style w:type="character" w:customStyle="1" w:styleId="259">
    <w:name w:val="日期 Char2"/>
    <w:autoRedefine/>
    <w:semiHidden/>
    <w:qFormat/>
    <w:uiPriority w:val="99"/>
    <w:rPr>
      <w:kern w:val="2"/>
      <w:sz w:val="21"/>
      <w:szCs w:val="22"/>
    </w:rPr>
  </w:style>
  <w:style w:type="character" w:customStyle="1" w:styleId="260">
    <w:name w:val="正文文本 Char2"/>
    <w:autoRedefine/>
    <w:semiHidden/>
    <w:qFormat/>
    <w:uiPriority w:val="99"/>
    <w:rPr>
      <w:kern w:val="2"/>
      <w:sz w:val="21"/>
      <w:szCs w:val="22"/>
    </w:rPr>
  </w:style>
  <w:style w:type="character" w:customStyle="1" w:styleId="261">
    <w:name w:val="标题 Char1"/>
    <w:autoRedefine/>
    <w:qFormat/>
    <w:uiPriority w:val="10"/>
    <w:rPr>
      <w:rFonts w:ascii="Cambria" w:hAnsi="Cambria" w:cs="Times New Roman"/>
      <w:b/>
      <w:bCs/>
      <w:kern w:val="2"/>
      <w:sz w:val="32"/>
      <w:szCs w:val="32"/>
    </w:rPr>
  </w:style>
  <w:style w:type="character" w:customStyle="1" w:styleId="262">
    <w:name w:val="副标题 Char1"/>
    <w:autoRedefine/>
    <w:qFormat/>
    <w:uiPriority w:val="11"/>
    <w:rPr>
      <w:rFonts w:ascii="Cambria" w:hAnsi="Cambria" w:cs="Times New Roman"/>
      <w:b/>
      <w:bCs/>
      <w:kern w:val="28"/>
      <w:sz w:val="32"/>
      <w:szCs w:val="32"/>
    </w:rPr>
  </w:style>
  <w:style w:type="paragraph" w:customStyle="1" w:styleId="263">
    <w:name w:val="空半行"/>
    <w:basedOn w:val="1"/>
    <w:autoRedefine/>
    <w:qFormat/>
    <w:uiPriority w:val="0"/>
    <w:pPr>
      <w:adjustRightInd w:val="0"/>
      <w:spacing w:line="120" w:lineRule="exact"/>
      <w:textAlignment w:val="baseline"/>
    </w:pPr>
    <w:rPr>
      <w:rFonts w:ascii="Times New Roman" w:hAnsi="Times New Roman" w:eastAsia="仿宋_GB2312" w:cs="Times New Roman"/>
      <w:color w:val="FFFFFF"/>
      <w:sz w:val="30"/>
    </w:rPr>
  </w:style>
  <w:style w:type="paragraph" w:styleId="264">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5">
    <w:name w:val="flNote"/>
    <w:basedOn w:val="1"/>
    <w:autoRedefine/>
    <w:qFormat/>
    <w:uiPriority w:val="0"/>
    <w:pPr>
      <w:adjustRightInd w:val="0"/>
      <w:spacing w:before="320" w:after="160" w:line="360" w:lineRule="atLeast"/>
      <w:jc w:val="center"/>
      <w:textAlignment w:val="baseline"/>
    </w:pPr>
    <w:rPr>
      <w:rFonts w:ascii="Arial" w:hAnsi="Times New Roman" w:eastAsia="黑体" w:cs="Times New Roman"/>
      <w:sz w:val="30"/>
    </w:rPr>
  </w:style>
  <w:style w:type="character" w:customStyle="1" w:styleId="266">
    <w:name w:val="正文2 Char"/>
    <w:link w:val="267"/>
    <w:autoRedefine/>
    <w:qFormat/>
    <w:uiPriority w:val="0"/>
    <w:rPr>
      <w:rFonts w:ascii="楷体" w:eastAsia="楷体"/>
      <w:b/>
      <w:color w:val="0000FF"/>
    </w:rPr>
  </w:style>
  <w:style w:type="paragraph" w:customStyle="1" w:styleId="267">
    <w:name w:val="正文2"/>
    <w:link w:val="266"/>
    <w:autoRedefine/>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 w:type="paragraph" w:customStyle="1" w:styleId="268">
    <w:name w:val="p0"/>
    <w:basedOn w:val="1"/>
    <w:autoRedefine/>
    <w:qFormat/>
    <w:uiPriority w:val="0"/>
    <w:pPr>
      <w:widowControl/>
      <w:spacing w:before="100" w:beforeAutospacing="1" w:after="100" w:afterAutospacing="1"/>
      <w:jc w:val="left"/>
    </w:pPr>
    <w:rPr>
      <w:rFonts w:cs="宋体"/>
      <w:sz w:val="24"/>
      <w:szCs w:val="24"/>
    </w:rPr>
  </w:style>
  <w:style w:type="character" w:customStyle="1" w:styleId="269">
    <w:name w:val="正文文本 (2)_"/>
    <w:link w:val="270"/>
    <w:autoRedefine/>
    <w:qFormat/>
    <w:locked/>
    <w:uiPriority w:val="99"/>
    <w:rPr>
      <w:rFonts w:ascii="MingLiU" w:eastAsia="MingLiU" w:cs="MingLiU"/>
      <w:spacing w:val="20"/>
      <w:sz w:val="22"/>
      <w:shd w:val="clear" w:color="auto" w:fill="FFFFFF"/>
    </w:rPr>
  </w:style>
  <w:style w:type="paragraph" w:customStyle="1" w:styleId="270">
    <w:name w:val="正文文本 (2)1"/>
    <w:basedOn w:val="1"/>
    <w:link w:val="269"/>
    <w:autoRedefine/>
    <w:qFormat/>
    <w:uiPriority w:val="99"/>
    <w:pPr>
      <w:shd w:val="clear" w:color="auto" w:fill="FFFFFF"/>
      <w:spacing w:before="300" w:line="439" w:lineRule="exact"/>
      <w:jc w:val="distribute"/>
    </w:pPr>
    <w:rPr>
      <w:rFonts w:ascii="MingLiU" w:eastAsia="MingLiU" w:cs="MingLiU"/>
      <w:spacing w:val="20"/>
      <w:sz w:val="22"/>
    </w:rPr>
  </w:style>
  <w:style w:type="character" w:customStyle="1" w:styleId="271">
    <w:name w:val="正文文本 (2) + 间距 0 pt5"/>
    <w:autoRedefine/>
    <w:qFormat/>
    <w:uiPriority w:val="99"/>
    <w:rPr>
      <w:rFonts w:ascii="MingLiU" w:eastAsia="MingLiU" w:cs="MingLiU"/>
      <w:spacing w:val="0"/>
      <w:sz w:val="22"/>
      <w:shd w:val="clear" w:color="auto" w:fill="FFFFFF"/>
    </w:rPr>
  </w:style>
  <w:style w:type="character" w:customStyle="1" w:styleId="272">
    <w:name w:val="访问过的超链接1"/>
    <w:basedOn w:val="57"/>
    <w:autoRedefine/>
    <w:semiHidden/>
    <w:unhideWhenUsed/>
    <w:qFormat/>
    <w:uiPriority w:val="99"/>
    <w:rPr>
      <w:color w:val="954F72"/>
      <w:u w:val="single"/>
    </w:rPr>
  </w:style>
  <w:style w:type="character" w:customStyle="1" w:styleId="273">
    <w:name w:val="明显引用 Char2"/>
    <w:basedOn w:val="57"/>
    <w:autoRedefine/>
    <w:qFormat/>
    <w:uiPriority w:val="30"/>
    <w:rPr>
      <w:b/>
      <w:bCs/>
      <w:i/>
      <w:iCs/>
      <w:color w:val="4F81BD" w:themeColor="accent1"/>
      <w14:textFill>
        <w14:solidFill>
          <w14:schemeClr w14:val="accent1"/>
        </w14:solidFill>
      </w14:textFill>
    </w:rPr>
  </w:style>
  <w:style w:type="character" w:customStyle="1" w:styleId="274">
    <w:name w:val="引用 Char2"/>
    <w:basedOn w:val="57"/>
    <w:autoRedefine/>
    <w:qFormat/>
    <w:uiPriority w:val="29"/>
    <w:rPr>
      <w:i/>
      <w:iCs/>
      <w:color w:val="000000" w:themeColor="text1"/>
      <w14:textFill>
        <w14:solidFill>
          <w14:schemeClr w14:val="tx1"/>
        </w14:solidFill>
      </w14:textFill>
    </w:rPr>
  </w:style>
  <w:style w:type="table" w:customStyle="1" w:styleId="275">
    <w:name w:val="网格型4"/>
    <w:basedOn w:val="55"/>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6">
    <w:name w:val="Table Normal"/>
    <w:autoRedefine/>
    <w:semiHidden/>
    <w:unhideWhenUsed/>
    <w:qFormat/>
    <w:uiPriority w:val="0"/>
    <w:tblPr>
      <w:tblCellMar>
        <w:top w:w="0" w:type="dxa"/>
        <w:left w:w="0" w:type="dxa"/>
        <w:bottom w:w="0" w:type="dxa"/>
        <w:right w:w="0" w:type="dxa"/>
      </w:tblCellMar>
    </w:tblPr>
  </w:style>
  <w:style w:type="paragraph" w:customStyle="1" w:styleId="277">
    <w:name w:val="Table Text"/>
    <w:basedOn w:val="1"/>
    <w:autoRedefine/>
    <w:semiHidden/>
    <w:qFormat/>
    <w:uiPriority w:val="0"/>
    <w:rPr>
      <w:rFonts w:ascii="Arial" w:hAnsi="Arial" w:eastAsia="Arial" w:cs="Arial"/>
      <w:sz w:val="21"/>
      <w:szCs w:val="21"/>
      <w:lang w:val="en-US" w:eastAsia="en-US" w:bidi="ar-SA"/>
    </w:rPr>
  </w:style>
  <w:style w:type="paragraph" w:customStyle="1" w:styleId="27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44CFDD-AEC3-4BBC-9B81-C7151120817D}">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102</Pages>
  <Words>2245</Words>
  <Characters>2890</Characters>
  <Lines>1</Lines>
  <Paragraphs>1</Paragraphs>
  <TotalTime>3</TotalTime>
  <ScaleCrop>false</ScaleCrop>
  <LinksUpToDate>false</LinksUpToDate>
  <CharactersWithSpaces>2995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2021-12-20T01:22:00Z</dcterms:created>
  <dc:creator>Anakin</dc:creator>
  <cp:lastModifiedBy>Pim Pom丶</cp:lastModifiedBy>
  <cp:lastPrinted>2019-12-07T15:20:00Z</cp:lastPrinted>
  <dcterms:modified xsi:type="dcterms:W3CDTF">2026-09-23T07:55:19Z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BE393E6EDC3845A1908AECFA21276DCE_12</vt:lpwstr>
  </property>
  <property fmtid="{D5CDD505-2E9C-101B-9397-08002B2CF9AE}" pid="4" name="KSOTemplateDocerSaveRecord">
    <vt:lpwstr>eyJoZGlkIjoiMDk2MmQyNTdjMmYyM2I4Njk3YjVkOTliYjhhNDZiYTEiLCJ1c2VySWQiOiI0MDkyMjI1MTkifQ==</vt:lpwstr>
  </property>
</Properties>
</file>