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6D3C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29E7F5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7D73757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3A00DF1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1AC95C8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7355D58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10477E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F9F00D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98313B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B353D9E">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rPr>
      </w:pPr>
    </w:p>
    <w:p w14:paraId="473530DC">
      <w:pPr>
        <w:tabs>
          <w:tab w:val="left" w:pos="2410"/>
        </w:tabs>
        <w:autoSpaceDE w:val="0"/>
        <w:autoSpaceDN w:val="0"/>
        <w:adjustRightInd w:val="0"/>
        <w:snapToGrid w:val="0"/>
        <w:spacing w:line="360" w:lineRule="auto"/>
        <w:ind w:left="2107" w:leftChars="303" w:hanging="1471" w:hangingChars="458"/>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项目名称：</w:t>
      </w:r>
      <w:r>
        <w:rPr>
          <w:rFonts w:hint="eastAsia" w:ascii="宋体" w:hAnsi="宋体" w:eastAsia="宋体"/>
          <w:b/>
          <w:color w:val="auto"/>
          <w:kern w:val="0"/>
          <w:sz w:val="32"/>
          <w:szCs w:val="32"/>
          <w:highlight w:val="none"/>
          <w:u w:val="single"/>
          <w:lang w:eastAsia="zh-CN"/>
        </w:rPr>
        <w:t>滁州市第二人民医院经颅磁刺激治疗仪、听觉言语语言喉功能检测处理系统等设备采购项目</w:t>
      </w:r>
    </w:p>
    <w:p w14:paraId="2C35CC7B">
      <w:pPr>
        <w:tabs>
          <w:tab w:val="left" w:pos="2410"/>
        </w:tabs>
        <w:autoSpaceDE w:val="0"/>
        <w:autoSpaceDN w:val="0"/>
        <w:adjustRightInd w:val="0"/>
        <w:snapToGrid w:val="0"/>
        <w:spacing w:line="360" w:lineRule="auto"/>
        <w:ind w:firstLine="643" w:firstLineChars="200"/>
        <w:rPr>
          <w:rFonts w:hint="default" w:ascii="宋体" w:hAnsi="宋体" w:eastAsia="宋体"/>
          <w:b/>
          <w:color w:val="auto"/>
          <w:kern w:val="0"/>
          <w:sz w:val="32"/>
          <w:szCs w:val="32"/>
          <w:highlight w:val="none"/>
          <w:lang w:val="en-US" w:eastAsia="zh-CN"/>
        </w:rPr>
      </w:pPr>
      <w:r>
        <w:rPr>
          <w:rFonts w:hint="eastAsia" w:ascii="宋体" w:hAnsi="宋体" w:eastAsia="宋体"/>
          <w:b/>
          <w:color w:val="auto"/>
          <w:kern w:val="0"/>
          <w:sz w:val="32"/>
          <w:szCs w:val="32"/>
          <w:highlight w:val="none"/>
        </w:rPr>
        <w:t>项目编号：</w:t>
      </w:r>
      <w:r>
        <w:rPr>
          <w:rFonts w:hint="default" w:ascii="宋体" w:hAnsi="宋体" w:eastAsia="宋体"/>
          <w:b/>
          <w:color w:val="auto"/>
          <w:kern w:val="0"/>
          <w:sz w:val="32"/>
          <w:szCs w:val="32"/>
          <w:highlight w:val="none"/>
          <w:u w:val="single"/>
          <w:lang w:eastAsia="zh-CN"/>
        </w:rPr>
        <w:t>czsjcg202510-004</w:t>
      </w:r>
    </w:p>
    <w:p w14:paraId="58C2D6C6">
      <w:pPr>
        <w:tabs>
          <w:tab w:val="left" w:pos="2410"/>
        </w:tabs>
        <w:autoSpaceDE w:val="0"/>
        <w:autoSpaceDN w:val="0"/>
        <w:adjustRightInd w:val="0"/>
        <w:snapToGrid w:val="0"/>
        <w:spacing w:line="360" w:lineRule="auto"/>
        <w:ind w:left="2105" w:leftChars="306" w:hanging="1462" w:hangingChars="455"/>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采 购 人：</w:t>
      </w:r>
      <w:r>
        <w:rPr>
          <w:rFonts w:hint="eastAsia" w:ascii="宋体" w:hAnsi="宋体" w:eastAsia="宋体"/>
          <w:b/>
          <w:color w:val="auto"/>
          <w:kern w:val="0"/>
          <w:sz w:val="32"/>
          <w:szCs w:val="32"/>
          <w:highlight w:val="none"/>
          <w:u w:val="single"/>
          <w:lang w:eastAsia="zh-CN"/>
        </w:rPr>
        <w:t>滁州市第二人民医院（市传染病医院、市精神病医院）</w:t>
      </w:r>
    </w:p>
    <w:p w14:paraId="076E51FC">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kern w:val="0"/>
          <w:sz w:val="32"/>
          <w:szCs w:val="32"/>
          <w:highlight w:val="none"/>
        </w:rPr>
        <w:t>采购代理机构：</w:t>
      </w:r>
      <w:r>
        <w:rPr>
          <w:rFonts w:hint="eastAsia" w:ascii="宋体" w:hAnsi="宋体" w:eastAsia="宋体"/>
          <w:b/>
          <w:color w:val="auto"/>
          <w:kern w:val="0"/>
          <w:sz w:val="32"/>
          <w:szCs w:val="32"/>
          <w:highlight w:val="none"/>
          <w:u w:val="single"/>
        </w:rPr>
        <w:t>滁州市城投工程咨询管理有限公司</w:t>
      </w:r>
    </w:p>
    <w:p w14:paraId="14CE93E3">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rPr>
      </w:pPr>
    </w:p>
    <w:p w14:paraId="1B63D90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rPr>
        <w:t xml:space="preserve"> 2025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10</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hint="eastAsia" w:ascii="宋体" w:hAnsi="宋体" w:eastAsia="宋体"/>
          <w:b/>
          <w:color w:val="auto"/>
          <w:sz w:val="36"/>
          <w:highlight w:val="none"/>
          <w:lang w:val="en-US" w:eastAsia="zh-CN"/>
        </w:rPr>
        <w:t xml:space="preserve"> </w:t>
      </w:r>
      <w:r>
        <w:rPr>
          <w:rFonts w:ascii="宋体" w:hAnsi="宋体" w:eastAsia="宋体"/>
          <w:b/>
          <w:color w:val="auto"/>
          <w:sz w:val="36"/>
          <w:highlight w:val="none"/>
        </w:rPr>
        <w:br w:type="page"/>
      </w:r>
    </w:p>
    <w:p w14:paraId="260780E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07EAD67">
      <w:pPr>
        <w:pStyle w:val="20"/>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_Toc23443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DDEFE1D">
      <w:pPr>
        <w:pStyle w:val="20"/>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_Toc31935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E475C0F">
      <w:pPr>
        <w:pStyle w:val="20"/>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3074770">
      <w:pPr>
        <w:pStyle w:val="20"/>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eastAsia="宋体" w:cs="宋体"/>
          <w:color w:val="auto"/>
          <w:sz w:val="28"/>
          <w:szCs w:val="28"/>
          <w:highlight w:val="none"/>
        </w:rPr>
        <w:t>第四章  评标方法和标准（综合评分法）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_Toc16417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BEA8C08">
      <w:pPr>
        <w:pStyle w:val="20"/>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2B9B0BE">
      <w:pPr>
        <w:pStyle w:val="20"/>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173266">
      <w:pPr>
        <w:pStyle w:val="20"/>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宋体" w:hAnsi="宋体" w:eastAsia="宋体" w:cs="宋体"/>
          <w:color w:val="auto"/>
          <w:sz w:val="28"/>
          <w:szCs w:val="28"/>
          <w:highlight w:val="none"/>
        </w:rPr>
        <w:t>第七章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_Toc18131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5BC15B1">
      <w:pPr>
        <w:spacing w:line="360" w:lineRule="auto"/>
        <w:rPr>
          <w:rFonts w:hint="eastAsia" w:ascii="宋体" w:hAnsi="宋体" w:eastAsia="宋体"/>
          <w:b/>
          <w:color w:val="auto"/>
          <w:sz w:val="32"/>
          <w:highlight w:val="none"/>
        </w:rPr>
      </w:pPr>
      <w:r>
        <w:rPr>
          <w:rFonts w:hint="eastAsia" w:ascii="宋体" w:hAnsi="宋体" w:eastAsia="宋体" w:cs="宋体"/>
          <w:color w:val="auto"/>
          <w:sz w:val="28"/>
          <w:szCs w:val="28"/>
          <w:highlight w:val="none"/>
        </w:rPr>
        <w:fldChar w:fldCharType="end"/>
      </w:r>
    </w:p>
    <w:p w14:paraId="33ADB7F9">
      <w:pPr>
        <w:pStyle w:val="9"/>
        <w:rPr>
          <w:rFonts w:hint="eastAsia"/>
          <w:color w:val="auto"/>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3D9B99B">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rPr>
        <w:t xml:space="preserve">第一章 </w:t>
      </w:r>
      <w:r>
        <w:rPr>
          <w:rFonts w:ascii="宋体" w:hAnsi="宋体" w:eastAsia="宋体"/>
          <w:b/>
          <w:color w:val="auto"/>
          <w:sz w:val="28"/>
          <w:highlight w:val="none"/>
        </w:rPr>
        <w:t xml:space="preserve"> 投标邀请</w:t>
      </w:r>
      <w:bookmarkEnd w:id="1"/>
    </w:p>
    <w:p w14:paraId="3FECD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项目概况</w:t>
      </w:r>
    </w:p>
    <w:p w14:paraId="17A16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滁州市第二人民医院经颅磁刺激治疗仪、听觉言语语言喉功能检测处理系统等设备采购项目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滁州市公共资源交易中心网（http：//ggzy.chuzhou.gov.cn/）</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 xml:space="preserve"> 2025年</w:t>
      </w:r>
      <w:r>
        <w:rPr>
          <w:rFonts w:hint="eastAsia" w:ascii="宋体" w:hAnsi="宋体" w:eastAsia="宋体" w:cs="宋体"/>
          <w:color w:val="auto"/>
          <w:sz w:val="24"/>
          <w:szCs w:val="24"/>
          <w:highlight w:val="none"/>
          <w:u w:val="single"/>
          <w:lang w:val="en-US" w:eastAsia="zh-CN" w:bidi="ar"/>
        </w:rPr>
        <w:t>10</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31</w:t>
      </w:r>
      <w:r>
        <w:rPr>
          <w:rFonts w:hint="eastAsia" w:ascii="宋体" w:hAnsi="宋体" w:eastAsia="宋体" w:cs="宋体"/>
          <w:color w:val="auto"/>
          <w:sz w:val="24"/>
          <w:szCs w:val="24"/>
          <w:highlight w:val="none"/>
          <w:u w:val="single"/>
          <w:lang w:bidi="ar"/>
        </w:rPr>
        <w:t>日8点00分</w:t>
      </w:r>
      <w:r>
        <w:rPr>
          <w:rFonts w:hint="eastAsia" w:ascii="宋体" w:hAnsi="宋体" w:eastAsia="宋体" w:cs="宋体"/>
          <w:color w:val="auto"/>
          <w:sz w:val="24"/>
          <w:szCs w:val="24"/>
          <w:highlight w:val="none"/>
          <w:lang w:bidi="ar"/>
        </w:rPr>
        <w:t>（北京时间）前递交投标文件。</w:t>
      </w:r>
    </w:p>
    <w:p w14:paraId="19BC120E">
      <w:pPr>
        <w:keepNext/>
        <w:keepLines/>
        <w:spacing w:before="260" w:after="260"/>
        <w:rPr>
          <w:rFonts w:hint="eastAsia"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一、项目基本情况</w:t>
      </w:r>
    </w:p>
    <w:p w14:paraId="2516B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项目编</w:t>
      </w:r>
      <w:r>
        <w:rPr>
          <w:rFonts w:hint="eastAsia" w:ascii="宋体" w:hAnsi="宋体" w:eastAsia="宋体" w:cs="宋体"/>
          <w:color w:val="auto"/>
          <w:sz w:val="24"/>
          <w:szCs w:val="24"/>
          <w:highlight w:val="none"/>
          <w:lang w:eastAsia="zh-CN" w:bidi="ar"/>
        </w:rPr>
        <w:t>号：</w:t>
      </w:r>
      <w:r>
        <w:rPr>
          <w:rFonts w:hint="default" w:ascii="宋体" w:hAnsi="宋体" w:eastAsia="宋体" w:cs="宋体"/>
          <w:color w:val="auto"/>
          <w:sz w:val="24"/>
          <w:szCs w:val="24"/>
          <w:highlight w:val="none"/>
          <w:lang w:eastAsia="zh-CN" w:bidi="ar"/>
        </w:rPr>
        <w:t>czsjcg202510-004</w:t>
      </w:r>
      <w:r>
        <w:rPr>
          <w:rFonts w:hint="eastAsia" w:ascii="宋体" w:hAnsi="宋体" w:eastAsia="宋体" w:cs="宋体"/>
          <w:color w:val="auto"/>
          <w:sz w:val="24"/>
          <w:szCs w:val="24"/>
          <w:highlight w:val="none"/>
          <w:lang w:val="en-US" w:eastAsia="zh-CN" w:bidi="ar"/>
        </w:rPr>
        <w:t xml:space="preserve"> </w:t>
      </w:r>
    </w:p>
    <w:p w14:paraId="5A95B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滁州市第二人民医院经颅磁刺激治疗仪、听觉言语语言喉功能检测处理系统等设备采购项目</w:t>
      </w:r>
    </w:p>
    <w:p w14:paraId="0C309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1870</w:t>
      </w:r>
      <w:r>
        <w:rPr>
          <w:rFonts w:hint="eastAsia" w:ascii="宋体" w:hAnsi="宋体" w:eastAsia="宋体" w:cs="宋体"/>
          <w:color w:val="auto"/>
          <w:sz w:val="24"/>
          <w:szCs w:val="24"/>
          <w:highlight w:val="none"/>
          <w:lang w:bidi="ar"/>
        </w:rPr>
        <w:t>000</w:t>
      </w:r>
      <w:r>
        <w:rPr>
          <w:rFonts w:hint="eastAsia" w:ascii="宋体" w:hAnsi="宋体" w:eastAsia="宋体" w:cs="宋体"/>
          <w:color w:val="auto"/>
          <w:sz w:val="24"/>
          <w:szCs w:val="24"/>
          <w:highlight w:val="none"/>
          <w:lang w:val="en-US" w:eastAsia="zh-CN" w:bidi="ar"/>
        </w:rPr>
        <w:t>.00</w:t>
      </w:r>
      <w:r>
        <w:rPr>
          <w:rFonts w:hint="eastAsia" w:ascii="宋体" w:hAnsi="宋体" w:eastAsia="宋体" w:cs="宋体"/>
          <w:color w:val="auto"/>
          <w:sz w:val="24"/>
          <w:szCs w:val="24"/>
          <w:highlight w:val="none"/>
          <w:lang w:bidi="ar"/>
        </w:rPr>
        <w:t>元</w:t>
      </w:r>
    </w:p>
    <w:p w14:paraId="2B3FF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最</w:t>
      </w:r>
      <w:r>
        <w:rPr>
          <w:rFonts w:hint="eastAsia" w:ascii="宋体" w:hAnsi="宋体" w:eastAsia="宋体" w:cs="宋体"/>
          <w:color w:val="auto"/>
          <w:sz w:val="24"/>
          <w:szCs w:val="24"/>
          <w:highlight w:val="none"/>
          <w:lang w:val="en-US" w:eastAsia="zh-CN" w:bidi="ar"/>
        </w:rPr>
        <w:t>高限价：第1包580000.00元，第2包560000.00元，第3包280000.00元，第4包450000.00元，各包投标报价高于最高限价的，其投标文件按无效投标处理。</w:t>
      </w:r>
    </w:p>
    <w:p w14:paraId="371892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采购需求：本项目共分4个标包，第1包为经颅磁刺激仪（儿童版）2台；第2包为听觉言语语言喉功能检测处理系统（早期语言和语言认知障碍功能检测与训练沟通仪软件）1套、听觉言语语言喉功能检测处理系统（构音语音测量与训练仪软件）1套；第3包为失眠认知行为疗法（CBTI）系统1套；第4包为</w:t>
      </w:r>
      <w:r>
        <w:rPr>
          <w:rFonts w:hint="eastAsia" w:ascii="宋体" w:hAnsi="宋体" w:eastAsia="宋体" w:cs="宋体"/>
          <w:color w:val="auto"/>
          <w:sz w:val="24"/>
          <w:szCs w:val="24"/>
          <w:highlight w:val="none"/>
          <w:lang w:bidi="ar"/>
        </w:rPr>
        <w:t>光照疗愈系统</w:t>
      </w:r>
      <w:r>
        <w:rPr>
          <w:rFonts w:hint="eastAsia" w:ascii="宋体" w:hAnsi="宋体" w:eastAsia="宋体" w:cs="宋体"/>
          <w:color w:val="auto"/>
          <w:sz w:val="24"/>
          <w:szCs w:val="24"/>
          <w:highlight w:val="none"/>
          <w:lang w:val="en-US" w:eastAsia="zh-CN" w:bidi="ar"/>
        </w:rPr>
        <w:t>1套</w:t>
      </w:r>
      <w:r>
        <w:rPr>
          <w:rFonts w:hint="eastAsia" w:ascii="宋体" w:hAnsi="宋体" w:eastAsia="宋体" w:cs="宋体"/>
          <w:color w:val="auto"/>
          <w:sz w:val="24"/>
          <w:szCs w:val="24"/>
          <w:highlight w:val="none"/>
          <w:lang w:bidi="ar"/>
        </w:rPr>
        <w:t>。</w:t>
      </w:r>
    </w:p>
    <w:p w14:paraId="7B96C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合同履行期限：</w:t>
      </w:r>
      <w:r>
        <w:rPr>
          <w:rFonts w:hint="eastAsia" w:ascii="宋体" w:hAnsi="宋体" w:eastAsia="宋体" w:cs="宋体"/>
          <w:color w:val="auto"/>
          <w:sz w:val="24"/>
          <w:szCs w:val="24"/>
          <w:highlight w:val="none"/>
          <w:lang w:val="en-US" w:eastAsia="zh-CN" w:bidi="ar"/>
        </w:rPr>
        <w:t>第1-4标包合同履行期限均为：合同签订后不高于20个日历天全部供货安装调试完毕。</w:t>
      </w:r>
    </w:p>
    <w:p w14:paraId="4C6A3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本项目不接受联合体投标。</w:t>
      </w:r>
    </w:p>
    <w:p w14:paraId="3D578A02">
      <w:pPr>
        <w:keepNext/>
        <w:keepLines/>
        <w:spacing w:before="260" w:after="260"/>
        <w:rPr>
          <w:rFonts w:hint="eastAsia"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二、申请人的资格要求</w:t>
      </w:r>
    </w:p>
    <w:p w14:paraId="765F3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76BA0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2.落实政府采购政策需满足的资格要求：</w:t>
      </w:r>
      <w:r>
        <w:rPr>
          <w:rFonts w:hint="eastAsia" w:ascii="宋体" w:hAnsi="宋体" w:eastAsia="宋体" w:cs="宋体"/>
          <w:color w:val="auto"/>
          <w:sz w:val="24"/>
          <w:szCs w:val="24"/>
          <w:highlight w:val="none"/>
          <w:lang w:val="en-US" w:eastAsia="zh-CN" w:bidi="ar"/>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s="宋体"/>
          <w:color w:val="auto"/>
          <w:sz w:val="24"/>
          <w:szCs w:val="24"/>
          <w:highlight w:val="none"/>
          <w:lang w:bidi="ar"/>
        </w:rPr>
        <w:t>。</w:t>
      </w:r>
    </w:p>
    <w:p w14:paraId="34A8A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3.本项目的特定资格要求：无；</w:t>
      </w:r>
    </w:p>
    <w:p w14:paraId="00B4B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4.信誉要求：投标人不得存在以下情形：</w:t>
      </w:r>
    </w:p>
    <w:p w14:paraId="221D1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70B25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753B9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39DC2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w:t>
      </w:r>
      <w:bookmarkStart w:id="2" w:name="OLE_LINK128"/>
      <w:bookmarkStart w:id="3" w:name="OLE_LINK129"/>
      <w:bookmarkStart w:id="4" w:name="OLE_LINK127"/>
      <w:r>
        <w:rPr>
          <w:rFonts w:hint="eastAsia" w:ascii="宋体" w:hAnsi="宋体" w:eastAsia="宋体" w:cs="宋体"/>
          <w:color w:val="auto"/>
          <w:sz w:val="24"/>
          <w:szCs w:val="24"/>
          <w:highlight w:val="none"/>
          <w:lang w:bidi="ar"/>
        </w:rPr>
        <w:t>“信用中国”网站</w:t>
      </w:r>
      <w:bookmarkEnd w:id="2"/>
      <w:bookmarkEnd w:id="3"/>
      <w:bookmarkEnd w:id="4"/>
      <w:r>
        <w:rPr>
          <w:rFonts w:hint="eastAsia" w:ascii="宋体" w:hAnsi="宋体" w:eastAsia="宋体" w:cs="宋体"/>
          <w:color w:val="auto"/>
          <w:sz w:val="24"/>
          <w:szCs w:val="24"/>
          <w:highlight w:val="none"/>
          <w:lang w:bidi="ar"/>
        </w:rPr>
        <w:t>上披露的仍在公示期的严重失信行为(具体行为类别及判定依据见“信用中国”查询的严重失信行为类别及判定依据)的。</w:t>
      </w:r>
    </w:p>
    <w:p w14:paraId="3B4B8B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693A6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bookmarkStart w:id="5" w:name="OLE_LINK114"/>
      <w:bookmarkStart w:id="6" w:name="OLE_LINK113"/>
      <w:r>
        <w:rPr>
          <w:rFonts w:hint="eastAsia" w:ascii="宋体" w:hAnsi="宋体" w:eastAsia="宋体" w:cs="宋体"/>
          <w:color w:val="auto"/>
          <w:sz w:val="24"/>
          <w:szCs w:val="24"/>
          <w:highlight w:val="none"/>
          <w:lang w:bidi="ar"/>
        </w:rPr>
        <w:t>⑥</w:t>
      </w:r>
      <w:bookmarkEnd w:id="5"/>
      <w:bookmarkEnd w:id="6"/>
      <w:r>
        <w:rPr>
          <w:rFonts w:hint="eastAsia" w:ascii="宋体" w:hAnsi="宋体" w:eastAsia="宋体" w:cs="宋体"/>
          <w:color w:val="auto"/>
          <w:sz w:val="24"/>
          <w:szCs w:val="24"/>
          <w:highlight w:val="none"/>
          <w:lang w:bidi="ar"/>
        </w:rPr>
        <w:t>被列入中国政府采购网站“政府采购严重违法失信行为信息记录”的。</w:t>
      </w:r>
    </w:p>
    <w:p w14:paraId="7B2A0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227C2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5.投标人所属分公司、办事处等分支机构存在第4款信誉要求①-⑦项情形之一的，接受投标人参加本项目。</w:t>
      </w:r>
    </w:p>
    <w:p w14:paraId="001F0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备注：第4、5条按照“关于联合惩戒失信行为加强信用查询管理的通知”查询或承诺。</w:t>
      </w:r>
    </w:p>
    <w:p w14:paraId="07814FBE">
      <w:pPr>
        <w:keepNext/>
        <w:keepLines/>
        <w:spacing w:before="260" w:after="260"/>
        <w:rPr>
          <w:rFonts w:hint="eastAsia"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三、获取招标文件</w:t>
      </w:r>
    </w:p>
    <w:p w14:paraId="47918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2025年</w:t>
      </w:r>
      <w:r>
        <w:rPr>
          <w:rFonts w:hint="eastAsia" w:ascii="宋体" w:hAnsi="宋体" w:eastAsia="宋体" w:cs="宋体"/>
          <w:color w:val="auto"/>
          <w:sz w:val="24"/>
          <w:szCs w:val="24"/>
          <w:highlight w:val="none"/>
          <w:u w:val="single"/>
          <w:lang w:val="en-US" w:eastAsia="zh-CN" w:bidi="ar"/>
        </w:rPr>
        <w:t>10</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10</w:t>
      </w:r>
      <w:r>
        <w:rPr>
          <w:rFonts w:hint="eastAsia" w:ascii="宋体" w:hAnsi="宋体" w:eastAsia="宋体" w:cs="宋体"/>
          <w:color w:val="auto"/>
          <w:sz w:val="24"/>
          <w:szCs w:val="24"/>
          <w:highlight w:val="none"/>
          <w:u w:val="single"/>
          <w:lang w:bidi="ar"/>
        </w:rPr>
        <w:t>日</w:t>
      </w:r>
      <w:r>
        <w:rPr>
          <w:rFonts w:hint="eastAsia" w:ascii="宋体" w:hAnsi="宋体" w:eastAsia="宋体" w:cs="宋体"/>
          <w:color w:val="auto"/>
          <w:sz w:val="24"/>
          <w:szCs w:val="24"/>
          <w:highlight w:val="none"/>
          <w:lang w:bidi="ar"/>
        </w:rPr>
        <w:t>至</w:t>
      </w:r>
      <w:r>
        <w:rPr>
          <w:rFonts w:hint="eastAsia" w:ascii="宋体" w:hAnsi="宋体" w:eastAsia="宋体" w:cs="宋体"/>
          <w:color w:val="auto"/>
          <w:sz w:val="24"/>
          <w:szCs w:val="24"/>
          <w:highlight w:val="none"/>
          <w:u w:val="single"/>
          <w:lang w:bidi="ar"/>
        </w:rPr>
        <w:t>2025年</w:t>
      </w:r>
      <w:r>
        <w:rPr>
          <w:rFonts w:hint="eastAsia" w:ascii="宋体" w:hAnsi="宋体" w:eastAsia="宋体" w:cs="宋体"/>
          <w:color w:val="auto"/>
          <w:sz w:val="24"/>
          <w:szCs w:val="24"/>
          <w:highlight w:val="none"/>
          <w:u w:val="single"/>
          <w:lang w:val="en-US" w:eastAsia="zh-CN" w:bidi="ar"/>
        </w:rPr>
        <w:t>10</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31</w:t>
      </w:r>
      <w:r>
        <w:rPr>
          <w:rFonts w:hint="eastAsia" w:ascii="宋体" w:hAnsi="宋体" w:eastAsia="宋体" w:cs="宋体"/>
          <w:color w:val="auto"/>
          <w:sz w:val="24"/>
          <w:szCs w:val="24"/>
          <w:highlight w:val="none"/>
          <w:u w:val="single"/>
          <w:lang w:bidi="ar"/>
        </w:rPr>
        <w:t>日</w:t>
      </w:r>
    </w:p>
    <w:p w14:paraId="2DA76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地点：滁州市公共资源交易中心网</w:t>
      </w:r>
    </w:p>
    <w:p w14:paraId="291A74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方式：网上下载</w:t>
      </w:r>
    </w:p>
    <w:p w14:paraId="12E80E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售价：0元</w:t>
      </w:r>
    </w:p>
    <w:p w14:paraId="32A2E469">
      <w:pPr>
        <w:keepNext/>
        <w:keepLines/>
        <w:spacing w:before="260" w:after="260"/>
        <w:rPr>
          <w:rFonts w:hint="eastAsia"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四、提交投标文件截止时间、开标时间和地点</w:t>
      </w:r>
    </w:p>
    <w:p w14:paraId="2C807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bidi="ar"/>
        </w:rPr>
        <w:t>2025年</w:t>
      </w:r>
      <w:r>
        <w:rPr>
          <w:rFonts w:hint="eastAsia" w:ascii="宋体" w:hAnsi="宋体" w:eastAsia="宋体" w:cs="宋体"/>
          <w:color w:val="auto"/>
          <w:kern w:val="0"/>
          <w:sz w:val="24"/>
          <w:szCs w:val="24"/>
          <w:highlight w:val="none"/>
          <w:u w:val="single"/>
          <w:lang w:val="en-US" w:eastAsia="zh-CN" w:bidi="ar"/>
        </w:rPr>
        <w:t>10</w:t>
      </w:r>
      <w:r>
        <w:rPr>
          <w:rFonts w:hint="eastAsia" w:ascii="宋体" w:hAnsi="宋体" w:eastAsia="宋体" w:cs="宋体"/>
          <w:color w:val="auto"/>
          <w:kern w:val="0"/>
          <w:sz w:val="24"/>
          <w:szCs w:val="24"/>
          <w:highlight w:val="none"/>
          <w:u w:val="single"/>
          <w:lang w:bidi="ar"/>
        </w:rPr>
        <w:t>月</w:t>
      </w:r>
      <w:r>
        <w:rPr>
          <w:rFonts w:hint="eastAsia" w:ascii="宋体" w:hAnsi="宋体" w:eastAsia="宋体" w:cs="宋体"/>
          <w:color w:val="auto"/>
          <w:kern w:val="0"/>
          <w:sz w:val="24"/>
          <w:szCs w:val="24"/>
          <w:highlight w:val="none"/>
          <w:u w:val="single"/>
          <w:lang w:val="en-US" w:eastAsia="zh-CN" w:bidi="ar"/>
        </w:rPr>
        <w:t>31</w:t>
      </w:r>
      <w:r>
        <w:rPr>
          <w:rFonts w:hint="eastAsia" w:ascii="宋体" w:hAnsi="宋体" w:eastAsia="宋体" w:cs="宋体"/>
          <w:color w:val="auto"/>
          <w:kern w:val="0"/>
          <w:sz w:val="24"/>
          <w:szCs w:val="24"/>
          <w:highlight w:val="none"/>
          <w:u w:val="single"/>
          <w:lang w:bidi="ar"/>
        </w:rPr>
        <w:t>日8点00分</w:t>
      </w:r>
      <w:r>
        <w:rPr>
          <w:rFonts w:hint="eastAsia" w:ascii="宋体" w:hAnsi="宋体" w:eastAsia="宋体" w:cs="宋体"/>
          <w:color w:val="auto"/>
          <w:kern w:val="0"/>
          <w:sz w:val="24"/>
          <w:szCs w:val="24"/>
          <w:highlight w:val="none"/>
          <w:lang w:bidi="ar"/>
        </w:rPr>
        <w:t>（北京时间）</w:t>
      </w:r>
    </w:p>
    <w:p w14:paraId="5D58F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地点：</w:t>
      </w:r>
      <w:r>
        <w:rPr>
          <w:rFonts w:hint="eastAsia" w:ascii="宋体" w:hAnsi="宋体" w:eastAsia="宋体" w:cs="宋体"/>
          <w:color w:val="auto"/>
          <w:sz w:val="24"/>
          <w:szCs w:val="24"/>
          <w:highlight w:val="none"/>
          <w:lang w:bidi="ar"/>
        </w:rPr>
        <w:t>滁州市公共资源交易平台电子交易系统</w:t>
      </w:r>
    </w:p>
    <w:p w14:paraId="1495ED41">
      <w:pPr>
        <w:keepNext/>
        <w:keepLines/>
        <w:spacing w:before="260" w:after="260"/>
        <w:rPr>
          <w:rFonts w:hint="eastAsia"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五、公告期限</w:t>
      </w:r>
    </w:p>
    <w:p w14:paraId="37A0D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自本公告发布之日起5个工作日。</w:t>
      </w:r>
    </w:p>
    <w:p w14:paraId="17FCF4DE">
      <w:pPr>
        <w:keepNext/>
        <w:keepLines/>
        <w:spacing w:before="260" w:after="260"/>
        <w:rPr>
          <w:rFonts w:hint="eastAsia"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六、其他补充事宜</w:t>
      </w:r>
    </w:p>
    <w:p w14:paraId="741977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DFA66F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2.请投标人登录滁州市公共资源交易中心网站查看参加本项目的程序。（具体操作步骤和程序请参见服务指南&gt;交易须知&gt;投标人填写投标信息、下载文件及网上提问操作手册）。</w:t>
      </w:r>
    </w:p>
    <w:p w14:paraId="497FFCE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360EAE8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05DBA60B">
      <w:pPr>
        <w:keepNext/>
        <w:keepLines/>
        <w:spacing w:before="260" w:after="260"/>
        <w:rPr>
          <w:rFonts w:hint="eastAsia"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七、对本次招标提出询问，请按以下方式联系</w:t>
      </w:r>
    </w:p>
    <w:p w14:paraId="0535CFD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1.采购人信息</w:t>
      </w:r>
    </w:p>
    <w:p w14:paraId="4D192A5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eastAsia="zh-CN" w:bidi="ar"/>
        </w:rPr>
        <w:t>滁州市第二人民医院（市传染病医院、市精神病医院）</w:t>
      </w:r>
    </w:p>
    <w:p w14:paraId="43B7FE5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地  址：</w:t>
      </w:r>
      <w:r>
        <w:rPr>
          <w:rFonts w:hint="eastAsia" w:ascii="宋体" w:hAnsi="宋体" w:eastAsia="宋体" w:cs="宋体"/>
          <w:color w:val="auto"/>
          <w:sz w:val="24"/>
          <w:szCs w:val="24"/>
          <w:highlight w:val="none"/>
          <w:u w:val="single"/>
          <w:lang w:eastAsia="zh-CN" w:bidi="ar"/>
        </w:rPr>
        <w:t>滁州市清流中路1401号</w:t>
      </w:r>
    </w:p>
    <w:p w14:paraId="378494C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eastAsia="zh-CN" w:bidi="ar"/>
        </w:rPr>
        <w:t xml:space="preserve">招标办 </w:t>
      </w:r>
    </w:p>
    <w:p w14:paraId="376470B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eastAsia="zh-CN" w:bidi="ar"/>
        </w:rPr>
        <w:t>0550-3523822</w:t>
      </w:r>
    </w:p>
    <w:p w14:paraId="4D2A921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2.采购代理机构信息</w:t>
      </w:r>
    </w:p>
    <w:p w14:paraId="47A6DDF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bidi="ar"/>
        </w:rPr>
        <w:t>滁州市城投工程咨询管理有限公司</w:t>
      </w:r>
    </w:p>
    <w:p w14:paraId="5DCA3A4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地  址：</w:t>
      </w:r>
      <w:r>
        <w:rPr>
          <w:rFonts w:hint="eastAsia" w:ascii="宋体" w:hAnsi="宋体" w:eastAsia="宋体" w:cs="宋体"/>
          <w:color w:val="auto"/>
          <w:sz w:val="24"/>
          <w:szCs w:val="24"/>
          <w:highlight w:val="none"/>
          <w:u w:val="single"/>
          <w:lang w:bidi="ar"/>
        </w:rPr>
        <w:t>滁州市龙蟠大道109号房产商务大厦6楼</w:t>
      </w:r>
    </w:p>
    <w:p w14:paraId="577E3B9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eastAsia="zh-CN" w:bidi="ar"/>
        </w:rPr>
        <w:t>王芳</w:t>
      </w:r>
    </w:p>
    <w:p w14:paraId="7DC6E68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bidi="ar"/>
        </w:rPr>
        <w:t>0550-</w:t>
      </w:r>
      <w:r>
        <w:rPr>
          <w:rFonts w:hint="eastAsia" w:ascii="宋体" w:hAnsi="宋体" w:eastAsia="宋体" w:cs="宋体"/>
          <w:color w:val="auto"/>
          <w:sz w:val="24"/>
          <w:szCs w:val="24"/>
          <w:highlight w:val="none"/>
          <w:u w:val="single"/>
          <w:lang w:eastAsia="zh-CN" w:bidi="ar"/>
        </w:rPr>
        <w:t>3519519</w:t>
      </w:r>
      <w:r>
        <w:rPr>
          <w:rFonts w:hint="eastAsia" w:ascii="宋体" w:hAnsi="宋体" w:eastAsia="宋体" w:cs="宋体"/>
          <w:color w:val="auto"/>
          <w:sz w:val="24"/>
          <w:szCs w:val="24"/>
          <w:highlight w:val="none"/>
          <w:u w:val="single"/>
          <w:lang w:bidi="ar"/>
        </w:rPr>
        <w:t>、</w:t>
      </w:r>
      <w:r>
        <w:rPr>
          <w:rFonts w:hint="eastAsia" w:ascii="宋体" w:hAnsi="宋体" w:eastAsia="宋体" w:cs="宋体"/>
          <w:color w:val="auto"/>
          <w:sz w:val="24"/>
          <w:szCs w:val="24"/>
          <w:highlight w:val="none"/>
          <w:u w:val="single"/>
          <w:lang w:eastAsia="zh-CN" w:bidi="ar"/>
        </w:rPr>
        <w:t>18955055067</w:t>
      </w:r>
    </w:p>
    <w:p w14:paraId="1AD2D77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3.政府采购监督管理部门信息</w:t>
      </w:r>
    </w:p>
    <w:p w14:paraId="7CAB487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bidi="ar"/>
        </w:rPr>
        <w:t>滁州市公共资源交易监督管理局</w:t>
      </w:r>
    </w:p>
    <w:p w14:paraId="3E5506D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地  址：</w:t>
      </w:r>
      <w:r>
        <w:rPr>
          <w:rFonts w:hint="eastAsia" w:ascii="宋体" w:hAnsi="宋体" w:eastAsia="宋体" w:cs="宋体"/>
          <w:color w:val="auto"/>
          <w:sz w:val="24"/>
          <w:szCs w:val="24"/>
          <w:highlight w:val="none"/>
          <w:u w:val="single"/>
          <w:lang w:bidi="ar"/>
        </w:rPr>
        <w:t>滁州市龙蟠大道109号房产大厦三楼</w:t>
      </w:r>
    </w:p>
    <w:p w14:paraId="431212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bidi="ar"/>
        </w:rPr>
        <w:t>0550-3801601</w:t>
      </w:r>
    </w:p>
    <w:p w14:paraId="7CD50F1E">
      <w:pPr>
        <w:spacing w:line="360" w:lineRule="auto"/>
        <w:ind w:firstLine="435"/>
        <w:rPr>
          <w:rFonts w:hint="eastAsia" w:ascii="宋体" w:hAnsi="宋体" w:eastAsia="宋体" w:cs="宋体"/>
          <w:color w:val="auto"/>
          <w:sz w:val="24"/>
          <w:szCs w:val="24"/>
          <w:highlight w:val="none"/>
          <w:u w:val="single"/>
        </w:rPr>
      </w:pPr>
    </w:p>
    <w:p w14:paraId="227D5257">
      <w:pPr>
        <w:widowControl/>
        <w:jc w:val="left"/>
        <w:rPr>
          <w:rFonts w:hint="eastAsia" w:ascii="宋体" w:hAnsi="宋体" w:eastAsia="宋体"/>
          <w:color w:val="auto"/>
          <w:sz w:val="24"/>
          <w:szCs w:val="18"/>
          <w:highlight w:val="none"/>
        </w:rPr>
      </w:pPr>
      <w:r>
        <w:rPr>
          <w:rFonts w:ascii="宋体" w:hAnsi="宋体" w:eastAsia="宋体"/>
          <w:color w:val="auto"/>
          <w:sz w:val="24"/>
          <w:szCs w:val="18"/>
          <w:highlight w:val="none"/>
        </w:rPr>
        <w:br w:type="page"/>
      </w:r>
    </w:p>
    <w:p w14:paraId="61D86C55">
      <w:pPr>
        <w:spacing w:line="360" w:lineRule="auto"/>
        <w:jc w:val="center"/>
        <w:outlineLvl w:val="0"/>
        <w:rPr>
          <w:rFonts w:hint="eastAsia" w:ascii="宋体" w:hAnsi="宋体" w:eastAsia="宋体"/>
          <w:b/>
          <w:color w:val="auto"/>
          <w:sz w:val="28"/>
          <w:highlight w:val="none"/>
        </w:rPr>
      </w:pPr>
      <w:bookmarkStart w:id="7"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7"/>
    </w:p>
    <w:p w14:paraId="45649222">
      <w:pPr>
        <w:spacing w:line="360" w:lineRule="auto"/>
        <w:jc w:val="center"/>
        <w:outlineLvl w:val="1"/>
        <w:rPr>
          <w:rFonts w:hint="eastAsia" w:ascii="宋体" w:hAnsi="宋体" w:eastAsia="宋体"/>
          <w:b/>
          <w:color w:val="auto"/>
          <w:sz w:val="24"/>
          <w:highlight w:val="none"/>
        </w:rPr>
      </w:pPr>
      <w:bookmarkStart w:id="8" w:name="_Toc3114"/>
      <w:bookmarkStart w:id="9"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8"/>
      <w:bookmarkEnd w:id="9"/>
    </w:p>
    <w:p w14:paraId="39A5FCC7">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1CED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81" w:type="pct"/>
            <w:noWrap w:val="0"/>
            <w:vAlign w:val="center"/>
          </w:tcPr>
          <w:p w14:paraId="232D7601">
            <w:pPr>
              <w:pStyle w:val="5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noWrap w:val="0"/>
            <w:vAlign w:val="center"/>
          </w:tcPr>
          <w:p w14:paraId="2D77621D">
            <w:pPr>
              <w:pStyle w:val="5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noWrap w:val="0"/>
            <w:vAlign w:val="center"/>
          </w:tcPr>
          <w:p w14:paraId="4110631D">
            <w:pPr>
              <w:pStyle w:val="5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8AC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291C70A4">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noWrap w:val="0"/>
            <w:vAlign w:val="center"/>
          </w:tcPr>
          <w:p w14:paraId="2E3E74D8">
            <w:pPr>
              <w:pStyle w:val="5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noWrap w:val="0"/>
            <w:vAlign w:val="center"/>
          </w:tcPr>
          <w:p w14:paraId="0106B2BA">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079A3F08">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22D40696">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3EEA9B1D">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1F238843">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 xml:space="preserve">/        </w:t>
            </w:r>
            <w:r>
              <w:rPr>
                <w:rFonts w:hint="default" w:ascii="宋体" w:hAnsi="宋体" w:eastAsia="宋体"/>
                <w:bCs/>
                <w:color w:val="auto"/>
                <w:sz w:val="24"/>
                <w:szCs w:val="20"/>
                <w:highlight w:val="none"/>
                <w:u w:val="single"/>
              </w:rPr>
              <w:t xml:space="preserve">  </w:t>
            </w:r>
          </w:p>
          <w:p w14:paraId="6148DBB8">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D6E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7929D228">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noWrap w:val="0"/>
            <w:vAlign w:val="center"/>
          </w:tcPr>
          <w:p w14:paraId="600601BB">
            <w:pPr>
              <w:pStyle w:val="5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noWrap w:val="0"/>
            <w:vAlign w:val="center"/>
          </w:tcPr>
          <w:p w14:paraId="7579315B">
            <w:pPr>
              <w:pStyle w:val="53"/>
              <w:keepNext w:val="0"/>
              <w:keepLines w:val="0"/>
              <w:widowControl w:val="0"/>
              <w:suppressLineNumbers w:val="0"/>
              <w:spacing w:before="0" w:beforeAutospacing="0" w:after="0" w:afterAutospacing="0"/>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2025</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年</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月</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16</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日</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时</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F7E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2B85D480">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noWrap w:val="0"/>
            <w:vAlign w:val="center"/>
          </w:tcPr>
          <w:p w14:paraId="533C481B">
            <w:pPr>
              <w:pStyle w:val="5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noWrap w:val="0"/>
            <w:vAlign w:val="center"/>
          </w:tcPr>
          <w:p w14:paraId="51798D05">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Segoe UI Symbol" w:hAnsi="Segoe UI Symbol" w:eastAsia="宋体" w:cs="Segoe UI Symbol"/>
                <w:b w:val="0"/>
                <w:bCs w:val="0"/>
                <w:color w:val="auto"/>
                <w:sz w:val="24"/>
                <w:szCs w:val="24"/>
                <w:highlight w:val="none"/>
                <w:lang w:eastAsia="zh-CN"/>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4</w:t>
            </w:r>
            <w:r>
              <w:rPr>
                <w:rFonts w:hint="default" w:ascii="宋体" w:hAnsi="宋体" w:eastAsia="宋体"/>
                <w:b w:val="0"/>
                <w:color w:val="auto"/>
                <w:sz w:val="24"/>
                <w:highlight w:val="none"/>
              </w:rPr>
              <w:t>个包</w:t>
            </w:r>
          </w:p>
          <w:p w14:paraId="231FA6A2">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b w:val="0"/>
                <w:color w:val="auto"/>
                <w:sz w:val="24"/>
                <w:szCs w:val="20"/>
                <w:highlight w:val="none"/>
                <w:lang w:val="en-US" w:eastAsia="zh-CN"/>
              </w:rPr>
            </w:pPr>
            <w:r>
              <w:rPr>
                <w:rFonts w:hint="eastAsia" w:ascii="宋体" w:hAnsi="宋体" w:eastAsia="宋体"/>
                <w:b w:val="0"/>
                <w:color w:val="auto"/>
                <w:sz w:val="24"/>
                <w:szCs w:val="20"/>
                <w:highlight w:val="none"/>
              </w:rPr>
              <w:t>投标人对多个包</w:t>
            </w:r>
            <w:r>
              <w:rPr>
                <w:rFonts w:hint="eastAsia" w:ascii="宋体" w:hAnsi="宋体" w:eastAsia="宋体"/>
                <w:b w:val="0"/>
                <w:color w:val="auto"/>
                <w:sz w:val="24"/>
                <w:szCs w:val="20"/>
                <w:highlight w:val="none"/>
                <w:lang w:val="en-US" w:eastAsia="zh-CN"/>
              </w:rPr>
              <w:t>进行投标的中标包数规定：投标人可以同时投任意一个或多个包，也可以中一个或多个包。</w:t>
            </w:r>
          </w:p>
          <w:p w14:paraId="4C7D05D7">
            <w:pPr>
              <w:pStyle w:val="53"/>
              <w:keepNext w:val="0"/>
              <w:keepLines w:val="0"/>
              <w:widowControl w:val="0"/>
              <w:suppressLineNumbers w:val="0"/>
              <w:spacing w:before="0" w:beforeAutospacing="0" w:after="0" w:afterAutospacing="0"/>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评审时按“第1包→第2包→第3包→第4包”的顺序评审。</w:t>
            </w:r>
          </w:p>
        </w:tc>
      </w:tr>
      <w:tr w14:paraId="671C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noWrap w:val="0"/>
            <w:vAlign w:val="center"/>
          </w:tcPr>
          <w:p w14:paraId="163DCD6D">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noWrap w:val="0"/>
            <w:vAlign w:val="center"/>
          </w:tcPr>
          <w:p w14:paraId="249074CE">
            <w:pPr>
              <w:pStyle w:val="5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noWrap w:val="0"/>
            <w:vAlign w:val="center"/>
          </w:tcPr>
          <w:p w14:paraId="63E0DB5D">
            <w:pPr>
              <w:keepNext w:val="0"/>
              <w:keepLines w:val="0"/>
              <w:suppressLineNumbers w:val="0"/>
              <w:spacing w:before="0" w:beforeAutospacing="0" w:after="0" w:afterAutospacing="0" w:line="360" w:lineRule="auto"/>
              <w:ind w:left="0" w:right="0"/>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444A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6AD4C641">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noWrap w:val="0"/>
            <w:vAlign w:val="center"/>
          </w:tcPr>
          <w:p w14:paraId="1CEFAFC5">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noWrap w:val="0"/>
            <w:vAlign w:val="center"/>
          </w:tcPr>
          <w:p w14:paraId="4B08A070">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584C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65196AEE">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noWrap w:val="0"/>
            <w:vAlign w:val="center"/>
          </w:tcPr>
          <w:p w14:paraId="356D557D">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noWrap w:val="0"/>
            <w:vAlign w:val="center"/>
          </w:tcPr>
          <w:p w14:paraId="77B22885">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732A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104F16C4">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noWrap w:val="0"/>
            <w:vAlign w:val="center"/>
          </w:tcPr>
          <w:p w14:paraId="55B9A2AA">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noWrap w:val="0"/>
            <w:vAlign w:val="center"/>
          </w:tcPr>
          <w:p w14:paraId="3DFBD101">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52D78076">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7A0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488016B5">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noWrap w:val="0"/>
            <w:vAlign w:val="center"/>
          </w:tcPr>
          <w:p w14:paraId="007157E1">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noWrap w:val="0"/>
            <w:vAlign w:val="center"/>
          </w:tcPr>
          <w:p w14:paraId="01AE3134">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2B5D2314">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综合评分法</w:t>
            </w:r>
          </w:p>
        </w:tc>
      </w:tr>
      <w:tr w14:paraId="26A7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652919D4">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.3</w:t>
            </w:r>
          </w:p>
        </w:tc>
        <w:tc>
          <w:tcPr>
            <w:tcW w:w="1174" w:type="pct"/>
            <w:noWrap w:val="0"/>
            <w:vAlign w:val="center"/>
          </w:tcPr>
          <w:p w14:paraId="73274991">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报价扣除</w:t>
            </w:r>
            <w:r>
              <w:rPr>
                <w:rFonts w:hint="eastAsia" w:ascii="宋体" w:hAnsi="宋体" w:eastAsia="宋体" w:cs="宋体"/>
                <w:b w:val="0"/>
                <w:i/>
                <w:iCs/>
                <w:color w:val="auto"/>
                <w:sz w:val="24"/>
                <w:highlight w:val="none"/>
              </w:rPr>
              <w:t>（非专门面向中小企业采购项目适用）</w:t>
            </w:r>
          </w:p>
          <w:p w14:paraId="10FC6877">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p>
        </w:tc>
        <w:tc>
          <w:tcPr>
            <w:tcW w:w="3244" w:type="pct"/>
            <w:noWrap w:val="0"/>
            <w:vAlign w:val="center"/>
          </w:tcPr>
          <w:p w14:paraId="3E5E1C8B">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726FAD57">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BC64221">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5CE7728">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联合体投标的，小型、微型企业的协议合同金额占联合体协议合同总金额30%以上的，价格给予联合体</w:t>
            </w:r>
            <w:r>
              <w:rPr>
                <w:rFonts w:hint="eastAsia" w:ascii="宋体" w:hAnsi="宋体" w:eastAsia="宋体"/>
                <w:b w:val="0"/>
                <w:color w:val="auto"/>
                <w:sz w:val="24"/>
                <w:highlight w:val="none"/>
                <w:u w:val="single"/>
                <w:lang w:val="en-US" w:eastAsia="zh-CN"/>
              </w:rPr>
              <w:t>6</w:t>
            </w:r>
            <w:r>
              <w:rPr>
                <w:rFonts w:hint="eastAsia" w:ascii="宋体" w:hAnsi="宋体" w:eastAsia="宋体"/>
                <w:b w:val="0"/>
                <w:color w:val="auto"/>
                <w:sz w:val="24"/>
                <w:highlight w:val="none"/>
                <w:u w:val="single"/>
              </w:rPr>
              <w:t>%的扣除后参与评审；其评审价=投标报价*9</w:t>
            </w:r>
            <w:r>
              <w:rPr>
                <w:rFonts w:hint="eastAsia" w:ascii="宋体" w:hAnsi="宋体" w:eastAsia="宋体"/>
                <w:b w:val="0"/>
                <w:color w:val="auto"/>
                <w:sz w:val="24"/>
                <w:highlight w:val="none"/>
                <w:u w:val="single"/>
                <w:lang w:val="en-US" w:eastAsia="zh-CN"/>
              </w:rPr>
              <w:t>4</w:t>
            </w:r>
            <w:r>
              <w:rPr>
                <w:rFonts w:hint="eastAsia" w:ascii="宋体" w:hAnsi="宋体" w:eastAsia="宋体"/>
                <w:b w:val="0"/>
                <w:color w:val="auto"/>
                <w:sz w:val="24"/>
                <w:highlight w:val="none"/>
                <w:u w:val="single"/>
              </w:rPr>
              <w:t>%；联合体各方均为小型、微型企业的，联合体视同为小型、微型企业，其评审价按（1）款执行</w:t>
            </w:r>
            <w:r>
              <w:rPr>
                <w:rFonts w:hint="eastAsia" w:ascii="宋体" w:hAnsi="宋体" w:eastAsia="宋体"/>
                <w:b w:val="0"/>
                <w:color w:val="auto"/>
                <w:sz w:val="24"/>
                <w:highlight w:val="none"/>
              </w:rPr>
              <w:t>。</w:t>
            </w:r>
          </w:p>
          <w:p w14:paraId="0E0B993F">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允许大中型企业向一家或者多家小微企业分包的，对于分包意向协议约定小微企业的合同份额占到合同总金额30%以上的，给予大中型企业的投标报价按照</w:t>
            </w:r>
            <w:r>
              <w:rPr>
                <w:rFonts w:hint="eastAsia" w:ascii="宋体" w:hAnsi="宋体" w:eastAsia="宋体"/>
                <w:b w:val="0"/>
                <w:color w:val="auto"/>
                <w:sz w:val="24"/>
                <w:highlight w:val="none"/>
                <w:u w:val="single"/>
                <w:lang w:val="en-US" w:eastAsia="zh-CN"/>
              </w:rPr>
              <w:t>6</w:t>
            </w:r>
            <w:r>
              <w:rPr>
                <w:rFonts w:hint="eastAsia" w:ascii="宋体" w:hAnsi="宋体" w:eastAsia="宋体"/>
                <w:b w:val="0"/>
                <w:color w:val="auto"/>
                <w:sz w:val="24"/>
                <w:highlight w:val="none"/>
                <w:u w:val="single"/>
              </w:rPr>
              <w:t>%标准扣除后的价格参与评审；其评审价=投标报价*9</w:t>
            </w:r>
            <w:r>
              <w:rPr>
                <w:rFonts w:hint="eastAsia" w:ascii="宋体" w:hAnsi="宋体" w:eastAsia="宋体"/>
                <w:b w:val="0"/>
                <w:color w:val="auto"/>
                <w:sz w:val="24"/>
                <w:highlight w:val="none"/>
                <w:u w:val="single"/>
                <w:lang w:val="en-US" w:eastAsia="zh-CN"/>
              </w:rPr>
              <w:t>4</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939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140A6BD1">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noWrap w:val="0"/>
            <w:vAlign w:val="center"/>
          </w:tcPr>
          <w:p w14:paraId="5B797ED0">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noWrap w:val="0"/>
            <w:vAlign w:val="center"/>
          </w:tcPr>
          <w:p w14:paraId="4EFC0587">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推荐3名中标候选人</w:t>
            </w:r>
          </w:p>
        </w:tc>
      </w:tr>
      <w:tr w14:paraId="5D80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17A8ECDC">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noWrap w:val="0"/>
            <w:vAlign w:val="center"/>
          </w:tcPr>
          <w:p w14:paraId="663E495F">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noWrap w:val="0"/>
            <w:vAlign w:val="center"/>
          </w:tcPr>
          <w:p w14:paraId="548084D5">
            <w:pPr>
              <w:keepNext w:val="0"/>
              <w:keepLines w:val="0"/>
              <w:suppressLineNumbers w:val="0"/>
              <w:spacing w:before="0" w:beforeAutospacing="0" w:after="0" w:afterAutospacing="0" w:line="360" w:lineRule="auto"/>
              <w:ind w:left="0" w:right="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□采购人委托评标委员会确定</w:t>
            </w:r>
          </w:p>
          <w:p w14:paraId="51212BB0">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采购人确定</w:t>
            </w:r>
          </w:p>
        </w:tc>
      </w:tr>
      <w:tr w14:paraId="4C8E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37DEAE05">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noWrap w:val="0"/>
            <w:vAlign w:val="center"/>
          </w:tcPr>
          <w:p w14:paraId="6851800B">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noWrap w:val="0"/>
            <w:vAlign w:val="center"/>
          </w:tcPr>
          <w:p w14:paraId="0EDA1668">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7159266E">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4B16D922">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iCs/>
                <w:color w:val="auto"/>
                <w:sz w:val="24"/>
                <w:highlight w:val="none"/>
                <w:lang w:eastAsia="zh-CN"/>
              </w:rPr>
            </w:pPr>
            <w:r>
              <w:rPr>
                <w:rFonts w:hint="eastAsia" w:ascii="宋体" w:hAnsi="宋体" w:eastAsia="宋体"/>
                <w:b w:val="0"/>
                <w:color w:val="auto"/>
                <w:sz w:val="24"/>
                <w:highlight w:val="none"/>
              </w:rPr>
              <w:t>（3）中标（成交）供应商的评审总得分</w:t>
            </w:r>
            <w:r>
              <w:rPr>
                <w:rFonts w:hint="eastAsia" w:ascii="宋体" w:hAnsi="宋体" w:eastAsia="宋体"/>
                <w:b w:val="0"/>
                <w:color w:val="auto"/>
                <w:sz w:val="24"/>
                <w:highlight w:val="none"/>
                <w:lang w:eastAsia="zh-CN"/>
              </w:rPr>
              <w:t>；</w:t>
            </w:r>
          </w:p>
          <w:p w14:paraId="501310A2">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中标（成交）供应商的</w:t>
            </w:r>
            <w:r>
              <w:rPr>
                <w:rFonts w:hint="eastAsia" w:ascii="宋体" w:hAnsi="宋体" w:eastAsia="宋体"/>
                <w:b w:val="0"/>
                <w:color w:val="auto"/>
                <w:sz w:val="24"/>
                <w:highlight w:val="none"/>
                <w:u w:val="single"/>
              </w:rPr>
              <w:t>投标分项报价表。</w:t>
            </w:r>
            <w:r>
              <w:rPr>
                <w:rFonts w:hint="eastAsia" w:ascii="宋体" w:hAnsi="宋体" w:eastAsia="宋体"/>
                <w:b w:val="0"/>
                <w:i/>
                <w:iCs/>
                <w:color w:val="auto"/>
                <w:sz w:val="24"/>
                <w:highlight w:val="none"/>
              </w:rPr>
              <w:t>（如有）</w:t>
            </w:r>
          </w:p>
        </w:tc>
      </w:tr>
      <w:tr w14:paraId="599A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4C79FB4C">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noWrap w:val="0"/>
            <w:vAlign w:val="center"/>
          </w:tcPr>
          <w:p w14:paraId="6D9019CC">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noWrap w:val="0"/>
            <w:vAlign w:val="center"/>
          </w:tcPr>
          <w:p w14:paraId="55451C68">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4F2B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385F760E">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noWrap w:val="0"/>
            <w:vAlign w:val="center"/>
          </w:tcPr>
          <w:p w14:paraId="43E3A6A3">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noWrap w:val="0"/>
            <w:vAlign w:val="center"/>
          </w:tcPr>
          <w:p w14:paraId="162E29B6">
            <w:pPr>
              <w:keepNext w:val="0"/>
              <w:keepLines w:val="0"/>
              <w:suppressLineNumbers w:val="0"/>
              <w:spacing w:before="0" w:beforeAutospacing="0" w:after="0" w:afterAutospacing="0" w:line="360" w:lineRule="auto"/>
              <w:ind w:left="0" w:right="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olor w:val="auto"/>
                <w:kern w:val="0"/>
                <w:sz w:val="24"/>
                <w:szCs w:val="24"/>
                <w:highlight w:val="none"/>
              </w:rPr>
              <w:t>系统查看</w:t>
            </w:r>
          </w:p>
          <w:p w14:paraId="2853E625">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kern w:val="2"/>
                <w:sz w:val="24"/>
                <w:szCs w:val="24"/>
                <w:highlight w:val="none"/>
              </w:rPr>
            </w:pPr>
            <w:r>
              <w:rPr>
                <w:rFonts w:hint="eastAsia" w:ascii="宋体" w:hAnsi="宋体" w:eastAsia="宋体"/>
                <w:b w:val="0"/>
                <w:bCs w:val="0"/>
                <w:color w:val="auto"/>
                <w:kern w:val="2"/>
                <w:sz w:val="24"/>
                <w:szCs w:val="24"/>
                <w:highlight w:val="none"/>
              </w:rPr>
              <w:t>□评标现场告知</w:t>
            </w:r>
          </w:p>
        </w:tc>
      </w:tr>
      <w:tr w14:paraId="6531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noWrap w:val="0"/>
            <w:vAlign w:val="center"/>
          </w:tcPr>
          <w:p w14:paraId="384D8B69">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noWrap w:val="0"/>
            <w:vAlign w:val="center"/>
          </w:tcPr>
          <w:p w14:paraId="19E14C6B">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noWrap w:val="0"/>
            <w:vAlign w:val="top"/>
          </w:tcPr>
          <w:p w14:paraId="4AB81CD8">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2407CDB">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0D6223C3">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2.5</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F32DC63">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43C0226">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39C5E8A">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3C34C249">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另行通知   </w:t>
            </w:r>
            <w:r>
              <w:rPr>
                <w:rFonts w:hint="eastAsia" w:ascii="宋体" w:hAnsi="宋体" w:eastAsia="宋体"/>
                <w:bCs/>
                <w:color w:val="auto"/>
                <w:kern w:val="0"/>
                <w:sz w:val="24"/>
                <w:szCs w:val="28"/>
                <w:highlight w:val="none"/>
              </w:rPr>
              <w:t xml:space="preserve">              </w:t>
            </w:r>
          </w:p>
          <w:p w14:paraId="652B63A9">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另行通知   </w:t>
            </w:r>
          </w:p>
          <w:p w14:paraId="75B540CE">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p>
          <w:p w14:paraId="5A090931">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07194C3">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1D1D84C">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056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noWrap w:val="0"/>
            <w:vAlign w:val="center"/>
          </w:tcPr>
          <w:p w14:paraId="4893700D">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noWrap w:val="0"/>
            <w:vAlign w:val="center"/>
          </w:tcPr>
          <w:p w14:paraId="4895D160">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noWrap w:val="0"/>
            <w:vAlign w:val="top"/>
          </w:tcPr>
          <w:p w14:paraId="1A4E264E">
            <w:pPr>
              <w:pStyle w:val="22"/>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777BFCF8">
            <w:pPr>
              <w:pStyle w:val="22"/>
              <w:keepNext w:val="0"/>
              <w:keepLines w:val="0"/>
              <w:widowControl/>
              <w:suppressLineNumbers w:val="0"/>
              <w:spacing w:before="0" w:beforeAutospacing="0" w:after="0" w:afterAutospacing="0" w:line="360" w:lineRule="auto"/>
              <w:ind w:left="0" w:right="0"/>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在安徽省政府采购网和滁州市公共资源交易中心网</w:t>
            </w:r>
            <w:r>
              <w:rPr>
                <w:rFonts w:hint="default"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hint="default" w:ascii="宋体" w:hAnsi="宋体" w:eastAsia="宋体" w:cs="宋体"/>
                <w:color w:val="auto"/>
                <w:szCs w:val="24"/>
                <w:highlight w:val="none"/>
              </w:rPr>
              <w:t>但涉及国家秘密、商业秘密的信息和其他依法不得公开的信息除外。</w:t>
            </w:r>
          </w:p>
        </w:tc>
      </w:tr>
      <w:tr w14:paraId="44B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0C2A0699">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noWrap w:val="0"/>
            <w:vAlign w:val="center"/>
          </w:tcPr>
          <w:p w14:paraId="4775F2D3">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noWrap w:val="0"/>
            <w:vAlign w:val="center"/>
          </w:tcPr>
          <w:p w14:paraId="47D17C3A">
            <w:pPr>
              <w:keepNext w:val="0"/>
              <w:keepLines w:val="0"/>
              <w:suppressLineNumbers w:val="0"/>
              <w:spacing w:before="39"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730F3B71">
            <w:pPr>
              <w:keepNext w:val="0"/>
              <w:keepLines w:val="0"/>
              <w:suppressLineNumbers w:val="0"/>
              <w:spacing w:before="24"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中标单位在获取中标通知书时一次性支付给代理机构。</w:t>
            </w:r>
          </w:p>
          <w:p w14:paraId="54EBCC16">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rPr>
              <w:t>12285</w:t>
            </w:r>
            <w:r>
              <w:rPr>
                <w:rFonts w:hint="eastAsia" w:ascii="宋体" w:hAnsi="宋体" w:eastAsia="宋体" w:cs="宋体"/>
                <w:b w:val="0"/>
                <w:bCs w:val="0"/>
                <w:color w:val="auto"/>
                <w:kern w:val="2"/>
                <w:sz w:val="24"/>
                <w:szCs w:val="24"/>
                <w:highlight w:val="none"/>
                <w:u w:val="single"/>
              </w:rPr>
              <w:t>元</w:t>
            </w:r>
            <w:r>
              <w:rPr>
                <w:rFonts w:hint="eastAsia" w:ascii="宋体" w:hAnsi="宋体" w:eastAsia="宋体" w:cs="宋体"/>
                <w:b w:val="0"/>
                <w:bCs w:val="0"/>
                <w:color w:val="auto"/>
                <w:kern w:val="2"/>
                <w:sz w:val="24"/>
                <w:szCs w:val="24"/>
                <w:highlight w:val="none"/>
                <w:u w:val="single"/>
                <w:lang w:val="en-US" w:eastAsia="zh-CN"/>
              </w:rPr>
              <w:t>（其中第1包：3810元；第2包3679元；第3包1840元；第4包2956元）</w:t>
            </w:r>
            <w:r>
              <w:rPr>
                <w:rFonts w:hint="eastAsia" w:ascii="宋体" w:hAnsi="宋体" w:eastAsia="宋体" w:cs="宋体"/>
                <w:b w:val="0"/>
                <w:bCs w:val="0"/>
                <w:color w:val="auto"/>
                <w:kern w:val="2"/>
                <w:sz w:val="24"/>
                <w:szCs w:val="24"/>
                <w:highlight w:val="none"/>
                <w:u w:val="single"/>
              </w:rPr>
              <w:t>，</w:t>
            </w:r>
            <w:r>
              <w:rPr>
                <w:rFonts w:hint="eastAsia" w:ascii="宋体" w:hAnsi="宋体" w:eastAsia="宋体" w:cs="宋体"/>
                <w:b w:val="0"/>
                <w:bCs w:val="0"/>
                <w:color w:val="auto"/>
                <w:kern w:val="2"/>
                <w:sz w:val="24"/>
                <w:szCs w:val="24"/>
                <w:highlight w:val="none"/>
                <w:u w:val="single"/>
                <w:lang w:val="en-US" w:eastAsia="zh-CN"/>
              </w:rPr>
              <w:t>参考</w:t>
            </w:r>
            <w:r>
              <w:rPr>
                <w:rFonts w:hint="eastAsia" w:ascii="宋体" w:hAnsi="宋体" w:eastAsia="宋体" w:cs="宋体"/>
                <w:b w:val="0"/>
                <w:bCs w:val="0"/>
                <w:color w:val="auto"/>
                <w:kern w:val="2"/>
                <w:sz w:val="24"/>
                <w:szCs w:val="24"/>
                <w:highlight w:val="none"/>
                <w:u w:val="single"/>
              </w:rPr>
              <w:t>《滁州市公共资源交易代理机构及从业人员管理办法》(滁公管〔2025〕1 号)</w:t>
            </w:r>
            <w:r>
              <w:rPr>
                <w:rFonts w:hint="eastAsia" w:ascii="宋体" w:hAnsi="宋体" w:eastAsia="宋体" w:cs="宋体"/>
                <w:b w:val="0"/>
                <w:bCs w:val="0"/>
                <w:color w:val="auto"/>
                <w:kern w:val="2"/>
                <w:sz w:val="24"/>
                <w:szCs w:val="24"/>
                <w:highlight w:val="none"/>
                <w:u w:val="single"/>
                <w:lang w:val="en-US" w:eastAsia="zh-CN"/>
              </w:rPr>
              <w:t>以及《关于进一步明确代理费计取标准的通知》（滁公管综〔2023〕19号）文件</w:t>
            </w:r>
            <w:r>
              <w:rPr>
                <w:rFonts w:hint="eastAsia" w:ascii="宋体" w:hAnsi="宋体" w:eastAsia="宋体" w:cs="宋体"/>
                <w:b w:val="0"/>
                <w:bCs w:val="0"/>
                <w:color w:val="auto"/>
                <w:kern w:val="2"/>
                <w:sz w:val="24"/>
                <w:szCs w:val="24"/>
                <w:highlight w:val="none"/>
                <w:u w:val="single"/>
                <w:lang w:eastAsia="zh-CN"/>
              </w:rPr>
              <w:t>，</w:t>
            </w:r>
            <w:r>
              <w:rPr>
                <w:rFonts w:hint="eastAsia" w:ascii="宋体" w:hAnsi="宋体" w:eastAsia="宋体" w:cs="宋体"/>
                <w:b w:val="0"/>
                <w:bCs w:val="0"/>
                <w:color w:val="auto"/>
                <w:kern w:val="2"/>
                <w:sz w:val="24"/>
                <w:szCs w:val="24"/>
                <w:highlight w:val="none"/>
                <w:u w:val="single"/>
                <w:lang w:val="en-US" w:eastAsia="zh-CN"/>
              </w:rPr>
              <w:t>以最高限价（控制价）计算</w:t>
            </w:r>
            <w:r>
              <w:rPr>
                <w:rFonts w:hint="eastAsia" w:ascii="宋体" w:hAnsi="宋体" w:eastAsia="宋体" w:cs="宋体"/>
                <w:b w:val="0"/>
                <w:bCs w:val="0"/>
                <w:color w:val="auto"/>
                <w:kern w:val="2"/>
                <w:sz w:val="24"/>
                <w:szCs w:val="24"/>
                <w:highlight w:val="none"/>
                <w:u w:val="single"/>
              </w:rPr>
              <w:t>。</w:t>
            </w:r>
          </w:p>
        </w:tc>
      </w:tr>
      <w:tr w14:paraId="5E8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774BC0F3">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noWrap w:val="0"/>
            <w:vAlign w:val="center"/>
          </w:tcPr>
          <w:p w14:paraId="01B4C7DC">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noWrap w:val="0"/>
            <w:vAlign w:val="center"/>
          </w:tcPr>
          <w:p w14:paraId="6D7748C1">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olor w:val="auto"/>
                <w:sz w:val="24"/>
                <w:highlight w:val="none"/>
                <w:u w:val="single"/>
              </w:rPr>
              <w:t>如投标人对招标文件有质疑，可以依据中华人民共和国财政部令第94号《政府采购质疑和投诉办法》规定，以书面形式向采购人、采购代理机构提出质疑，也可以在滁州市公共资源交易中心网电子交易系统中进行质疑，具体操作步骤和程序请参见服务指南&gt;交易须知&gt;在线异议、质疑和投诉操作手册；</w:t>
            </w:r>
          </w:p>
          <w:p w14:paraId="7EAA3051">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lang w:eastAsia="zh-CN"/>
              </w:rPr>
              <w:t>滁州市第二人民医院（市传染病医院、市精神病医院）</w:t>
            </w:r>
            <w:r>
              <w:rPr>
                <w:rFonts w:hint="eastAsia" w:ascii="宋体" w:hAnsi="宋体" w:eastAsia="宋体"/>
                <w:color w:val="auto"/>
                <w:sz w:val="24"/>
                <w:highlight w:val="none"/>
                <w:u w:val="single"/>
              </w:rPr>
              <w:t>、滁州市城投工程咨询管理有限公司；</w:t>
            </w:r>
          </w:p>
          <w:p w14:paraId="79B1F1F3">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color w:val="auto"/>
                <w:sz w:val="24"/>
                <w:highlight w:val="none"/>
                <w:u w:val="single"/>
                <w:lang w:eastAsia="zh-CN"/>
              </w:rPr>
              <w:t>0550-3523822</w:t>
            </w:r>
            <w:r>
              <w:rPr>
                <w:rFonts w:hint="eastAsia" w:ascii="宋体" w:hAnsi="宋体" w:eastAsia="宋体"/>
                <w:color w:val="auto"/>
                <w:sz w:val="24"/>
                <w:highlight w:val="none"/>
                <w:u w:val="single"/>
              </w:rPr>
              <w:t>、0550-</w:t>
            </w:r>
            <w:r>
              <w:rPr>
                <w:rFonts w:hint="eastAsia" w:ascii="宋体" w:hAnsi="宋体" w:eastAsia="宋体"/>
                <w:color w:val="auto"/>
                <w:sz w:val="24"/>
                <w:highlight w:val="none"/>
                <w:u w:val="single"/>
                <w:lang w:eastAsia="zh-CN"/>
              </w:rPr>
              <w:t>3519519</w:t>
            </w:r>
            <w:r>
              <w:rPr>
                <w:rFonts w:hint="eastAsia" w:ascii="宋体" w:hAnsi="宋体" w:eastAsia="宋体"/>
                <w:color w:val="auto"/>
                <w:sz w:val="24"/>
                <w:highlight w:val="none"/>
                <w:u w:val="single"/>
              </w:rPr>
              <w:t>；</w:t>
            </w:r>
          </w:p>
          <w:p w14:paraId="03EC460B">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olor w:val="auto"/>
                <w:sz w:val="24"/>
                <w:highlight w:val="none"/>
                <w:u w:val="single"/>
                <w:lang w:eastAsia="zh-CN"/>
              </w:rPr>
              <w:t>滁州市清流中路1401号</w:t>
            </w:r>
            <w:r>
              <w:rPr>
                <w:rFonts w:hint="eastAsia" w:ascii="宋体" w:hAnsi="宋体" w:eastAsia="宋体"/>
                <w:color w:val="auto"/>
                <w:sz w:val="24"/>
                <w:highlight w:val="none"/>
                <w:u w:val="single"/>
              </w:rPr>
              <w:t>、滁州市龙蟠大道109号房产商务大厦6楼605室。</w:t>
            </w:r>
          </w:p>
        </w:tc>
      </w:tr>
      <w:tr w14:paraId="7D9A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noWrap w:val="0"/>
            <w:vAlign w:val="center"/>
          </w:tcPr>
          <w:p w14:paraId="6654BA52">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noWrap w:val="0"/>
            <w:vAlign w:val="center"/>
          </w:tcPr>
          <w:p w14:paraId="22F51EEF">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noWrap w:val="0"/>
            <w:vAlign w:val="center"/>
          </w:tcPr>
          <w:p w14:paraId="0575084E">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4808647F">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5D60CED8">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63A7BE58">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01270A73">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79BD126D">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（5）</w:t>
            </w:r>
            <w:r>
              <w:rPr>
                <w:rFonts w:hint="default" w:ascii="宋体" w:hAnsi="宋体" w:eastAsia="宋体"/>
                <w:b w:val="0"/>
                <w:color w:val="auto"/>
                <w:kern w:val="2"/>
                <w:sz w:val="24"/>
                <w:szCs w:val="24"/>
                <w:highlight w:val="none"/>
              </w:rPr>
              <w:t>按本款前述规定仍不能形成结论的，由</w:t>
            </w:r>
            <w:r>
              <w:rPr>
                <w:rFonts w:hint="eastAsia" w:ascii="宋体" w:hAnsi="宋体" w:eastAsia="宋体"/>
                <w:b w:val="0"/>
                <w:color w:val="auto"/>
                <w:kern w:val="2"/>
                <w:sz w:val="24"/>
                <w:szCs w:val="24"/>
                <w:highlight w:val="none"/>
              </w:rPr>
              <w:t>采购</w:t>
            </w:r>
            <w:r>
              <w:rPr>
                <w:rFonts w:hint="default" w:ascii="宋体" w:hAnsi="宋体" w:eastAsia="宋体"/>
                <w:b w:val="0"/>
                <w:color w:val="auto"/>
                <w:kern w:val="2"/>
                <w:sz w:val="24"/>
                <w:szCs w:val="24"/>
                <w:highlight w:val="none"/>
              </w:rPr>
              <w:t>人负责解释。</w:t>
            </w:r>
          </w:p>
          <w:p w14:paraId="1B5663EF">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宋体" w:hAnsi="宋体" w:eastAsia="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宋体" w:hAnsi="宋体" w:eastAsia="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宋体" w:hAnsi="宋体" w:eastAsia="宋体"/>
                <w:bCs/>
                <w:color w:val="auto"/>
                <w:sz w:val="24"/>
                <w:szCs w:val="24"/>
                <w:highlight w:val="none"/>
              </w:rPr>
              <w:t>融资申请信息推送第三方平台、意向金融机构。</w:t>
            </w:r>
          </w:p>
          <w:p w14:paraId="58A748C4">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3.电子保函指引：中标人可访问安徽省政府采购网“融资/保函”栏目，申请办理电子保函（包括：履约保函、预付款保函）。</w:t>
            </w:r>
          </w:p>
          <w:p w14:paraId="5F2A6BAB">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4.部分可提供线下政采贷的金融机构：</w:t>
            </w:r>
          </w:p>
          <w:p w14:paraId="465EC5F3">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市本级</w:t>
            </w:r>
          </w:p>
          <w:p w14:paraId="288545ED">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金融机构名称：兴业银行滁州分行</w:t>
            </w:r>
          </w:p>
          <w:p w14:paraId="118E93CD">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安徽省滁州市琅琊区丰乐大道1090号</w:t>
            </w:r>
          </w:p>
          <w:p w14:paraId="5D1B5551">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伏庚：17755080811。</w:t>
            </w:r>
          </w:p>
          <w:p w14:paraId="7C506512">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5.特别提示：</w:t>
            </w:r>
          </w:p>
          <w:p w14:paraId="7F42E04E">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（1）投标人应填写投标信息并下载招标文件，否则无法上传投标文件。</w:t>
            </w:r>
          </w:p>
          <w:p w14:paraId="785CACB6">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注：投标人如为联合体的，牵头人必须完善投标人信息，并在上传投标文件环节添加联合体投标信息。</w:t>
            </w:r>
          </w:p>
          <w:p w14:paraId="5A46926F">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6CB700BE">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（3）如果过程中出现招标文件更改，应以最后发布的招标答疑澄清文件中的模板制作本项目最新投标文件。</w:t>
            </w:r>
          </w:p>
          <w:p w14:paraId="21C1B919">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 xml:space="preserve">（4）投标人应当用本单位CA数字证书制作投标文件，制作成功后进行投标文件上传。 </w:t>
            </w:r>
          </w:p>
          <w:p w14:paraId="0DDFFD72">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7CC3396">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（6）请投标人注意加密投标文件CA数字证书的有效期，不在有效期的CA数字证书无法解密投标文件。</w:t>
            </w:r>
          </w:p>
          <w:p w14:paraId="1F0A040C">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（7）投标人投标MAC地址或投标人联系人或联系电话相同的，由评标委员会否决其投标，并报告监管部门作不良行为处理和进一步调查。</w:t>
            </w:r>
          </w:p>
          <w:p w14:paraId="1A6F68CB">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（8）投标人单方面出现其他投标人材料的，由评标委员会否决其投标。</w:t>
            </w:r>
          </w:p>
          <w:p w14:paraId="34ADE398">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9F02EB7">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0943E4D6">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6.评标过程中的澄清、说明或补正：</w:t>
            </w:r>
          </w:p>
          <w:p w14:paraId="5C493705">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7F61F28">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67CDE1F2">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7.同义词语：</w:t>
            </w:r>
          </w:p>
          <w:p w14:paraId="0A2840B6">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4E2C84A">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8.落实政府采购支持节能产品、环境标志产品政策。</w:t>
            </w:r>
          </w:p>
          <w:p w14:paraId="601BC9F7">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9.系统中提供的表格与采购文件中不一致时，以采购文件中提供的表格格式为准。</w:t>
            </w:r>
          </w:p>
        </w:tc>
      </w:tr>
    </w:tbl>
    <w:p w14:paraId="3CBB9131">
      <w:pPr>
        <w:spacing w:line="360" w:lineRule="auto"/>
        <w:jc w:val="center"/>
        <w:outlineLvl w:val="1"/>
        <w:rPr>
          <w:rFonts w:hint="eastAsia" w:ascii="宋体" w:hAnsi="宋体" w:eastAsia="宋体"/>
          <w:b/>
          <w:color w:val="auto"/>
          <w:sz w:val="24"/>
          <w:highlight w:val="none"/>
        </w:rPr>
      </w:pPr>
      <w:r>
        <w:rPr>
          <w:rFonts w:ascii="宋体" w:hAnsi="宋体" w:eastAsia="宋体"/>
          <w:b/>
          <w:color w:val="auto"/>
          <w:sz w:val="28"/>
          <w:highlight w:val="none"/>
        </w:rPr>
        <w:br w:type="page"/>
      </w:r>
      <w:bookmarkStart w:id="10" w:name="_Toc24882"/>
      <w:bookmarkStart w:id="11"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10"/>
      <w:bookmarkEnd w:id="11"/>
    </w:p>
    <w:p w14:paraId="45EF4078">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1.采购人、采购代理机构及投标人</w:t>
      </w:r>
    </w:p>
    <w:p w14:paraId="2B62B6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A7BA6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19DC45E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A17088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11E62E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91469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74E6A7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231721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C2A033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A95B6C6">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1D3B7E0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4C509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779FFC4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8BBB3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2777C7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72CB6C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7664A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64A554C">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2.资金落实情况</w:t>
      </w:r>
    </w:p>
    <w:p w14:paraId="6FBD6C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598262D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3.投标费用</w:t>
      </w:r>
    </w:p>
    <w:p w14:paraId="33EB907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B3353C9">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4.适用法律</w:t>
      </w:r>
    </w:p>
    <w:p w14:paraId="03D81BD8">
      <w:pPr>
        <w:spacing w:line="360" w:lineRule="auto"/>
        <w:ind w:firstLine="435"/>
        <w:rPr>
          <w:rFonts w:hint="eastAsia" w:ascii="宋体" w:hAnsi="宋体" w:eastAsia="宋体"/>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C44C735">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5.招标文件构成</w:t>
      </w:r>
    </w:p>
    <w:p w14:paraId="4FDC977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AE9B87B">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1A71693">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12B85B52">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12CB0478">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B165614">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2538BFD9">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ADD7103">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第七章</w:t>
      </w:r>
      <w:r>
        <w:rPr>
          <w:rFonts w:ascii="宋体" w:hAnsi="宋体" w:eastAsia="宋体"/>
          <w:color w:val="auto"/>
          <w:sz w:val="24"/>
          <w:highlight w:val="none"/>
        </w:rPr>
        <w:t xml:space="preserve">  政府采购</w:t>
      </w:r>
      <w:r>
        <w:rPr>
          <w:rFonts w:hint="eastAsia" w:ascii="宋体" w:hAnsi="宋体" w:eastAsia="宋体"/>
          <w:color w:val="auto"/>
          <w:sz w:val="24"/>
          <w:highlight w:val="none"/>
        </w:rPr>
        <w:t>询问函和</w:t>
      </w:r>
      <w:r>
        <w:rPr>
          <w:rFonts w:ascii="宋体" w:hAnsi="宋体" w:eastAsia="宋体"/>
          <w:color w:val="auto"/>
          <w:sz w:val="24"/>
          <w:highlight w:val="none"/>
        </w:rPr>
        <w:t>质疑函范本</w:t>
      </w:r>
    </w:p>
    <w:p w14:paraId="6C23332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现场</w:t>
      </w:r>
      <w:r>
        <w:rPr>
          <w:rFonts w:hint="eastAsia" w:ascii="宋体" w:hAnsi="宋体" w:eastAsia="宋体"/>
          <w:color w:val="auto"/>
          <w:sz w:val="24"/>
          <w:highlight w:val="none"/>
        </w:rPr>
        <w:t>考察（标前答疑会）</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2E33377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2FD3E93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如需提供样品，对样品相关要求见</w:t>
      </w:r>
      <w:r>
        <w:rPr>
          <w:rFonts w:hint="eastAsia" w:ascii="宋体" w:hAnsi="宋体" w:eastAsia="宋体"/>
          <w:color w:val="auto"/>
          <w:sz w:val="24"/>
          <w:highlight w:val="none"/>
        </w:rPr>
        <w:t>采购需求</w:t>
      </w:r>
      <w:r>
        <w:rPr>
          <w:rFonts w:ascii="宋体" w:hAnsi="宋体" w:eastAsia="宋体"/>
          <w:color w:val="auto"/>
          <w:sz w:val="24"/>
          <w:highlight w:val="none"/>
        </w:rPr>
        <w:t>，对样品的评审方法及评审标准见招标文件第</w:t>
      </w:r>
      <w:r>
        <w:rPr>
          <w:rFonts w:hint="eastAsia" w:ascii="宋体" w:hAnsi="宋体" w:eastAsia="宋体"/>
          <w:color w:val="auto"/>
          <w:sz w:val="24"/>
          <w:highlight w:val="none"/>
        </w:rPr>
        <w:t>四</w:t>
      </w:r>
      <w:r>
        <w:rPr>
          <w:rFonts w:ascii="宋体" w:hAnsi="宋体" w:eastAsia="宋体"/>
          <w:color w:val="auto"/>
          <w:sz w:val="24"/>
          <w:highlight w:val="none"/>
        </w:rPr>
        <w:t>章。</w:t>
      </w:r>
    </w:p>
    <w:p w14:paraId="62868F5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投标人应认真阅读招标文件所有的事项、格式、条款和技术规范等。</w:t>
      </w:r>
    </w:p>
    <w:p w14:paraId="3CA40877">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6.招标文件的澄清与修改</w:t>
      </w:r>
    </w:p>
    <w:p w14:paraId="3CB9A7D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14:paraId="28A165D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2采购人可主动地或在答复投标人提出的询问时对招标文件进行澄清与修改。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在安徽省政府采购网和滁州市公共资源交易中心网以发布更正公告的方式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。投标人应主动上网查询。采购代理机构不承担投标人未及时关注相关信息引发的相关责任。</w:t>
      </w:r>
    </w:p>
    <w:p w14:paraId="0521C1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D695552">
      <w:pPr>
        <w:spacing w:line="360" w:lineRule="auto"/>
        <w:ind w:firstLine="435"/>
        <w:rPr>
          <w:rFonts w:hint="eastAsia" w:ascii="宋体" w:hAnsi="宋体" w:eastAsia="宋体"/>
          <w:i/>
          <w:iCs/>
          <w:color w:val="auto"/>
          <w:sz w:val="24"/>
          <w:highlight w:val="none"/>
        </w:rPr>
      </w:pP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D396EDC">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7.投标范围及投标文件中标准和计量单位的使用</w:t>
      </w:r>
    </w:p>
    <w:p w14:paraId="00693AF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3C97C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E7685DD">
      <w:pPr>
        <w:spacing w:line="360" w:lineRule="auto"/>
        <w:ind w:firstLine="435"/>
        <w:rPr>
          <w:rFonts w:hint="eastAsia" w:ascii="宋体" w:hAnsi="宋体" w:eastAsia="宋体"/>
          <w:color w:val="auto"/>
          <w:sz w:val="24"/>
          <w:highlight w:val="none"/>
        </w:rPr>
      </w:pPr>
      <w:bookmarkStart w:id="12" w:name="_Hlk16458980"/>
      <w:r>
        <w:rPr>
          <w:rFonts w:hint="eastAsia" w:ascii="宋体" w:hAnsi="宋体" w:eastAsia="宋体"/>
          <w:color w:val="auto"/>
          <w:sz w:val="24"/>
          <w:highlight w:val="none"/>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12"/>
    <w:p w14:paraId="5A0CC1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85DCA0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4D25755D">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3AD29A1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4FF05C5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rPr>
        <w:t>。</w:t>
      </w:r>
      <w:r>
        <w:rPr>
          <w:rFonts w:ascii="宋体" w:hAnsi="宋体" w:eastAsia="宋体"/>
          <w:color w:val="auto"/>
          <w:sz w:val="24"/>
          <w:highlight w:val="none"/>
        </w:rPr>
        <w:t>证明文件</w:t>
      </w:r>
      <w:r>
        <w:rPr>
          <w:rFonts w:hint="eastAsia" w:ascii="宋体" w:hAnsi="宋体" w:eastAsia="宋体"/>
          <w:color w:val="auto"/>
          <w:sz w:val="24"/>
          <w:highlight w:val="none"/>
        </w:rPr>
        <w:t>形式</w:t>
      </w:r>
      <w:r>
        <w:rPr>
          <w:rFonts w:ascii="宋体" w:hAnsi="宋体" w:eastAsia="宋体"/>
          <w:color w:val="auto"/>
          <w:sz w:val="24"/>
          <w:highlight w:val="none"/>
        </w:rPr>
        <w:t>可以是文字资料、图纸和数据</w:t>
      </w:r>
      <w:bookmarkStart w:id="13" w:name="_Hlk11703583"/>
      <w:r>
        <w:rPr>
          <w:rFonts w:hint="eastAsia" w:ascii="宋体" w:hAnsi="宋体" w:eastAsia="宋体"/>
          <w:color w:val="auto"/>
          <w:sz w:val="24"/>
          <w:highlight w:val="none"/>
        </w:rPr>
        <w:t>等。</w:t>
      </w:r>
    </w:p>
    <w:bookmarkEnd w:id="13"/>
    <w:p w14:paraId="606EBE7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4CC4AECC">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0A46D17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。除招标文件另有规定外，所有投标均应以人民币报价。投标人的投标报价应遵守《中华人民共和国价格法》。</w:t>
      </w:r>
    </w:p>
    <w:p w14:paraId="4438982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710AE9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w:t>
      </w:r>
      <w:r>
        <w:rPr>
          <w:rFonts w:hint="eastAsia" w:ascii="宋体" w:hAnsi="宋体" w:eastAsia="宋体"/>
          <w:color w:val="auto"/>
          <w:sz w:val="24"/>
          <w:highlight w:val="none"/>
        </w:rPr>
        <w:t>3投标报价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FCDACC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w:t>
      </w:r>
      <w:r>
        <w:rPr>
          <w:rFonts w:hint="eastAsia" w:ascii="宋体" w:hAnsi="宋体" w:eastAsia="宋体"/>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40ACCB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采购人不接受具有附加条件的报价。</w:t>
      </w:r>
    </w:p>
    <w:p w14:paraId="2FBD2A8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248FC2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10.1本项目不收取投标保证金。</w:t>
      </w:r>
    </w:p>
    <w:p w14:paraId="3CC4554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38585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11.1投标有效期为从投标截止之日算起的日历天数，投标有效期详见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EC0505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59ACA5">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4DBCF21">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DF262D4">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2.1投标人应当在招标公告规定的投标截止时间前</w:t>
      </w:r>
      <w:r>
        <w:rPr>
          <w:rFonts w:ascii="宋体" w:hAnsi="宋体" w:eastAsia="宋体"/>
          <w:color w:val="auto"/>
          <w:sz w:val="24"/>
          <w:highlight w:val="none"/>
        </w:rPr>
        <w:t>，将加密的投标文件</w:t>
      </w:r>
      <w:r>
        <w:rPr>
          <w:rFonts w:hint="eastAsia" w:ascii="宋体" w:hAnsi="宋体" w:eastAsia="宋体"/>
          <w:color w:val="auto"/>
          <w:sz w:val="24"/>
          <w:highlight w:val="none"/>
        </w:rPr>
        <w:t>在电子交易系统</w:t>
      </w:r>
      <w:r>
        <w:rPr>
          <w:rFonts w:ascii="宋体" w:hAnsi="宋体" w:eastAsia="宋体"/>
          <w:color w:val="auto"/>
          <w:sz w:val="24"/>
          <w:highlight w:val="none"/>
        </w:rPr>
        <w:t>上传。</w:t>
      </w:r>
    </w:p>
    <w:p w14:paraId="0C1AA3A0">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982499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21E1DB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宋体" w:hAnsi="宋体" w:eastAsia="宋体"/>
          <w:color w:val="auto"/>
          <w:sz w:val="24"/>
          <w:highlight w:val="none"/>
        </w:rPr>
        <w:t>对</w:t>
      </w:r>
      <w:r>
        <w:rPr>
          <w:rFonts w:hint="eastAsia" w:ascii="宋体" w:hAnsi="宋体" w:eastAsia="宋体" w:cs="宋体"/>
          <w:color w:val="auto"/>
          <w:sz w:val="24"/>
          <w:szCs w:val="24"/>
          <w:highlight w:val="none"/>
        </w:rPr>
        <w:t>其</w:t>
      </w:r>
      <w:r>
        <w:rPr>
          <w:rFonts w:ascii="宋体" w:hAnsi="宋体" w:eastAsia="宋体"/>
          <w:color w:val="auto"/>
          <w:sz w:val="24"/>
          <w:highlight w:val="none"/>
        </w:rPr>
        <w:t>投标文件</w:t>
      </w:r>
      <w:r>
        <w:rPr>
          <w:rFonts w:hint="eastAsia" w:ascii="宋体" w:hAnsi="宋体" w:eastAsia="宋体"/>
          <w:color w:val="auto"/>
          <w:sz w:val="24"/>
          <w:highlight w:val="none"/>
        </w:rPr>
        <w:t>进行</w:t>
      </w:r>
      <w:r>
        <w:rPr>
          <w:rFonts w:ascii="宋体" w:hAnsi="宋体" w:eastAsia="宋体"/>
          <w:color w:val="auto"/>
          <w:sz w:val="24"/>
          <w:highlight w:val="none"/>
        </w:rPr>
        <w:t>解密。</w:t>
      </w:r>
    </w:p>
    <w:p w14:paraId="1F49750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开标时，采购代理机构将通过网上开标系统公布</w:t>
      </w:r>
      <w:r>
        <w:rPr>
          <w:rFonts w:hint="eastAsia" w:ascii="宋体" w:hAnsi="宋体" w:eastAsia="宋体"/>
          <w:color w:val="auto"/>
          <w:sz w:val="24"/>
          <w:highlight w:val="none"/>
        </w:rPr>
        <w:t>开标结果，公布内容包括投标人名称、投标价格及招标文件规定的内容。</w:t>
      </w:r>
    </w:p>
    <w:p w14:paraId="6048286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13.3采购人或采购代理机构将对开标过程进行记录，，并存档备查。</w:t>
      </w:r>
    </w:p>
    <w:p w14:paraId="5FF64AF2">
      <w:pPr>
        <w:spacing w:line="360" w:lineRule="auto"/>
        <w:ind w:firstLine="435"/>
        <w:rPr>
          <w:rFonts w:hint="eastAsia" w:ascii="宋体" w:hAnsi="宋体" w:eastAsia="宋体"/>
          <w:color w:val="auto"/>
          <w:sz w:val="28"/>
          <w:highlight w:val="none"/>
        </w:rPr>
      </w:pPr>
      <w:r>
        <w:rPr>
          <w:rFonts w:hint="eastAsia" w:ascii="宋体" w:hAnsi="宋体" w:eastAsia="宋体"/>
          <w:color w:val="auto"/>
          <w:sz w:val="24"/>
          <w:highlight w:val="none"/>
        </w:rPr>
        <w:t>13.4投标人代表对开标过程和开标记录有疑义，以及认为采购人、采购代理机构相关工作人员有需要回避的情形的，应当场提出询问或者回避申请。</w:t>
      </w:r>
    </w:p>
    <w:p w14:paraId="62FB1DB0">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14</w:t>
      </w:r>
      <w:r>
        <w:rPr>
          <w:rFonts w:ascii="宋体" w:hAnsi="宋体" w:eastAsia="宋体"/>
          <w:b/>
          <w:color w:val="auto"/>
          <w:sz w:val="24"/>
          <w:highlight w:val="none"/>
        </w:rPr>
        <w:t>.</w:t>
      </w:r>
      <w:r>
        <w:rPr>
          <w:rFonts w:hint="eastAsia" w:ascii="宋体" w:hAnsi="宋体" w:eastAsia="宋体"/>
          <w:b/>
          <w:color w:val="auto"/>
          <w:sz w:val="24"/>
          <w:highlight w:val="none"/>
        </w:rPr>
        <w:t>资格审查及组建评标委员会</w:t>
      </w:r>
    </w:p>
    <w:p w14:paraId="7B70D7C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14.1采购人或采购代理机构依据法律法规和招标文件中规定的内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00D00B0C">
      <w:pPr>
        <w:spacing w:line="360" w:lineRule="auto"/>
        <w:ind w:firstLine="435"/>
        <w:rPr>
          <w:rFonts w:hint="eastAsia" w:ascii="宋体" w:hAnsi="宋体" w:eastAsia="宋体" w:cs="宋体"/>
          <w:color w:val="auto"/>
          <w:sz w:val="24"/>
          <w:szCs w:val="24"/>
          <w:highlight w:val="none"/>
        </w:rPr>
      </w:pPr>
      <w:bookmarkStart w:id="14"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541055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61E5599">
      <w:pPr>
        <w:spacing w:line="360" w:lineRule="auto"/>
        <w:ind w:firstLine="435"/>
        <w:rPr>
          <w:rFonts w:hint="eastAsia" w:ascii="宋体" w:hAnsi="宋体" w:eastAsia="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4"/>
    <w:p w14:paraId="56B4852C">
      <w:pPr>
        <w:spacing w:line="360" w:lineRule="auto"/>
        <w:ind w:firstLine="435"/>
        <w:rPr>
          <w:rFonts w:hint="eastAsia" w:ascii="宋体" w:hAnsi="宋体" w:eastAsia="宋体"/>
          <w:b/>
          <w:color w:val="auto"/>
          <w:sz w:val="24"/>
          <w:highlight w:val="none"/>
        </w:rPr>
      </w:pPr>
      <w:r>
        <w:rPr>
          <w:rFonts w:hint="eastAsia" w:ascii="宋体" w:hAnsi="宋体" w:eastAsia="宋体"/>
          <w:color w:val="auto"/>
          <w:sz w:val="24"/>
          <w:highlight w:val="none"/>
        </w:rPr>
        <w:t>14.3按照《</w:t>
      </w:r>
      <w:r>
        <w:rPr>
          <w:rFonts w:ascii="宋体" w:hAnsi="宋体" w:eastAsia="宋体"/>
          <w:color w:val="auto"/>
          <w:sz w:val="24"/>
          <w:highlight w:val="none"/>
        </w:rPr>
        <w:t>中华人民共和国政府采购法》</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w:t>
      </w:r>
      <w:r>
        <w:rPr>
          <w:rFonts w:hint="eastAsia" w:ascii="宋体" w:hAnsi="宋体" w:eastAsia="宋体"/>
          <w:color w:val="auto"/>
          <w:sz w:val="24"/>
          <w:highlight w:val="none"/>
        </w:rPr>
        <w:t>法</w:t>
      </w:r>
      <w:r>
        <w:rPr>
          <w:rFonts w:ascii="宋体" w:hAnsi="宋体" w:eastAsia="宋体"/>
          <w:color w:val="auto"/>
          <w:sz w:val="24"/>
          <w:highlight w:val="none"/>
        </w:rPr>
        <w:t>实施条例》</w:t>
      </w:r>
      <w:r>
        <w:rPr>
          <w:rFonts w:hint="eastAsia" w:ascii="宋体" w:hAnsi="宋体" w:eastAsia="宋体"/>
          <w:color w:val="auto"/>
          <w:sz w:val="24"/>
          <w:highlight w:val="none"/>
        </w:rPr>
        <w:t>及本项目本级</w:t>
      </w:r>
      <w:r>
        <w:rPr>
          <w:rFonts w:ascii="宋体" w:hAnsi="宋体" w:eastAsia="宋体"/>
          <w:color w:val="auto"/>
          <w:sz w:val="24"/>
          <w:highlight w:val="none"/>
        </w:rPr>
        <w:t>和上级财政部门</w:t>
      </w:r>
      <w:r>
        <w:rPr>
          <w:rFonts w:hint="eastAsia" w:ascii="宋体" w:hAnsi="宋体" w:eastAsia="宋体"/>
          <w:color w:val="auto"/>
          <w:sz w:val="24"/>
          <w:highlight w:val="none"/>
        </w:rPr>
        <w:t>、政府采购监督管理部门的有关规定依法组建的</w:t>
      </w:r>
      <w:r>
        <w:rPr>
          <w:rFonts w:ascii="宋体" w:hAnsi="宋体" w:eastAsia="宋体"/>
          <w:color w:val="auto"/>
          <w:sz w:val="24"/>
          <w:highlight w:val="none"/>
        </w:rPr>
        <w:t>评标委员会</w:t>
      </w:r>
      <w:r>
        <w:rPr>
          <w:rFonts w:hint="eastAsia" w:ascii="宋体" w:hAnsi="宋体" w:eastAsia="宋体"/>
          <w:color w:val="auto"/>
          <w:sz w:val="24"/>
          <w:highlight w:val="none"/>
        </w:rPr>
        <w:t>，负责本项目评标工作。</w:t>
      </w:r>
    </w:p>
    <w:p w14:paraId="1B4A4183">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8F5854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ADD51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.2如一个分包内只有一种产品，不同投标人所投产品为同一品牌的，按如下方式处理：</w:t>
      </w:r>
    </w:p>
    <w:p w14:paraId="661B8F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296257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2EBDC8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rPr>
        <w:t>采购需求</w:t>
      </w:r>
      <w:r>
        <w:rPr>
          <w:rFonts w:ascii="宋体" w:hAnsi="宋体" w:eastAsia="宋体"/>
          <w:color w:val="auto"/>
          <w:sz w:val="24"/>
          <w:highlight w:val="none"/>
        </w:rPr>
        <w:t>中载明核心产品，多家投标人提供的核心产品品牌相同的，按第</w:t>
      </w:r>
      <w:r>
        <w:rPr>
          <w:rFonts w:hint="eastAsia" w:ascii="宋体" w:hAnsi="宋体" w:eastAsia="宋体"/>
          <w:color w:val="auto"/>
          <w:sz w:val="24"/>
          <w:highlight w:val="none"/>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1FC5F58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A36BE6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C9B5CB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b/>
          <w:bCs/>
          <w:color w:val="auto"/>
          <w:sz w:val="24"/>
          <w:highlight w:val="none"/>
        </w:rPr>
        <w:t>本项目采用远程开标，具体操作方法详见服务指南&gt;交易须知&gt;开标大厅远程解密、质疑(异议)及回复以及评标过程中询标流程操作手册。</w:t>
      </w:r>
    </w:p>
    <w:p w14:paraId="6504309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50CEA8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3AD767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70BA547F">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3A48D1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FA7C53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786F61F">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8E050FD">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w:t>
      </w:r>
      <w:r>
        <w:rPr>
          <w:rFonts w:ascii="宋体" w:hAnsi="宋体" w:eastAsia="宋体"/>
          <w:color w:val="auto"/>
          <w:sz w:val="24"/>
          <w:highlight w:val="none"/>
        </w:rPr>
        <w:t>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CD55718">
      <w:pPr>
        <w:spacing w:line="360" w:lineRule="auto"/>
        <w:ind w:firstLine="435"/>
        <w:rPr>
          <w:rFonts w:hint="eastAsia"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F1D050A">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16.投标无效</w:t>
      </w:r>
    </w:p>
    <w:p w14:paraId="3E3AE38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8795F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27603B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72AF725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B0E24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33726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B3741B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2C489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43A70A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262CCD2">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17.比较与评价</w:t>
      </w:r>
    </w:p>
    <w:p w14:paraId="76566E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17.1经符合性审查合格的投标文件，评标委员会将根据招标文件确定的评标方法和标准，对其投标文件作进一步的比较与评价。</w:t>
      </w:r>
    </w:p>
    <w:p w14:paraId="1F30EFD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17.2评标严格按照招标文件的要求和条件进行。根据实际情况，在</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中规定采用下列一种评标方法，详细评标方法和标准见招标文件第四章：</w:t>
      </w:r>
    </w:p>
    <w:p w14:paraId="01E5BB8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3A90244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5A799C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BA1074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2E19C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830EFDE">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3B3FD4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18.1出现下列情形之一，将导致项目废标：</w:t>
      </w:r>
    </w:p>
    <w:p w14:paraId="1BE77EF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054FB4C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BB4238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3635F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074F006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18.2公开招标数额标准以上的采购项目，投标截止后投标人不足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0BE80C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2F9FA7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olor w:val="auto"/>
          <w:sz w:val="24"/>
          <w:highlight w:val="none"/>
        </w:rPr>
        <w:t>批准。</w:t>
      </w:r>
    </w:p>
    <w:p w14:paraId="754C0C3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3D70C3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671730F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9C739D0">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4C00D02B">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D9921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618F4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48429258">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296776D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351C4E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21.2按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112A8C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24650561">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3A051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AB73318">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76FDA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63EE6F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highlight w:val="none"/>
        </w:rPr>
        <w:t>23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自中标人确定之日起2个工作日内，采购代理机构将在安徽省政府采购网（www.ccgp-anhui.gov.cn）和滁州市公共资源交易中心网上发布中标结果公告。</w:t>
      </w:r>
    </w:p>
    <w:p w14:paraId="763E122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宋体" w:hAnsi="宋体" w:eastAsia="宋体"/>
          <w:color w:val="auto"/>
          <w:sz w:val="24"/>
          <w:highlight w:val="none"/>
        </w:rPr>
        <w:t>品牌（如有）、规格型号、数量、单价</w:t>
      </w:r>
      <w:r>
        <w:rPr>
          <w:rFonts w:ascii="宋体" w:hAnsi="宋体" w:eastAsia="宋体"/>
          <w:color w:val="auto"/>
          <w:sz w:val="24"/>
          <w:highlight w:val="none"/>
        </w:rPr>
        <w:t>，中标公告期限、评审专家名单以及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F95B90C">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604B8FBF">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中标通知书须加盖采购人、采购代理机构公章并经公共资源交易中心加盖见证章后，方可发出。</w:t>
      </w:r>
    </w:p>
    <w:p w14:paraId="15852A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1699A29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4</w:t>
      </w:r>
      <w:r>
        <w:rPr>
          <w:rFonts w:ascii="宋体" w:hAnsi="宋体" w:eastAsia="宋体"/>
          <w:color w:val="auto"/>
          <w:sz w:val="24"/>
          <w:highlight w:val="none"/>
        </w:rPr>
        <w:t>.3中标通知书是合同的组成部分。</w:t>
      </w:r>
    </w:p>
    <w:p w14:paraId="1518F103">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6310AB1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B458CF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p>
    <w:p w14:paraId="24F83EF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26.1中标人应按照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5AB0258A">
      <w:pPr>
        <w:spacing w:line="360" w:lineRule="auto"/>
        <w:ind w:firstLine="435"/>
        <w:rPr>
          <w:rFonts w:hint="eastAsia" w:ascii="宋体" w:hAnsi="宋体" w:eastAsia="宋体"/>
          <w:b/>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4D05BD0E">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2398B4F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5854499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0BC4B7E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C70014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2665D0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5C8F467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8D8C5F1">
      <w:pPr>
        <w:spacing w:line="360" w:lineRule="auto"/>
        <w:ind w:firstLine="437"/>
        <w:outlineLvl w:val="2"/>
        <w:rPr>
          <w:rFonts w:hint="eastAsia" w:ascii="宋体" w:hAnsi="宋体" w:eastAsia="宋体"/>
          <w:b/>
          <w:color w:val="auto"/>
          <w:sz w:val="24"/>
          <w:highlight w:val="none"/>
        </w:rPr>
      </w:pPr>
      <w:bookmarkStart w:id="15" w:name="_Toc2583661"/>
      <w:bookmarkStart w:id="16" w:name="_Toc518923100"/>
      <w:r>
        <w:rPr>
          <w:rFonts w:hint="eastAsia" w:ascii="宋体" w:hAnsi="宋体" w:eastAsia="宋体"/>
          <w:b/>
          <w:color w:val="auto"/>
          <w:sz w:val="24"/>
          <w:highlight w:val="none"/>
        </w:rPr>
        <w:t>29.廉洁自律</w:t>
      </w:r>
      <w:r>
        <w:rPr>
          <w:rFonts w:ascii="宋体" w:hAnsi="宋体" w:eastAsia="宋体"/>
          <w:b/>
          <w:color w:val="auto"/>
          <w:sz w:val="24"/>
          <w:highlight w:val="none"/>
        </w:rPr>
        <w:t>规定</w:t>
      </w:r>
      <w:bookmarkEnd w:id="15"/>
      <w:bookmarkEnd w:id="16"/>
    </w:p>
    <w:p w14:paraId="737C24C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49F3E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41D54D">
      <w:pPr>
        <w:spacing w:line="360" w:lineRule="auto"/>
        <w:ind w:firstLine="437"/>
        <w:outlineLvl w:val="2"/>
        <w:rPr>
          <w:rFonts w:hint="eastAsia" w:ascii="宋体" w:hAnsi="宋体" w:eastAsia="宋体"/>
          <w:b/>
          <w:color w:val="auto"/>
          <w:sz w:val="24"/>
          <w:highlight w:val="none"/>
        </w:rPr>
      </w:pPr>
      <w:bookmarkStart w:id="17" w:name="_Toc2583662"/>
      <w:bookmarkStart w:id="18" w:name="_Toc518923101"/>
      <w:r>
        <w:rPr>
          <w:rFonts w:hint="eastAsia" w:ascii="宋体" w:hAnsi="宋体" w:eastAsia="宋体"/>
          <w:b/>
          <w:color w:val="auto"/>
          <w:sz w:val="24"/>
          <w:highlight w:val="none"/>
        </w:rPr>
        <w:t>30.人员回避</w:t>
      </w:r>
      <w:bookmarkEnd w:id="17"/>
      <w:bookmarkEnd w:id="18"/>
    </w:p>
    <w:p w14:paraId="207730FF">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25A052B">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703645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5599C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C94CCF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BBF70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0E0825C1">
      <w:pPr>
        <w:spacing w:line="360" w:lineRule="auto"/>
        <w:ind w:firstLine="437"/>
        <w:outlineLvl w:val="2"/>
        <w:rPr>
          <w:rFonts w:hint="eastAsia" w:ascii="宋体" w:hAnsi="宋体" w:eastAsia="宋体"/>
          <w:b/>
          <w:color w:val="auto"/>
          <w:sz w:val="24"/>
          <w:szCs w:val="24"/>
          <w:highlight w:val="none"/>
        </w:rPr>
      </w:pPr>
      <w:r>
        <w:rPr>
          <w:rFonts w:hint="eastAsia" w:ascii="宋体" w:hAnsi="宋体" w:eastAsia="宋体"/>
          <w:b/>
          <w:color w:val="auto"/>
          <w:sz w:val="24"/>
          <w:highlight w:val="none"/>
        </w:rPr>
        <w:t>32</w:t>
      </w:r>
      <w:r>
        <w:rPr>
          <w:rFonts w:ascii="宋体" w:hAnsi="宋体" w:eastAsia="宋体"/>
          <w:b/>
          <w:color w:val="auto"/>
          <w:sz w:val="24"/>
          <w:highlight w:val="none"/>
        </w:rPr>
        <w:t>.</w:t>
      </w:r>
      <w:r>
        <w:rPr>
          <w:rFonts w:hint="eastAsia" w:ascii="宋体" w:hAnsi="宋体" w:eastAsia="宋体" w:cs="宋体"/>
          <w:b/>
          <w:color w:val="auto"/>
          <w:sz w:val="24"/>
          <w:szCs w:val="24"/>
          <w:highlight w:val="none"/>
          <w:lang w:bidi="ar"/>
        </w:rPr>
        <w:t>投诉</w:t>
      </w:r>
    </w:p>
    <w:p w14:paraId="4A7C4E06">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CFCABB5">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2C7C5B3F">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32.3政府采购监督管理部门在处理投诉事项期间，可以视具体情况书面通知采购人暂停采购活动，但暂停时间最长不得超过30日。</w:t>
      </w:r>
    </w:p>
    <w:p w14:paraId="54B439D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33.需要补充的其他内容</w:t>
      </w:r>
    </w:p>
    <w:p w14:paraId="00D7BA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F50A25A">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00491413">
      <w:pPr>
        <w:spacing w:line="360" w:lineRule="auto"/>
        <w:jc w:val="center"/>
        <w:outlineLvl w:val="0"/>
        <w:rPr>
          <w:rFonts w:hint="eastAsia" w:ascii="宋体" w:hAnsi="宋体" w:eastAsia="宋体"/>
          <w:b/>
          <w:color w:val="auto"/>
          <w:sz w:val="28"/>
          <w:highlight w:val="none"/>
        </w:rPr>
      </w:pPr>
      <w:bookmarkStart w:id="19" w:name="_Toc10891"/>
      <w:r>
        <w:rPr>
          <w:rFonts w:hint="eastAsia" w:ascii="宋体" w:hAnsi="宋体" w:eastAsia="宋体"/>
          <w:b/>
          <w:color w:val="auto"/>
          <w:sz w:val="28"/>
          <w:highlight w:val="none"/>
        </w:rPr>
        <w:t>第三章  采购需求</w:t>
      </w:r>
      <w:bookmarkEnd w:id="19"/>
    </w:p>
    <w:p w14:paraId="4547F03A">
      <w:pPr>
        <w:spacing w:line="360" w:lineRule="auto"/>
        <w:rPr>
          <w:rFonts w:hint="eastAsia" w:ascii="宋体" w:hAnsi="宋体" w:eastAsia="宋体"/>
          <w:b/>
          <w:color w:val="auto"/>
          <w:sz w:val="24"/>
          <w:highlight w:val="none"/>
        </w:rPr>
      </w:pPr>
      <w:r>
        <w:rPr>
          <w:rFonts w:hint="eastAsia" w:ascii="宋体" w:hAnsi="宋体" w:eastAsia="宋体"/>
          <w:b/>
          <w:color w:val="auto"/>
          <w:sz w:val="24"/>
          <w:highlight w:val="none"/>
        </w:rPr>
        <w:t>前注：</w:t>
      </w:r>
    </w:p>
    <w:p w14:paraId="554C5A1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1762301C">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5A63627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526EBF6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85856C6">
      <w:pPr>
        <w:spacing w:line="360" w:lineRule="auto"/>
        <w:ind w:firstLine="435"/>
        <w:rPr>
          <w:rFonts w:hint="eastAsia"/>
          <w:color w:val="auto"/>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r>
        <w:rPr>
          <w:rFonts w:hint="eastAsia" w:ascii="宋体" w:hAnsi="宋体" w:eastAsia="宋体"/>
          <w:color w:val="auto"/>
          <w:sz w:val="24"/>
          <w:szCs w:val="18"/>
          <w:highlight w:val="none"/>
          <w:u w:val="single"/>
        </w:rPr>
        <w:t>本项目不允许分包</w:t>
      </w:r>
      <w:r>
        <w:rPr>
          <w:rFonts w:hint="eastAsia" w:ascii="宋体" w:hAnsi="宋体" w:eastAsia="宋体"/>
          <w:color w:val="auto"/>
          <w:sz w:val="24"/>
          <w:szCs w:val="18"/>
          <w:highlight w:val="none"/>
        </w:rPr>
        <w:t>。</w:t>
      </w:r>
    </w:p>
    <w:p w14:paraId="1B0E4C48">
      <w:pPr>
        <w:spacing w:line="360" w:lineRule="auto"/>
        <w:ind w:firstLine="437"/>
        <w:outlineLvl w:val="1"/>
        <w:rPr>
          <w:rFonts w:hint="eastAsia" w:ascii="宋体" w:hAnsi="宋体" w:eastAsia="宋体"/>
          <w:b/>
          <w:color w:val="auto"/>
          <w:sz w:val="24"/>
          <w:szCs w:val="18"/>
          <w:highlight w:val="none"/>
        </w:rPr>
      </w:pPr>
      <w:bookmarkStart w:id="20" w:name="_Toc32151"/>
      <w:bookmarkStart w:id="21" w:name="_Toc2554"/>
      <w:r>
        <w:rPr>
          <w:rFonts w:hint="eastAsia" w:ascii="宋体" w:hAnsi="宋体" w:eastAsia="宋体"/>
          <w:b/>
          <w:color w:val="auto"/>
          <w:sz w:val="24"/>
          <w:szCs w:val="18"/>
          <w:highlight w:val="none"/>
        </w:rPr>
        <w:t>一、采购需求前附表</w:t>
      </w:r>
      <w:bookmarkEnd w:id="20"/>
      <w:bookmarkEnd w:id="21"/>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25B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4B80726">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noWrap w:val="0"/>
            <w:vAlign w:val="center"/>
          </w:tcPr>
          <w:p w14:paraId="7B57A51F">
            <w:pPr>
              <w:pStyle w:val="5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noWrap w:val="0"/>
            <w:vAlign w:val="center"/>
          </w:tcPr>
          <w:p w14:paraId="5EAE5EF3">
            <w:pPr>
              <w:pStyle w:val="5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B68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DCFF014">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noWrap w:val="0"/>
            <w:vAlign w:val="center"/>
          </w:tcPr>
          <w:p w14:paraId="074FE0CC">
            <w:pPr>
              <w:pStyle w:val="5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noWrap w:val="0"/>
            <w:vAlign w:val="center"/>
          </w:tcPr>
          <w:p w14:paraId="75877C82">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第1-4标包付款方式均为：</w:t>
            </w: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合同签订且具备实施条件后，支付合同价的40%预付款（预付款支付前，中标人须提供同等金额的见索即付保函），全部供货安装调试完毕并由采购人验收合格后，一次性付清结算价款。</w:t>
            </w:r>
          </w:p>
        </w:tc>
      </w:tr>
      <w:tr w14:paraId="65B8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ACCB8FA">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noWrap w:val="0"/>
            <w:vAlign w:val="center"/>
          </w:tcPr>
          <w:p w14:paraId="18CC5333">
            <w:pPr>
              <w:pStyle w:val="5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noWrap w:val="0"/>
            <w:vAlign w:val="center"/>
          </w:tcPr>
          <w:p w14:paraId="5791E2B3">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采购人指定地点</w:t>
            </w:r>
          </w:p>
        </w:tc>
      </w:tr>
      <w:tr w14:paraId="0643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26DC51B">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noWrap w:val="0"/>
            <w:vAlign w:val="center"/>
          </w:tcPr>
          <w:p w14:paraId="585D800F">
            <w:pPr>
              <w:pStyle w:val="5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noWrap w:val="0"/>
            <w:vAlign w:val="center"/>
          </w:tcPr>
          <w:p w14:paraId="16EF45CD">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第1-4标包均为：合同签订后不高于20个日历天全部供货安装调试完毕</w:t>
            </w:r>
          </w:p>
        </w:tc>
      </w:tr>
      <w:tr w14:paraId="2F0D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2957A1D">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noWrap w:val="0"/>
            <w:vAlign w:val="center"/>
          </w:tcPr>
          <w:p w14:paraId="6EB1833D">
            <w:pPr>
              <w:pStyle w:val="5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noWrap w:val="0"/>
            <w:vAlign w:val="center"/>
          </w:tcPr>
          <w:p w14:paraId="56C859B8">
            <w:pPr>
              <w:pStyle w:val="5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第1-4标包</w:t>
            </w:r>
            <w:r>
              <w:rPr>
                <w:rFonts w:hint="eastAsia" w:ascii="宋体" w:hAnsi="宋体" w:eastAsia="宋体"/>
                <w:b w:val="0"/>
                <w:color w:val="auto"/>
                <w:sz w:val="24"/>
                <w:highlight w:val="none"/>
                <w:u w:val="single"/>
              </w:rPr>
              <w:t>提供</w:t>
            </w:r>
            <w:r>
              <w:rPr>
                <w:rFonts w:hint="eastAsia" w:ascii="宋体" w:hAnsi="宋体" w:eastAsia="宋体"/>
                <w:b w:val="0"/>
                <w:color w:val="auto"/>
                <w:sz w:val="24"/>
                <w:highlight w:val="none"/>
                <w:u w:val="single"/>
                <w:lang w:val="en-US" w:eastAsia="zh-CN"/>
              </w:rPr>
              <w:t>至少</w:t>
            </w:r>
            <w:r>
              <w:rPr>
                <w:rFonts w:hint="eastAsia" w:ascii="宋体" w:hAnsi="宋体" w:eastAsia="宋体"/>
                <w:b w:val="0"/>
                <w:color w:val="auto"/>
                <w:sz w:val="24"/>
                <w:highlight w:val="none"/>
                <w:u w:val="single"/>
              </w:rPr>
              <w:t>3年的免费质保服务。</w:t>
            </w:r>
          </w:p>
        </w:tc>
      </w:tr>
      <w:tr w14:paraId="1357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843B26B">
            <w:pPr>
              <w:pStyle w:val="5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bookmarkStart w:id="22" w:name="_Toc7671"/>
            <w:bookmarkStart w:id="23" w:name="_Toc5944"/>
            <w:r>
              <w:rPr>
                <w:rFonts w:hint="eastAsia" w:ascii="宋体" w:hAnsi="宋体" w:eastAsia="宋体"/>
                <w:bCs/>
                <w:color w:val="auto"/>
                <w:kern w:val="2"/>
                <w:highlight w:val="none"/>
                <w:lang w:val="en-US" w:eastAsia="zh-CN"/>
              </w:rPr>
              <w:t>5</w:t>
            </w:r>
          </w:p>
        </w:tc>
        <w:tc>
          <w:tcPr>
            <w:tcW w:w="2032" w:type="dxa"/>
            <w:noWrap w:val="0"/>
            <w:vAlign w:val="center"/>
          </w:tcPr>
          <w:p w14:paraId="6A5A118A">
            <w:pPr>
              <w:pStyle w:val="53"/>
              <w:keepNext w:val="0"/>
              <w:keepLines w:val="0"/>
              <w:widowControl w:val="0"/>
              <w:suppressLineNumbers w:val="0"/>
              <w:spacing w:before="0" w:beforeAutospacing="0" w:after="0" w:afterAutospacing="0" w:line="480" w:lineRule="exact"/>
              <w:ind w:left="0" w:right="0"/>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本项目采购标的名称及所属行业</w:t>
            </w:r>
          </w:p>
        </w:tc>
        <w:tc>
          <w:tcPr>
            <w:tcW w:w="5484" w:type="dxa"/>
            <w:noWrap w:val="0"/>
            <w:vAlign w:val="center"/>
          </w:tcPr>
          <w:p w14:paraId="779F3D68">
            <w:pPr>
              <w:pStyle w:val="53"/>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第1包标的名称：经颅磁刺激仪（儿童版）采购；</w:t>
            </w:r>
          </w:p>
          <w:p w14:paraId="4B5AE7E7">
            <w:pPr>
              <w:pStyle w:val="53"/>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 xml:space="preserve">第2包标的名称：听觉言语语言喉功能检测处理系统（早期语言和语言认知障碍功能检测与训练沟通仪软件）、听觉言语语言喉功能检测处理系统（构音语音测量与训练仪软件）采购； </w:t>
            </w:r>
          </w:p>
          <w:p w14:paraId="42FD59F6">
            <w:pPr>
              <w:pStyle w:val="53"/>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第3包标的名称：失眠认知行为疗法（CBTI）系统采购；</w:t>
            </w:r>
          </w:p>
          <w:p w14:paraId="6EF4A6F5">
            <w:pPr>
              <w:pStyle w:val="53"/>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第4包标的名称：光照疗愈系统采购。</w:t>
            </w:r>
          </w:p>
          <w:p w14:paraId="55F71CDA">
            <w:pPr>
              <w:pStyle w:val="53"/>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第1包标所属行业为：工业；</w:t>
            </w:r>
          </w:p>
          <w:p w14:paraId="3CEC0DBF">
            <w:pPr>
              <w:pStyle w:val="53"/>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第2包标、3包标、4包标所属行业均为：软件和信息技术服务业</w:t>
            </w:r>
          </w:p>
        </w:tc>
      </w:tr>
    </w:tbl>
    <w:p w14:paraId="2415F6EE">
      <w:pPr>
        <w:numPr>
          <w:ilvl w:val="0"/>
          <w:numId w:val="2"/>
        </w:num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2"/>
      <w:bookmarkEnd w:id="23"/>
    </w:p>
    <w:p w14:paraId="2751045A">
      <w:pPr>
        <w:pStyle w:val="53"/>
        <w:widowControl w:val="0"/>
        <w:spacing w:before="0" w:beforeAutospacing="0" w:after="0" w:afterAutospacing="0" w:line="480" w:lineRule="exact"/>
        <w:jc w:val="both"/>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 xml:space="preserve">第1包：经颅磁刺激仪（儿童版）采购 </w:t>
      </w:r>
    </w:p>
    <w:tbl>
      <w:tblPr>
        <w:tblStyle w:val="26"/>
        <w:tblW w:w="50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75"/>
        <w:gridCol w:w="3935"/>
        <w:gridCol w:w="1082"/>
        <w:gridCol w:w="856"/>
        <w:gridCol w:w="1217"/>
      </w:tblGrid>
      <w:tr w14:paraId="5D8F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167D61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bookmarkStart w:id="24" w:name="_Toc7421"/>
            <w:bookmarkStart w:id="25" w:name="_Toc4843"/>
            <w:r>
              <w:rPr>
                <w:rFonts w:hint="eastAsia" w:ascii="宋体" w:hAnsi="宋体" w:eastAsia="宋体" w:cs="宋体"/>
                <w:b/>
                <w:bCs/>
                <w:color w:val="auto"/>
                <w:kern w:val="2"/>
                <w:sz w:val="24"/>
                <w:szCs w:val="24"/>
                <w:highlight w:val="none"/>
                <w:lang w:val="en-US" w:eastAsia="zh-CN" w:bidi="ar"/>
              </w:rPr>
              <w:t>序号</w:t>
            </w:r>
          </w:p>
        </w:tc>
        <w:tc>
          <w:tcPr>
            <w:tcW w:w="1075" w:type="dxa"/>
            <w:tcBorders>
              <w:top w:val="single" w:color="auto" w:sz="4" w:space="0"/>
              <w:left w:val="nil"/>
              <w:bottom w:val="single" w:color="auto" w:sz="4" w:space="0"/>
              <w:right w:val="single" w:color="auto" w:sz="4" w:space="0"/>
            </w:tcBorders>
            <w:noWrap w:val="0"/>
            <w:vAlign w:val="center"/>
          </w:tcPr>
          <w:p w14:paraId="37B98F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36" w:type="dxa"/>
            <w:tcBorders>
              <w:top w:val="single" w:color="auto" w:sz="4" w:space="0"/>
              <w:left w:val="nil"/>
              <w:bottom w:val="single" w:color="auto" w:sz="4" w:space="0"/>
              <w:right w:val="single" w:color="auto" w:sz="4" w:space="0"/>
            </w:tcBorders>
            <w:noWrap w:val="0"/>
            <w:vAlign w:val="center"/>
          </w:tcPr>
          <w:p w14:paraId="68B28F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2" w:type="dxa"/>
            <w:tcBorders>
              <w:top w:val="single" w:color="auto" w:sz="4" w:space="0"/>
              <w:left w:val="nil"/>
              <w:bottom w:val="single" w:color="auto" w:sz="4" w:space="0"/>
              <w:right w:val="single" w:color="auto" w:sz="4" w:space="0"/>
            </w:tcBorders>
            <w:noWrap w:val="0"/>
            <w:vAlign w:val="center"/>
          </w:tcPr>
          <w:p w14:paraId="562DB1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184D77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6" w:type="dxa"/>
            <w:tcBorders>
              <w:top w:val="single" w:color="auto" w:sz="4" w:space="0"/>
              <w:left w:val="nil"/>
              <w:bottom w:val="single" w:color="auto" w:sz="4" w:space="0"/>
              <w:right w:val="single" w:color="auto" w:sz="4" w:space="0"/>
            </w:tcBorders>
            <w:noWrap w:val="0"/>
            <w:vAlign w:val="center"/>
          </w:tcPr>
          <w:p w14:paraId="18AB16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5B8397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17" w:type="dxa"/>
            <w:tcBorders>
              <w:top w:val="single" w:color="auto" w:sz="4" w:space="0"/>
              <w:left w:val="nil"/>
              <w:bottom w:val="single" w:color="auto" w:sz="4" w:space="0"/>
              <w:right w:val="single" w:color="auto" w:sz="4" w:space="0"/>
            </w:tcBorders>
            <w:noWrap w:val="0"/>
            <w:vAlign w:val="center"/>
          </w:tcPr>
          <w:p w14:paraId="728A0F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r>
      <w:tr w14:paraId="1991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7F1F6D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5" w:type="dxa"/>
            <w:tcBorders>
              <w:top w:val="single" w:color="auto" w:sz="4" w:space="0"/>
              <w:left w:val="nil"/>
              <w:bottom w:val="single" w:color="auto" w:sz="4" w:space="0"/>
              <w:right w:val="single" w:color="auto" w:sz="4" w:space="0"/>
            </w:tcBorders>
            <w:noWrap w:val="0"/>
            <w:vAlign w:val="center"/>
          </w:tcPr>
          <w:p w14:paraId="2A36A1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经颅磁刺激仪（儿童版）</w:t>
            </w:r>
          </w:p>
        </w:tc>
        <w:tc>
          <w:tcPr>
            <w:tcW w:w="3936" w:type="dxa"/>
            <w:tcBorders>
              <w:top w:val="single" w:color="auto" w:sz="4" w:space="0"/>
              <w:left w:val="nil"/>
              <w:bottom w:val="single" w:color="auto" w:sz="4" w:space="0"/>
              <w:right w:val="single" w:color="auto" w:sz="4" w:space="0"/>
            </w:tcBorders>
            <w:noWrap w:val="0"/>
            <w:vAlign w:val="center"/>
          </w:tcPr>
          <w:p w14:paraId="2387F7FB">
            <w:pPr>
              <w:pStyle w:val="2"/>
              <w:suppressLineNumbers w:val="0"/>
              <w:spacing w:beforeAutospacing="0" w:afterAutospacing="0" w:line="360" w:lineRule="auto"/>
              <w:ind w:left="0"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★适应症：用于人体中枢神经刺激和外周神经刺激，还可用于神经电生理检查、功能评定以及辅助检查，还需具备精神科适应范围。（提供药监局颁发的注册证证明）技术参数</w:t>
            </w:r>
          </w:p>
          <w:p w14:paraId="5A9DCAB6">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一、主机性能：</w:t>
            </w:r>
          </w:p>
          <w:p w14:paraId="10401CD8">
            <w:pPr>
              <w:pStyle w:val="84"/>
              <w:keepNext w:val="0"/>
              <w:keepLines w:val="0"/>
              <w:numPr>
                <w:ilvl w:val="0"/>
                <w:numId w:val="3"/>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刺激频率≥80Hz</w:t>
            </w:r>
          </w:p>
          <w:p w14:paraId="51593C6C">
            <w:pPr>
              <w:pStyle w:val="84"/>
              <w:keepNext w:val="0"/>
              <w:keepLines w:val="0"/>
              <w:numPr>
                <w:ilvl w:val="0"/>
                <w:numId w:val="3"/>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刺激频率步长：1 Hz以下步长0.01Hz, 1Hz以上步长1Hz</w:t>
            </w:r>
          </w:p>
          <w:p w14:paraId="02C9B73E">
            <w:pPr>
              <w:pStyle w:val="84"/>
              <w:keepNext w:val="0"/>
              <w:keepLines w:val="0"/>
              <w:numPr>
                <w:ilvl w:val="0"/>
                <w:numId w:val="3"/>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▲最大磁感应强度：≥6T（</w:t>
            </w:r>
            <w:bookmarkStart w:id="26" w:name="OLE_LINK5"/>
            <w:r>
              <w:rPr>
                <w:rFonts w:hint="eastAsia" w:ascii="宋体" w:hAnsi="宋体" w:eastAsia="宋体" w:cs="宋体"/>
                <w:b w:val="0"/>
                <w:bCs/>
                <w:color w:val="auto"/>
                <w:kern w:val="2"/>
                <w:sz w:val="21"/>
                <w:szCs w:val="21"/>
                <w:highlight w:val="none"/>
                <w:lang w:val="en-US" w:eastAsia="zh-CN" w:bidi="ar-SA"/>
              </w:rPr>
              <w:t>提供</w:t>
            </w:r>
            <w:bookmarkEnd w:id="26"/>
            <w:r>
              <w:rPr>
                <w:rFonts w:hint="eastAsia" w:ascii="宋体" w:hAnsi="宋体" w:eastAsia="宋体" w:cs="宋体"/>
                <w:b w:val="0"/>
                <w:bCs/>
                <w:color w:val="auto"/>
                <w:kern w:val="2"/>
                <w:sz w:val="21"/>
                <w:szCs w:val="21"/>
                <w:highlight w:val="none"/>
                <w:lang w:val="en-US" w:eastAsia="zh-CN" w:bidi="ar-SA"/>
              </w:rPr>
              <w:t>第三方检测报告）。</w:t>
            </w:r>
          </w:p>
          <w:p w14:paraId="17732DEE">
            <w:pPr>
              <w:pStyle w:val="84"/>
              <w:keepNext w:val="0"/>
              <w:keepLines w:val="0"/>
              <w:numPr>
                <w:ilvl w:val="0"/>
                <w:numId w:val="3"/>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脉冲上升时间：50μs ±10μs。</w:t>
            </w:r>
          </w:p>
          <w:p w14:paraId="336E3BD8">
            <w:pPr>
              <w:pStyle w:val="84"/>
              <w:keepNext w:val="0"/>
              <w:keepLines w:val="0"/>
              <w:numPr>
                <w:ilvl w:val="0"/>
                <w:numId w:val="3"/>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脉冲持续时间：320-360μs。</w:t>
            </w:r>
          </w:p>
          <w:p w14:paraId="3AD9F226">
            <w:pPr>
              <w:pStyle w:val="84"/>
              <w:keepNext w:val="0"/>
              <w:keepLines w:val="0"/>
              <w:numPr>
                <w:ilvl w:val="0"/>
                <w:numId w:val="3"/>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▲磁感应强度最大变化率范围：≥50kT/s（提供检测报告证明材料）。</w:t>
            </w:r>
          </w:p>
          <w:p w14:paraId="06C6DB27">
            <w:pPr>
              <w:pStyle w:val="57"/>
              <w:keepNext w:val="0"/>
              <w:keepLines w:val="0"/>
              <w:numPr>
                <w:ilvl w:val="0"/>
                <w:numId w:val="3"/>
              </w:numPr>
              <w:suppressLineNumbers w:val="0"/>
              <w:spacing w:before="0" w:beforeAutospacing="0" w:after="0" w:afterAutospacing="0"/>
              <w:ind w:right="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在设备连续工作时，具有手动停止磁场输出功能，可以通过按下停止按键使设备立即停止工作。</w:t>
            </w:r>
          </w:p>
          <w:p w14:paraId="39003D4C">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二、冷却系统：</w:t>
            </w:r>
          </w:p>
          <w:p w14:paraId="0CBE66B9">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1、冷却方式：高效液冷散热系统，冷却液应无渗漏、无挥发现象。</w:t>
            </w:r>
          </w:p>
          <w:p w14:paraId="56C8AC83">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2、当冷却系统发生故障时，应有提示或停止磁场输出。</w:t>
            </w:r>
          </w:p>
          <w:p w14:paraId="7246146E">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3、可以实时显示刺激线圈温度。</w:t>
            </w:r>
          </w:p>
          <w:p w14:paraId="0CED7D66">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4、▲温度保护系统：</w:t>
            </w:r>
            <w:bookmarkStart w:id="27" w:name="OLE_LINK13"/>
            <w:r>
              <w:rPr>
                <w:rFonts w:hint="eastAsia" w:ascii="宋体" w:hAnsi="宋体" w:eastAsia="宋体" w:cs="宋体"/>
                <w:b w:val="0"/>
                <w:bCs/>
                <w:color w:val="auto"/>
                <w:kern w:val="2"/>
                <w:sz w:val="21"/>
                <w:szCs w:val="21"/>
                <w:highlight w:val="none"/>
                <w:lang w:val="en-US" w:eastAsia="zh-CN" w:bidi="ar-SA"/>
              </w:rPr>
              <w:t>当刺激线圈温度≥40℃，磁刺激仪自动停止刺激输出。</w:t>
            </w:r>
            <w:bookmarkEnd w:id="27"/>
          </w:p>
          <w:p w14:paraId="3DBA2494">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三、刺激线圈：</w:t>
            </w:r>
          </w:p>
          <w:p w14:paraId="67A0193B">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1、标配儿童专用线圈。</w:t>
            </w:r>
          </w:p>
          <w:p w14:paraId="54826841">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2、后期可增配深部盔式线圈、圆形线圈、深部双锥型线圈、动物线圈、伪刺激线圈等科研线圈。</w:t>
            </w:r>
          </w:p>
          <w:p w14:paraId="74C24691">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3、▲具有强度调节与触发刺激功能，可调节刺激强度</w:t>
            </w:r>
            <w:bookmarkStart w:id="28" w:name="OLE_LINK21"/>
            <w:r>
              <w:rPr>
                <w:rFonts w:hint="eastAsia" w:ascii="宋体" w:hAnsi="宋体" w:eastAsia="宋体" w:cs="宋体"/>
                <w:b w:val="0"/>
                <w:bCs/>
                <w:color w:val="auto"/>
                <w:kern w:val="2"/>
                <w:sz w:val="21"/>
                <w:szCs w:val="21"/>
                <w:highlight w:val="none"/>
                <w:lang w:val="en-US" w:eastAsia="zh-CN" w:bidi="ar-SA"/>
              </w:rPr>
              <w:t>和</w:t>
            </w:r>
            <w:bookmarkEnd w:id="28"/>
            <w:r>
              <w:rPr>
                <w:rFonts w:hint="eastAsia" w:ascii="宋体" w:hAnsi="宋体" w:eastAsia="宋体" w:cs="宋体"/>
                <w:b w:val="0"/>
                <w:bCs/>
                <w:color w:val="auto"/>
                <w:kern w:val="2"/>
                <w:sz w:val="21"/>
                <w:szCs w:val="21"/>
                <w:highlight w:val="none"/>
                <w:lang w:val="en-US" w:eastAsia="zh-CN" w:bidi="ar-SA"/>
              </w:rPr>
              <w:t>触发刺激，方便临床快速检测运动阈值。</w:t>
            </w:r>
            <w:bookmarkStart w:id="29" w:name="OLE_LINK4"/>
            <w:r>
              <w:rPr>
                <w:rFonts w:hint="eastAsia" w:ascii="宋体" w:hAnsi="宋体" w:eastAsia="宋体" w:cs="宋体"/>
                <w:b w:val="0"/>
                <w:bCs/>
                <w:color w:val="auto"/>
                <w:kern w:val="2"/>
                <w:sz w:val="21"/>
                <w:szCs w:val="21"/>
                <w:highlight w:val="none"/>
                <w:lang w:val="en-US" w:eastAsia="zh-CN" w:bidi="ar-SA"/>
              </w:rPr>
              <w:t>（产品彩页或产品图片证明）</w:t>
            </w:r>
            <w:bookmarkEnd w:id="29"/>
            <w:bookmarkStart w:id="30" w:name="OLE_LINK60"/>
          </w:p>
          <w:bookmarkEnd w:id="30"/>
          <w:p w14:paraId="44172A13">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4、▲刺激线圈具有显示屏，可实时显示线圈刺激强度</w:t>
            </w:r>
            <w:bookmarkStart w:id="31" w:name="OLE_LINK10"/>
            <w:r>
              <w:rPr>
                <w:rFonts w:hint="eastAsia" w:ascii="宋体" w:hAnsi="宋体" w:eastAsia="宋体" w:cs="宋体"/>
                <w:b w:val="0"/>
                <w:bCs/>
                <w:color w:val="auto"/>
                <w:kern w:val="2"/>
                <w:sz w:val="21"/>
                <w:szCs w:val="21"/>
                <w:highlight w:val="none"/>
                <w:lang w:val="en-US" w:eastAsia="zh-CN" w:bidi="ar-SA"/>
              </w:rPr>
              <w:t>、磁场变化率等。（</w:t>
            </w:r>
            <w:bookmarkStart w:id="32" w:name="OLE_LINK71"/>
            <w:r>
              <w:rPr>
                <w:rFonts w:hint="eastAsia" w:ascii="宋体" w:hAnsi="宋体" w:eastAsia="宋体" w:cs="宋体"/>
                <w:b w:val="0"/>
                <w:bCs/>
                <w:color w:val="auto"/>
                <w:kern w:val="2"/>
                <w:sz w:val="21"/>
                <w:szCs w:val="21"/>
                <w:highlight w:val="none"/>
                <w:lang w:val="en-US" w:eastAsia="zh-CN" w:bidi="ar-SA"/>
              </w:rPr>
              <w:t>产品彩页或产品图片</w:t>
            </w:r>
            <w:bookmarkEnd w:id="32"/>
            <w:r>
              <w:rPr>
                <w:rFonts w:hint="eastAsia" w:ascii="宋体" w:hAnsi="宋体" w:eastAsia="宋体" w:cs="宋体"/>
                <w:b w:val="0"/>
                <w:bCs/>
                <w:color w:val="auto"/>
                <w:kern w:val="2"/>
                <w:sz w:val="21"/>
                <w:szCs w:val="21"/>
                <w:highlight w:val="none"/>
                <w:lang w:val="en-US" w:eastAsia="zh-CN" w:bidi="ar-SA"/>
              </w:rPr>
              <w:t>证明）</w:t>
            </w:r>
            <w:bookmarkEnd w:id="31"/>
            <w:bookmarkStart w:id="33" w:name="OLE_LINK96"/>
          </w:p>
          <w:bookmarkEnd w:id="33"/>
          <w:p w14:paraId="2874A75C">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5、▲线圈支持热插拔，方便临床快速更换线圈。</w:t>
            </w:r>
          </w:p>
          <w:p w14:paraId="4C4FCAB6">
            <w:pPr>
              <w:pStyle w:val="57"/>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四、MEP模块：</w:t>
            </w:r>
          </w:p>
          <w:p w14:paraId="09440897">
            <w:pPr>
              <w:pStyle w:val="84"/>
              <w:keepNext w:val="0"/>
              <w:keepLines w:val="0"/>
              <w:numPr>
                <w:ilvl w:val="0"/>
                <w:numId w:val="4"/>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MEP通道数：≥2通道。</w:t>
            </w:r>
          </w:p>
          <w:p w14:paraId="588BA359">
            <w:pPr>
              <w:pStyle w:val="57"/>
              <w:keepNext w:val="0"/>
              <w:keepLines w:val="0"/>
              <w:numPr>
                <w:ilvl w:val="0"/>
                <w:numId w:val="4"/>
              </w:numPr>
              <w:suppressLineNumbers w:val="0"/>
              <w:spacing w:before="0" w:beforeAutospacing="0" w:after="0" w:afterAutospacing="0"/>
              <w:ind w:right="0" w:firstLineChars="0"/>
              <w:rPr>
                <w:rFonts w:hint="eastAsia" w:ascii="宋体" w:hAnsi="宋体" w:eastAsia="宋体" w:cs="宋体"/>
                <w:b w:val="0"/>
                <w:bCs/>
                <w:color w:val="auto"/>
                <w:kern w:val="2"/>
                <w:sz w:val="21"/>
                <w:szCs w:val="21"/>
                <w:highlight w:val="none"/>
                <w:lang w:val="en-US" w:eastAsia="zh-CN" w:bidi="ar-SA"/>
              </w:rPr>
            </w:pPr>
            <w:bookmarkStart w:id="34" w:name="OLE_LINK97"/>
            <w:r>
              <w:rPr>
                <w:rFonts w:hint="eastAsia" w:ascii="宋体" w:hAnsi="宋体" w:eastAsia="宋体" w:cs="宋体"/>
                <w:b w:val="0"/>
                <w:bCs/>
                <w:color w:val="auto"/>
                <w:kern w:val="2"/>
                <w:sz w:val="21"/>
                <w:szCs w:val="21"/>
                <w:highlight w:val="none"/>
                <w:lang w:val="en-US" w:eastAsia="zh-CN" w:bidi="ar-SA"/>
              </w:rPr>
              <w:t>运动诱发电位检查模块支持无线或有线传输功能</w:t>
            </w:r>
            <w:bookmarkStart w:id="35" w:name="OLE_LINK20"/>
            <w:r>
              <w:rPr>
                <w:rFonts w:hint="eastAsia" w:ascii="宋体" w:hAnsi="宋体" w:eastAsia="宋体" w:cs="宋体"/>
                <w:b w:val="0"/>
                <w:bCs/>
                <w:color w:val="auto"/>
                <w:kern w:val="2"/>
                <w:sz w:val="21"/>
                <w:szCs w:val="21"/>
                <w:highlight w:val="none"/>
                <w:lang w:val="en-US" w:eastAsia="zh-CN" w:bidi="ar-SA"/>
              </w:rPr>
              <w:t>。（提供第三方检测报告）</w:t>
            </w:r>
            <w:bookmarkEnd w:id="34"/>
            <w:bookmarkEnd w:id="35"/>
            <w:bookmarkStart w:id="36" w:name="OLE_LINK28"/>
            <w:bookmarkStart w:id="37" w:name="_Hlk32936998"/>
          </w:p>
          <w:p w14:paraId="28F06F39">
            <w:pPr>
              <w:pStyle w:val="57"/>
              <w:keepNext w:val="0"/>
              <w:keepLines w:val="0"/>
              <w:numPr>
                <w:ilvl w:val="0"/>
                <w:numId w:val="4"/>
              </w:numPr>
              <w:suppressLineNumbers w:val="0"/>
              <w:spacing w:before="0" w:beforeAutospacing="0" w:after="0" w:afterAutospacing="0"/>
              <w:ind w:right="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MEP采样率：≥100kHz。（提供第三方检测报告）</w:t>
            </w:r>
          </w:p>
          <w:bookmarkEnd w:id="36"/>
          <w:bookmarkEnd w:id="37"/>
          <w:p w14:paraId="42CF8C5E">
            <w:pPr>
              <w:pStyle w:val="84"/>
              <w:keepNext w:val="0"/>
              <w:keepLines w:val="0"/>
              <w:numPr>
                <w:ilvl w:val="0"/>
                <w:numId w:val="0"/>
              </w:numPr>
              <w:suppressLineNumbers w:val="0"/>
              <w:spacing w:before="0" w:beforeAutospacing="0" w:after="0" w:afterAutospacing="0"/>
              <w:ind w:left="0"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五、软件系统：</w:t>
            </w:r>
          </w:p>
          <w:p w14:paraId="4D2CE5F2">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采用触屏一体机或电脑承载软件系统。</w:t>
            </w:r>
          </w:p>
          <w:p w14:paraId="3B4D51E2">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刺激模式：具备单脉冲刺激、成对脉冲刺激、重复脉冲刺激、模式化刺激功能。</w:t>
            </w:r>
          </w:p>
          <w:p w14:paraId="3EF3907C">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★支持主机双通道，双人独立治疗功能，能满足同时治疗两个人，并且可以根据不同症状为两个同时治疗的儿童做不同的治疗方案。（提供产品说明书及承诺函）</w:t>
            </w:r>
          </w:p>
          <w:p w14:paraId="27F7F7F4">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在治疗过程中，能够实时采集患者肌电信号，进行电生理监测。</w:t>
            </w:r>
          </w:p>
          <w:p w14:paraId="117747FD">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bookmarkStart w:id="38" w:name="OLE_LINK35"/>
            <w:r>
              <w:rPr>
                <w:rFonts w:hint="eastAsia" w:ascii="宋体" w:hAnsi="宋体" w:eastAsia="宋体" w:cs="宋体"/>
                <w:b w:val="0"/>
                <w:bCs/>
                <w:color w:val="auto"/>
                <w:kern w:val="2"/>
                <w:sz w:val="21"/>
                <w:szCs w:val="21"/>
                <w:highlight w:val="none"/>
                <w:lang w:val="en-US" w:eastAsia="zh-CN" w:bidi="ar-SA"/>
              </w:rPr>
              <w:t>▲内置儿童专用治疗方案，包含12大类疾病（脑瘫、发育迟缓、孤独症、ADHD、抽动障碍等），内置至少40个以上专属儿童方案，可一键开启治疗；支持自定义编辑方案，支持组合方案，供临床医生选择。</w:t>
            </w:r>
            <w:bookmarkEnd w:id="38"/>
          </w:p>
          <w:p w14:paraId="026178C7">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开放式设计平台，具备延时触发功能。</w:t>
            </w:r>
          </w:p>
          <w:p w14:paraId="6AF2E752">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治疗界面提供大脑解剖定位图辅助定位。</w:t>
            </w:r>
          </w:p>
          <w:p w14:paraId="38E88CFA">
            <w:pPr>
              <w:pStyle w:val="84"/>
              <w:keepNext w:val="0"/>
              <w:keepLines w:val="0"/>
              <w:numPr>
                <w:ilvl w:val="0"/>
                <w:numId w:val="5"/>
              </w:numPr>
              <w:suppressLineNumbers w:val="0"/>
              <w:spacing w:before="0" w:beforeAutospacing="0" w:after="0" w:afterAutospacing="0"/>
              <w:ind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▲标配儿童版20个脑电定位帽。</w:t>
            </w:r>
          </w:p>
          <w:p w14:paraId="7B974B45">
            <w:pPr>
              <w:pStyle w:val="84"/>
              <w:keepNext w:val="0"/>
              <w:keepLines w:val="0"/>
              <w:numPr>
                <w:ilvl w:val="0"/>
                <w:numId w:val="0"/>
              </w:numPr>
              <w:suppressLineNumbers w:val="0"/>
              <w:spacing w:before="0" w:beforeAutospacing="0" w:after="0" w:afterAutospacing="0"/>
              <w:ind w:left="0"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六、其他：</w:t>
            </w:r>
          </w:p>
          <w:p w14:paraId="6344459E">
            <w:pPr>
              <w:pStyle w:val="84"/>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标配儿童随动定位辅助模块：具有驱动装置及固定支架，可满足不同年龄段儿童治疗，配备专用儿童座椅，刺激线圈在治疗时和靶区位置保持相对固定，保证脉冲不丢失，可实现智能跟随功能，保证儿童患者持续精准治疗。（提供承诺函）</w:t>
            </w:r>
          </w:p>
          <w:p w14:paraId="22251333">
            <w:pPr>
              <w:pStyle w:val="84"/>
              <w:keepNext w:val="0"/>
              <w:keepLines w:val="0"/>
              <w:numPr>
                <w:ilvl w:val="0"/>
                <w:numId w:val="0"/>
              </w:numPr>
              <w:suppressLineNumbers w:val="0"/>
              <w:spacing w:before="0" w:beforeAutospacing="0" w:after="0" w:afterAutospacing="0"/>
              <w:ind w:left="0"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备注：</w:t>
            </w:r>
          </w:p>
          <w:p w14:paraId="157EA0CE">
            <w:pPr>
              <w:pStyle w:val="84"/>
              <w:keepNext w:val="0"/>
              <w:keepLines w:val="0"/>
              <w:numPr>
                <w:ilvl w:val="0"/>
                <w:numId w:val="6"/>
              </w:numPr>
              <w:suppressLineNumbers w:val="0"/>
              <w:spacing w:before="0" w:beforeAutospacing="0" w:after="0" w:afterAutospacing="0"/>
              <w:ind w:left="0" w:right="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如需要与医院his系统对接，中标方须配合采购人完成设备与医院his系统的无缝对接，所涉接口费用均中标方承担。</w:t>
            </w:r>
          </w:p>
          <w:p w14:paraId="06A678E5">
            <w:pPr>
              <w:pStyle w:val="84"/>
              <w:keepNext w:val="0"/>
              <w:keepLines w:val="0"/>
              <w:numPr>
                <w:ilvl w:val="0"/>
                <w:numId w:val="0"/>
              </w:numPr>
              <w:suppressLineNumbers w:val="0"/>
              <w:spacing w:before="0" w:beforeAutospacing="0" w:after="0" w:afterAutospacing="0"/>
              <w:ind w:left="0" w:leftChars="0" w:right="0"/>
              <w:rPr>
                <w:rFonts w:hint="eastAsia" w:ascii="宋体" w:hAnsi="宋体" w:eastAsia="宋体" w:cs="宋体"/>
                <w:bCs/>
                <w:color w:val="auto"/>
                <w:kern w:val="2"/>
                <w:sz w:val="21"/>
                <w:szCs w:val="21"/>
                <w:highlight w:val="none"/>
              </w:rPr>
            </w:pPr>
          </w:p>
        </w:tc>
        <w:tc>
          <w:tcPr>
            <w:tcW w:w="1082" w:type="dxa"/>
            <w:tcBorders>
              <w:top w:val="single" w:color="auto" w:sz="4" w:space="0"/>
              <w:left w:val="nil"/>
              <w:bottom w:val="single" w:color="auto" w:sz="4" w:space="0"/>
              <w:right w:val="single" w:color="auto" w:sz="4" w:space="0"/>
            </w:tcBorders>
            <w:noWrap w:val="0"/>
            <w:vAlign w:val="center"/>
          </w:tcPr>
          <w:p w14:paraId="18287C7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2台</w:t>
            </w:r>
          </w:p>
        </w:tc>
        <w:tc>
          <w:tcPr>
            <w:tcW w:w="856" w:type="dxa"/>
            <w:tcBorders>
              <w:top w:val="single" w:color="auto" w:sz="4" w:space="0"/>
              <w:left w:val="nil"/>
              <w:bottom w:val="single" w:color="auto" w:sz="4" w:space="0"/>
              <w:right w:val="single" w:color="auto" w:sz="4" w:space="0"/>
            </w:tcBorders>
            <w:noWrap w:val="0"/>
            <w:vAlign w:val="center"/>
          </w:tcPr>
          <w:p w14:paraId="62292E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217" w:type="dxa"/>
            <w:tcBorders>
              <w:top w:val="single" w:color="auto" w:sz="4" w:space="0"/>
              <w:left w:val="nil"/>
              <w:bottom w:val="single" w:color="auto" w:sz="4" w:space="0"/>
              <w:right w:val="single" w:color="auto" w:sz="4" w:space="0"/>
            </w:tcBorders>
            <w:noWrap w:val="0"/>
            <w:vAlign w:val="center"/>
          </w:tcPr>
          <w:p w14:paraId="6AFAAA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是</w:t>
            </w:r>
          </w:p>
        </w:tc>
      </w:tr>
    </w:tbl>
    <w:p w14:paraId="023A84CF">
      <w:pPr>
        <w:spacing w:line="360" w:lineRule="auto"/>
        <w:ind w:firstLine="437"/>
        <w:outlineLvl w:val="1"/>
        <w:rPr>
          <w:rFonts w:hint="eastAsia" w:ascii="宋体" w:hAnsi="宋体" w:eastAsia="宋体" w:cs="宋体"/>
          <w:b w:val="0"/>
          <w:bCs w:val="0"/>
          <w:color w:val="auto"/>
          <w:sz w:val="24"/>
          <w:szCs w:val="20"/>
          <w:highlight w:val="none"/>
          <w:lang w:val="en-US" w:eastAsia="zh-CN"/>
        </w:rPr>
      </w:pPr>
    </w:p>
    <w:p w14:paraId="1ADCB667">
      <w:pPr>
        <w:spacing w:line="360" w:lineRule="auto"/>
        <w:ind w:firstLine="437"/>
        <w:outlineLvl w:val="1"/>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第2包标的名称：听觉言语语言喉功能检测处理系统（早期语言和语言认知障碍功能检测与训练沟通仪软件）、听觉言语语言喉功能检测处理系统（构音语音测量与训练仪软件）采购</w:t>
      </w:r>
    </w:p>
    <w:tbl>
      <w:tblPr>
        <w:tblStyle w:val="26"/>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82"/>
        <w:gridCol w:w="3964"/>
        <w:gridCol w:w="1089"/>
        <w:gridCol w:w="862"/>
        <w:gridCol w:w="1225"/>
      </w:tblGrid>
      <w:tr w14:paraId="34EE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6FF856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82" w:type="dxa"/>
            <w:tcBorders>
              <w:top w:val="single" w:color="auto" w:sz="4" w:space="0"/>
              <w:left w:val="nil"/>
              <w:bottom w:val="single" w:color="auto" w:sz="4" w:space="0"/>
              <w:right w:val="single" w:color="auto" w:sz="4" w:space="0"/>
            </w:tcBorders>
            <w:noWrap w:val="0"/>
            <w:vAlign w:val="center"/>
          </w:tcPr>
          <w:p w14:paraId="4288E7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64" w:type="dxa"/>
            <w:tcBorders>
              <w:top w:val="single" w:color="auto" w:sz="4" w:space="0"/>
              <w:left w:val="nil"/>
              <w:bottom w:val="single" w:color="auto" w:sz="4" w:space="0"/>
              <w:right w:val="single" w:color="auto" w:sz="4" w:space="0"/>
            </w:tcBorders>
            <w:noWrap w:val="0"/>
            <w:vAlign w:val="center"/>
          </w:tcPr>
          <w:p w14:paraId="005910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9" w:type="dxa"/>
            <w:tcBorders>
              <w:top w:val="single" w:color="auto" w:sz="4" w:space="0"/>
              <w:left w:val="nil"/>
              <w:bottom w:val="single" w:color="auto" w:sz="4" w:space="0"/>
              <w:right w:val="single" w:color="auto" w:sz="4" w:space="0"/>
            </w:tcBorders>
            <w:noWrap w:val="0"/>
            <w:vAlign w:val="center"/>
          </w:tcPr>
          <w:p w14:paraId="42DF8C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5684A8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62" w:type="dxa"/>
            <w:tcBorders>
              <w:top w:val="single" w:color="auto" w:sz="4" w:space="0"/>
              <w:left w:val="nil"/>
              <w:bottom w:val="single" w:color="auto" w:sz="4" w:space="0"/>
              <w:right w:val="single" w:color="auto" w:sz="4" w:space="0"/>
            </w:tcBorders>
            <w:noWrap w:val="0"/>
            <w:vAlign w:val="center"/>
          </w:tcPr>
          <w:p w14:paraId="36A062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089B42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25" w:type="dxa"/>
            <w:tcBorders>
              <w:top w:val="single" w:color="auto" w:sz="4" w:space="0"/>
              <w:left w:val="nil"/>
              <w:bottom w:val="single" w:color="auto" w:sz="4" w:space="0"/>
              <w:right w:val="single" w:color="auto" w:sz="4" w:space="0"/>
            </w:tcBorders>
            <w:noWrap w:val="0"/>
            <w:vAlign w:val="center"/>
          </w:tcPr>
          <w:p w14:paraId="10196A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r>
      <w:tr w14:paraId="613B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66E490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082" w:type="dxa"/>
            <w:tcBorders>
              <w:top w:val="single" w:color="auto" w:sz="4" w:space="0"/>
              <w:left w:val="nil"/>
              <w:bottom w:val="single" w:color="auto" w:sz="4" w:space="0"/>
              <w:right w:val="single" w:color="auto" w:sz="4" w:space="0"/>
            </w:tcBorders>
            <w:noWrap w:val="0"/>
            <w:vAlign w:val="center"/>
          </w:tcPr>
          <w:p w14:paraId="562FF7E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4"/>
                <w:highlight w:val="none"/>
              </w:rPr>
              <w:t>听觉言语语言喉功能检测处理系统（早期语言和语言认知障碍功能检测与训练沟通仪软件）</w:t>
            </w:r>
          </w:p>
        </w:tc>
        <w:tc>
          <w:tcPr>
            <w:tcW w:w="3964" w:type="dxa"/>
            <w:tcBorders>
              <w:top w:val="single" w:color="auto" w:sz="4" w:space="0"/>
              <w:left w:val="nil"/>
              <w:bottom w:val="single" w:color="auto" w:sz="4" w:space="0"/>
              <w:right w:val="single" w:color="auto" w:sz="4" w:space="0"/>
            </w:tcBorders>
            <w:noWrap w:val="0"/>
            <w:vAlign w:val="center"/>
          </w:tcPr>
          <w:p w14:paraId="595FD95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适用于发育性语言障碍、发育性语音障碍、孤独症谱系障碍、智力发育障碍。</w:t>
            </w:r>
          </w:p>
          <w:p w14:paraId="14F6FEE0">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二、主要功能：</w:t>
            </w:r>
          </w:p>
          <w:p w14:paraId="7A33FB83">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1、早期语言障碍评估</w:t>
            </w:r>
          </w:p>
          <w:p w14:paraId="2DAD3E18">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1.1早期语言能力测量评估：词语理解、句子理解、词语命名、句式仿说；</w:t>
            </w:r>
          </w:p>
          <w:p w14:paraId="58074618">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▲1.2语言韵律能力测量评估：可开展双音节词时长与基频的测量；具有实时声波、实时基频、实时强度、实时基频和强度功能选项。</w:t>
            </w:r>
          </w:p>
          <w:p w14:paraId="13960B6B">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2、前语言阶段的咿呀学语训练：通过视听迁移、视听统合进行沟通唤醒训练；通过常见生活主题进行前语言唤醒训练；</w:t>
            </w:r>
          </w:p>
          <w:p w14:paraId="5ABF76F2">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3、早期语言阶段的语言理解与表达能力训练：采用认识、探索、沟通、认知等方式进行核心词语、词组、句子、短文的干预训练。</w:t>
            </w:r>
          </w:p>
          <w:p w14:paraId="618F7099">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4、综合康复支持</w:t>
            </w:r>
          </w:p>
          <w:p w14:paraId="2C542CAB">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4.1；用户管理：用户导入、绑定、新建、编辑、删除等；以及用户评估记录、训练记录、作业记录；用户报告的保存、打印输出（含单位信息）等；</w:t>
            </w:r>
          </w:p>
          <w:p w14:paraId="758A94D1">
            <w:pPr>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▲4.2；ICF评估：适用于发育性语言障碍、发育性语音障碍、孤独症谱系障碍、智力发育障碍。</w:t>
            </w:r>
          </w:p>
          <w:p w14:paraId="0198FED9">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▲4.3；ICF治疗计划：提供基于ICF功能评估报告的治疗计划制定，以及智能化方案的推荐；</w:t>
            </w:r>
          </w:p>
          <w:p w14:paraId="4EEB9BF3">
            <w:pPr>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▲4.4；ICF质控：提供通过报告对比来反应不同时期的ICF语言损伤程度的变化，实现疗效监控；</w:t>
            </w:r>
          </w:p>
          <w:p w14:paraId="43EA3717">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4.5；作业支持：通过模块作业发送进行个别化集体康复训练，支持动态查看作业情况，实时监控作业效果；可用于小组训练、家庭康复、床边康复、社区学校教育康复等。</w:t>
            </w:r>
          </w:p>
          <w:p w14:paraId="0352251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4.6；嗓音电声支持：包含但不限于支持嗓音电声门图信号显示分析，可以测量基频微扰Jitter、幅度微扰Shimmer、声门噪声NNE、以及电声门图声带接触率CQ和接触率微扰CQP等电声参数，快速分析嗓音质量、可针对具体功能模块进行便捷打印。</w:t>
            </w:r>
          </w:p>
          <w:p w14:paraId="5129CD34">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三、主要组成：</w:t>
            </w:r>
          </w:p>
          <w:p w14:paraId="50EF0CF4">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1、检查处理系统需配备：</w:t>
            </w:r>
            <w:r>
              <w:rPr>
                <w:rFonts w:hint="eastAsia" w:ascii="宋体" w:hAnsi="宋体" w:eastAsia="宋体" w:cs="宋体"/>
                <w:b w:val="0"/>
                <w:bCs/>
                <w:color w:val="auto"/>
                <w:sz w:val="24"/>
                <w:szCs w:val="24"/>
                <w:highlight w:val="none"/>
              </w:rPr>
              <w:t>台车、专用主机、单通道低通滤波器、单向型专业话筒（频率响应50Hz-15KHz）、打印机</w:t>
            </w:r>
            <w:r>
              <w:rPr>
                <w:rFonts w:hint="eastAsia" w:ascii="宋体" w:hAnsi="宋体" w:eastAsia="宋体" w:cs="宋体"/>
                <w:b w:val="0"/>
                <w:bCs/>
                <w:color w:val="auto"/>
                <w:sz w:val="24"/>
                <w:szCs w:val="24"/>
                <w:highlight w:val="none"/>
                <w:lang w:val="en-US" w:eastAsia="zh-CN"/>
              </w:rPr>
              <w:t>能</w:t>
            </w:r>
            <w:r>
              <w:rPr>
                <w:rFonts w:hint="eastAsia" w:ascii="宋体" w:hAnsi="宋体" w:eastAsia="宋体" w:cs="宋体"/>
                <w:b w:val="0"/>
                <w:bCs/>
                <w:color w:val="auto"/>
                <w:sz w:val="24"/>
                <w:szCs w:val="24"/>
                <w:highlight w:val="none"/>
              </w:rPr>
              <w:t>满足科室使用需求</w:t>
            </w:r>
            <w:r>
              <w:rPr>
                <w:rFonts w:hint="eastAsia" w:ascii="宋体" w:hAnsi="宋体" w:eastAsia="宋体" w:cs="宋体"/>
                <w:b w:val="0"/>
                <w:bCs/>
                <w:color w:val="auto"/>
                <w:sz w:val="24"/>
                <w:szCs w:val="24"/>
                <w:highlight w:val="none"/>
                <w:lang w:eastAsia="zh-CN"/>
              </w:rPr>
              <w:t>；</w:t>
            </w:r>
          </w:p>
          <w:p w14:paraId="3D6BB539">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显示器分辨≥1920x1080；尺寸≥20英寸</w:t>
            </w:r>
            <w:r>
              <w:rPr>
                <w:rFonts w:hint="eastAsia" w:ascii="宋体" w:hAnsi="宋体" w:eastAsia="宋体" w:cs="宋体"/>
                <w:b w:val="0"/>
                <w:bCs/>
                <w:color w:val="auto"/>
                <w:sz w:val="24"/>
                <w:szCs w:val="24"/>
                <w:highlight w:val="none"/>
                <w:lang w:eastAsia="zh-CN"/>
              </w:rPr>
              <w:t>；</w:t>
            </w:r>
          </w:p>
          <w:p w14:paraId="67879F0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早期语言和语言认知障碍功能检测与训练沟通仪软件</w:t>
            </w:r>
            <w:r>
              <w:rPr>
                <w:rFonts w:hint="eastAsia" w:ascii="宋体" w:hAnsi="宋体" w:eastAsia="宋体" w:cs="宋体"/>
                <w:b w:val="0"/>
                <w:bCs/>
                <w:color w:val="auto"/>
                <w:sz w:val="24"/>
                <w:szCs w:val="24"/>
                <w:highlight w:val="none"/>
                <w:lang w:eastAsia="zh-CN"/>
              </w:rPr>
              <w:t>；</w:t>
            </w:r>
          </w:p>
          <w:p w14:paraId="6948FA1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嗓音功能测量仪软件（电声门图数据分析）</w:t>
            </w:r>
            <w:r>
              <w:rPr>
                <w:rFonts w:hint="eastAsia" w:ascii="宋体" w:hAnsi="宋体" w:eastAsia="宋体" w:cs="宋体"/>
                <w:b w:val="0"/>
                <w:bCs/>
                <w:color w:val="auto"/>
                <w:sz w:val="24"/>
                <w:szCs w:val="24"/>
                <w:highlight w:val="none"/>
                <w:lang w:eastAsia="zh-CN"/>
              </w:rPr>
              <w:t>；</w:t>
            </w:r>
          </w:p>
          <w:p w14:paraId="10D0F688">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移动智能筛查包4套。</w:t>
            </w:r>
          </w:p>
          <w:p w14:paraId="1A19E008">
            <w:pPr>
              <w:pStyle w:val="57"/>
              <w:keepNext w:val="0"/>
              <w:keepLines w:val="0"/>
              <w:numPr>
                <w:ilvl w:val="0"/>
                <w:numId w:val="7"/>
              </w:numPr>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主要技术指标：</w:t>
            </w:r>
          </w:p>
          <w:p w14:paraId="28C99AD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1、实时语言信号：</w:t>
            </w:r>
          </w:p>
          <w:p w14:paraId="66273323">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1.1谐波频率误差：±4%；</w:t>
            </w:r>
          </w:p>
          <w:p w14:paraId="1CC84A7B">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1.2基频实时响应速率：≤6ms；</w:t>
            </w:r>
          </w:p>
          <w:p w14:paraId="4CD3D92D">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 FFT实时响应速率：≤48ms；</w:t>
            </w:r>
          </w:p>
          <w:p w14:paraId="20C6C01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 LPC实时响应速率：≤45ms；</w:t>
            </w:r>
          </w:p>
          <w:p w14:paraId="1433078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1.5 语谱图实时分辨率：窄带60Hz、中带120Hz、宽带240Hz：12.7ms±4% </w:t>
            </w:r>
          </w:p>
          <w:p w14:paraId="0A95D865">
            <w:pPr>
              <w:pStyle w:val="57"/>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2、单通道低通滤波：</w:t>
            </w:r>
          </w:p>
          <w:p w14:paraId="5E4275A7">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 频响：在100Hz～700Hz频率范围内为-1.0dB～+1.0dB</w:t>
            </w:r>
          </w:p>
          <w:p w14:paraId="13B9CDE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▲2.2静止噪声≤2mV</w:t>
            </w:r>
          </w:p>
          <w:p w14:paraId="5501E6C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3、电声门图信号支持：</w:t>
            </w:r>
          </w:p>
          <w:p w14:paraId="4260019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 电声门图增益误差±1.0dB；</w:t>
            </w:r>
          </w:p>
          <w:p w14:paraId="0394384B">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 w:val="24"/>
                <w:szCs w:val="24"/>
                <w:highlight w:val="none"/>
              </w:rPr>
              <w:t>▲3.2  电声门图静止噪声≤5mV。</w:t>
            </w:r>
          </w:p>
        </w:tc>
        <w:tc>
          <w:tcPr>
            <w:tcW w:w="1089" w:type="dxa"/>
            <w:tcBorders>
              <w:top w:val="single" w:color="auto" w:sz="4" w:space="0"/>
              <w:left w:val="nil"/>
              <w:bottom w:val="single" w:color="auto" w:sz="4" w:space="0"/>
              <w:right w:val="single" w:color="auto" w:sz="4" w:space="0"/>
            </w:tcBorders>
            <w:noWrap w:val="0"/>
            <w:vAlign w:val="center"/>
          </w:tcPr>
          <w:p w14:paraId="004260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1套</w:t>
            </w:r>
          </w:p>
        </w:tc>
        <w:tc>
          <w:tcPr>
            <w:tcW w:w="862" w:type="dxa"/>
            <w:tcBorders>
              <w:top w:val="single" w:color="auto" w:sz="4" w:space="0"/>
              <w:left w:val="nil"/>
              <w:bottom w:val="single" w:color="auto" w:sz="4" w:space="0"/>
              <w:right w:val="single" w:color="auto" w:sz="4" w:space="0"/>
            </w:tcBorders>
            <w:noWrap w:val="0"/>
            <w:vAlign w:val="center"/>
          </w:tcPr>
          <w:p w14:paraId="42B6C1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 w:val="0"/>
                <w:bCs w:val="0"/>
                <w:color w:val="auto"/>
                <w:sz w:val="24"/>
                <w:szCs w:val="24"/>
                <w:highlight w:val="none"/>
                <w:lang w:val="en-US" w:eastAsia="zh-CN"/>
              </w:rPr>
              <w:t>软件和信息技术服务业</w:t>
            </w:r>
          </w:p>
        </w:tc>
        <w:tc>
          <w:tcPr>
            <w:tcW w:w="1225" w:type="dxa"/>
            <w:tcBorders>
              <w:top w:val="single" w:color="auto" w:sz="4" w:space="0"/>
              <w:left w:val="nil"/>
              <w:bottom w:val="single" w:color="auto" w:sz="4" w:space="0"/>
              <w:right w:val="single" w:color="auto" w:sz="4" w:space="0"/>
            </w:tcBorders>
            <w:noWrap w:val="0"/>
            <w:vAlign w:val="center"/>
          </w:tcPr>
          <w:p w14:paraId="3FDA28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是</w:t>
            </w:r>
          </w:p>
        </w:tc>
      </w:tr>
      <w:tr w14:paraId="78D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1247682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w:t>
            </w:r>
          </w:p>
        </w:tc>
        <w:tc>
          <w:tcPr>
            <w:tcW w:w="1082" w:type="dxa"/>
            <w:tcBorders>
              <w:top w:val="single" w:color="auto" w:sz="4" w:space="0"/>
              <w:left w:val="nil"/>
              <w:bottom w:val="single" w:color="auto" w:sz="4" w:space="0"/>
              <w:right w:val="single" w:color="auto" w:sz="4" w:space="0"/>
            </w:tcBorders>
            <w:noWrap w:val="0"/>
            <w:vAlign w:val="center"/>
          </w:tcPr>
          <w:p w14:paraId="02262CF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听觉言语语言喉功能检测处理系统（构音语音测量与训练仪软件）</w:t>
            </w:r>
          </w:p>
          <w:p w14:paraId="2E716F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
              </w:rPr>
            </w:pPr>
          </w:p>
        </w:tc>
        <w:tc>
          <w:tcPr>
            <w:tcW w:w="3964" w:type="dxa"/>
            <w:tcBorders>
              <w:top w:val="single" w:color="auto" w:sz="4" w:space="0"/>
              <w:left w:val="nil"/>
              <w:bottom w:val="single" w:color="auto" w:sz="4" w:space="0"/>
              <w:right w:val="single" w:color="auto" w:sz="4" w:space="0"/>
            </w:tcBorders>
            <w:noWrap w:val="0"/>
            <w:vAlign w:val="center"/>
          </w:tcPr>
          <w:p w14:paraId="2A5D1F1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一、主要用途：适用于发育性语言障碍、发育性语音障碍、孤独症谱系障碍、智力发育障碍。</w:t>
            </w:r>
          </w:p>
          <w:p w14:paraId="04C0FB32">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二、主要功能：</w:t>
            </w:r>
          </w:p>
          <w:p w14:paraId="5F9AA26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1、构音功能测量评估，</w:t>
            </w:r>
          </w:p>
          <w:p w14:paraId="7FA07DAD">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1.1口部运动功能评估；</w:t>
            </w:r>
          </w:p>
          <w:p w14:paraId="4305ACF4">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1.2音位习得、音位对比等构音语音能力评估；</w:t>
            </w:r>
          </w:p>
          <w:p w14:paraId="210B6DC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1.3构音清晰度等构音语音功能测量；</w:t>
            </w:r>
          </w:p>
          <w:p w14:paraId="57146A7C">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1.4开展连续语音能力评估。</w:t>
            </w:r>
          </w:p>
          <w:p w14:paraId="000E7A3A">
            <w:pPr>
              <w:keepNext w:val="0"/>
              <w:keepLines w:val="0"/>
              <w:numPr>
                <w:ilvl w:val="0"/>
                <w:numId w:val="8"/>
              </w:numPr>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构音功能康复训练，</w:t>
            </w:r>
          </w:p>
          <w:p w14:paraId="13936A6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2.1▲口部运动治疗（不少于40种）；</w:t>
            </w:r>
          </w:p>
          <w:p w14:paraId="6B0003E7">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2.2结合声母、韵母和声调进行下颌、唇、舌构音运动的康复训练，提高构音器官运动的精确性；</w:t>
            </w:r>
          </w:p>
          <w:p w14:paraId="630DB9D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2.3音位感知（诱导）康复训练，发音教育评判。</w:t>
            </w:r>
          </w:p>
          <w:p w14:paraId="67471611">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2.4音位习得训练，可开展听一听与说一说的语音自反馈和语音支持训练。</w:t>
            </w:r>
          </w:p>
          <w:p w14:paraId="1C3D6D0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2.5音位对比训练，按照不同发音方式、发音部位，结合重读治疗（基频范围：50Hz-1200Hz）进行训练。</w:t>
            </w:r>
          </w:p>
          <w:p w14:paraId="0AC21B58">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3、综合康复支持，</w:t>
            </w:r>
          </w:p>
          <w:p w14:paraId="6699820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3.1用户管理：用户导入、绑定、新建、编辑、删除等；以及用户评估记录、训练记录、作业记录；用户报告的保存</w:t>
            </w:r>
            <w:r>
              <w:rPr>
                <w:rFonts w:hint="eastAsia" w:ascii="宋体" w:hAnsi="宋体" w:eastAsia="宋体" w:cs="宋体"/>
                <w:b w:val="0"/>
                <w:bCs/>
                <w:color w:val="auto"/>
                <w:sz w:val="24"/>
                <w:szCs w:val="24"/>
                <w:highlight w:val="none"/>
              </w:rPr>
              <w:t>、打印输出（含单位信息）等；</w:t>
            </w:r>
          </w:p>
          <w:p w14:paraId="09E4AEB7">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 ICF评估：根据ICF标准，完成音位习得、音位对比、构音清晰度测量数据与构音功能障碍损伤程度的转换；提供包括但不限于：声母音位习得、声母音位对比、构音清晰度、口部感觉、下颌运动、唇运动、舌运动等等评估报告</w:t>
            </w:r>
          </w:p>
          <w:p w14:paraId="10835503">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3.3 ICF治疗计划：提供基于ICF功能评估报告的治疗计划制定，以及智能化方案的推荐；</w:t>
            </w:r>
          </w:p>
          <w:p w14:paraId="6402C41D">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▲3.4 ICF质控：提供通过报告对比来反应不同时期的ICF构音损伤程度的变化，从而实现疗效监控；</w:t>
            </w:r>
          </w:p>
          <w:p w14:paraId="03227D71">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▲3.5 作业支持：通过模块作业发送进行个别化集体康复训练；支持动态查看作业情况，实时监控作业效果；可用于小组训练、家庭康复、床边康复、社区学校教育康复等；</w:t>
            </w:r>
          </w:p>
          <w:p w14:paraId="1737F21C">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▲3.6嗓音电声支持：提供嗓音电声门图信号分析服务。</w:t>
            </w:r>
          </w:p>
          <w:p w14:paraId="43497E8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三、主要组成：</w:t>
            </w:r>
          </w:p>
          <w:p w14:paraId="4CCCE9C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1、检查处理系统需配备</w:t>
            </w:r>
            <w:r>
              <w:rPr>
                <w:rFonts w:hint="eastAsia" w:ascii="宋体" w:hAnsi="宋体" w:eastAsia="宋体" w:cs="宋体"/>
                <w:b w:val="0"/>
                <w:bCs/>
                <w:color w:val="auto"/>
                <w:sz w:val="24"/>
                <w:szCs w:val="24"/>
                <w:highlight w:val="none"/>
              </w:rPr>
              <w:t>台车、专用主机、单通道低通滤波器、单向型专业话筒（频率响应50Hz-15KHz）、打印机</w:t>
            </w:r>
            <w:r>
              <w:rPr>
                <w:rFonts w:hint="eastAsia" w:ascii="宋体" w:hAnsi="宋体" w:eastAsia="宋体" w:cs="宋体"/>
                <w:b w:val="0"/>
                <w:bCs/>
                <w:color w:val="auto"/>
                <w:sz w:val="24"/>
                <w:szCs w:val="24"/>
                <w:highlight w:val="none"/>
                <w:lang w:val="en-US" w:eastAsia="zh-CN"/>
              </w:rPr>
              <w:t>能</w:t>
            </w:r>
            <w:r>
              <w:rPr>
                <w:rFonts w:hint="eastAsia" w:ascii="宋体" w:hAnsi="宋体" w:eastAsia="宋体" w:cs="宋体"/>
                <w:b w:val="0"/>
                <w:bCs/>
                <w:color w:val="auto"/>
                <w:sz w:val="24"/>
                <w:szCs w:val="24"/>
                <w:highlight w:val="none"/>
              </w:rPr>
              <w:t>满足科室使用需求</w:t>
            </w:r>
            <w:r>
              <w:rPr>
                <w:rFonts w:hint="eastAsia" w:ascii="宋体" w:hAnsi="宋体" w:eastAsia="宋体" w:cs="宋体"/>
                <w:b w:val="0"/>
                <w:bCs/>
                <w:color w:val="auto"/>
                <w:sz w:val="24"/>
                <w:szCs w:val="24"/>
                <w:highlight w:val="none"/>
                <w:lang w:eastAsia="zh-CN"/>
              </w:rPr>
              <w:t>；</w:t>
            </w:r>
          </w:p>
          <w:p w14:paraId="20EA4D37">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显示器分辨≥1920x1080；尺寸≥20英寸</w:t>
            </w:r>
            <w:r>
              <w:rPr>
                <w:rFonts w:hint="eastAsia" w:ascii="宋体" w:hAnsi="宋体" w:eastAsia="宋体" w:cs="宋体"/>
                <w:b w:val="0"/>
                <w:bCs/>
                <w:color w:val="auto"/>
                <w:sz w:val="24"/>
                <w:szCs w:val="24"/>
                <w:highlight w:val="none"/>
                <w:lang w:eastAsia="zh-CN"/>
              </w:rPr>
              <w:t>；</w:t>
            </w:r>
          </w:p>
          <w:p w14:paraId="55B9253D">
            <w:pPr>
              <w:keepNext w:val="0"/>
              <w:keepLines w:val="0"/>
              <w:numPr>
                <w:ilvl w:val="0"/>
                <w:numId w:val="8"/>
              </w:numPr>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构音语音测量与训练仪软件</w:t>
            </w:r>
            <w:r>
              <w:rPr>
                <w:rFonts w:hint="eastAsia" w:ascii="宋体" w:hAnsi="宋体" w:eastAsia="宋体" w:cs="宋体"/>
                <w:b w:val="0"/>
                <w:bCs/>
                <w:color w:val="auto"/>
                <w:sz w:val="24"/>
                <w:szCs w:val="24"/>
                <w:highlight w:val="none"/>
                <w:lang w:eastAsia="zh-CN"/>
              </w:rPr>
              <w:t>；</w:t>
            </w:r>
          </w:p>
          <w:p w14:paraId="452537AA">
            <w:pPr>
              <w:keepNext w:val="0"/>
              <w:keepLines w:val="0"/>
              <w:numPr>
                <w:ilvl w:val="0"/>
                <w:numId w:val="8"/>
              </w:numPr>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嗓音功能测量仪软件（电声门图数据分析）</w:t>
            </w:r>
            <w:r>
              <w:rPr>
                <w:rFonts w:hint="eastAsia" w:ascii="宋体" w:hAnsi="宋体" w:eastAsia="宋体" w:cs="宋体"/>
                <w:b w:val="0"/>
                <w:bCs/>
                <w:color w:val="auto"/>
                <w:sz w:val="24"/>
                <w:szCs w:val="24"/>
                <w:highlight w:val="none"/>
                <w:lang w:eastAsia="zh-CN"/>
              </w:rPr>
              <w:t>；</w:t>
            </w:r>
          </w:p>
          <w:p w14:paraId="4BE5E1F4">
            <w:pPr>
              <w:keepNext w:val="0"/>
              <w:keepLines w:val="0"/>
              <w:numPr>
                <w:ilvl w:val="0"/>
                <w:numId w:val="8"/>
              </w:numPr>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★移动智能筛查包4套</w:t>
            </w:r>
            <w:r>
              <w:rPr>
                <w:rFonts w:hint="eastAsia" w:ascii="宋体" w:hAnsi="宋体" w:eastAsia="宋体" w:cs="宋体"/>
                <w:b w:val="0"/>
                <w:bCs/>
                <w:color w:val="auto"/>
                <w:sz w:val="24"/>
                <w:szCs w:val="24"/>
                <w:highlight w:val="none"/>
                <w:lang w:eastAsia="zh-CN"/>
              </w:rPr>
              <w:t>；</w:t>
            </w:r>
          </w:p>
          <w:p w14:paraId="0B259A34">
            <w:pPr>
              <w:keepNext w:val="0"/>
              <w:keepLines w:val="0"/>
              <w:numPr>
                <w:ilvl w:val="0"/>
                <w:numId w:val="8"/>
              </w:numPr>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▲电声门图仪。</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需</w:t>
            </w:r>
            <w:r>
              <w:rPr>
                <w:rFonts w:hint="eastAsia" w:ascii="宋体" w:hAnsi="宋体" w:eastAsia="宋体" w:cs="宋体"/>
                <w:b w:val="0"/>
                <w:bCs/>
                <w:color w:val="auto"/>
                <w:sz w:val="24"/>
                <w:szCs w:val="24"/>
                <w:highlight w:val="none"/>
                <w:lang w:val="en-US" w:eastAsia="zh-CN"/>
              </w:rPr>
              <w:t>提供</w:t>
            </w:r>
            <w:r>
              <w:rPr>
                <w:rFonts w:hint="eastAsia" w:ascii="宋体" w:hAnsi="宋体" w:eastAsia="宋体" w:cs="宋体"/>
                <w:b w:val="0"/>
                <w:bCs/>
                <w:color w:val="auto"/>
                <w:sz w:val="24"/>
                <w:szCs w:val="24"/>
                <w:highlight w:val="none"/>
              </w:rPr>
              <w:t>医疗器械注册证</w:t>
            </w:r>
            <w:r>
              <w:rPr>
                <w:rFonts w:hint="eastAsia" w:ascii="宋体" w:hAnsi="宋体" w:eastAsia="宋体" w:cs="宋体"/>
                <w:b w:val="0"/>
                <w:bCs/>
                <w:color w:val="auto"/>
                <w:sz w:val="24"/>
                <w:szCs w:val="24"/>
                <w:highlight w:val="none"/>
                <w:lang w:eastAsia="zh-CN"/>
              </w:rPr>
              <w:t>）</w:t>
            </w:r>
          </w:p>
          <w:p w14:paraId="34849E66">
            <w:pPr>
              <w:pStyle w:val="57"/>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四、主要技术指标：</w:t>
            </w:r>
          </w:p>
          <w:p w14:paraId="1052ABFB">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1、构音语音测量与训练仪软件用于构音语音障碍的功能评估与康复训练，其主要技术指标：</w:t>
            </w:r>
          </w:p>
          <w:p w14:paraId="7463A3E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1.1实时言语信号：</w:t>
            </w:r>
          </w:p>
          <w:p w14:paraId="5FC11EE8">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1.2谐波频率误差：±4%；</w:t>
            </w:r>
          </w:p>
          <w:p w14:paraId="7703795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▲1.3基频实时响应速率：≤6ms；</w:t>
            </w:r>
          </w:p>
          <w:p w14:paraId="582E7F54">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 FFT实时响应速率：≤48ms；</w:t>
            </w:r>
          </w:p>
          <w:p w14:paraId="513C02A3">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 LPC实时响应速率：≤45ms；</w:t>
            </w:r>
          </w:p>
          <w:p w14:paraId="58A4BF0C">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1.6 语谱图实时分辨率：窄带60Hz、中带120Hz、宽带240Hz：12.7ms±4% </w:t>
            </w:r>
          </w:p>
          <w:p w14:paraId="389804DD">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2、单通道低通滤波：</w:t>
            </w:r>
          </w:p>
          <w:p w14:paraId="247586E7">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增益：共四档：25dB，30dB，35dB，40dB，每档误差±1.0dB</w:t>
            </w:r>
          </w:p>
          <w:p w14:paraId="474E48C0">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频响：在100Hz～700Hz频率范围内为-1.0dB～+1.0dB</w:t>
            </w:r>
          </w:p>
          <w:p w14:paraId="5618DDF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静止噪声≤2mV</w:t>
            </w:r>
          </w:p>
          <w:p w14:paraId="6878C11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低通滤波：共三档：5kHz，10kHz，20kHz，截止频率处衰减≥50 dB</w:t>
            </w:r>
          </w:p>
          <w:p w14:paraId="3352DE92">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3、电声门图信号支持：</w:t>
            </w:r>
          </w:p>
          <w:p w14:paraId="0D02D67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3.1电声门图增益误差±1.0dB；</w:t>
            </w:r>
          </w:p>
          <w:p w14:paraId="632AFDF3">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▲3.2电声门图静止噪声≤5mV。</w:t>
            </w:r>
          </w:p>
        </w:tc>
        <w:tc>
          <w:tcPr>
            <w:tcW w:w="1089" w:type="dxa"/>
            <w:tcBorders>
              <w:top w:val="single" w:color="auto" w:sz="4" w:space="0"/>
              <w:left w:val="nil"/>
              <w:bottom w:val="single" w:color="auto" w:sz="4" w:space="0"/>
              <w:right w:val="single" w:color="auto" w:sz="4" w:space="0"/>
            </w:tcBorders>
            <w:shd w:val="clear" w:color="auto" w:fill="auto"/>
            <w:noWrap w:val="0"/>
            <w:vAlign w:val="center"/>
          </w:tcPr>
          <w:p w14:paraId="51D4548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1套</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14:paraId="084C62D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软件和信息技术服务业</w:t>
            </w:r>
          </w:p>
        </w:tc>
        <w:tc>
          <w:tcPr>
            <w:tcW w:w="1225" w:type="dxa"/>
            <w:tcBorders>
              <w:top w:val="single" w:color="auto" w:sz="4" w:space="0"/>
              <w:left w:val="nil"/>
              <w:bottom w:val="single" w:color="auto" w:sz="4" w:space="0"/>
              <w:right w:val="single" w:color="auto" w:sz="4" w:space="0"/>
            </w:tcBorders>
            <w:noWrap w:val="0"/>
            <w:vAlign w:val="center"/>
          </w:tcPr>
          <w:p w14:paraId="7D190D5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否</w:t>
            </w:r>
          </w:p>
        </w:tc>
      </w:tr>
    </w:tbl>
    <w:p w14:paraId="5C3F8544">
      <w:pPr>
        <w:pStyle w:val="84"/>
        <w:numPr>
          <w:ilvl w:val="0"/>
          <w:numId w:val="0"/>
        </w:numPr>
        <w:rPr>
          <w:rFonts w:hint="eastAsia" w:ascii="宋体" w:hAnsi="宋体" w:eastAsia="宋体" w:cs="宋体"/>
          <w:b w:val="0"/>
          <w:bCs w:val="0"/>
          <w:color w:val="auto"/>
          <w:kern w:val="0"/>
          <w:sz w:val="24"/>
          <w:szCs w:val="20"/>
          <w:highlight w:val="none"/>
          <w:lang w:val="en-US" w:eastAsia="zh-CN" w:bidi="ar-SA"/>
        </w:rPr>
      </w:pPr>
      <w:r>
        <w:rPr>
          <w:rFonts w:hint="eastAsia" w:ascii="宋体" w:hAnsi="宋体" w:eastAsia="宋体" w:cs="宋体"/>
          <w:b w:val="0"/>
          <w:bCs w:val="0"/>
          <w:color w:val="auto"/>
          <w:kern w:val="0"/>
          <w:sz w:val="24"/>
          <w:szCs w:val="20"/>
          <w:highlight w:val="none"/>
          <w:lang w:val="en-US" w:eastAsia="zh-CN" w:bidi="ar-SA"/>
        </w:rPr>
        <w:t>备注：如需要与医院his系统对接，中标方须配合采购人完成设备与医院his系统的无缝对接，所涉接口费用均中标方承担。</w:t>
      </w:r>
    </w:p>
    <w:p w14:paraId="5CA0D79C">
      <w:pPr>
        <w:pStyle w:val="53"/>
        <w:widowControl w:val="0"/>
        <w:spacing w:before="0" w:beforeAutospacing="0" w:after="0" w:afterAutospacing="0" w:line="480" w:lineRule="exact"/>
        <w:jc w:val="both"/>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第3包标的名称：失眠认知行为疗法（CBTI）系统采购</w:t>
      </w:r>
    </w:p>
    <w:tbl>
      <w:tblPr>
        <w:tblStyle w:val="26"/>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82"/>
        <w:gridCol w:w="3964"/>
        <w:gridCol w:w="1089"/>
        <w:gridCol w:w="862"/>
        <w:gridCol w:w="1225"/>
      </w:tblGrid>
      <w:tr w14:paraId="207F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44DE32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82" w:type="dxa"/>
            <w:tcBorders>
              <w:top w:val="single" w:color="auto" w:sz="4" w:space="0"/>
              <w:left w:val="nil"/>
              <w:bottom w:val="single" w:color="auto" w:sz="4" w:space="0"/>
              <w:right w:val="single" w:color="auto" w:sz="4" w:space="0"/>
            </w:tcBorders>
            <w:noWrap w:val="0"/>
            <w:vAlign w:val="center"/>
          </w:tcPr>
          <w:p w14:paraId="4C6888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64" w:type="dxa"/>
            <w:tcBorders>
              <w:top w:val="single" w:color="auto" w:sz="4" w:space="0"/>
              <w:left w:val="nil"/>
              <w:bottom w:val="single" w:color="auto" w:sz="4" w:space="0"/>
              <w:right w:val="single" w:color="auto" w:sz="4" w:space="0"/>
            </w:tcBorders>
            <w:noWrap w:val="0"/>
            <w:vAlign w:val="center"/>
          </w:tcPr>
          <w:p w14:paraId="39F777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9" w:type="dxa"/>
            <w:tcBorders>
              <w:top w:val="single" w:color="auto" w:sz="4" w:space="0"/>
              <w:left w:val="nil"/>
              <w:bottom w:val="single" w:color="auto" w:sz="4" w:space="0"/>
              <w:right w:val="single" w:color="auto" w:sz="4" w:space="0"/>
            </w:tcBorders>
            <w:noWrap w:val="0"/>
            <w:vAlign w:val="center"/>
          </w:tcPr>
          <w:p w14:paraId="685FD4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0B2967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62" w:type="dxa"/>
            <w:tcBorders>
              <w:top w:val="single" w:color="auto" w:sz="4" w:space="0"/>
              <w:left w:val="nil"/>
              <w:bottom w:val="single" w:color="auto" w:sz="4" w:space="0"/>
              <w:right w:val="single" w:color="auto" w:sz="4" w:space="0"/>
            </w:tcBorders>
            <w:noWrap w:val="0"/>
            <w:vAlign w:val="center"/>
          </w:tcPr>
          <w:p w14:paraId="4230EA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1E3695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25" w:type="dxa"/>
            <w:tcBorders>
              <w:top w:val="single" w:color="auto" w:sz="4" w:space="0"/>
              <w:left w:val="nil"/>
              <w:bottom w:val="single" w:color="auto" w:sz="4" w:space="0"/>
              <w:right w:val="single" w:color="auto" w:sz="4" w:space="0"/>
            </w:tcBorders>
            <w:noWrap w:val="0"/>
            <w:vAlign w:val="center"/>
          </w:tcPr>
          <w:p w14:paraId="08808B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r>
      <w:tr w14:paraId="40D3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35FE4A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082" w:type="dxa"/>
            <w:tcBorders>
              <w:top w:val="single" w:color="auto" w:sz="4" w:space="0"/>
              <w:left w:val="nil"/>
              <w:bottom w:val="single" w:color="auto" w:sz="4" w:space="0"/>
              <w:right w:val="single" w:color="auto" w:sz="4" w:space="0"/>
            </w:tcBorders>
            <w:noWrap w:val="0"/>
            <w:vAlign w:val="center"/>
          </w:tcPr>
          <w:p w14:paraId="7EDE2EC4">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Cs/>
                <w:color w:val="auto"/>
                <w:kern w:val="2"/>
                <w:sz w:val="24"/>
                <w:szCs w:val="24"/>
                <w:highlight w:val="none"/>
              </w:rPr>
            </w:pPr>
            <w:r>
              <w:rPr>
                <w:rFonts w:hint="eastAsia" w:ascii="宋体" w:hAnsi="宋体" w:eastAsia="宋体" w:cs="宋体"/>
                <w:b w:val="0"/>
                <w:bCs w:val="0"/>
                <w:color w:val="auto"/>
                <w:sz w:val="24"/>
                <w:szCs w:val="20"/>
                <w:highlight w:val="none"/>
                <w:lang w:val="en-US" w:eastAsia="zh-CN"/>
              </w:rPr>
              <w:t>失眠认知行为疗法（CBTI）系统</w:t>
            </w:r>
          </w:p>
        </w:tc>
        <w:tc>
          <w:tcPr>
            <w:tcW w:w="3964" w:type="dxa"/>
            <w:tcBorders>
              <w:top w:val="single" w:color="auto" w:sz="4" w:space="0"/>
              <w:left w:val="nil"/>
              <w:bottom w:val="single" w:color="auto" w:sz="4" w:space="0"/>
              <w:right w:val="single" w:color="auto" w:sz="4" w:space="0"/>
            </w:tcBorders>
            <w:noWrap w:val="0"/>
            <w:vAlign w:val="center"/>
          </w:tcPr>
          <w:p w14:paraId="60B7C3D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一、产品功能：</w:t>
            </w:r>
          </w:p>
          <w:p w14:paraId="1E6A92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1.系统由管理端和移动客户端组成。</w:t>
            </w:r>
          </w:p>
          <w:p w14:paraId="1FE7A1F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2.系统最大可支持开放100个以上端口，支持并发用户数每批次不少于100人；</w:t>
            </w:r>
          </w:p>
          <w:p w14:paraId="3370964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3.数据库具备百万以上数据承载量，保障临床可持续性使用。内置标准化量表。患者数据可以保存十年及以上，全面记录治疗流程及数据追溯，全面记录每一位患者的治疗流程及数据；</w:t>
            </w:r>
          </w:p>
          <w:p w14:paraId="676513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4.系统支持手动、自动两种方式数据备份，保障数据安全；移动治疗端具备数据交互功能；</w:t>
            </w:r>
          </w:p>
          <w:p w14:paraId="69EE853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5.方案必须基于实证有效的CBTI核心成分（睡眠限制、刺激控制、认知重构、睡眠卫生、放松训练等）。</w:t>
            </w:r>
          </w:p>
          <w:p w14:paraId="667F09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二、管理端功能</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★1、失眠认知行为管理系统包括睡眠、心理等多类型的量表且量表满足成年人、儿童青少年睡眠障碍患者相关的评估量表，常模需要及时更新（需提供量表目录及相关量表界面截图）</w:t>
            </w:r>
          </w:p>
          <w:p w14:paraId="17DEB2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2.智能睡眠量表评估功能包括：睡眠质量、睡眠卫生、睡眠时间、睡眠认知多个维度分析睡眠。</w:t>
            </w:r>
          </w:p>
          <w:p w14:paraId="6C1400E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3.报告须提供临床辅助诊断意见，标准常模评估被检测人可能是正常、抑郁或焦虑障碍、精神障碍等。</w:t>
            </w:r>
          </w:p>
          <w:p w14:paraId="2FCC89D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▲4、用户可对报告内容模板样式及报告的全部内容及格式有专有定制的自定义调整能力。（需提供相关资料）</w:t>
            </w:r>
          </w:p>
          <w:p w14:paraId="711CDC0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5.包含睡眠评估、认知疗法;心理治疗；睡眠日记、睡眠限制；刺激控制疗法；放松治疗等多种核心模块，多维度全方位高效治疗失眠障碍。</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6 、系统须支持报告在线编辑功能。</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▲7、可随时查看每个患者的实时相关数据与执行情况，可追踪每位患者的任务完成情况和状态，可对患者发送医嘱或通知，并可以收到患者反馈。</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▲8、可制定CBT-I课程，可满足多人（20人以上）同时治疗。</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9、系统量表部分包含语音读题</w:t>
            </w:r>
          </w:p>
          <w:p w14:paraId="40736BE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系统内含有睡眠相关模块，可以推送睡眠相关方案。方案内包含但不限于每天三到五分钟的科普视频（视频包含专家讲解及动画形式，数量需在40个以上，内容需实时更新），以及放松训练。（需提供相关系统截图）</w:t>
            </w:r>
          </w:p>
          <w:p w14:paraId="204608C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▲11、后台支持医生切换患者功能，实现一患一档，训练记录可追踪（需提供证明文件）</w:t>
            </w:r>
          </w:p>
          <w:p w14:paraId="2E6257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软件系统包含:患者管理;医生管理;任务管理;课程管理、睡眠日志等模块。</w:t>
            </w:r>
          </w:p>
          <w:p w14:paraId="1C0D05D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系统包括科普视频、科普文章、正念冥想、渐进式肌肉放松训练等内容。</w:t>
            </w:r>
          </w:p>
          <w:p w14:paraId="67D919B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14、课程内容包括：睡眠卫生教育、睡眠限制疗法、刺激控制疗法、睡眠认知疗法、睡眠松弛疗法。课程需实时更新。</w:t>
            </w:r>
          </w:p>
          <w:p w14:paraId="56BC9C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 CBT-I课程，每天专家讲解、动画课程+放松训练+任务安排，课程需实时更新。</w:t>
            </w:r>
          </w:p>
          <w:p w14:paraId="5A5B940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三、患者端功能</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▲1.任务模块：根据开通的方案，每天会提醒患者今日应该执行的任务。完成后以百分比的方式标注，并反馈呈现在科室管理端中。-提供系统功能截图</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2、 睡眠日记：支持患者每天记录自己的睡眠情况和睡眠数据管理，查看自己不同日期的睡眠日记以及周报告。</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3、 睡眠档案：支持患者添加病种、用药与白天行为等相关记录。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4、 消息提醒：根据患者的使用行为，推送温馨提示，同时会给患者发送提醒开启推送通知的任务。</w:t>
            </w:r>
          </w:p>
          <w:p w14:paraId="36353871">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▲5.服药副反应：为了提高依从性，支持患者每天记录自己的服药情况，尤其是副反应情况。</w:t>
            </w:r>
          </w:p>
          <w:p w14:paraId="69C7C9E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四、服务与支持要求</w:t>
            </w:r>
          </w:p>
          <w:p w14:paraId="04CD144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▲1.培训服务：提供针对管理员、治疗师的不同层次的线上/线下培训。</w:t>
            </w:r>
          </w:p>
          <w:p w14:paraId="61E5EB3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2.响应时间： 供应商需保证对系统问题的响应时间小于24小时。</w:t>
            </w:r>
          </w:p>
          <w:p w14:paraId="206E9F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val="0"/>
                <w:color w:val="auto"/>
                <w:sz w:val="24"/>
                <w:szCs w:val="24"/>
                <w:highlight w:val="none"/>
                <w:lang w:val="en-US" w:eastAsia="zh-CN"/>
              </w:rPr>
              <w:t>▲3.设备需配备失眠认知行为管理系统1套、配备管理端一体机、患者端一体机4台、移动式台车及打印机能满足临床需求。</w:t>
            </w:r>
          </w:p>
        </w:tc>
        <w:tc>
          <w:tcPr>
            <w:tcW w:w="1089" w:type="dxa"/>
            <w:tcBorders>
              <w:top w:val="single" w:color="auto" w:sz="4" w:space="0"/>
              <w:left w:val="nil"/>
              <w:bottom w:val="single" w:color="auto" w:sz="4" w:space="0"/>
              <w:right w:val="single" w:color="auto" w:sz="4" w:space="0"/>
            </w:tcBorders>
            <w:noWrap w:val="0"/>
            <w:vAlign w:val="center"/>
          </w:tcPr>
          <w:p w14:paraId="1CF3AF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1套</w:t>
            </w:r>
          </w:p>
        </w:tc>
        <w:tc>
          <w:tcPr>
            <w:tcW w:w="862" w:type="dxa"/>
            <w:tcBorders>
              <w:top w:val="single" w:color="auto" w:sz="4" w:space="0"/>
              <w:left w:val="nil"/>
              <w:bottom w:val="single" w:color="auto" w:sz="4" w:space="0"/>
              <w:right w:val="single" w:color="auto" w:sz="4" w:space="0"/>
            </w:tcBorders>
            <w:noWrap w:val="0"/>
            <w:vAlign w:val="center"/>
          </w:tcPr>
          <w:p w14:paraId="7F7BAC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 w:val="0"/>
                <w:bCs w:val="0"/>
                <w:color w:val="auto"/>
                <w:sz w:val="24"/>
                <w:szCs w:val="24"/>
                <w:highlight w:val="none"/>
                <w:lang w:val="en-US" w:eastAsia="zh-CN"/>
              </w:rPr>
              <w:t>软件和信息技术服务业</w:t>
            </w:r>
          </w:p>
        </w:tc>
        <w:tc>
          <w:tcPr>
            <w:tcW w:w="1225" w:type="dxa"/>
            <w:tcBorders>
              <w:top w:val="single" w:color="auto" w:sz="4" w:space="0"/>
              <w:left w:val="nil"/>
              <w:bottom w:val="single" w:color="auto" w:sz="4" w:space="0"/>
              <w:right w:val="single" w:color="auto" w:sz="4" w:space="0"/>
            </w:tcBorders>
            <w:noWrap w:val="0"/>
            <w:vAlign w:val="center"/>
          </w:tcPr>
          <w:p w14:paraId="5EC203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是</w:t>
            </w:r>
          </w:p>
        </w:tc>
      </w:tr>
    </w:tbl>
    <w:p w14:paraId="58640B4C">
      <w:pPr>
        <w:pStyle w:val="84"/>
        <w:numPr>
          <w:ilvl w:val="0"/>
          <w:numId w:val="0"/>
        </w:num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备注：1、如需要与医院his系统对接，中标方须配合采购人完成设备与医院his系统的无缝对接，所涉接口费用均中标方承担。</w:t>
      </w:r>
    </w:p>
    <w:p w14:paraId="57B837D3">
      <w:pPr>
        <w:pStyle w:val="53"/>
        <w:widowControl w:val="0"/>
        <w:spacing w:before="0" w:beforeAutospacing="0" w:after="0" w:afterAutospacing="0" w:line="480" w:lineRule="exact"/>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2、系统升级：系统终身免费升级。</w:t>
      </w:r>
    </w:p>
    <w:p w14:paraId="7E377448">
      <w:pPr>
        <w:pStyle w:val="53"/>
        <w:widowControl w:val="0"/>
        <w:spacing w:before="0" w:beforeAutospacing="0" w:after="0" w:afterAutospacing="0" w:line="480" w:lineRule="exact"/>
        <w:jc w:val="both"/>
        <w:rPr>
          <w:rFonts w:hint="eastAsia" w:ascii="宋体" w:hAnsi="宋体" w:eastAsia="宋体" w:cs="宋体"/>
          <w:b w:val="0"/>
          <w:bCs w:val="0"/>
          <w:color w:val="auto"/>
          <w:sz w:val="24"/>
          <w:szCs w:val="20"/>
          <w:highlight w:val="none"/>
          <w:lang w:val="en-US" w:eastAsia="zh-CN"/>
        </w:rPr>
      </w:pPr>
    </w:p>
    <w:p w14:paraId="2AE1BD90">
      <w:pPr>
        <w:pStyle w:val="53"/>
        <w:widowControl w:val="0"/>
        <w:spacing w:before="0" w:beforeAutospacing="0" w:after="0" w:afterAutospacing="0" w:line="480" w:lineRule="exact"/>
        <w:jc w:val="both"/>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第4包标的名称：光照疗愈系统采购</w:t>
      </w:r>
    </w:p>
    <w:tbl>
      <w:tblPr>
        <w:tblStyle w:val="26"/>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82"/>
        <w:gridCol w:w="3964"/>
        <w:gridCol w:w="1089"/>
        <w:gridCol w:w="862"/>
        <w:gridCol w:w="1225"/>
      </w:tblGrid>
      <w:tr w14:paraId="1E3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214021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82" w:type="dxa"/>
            <w:tcBorders>
              <w:top w:val="single" w:color="auto" w:sz="4" w:space="0"/>
              <w:left w:val="nil"/>
              <w:bottom w:val="single" w:color="auto" w:sz="4" w:space="0"/>
              <w:right w:val="single" w:color="auto" w:sz="4" w:space="0"/>
            </w:tcBorders>
            <w:noWrap w:val="0"/>
            <w:vAlign w:val="center"/>
          </w:tcPr>
          <w:p w14:paraId="3CCCAB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64" w:type="dxa"/>
            <w:tcBorders>
              <w:top w:val="single" w:color="auto" w:sz="4" w:space="0"/>
              <w:left w:val="nil"/>
              <w:bottom w:val="single" w:color="auto" w:sz="4" w:space="0"/>
              <w:right w:val="single" w:color="auto" w:sz="4" w:space="0"/>
            </w:tcBorders>
            <w:noWrap w:val="0"/>
            <w:vAlign w:val="center"/>
          </w:tcPr>
          <w:p w14:paraId="67AD9B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9" w:type="dxa"/>
            <w:tcBorders>
              <w:top w:val="single" w:color="auto" w:sz="4" w:space="0"/>
              <w:left w:val="nil"/>
              <w:bottom w:val="single" w:color="auto" w:sz="4" w:space="0"/>
              <w:right w:val="single" w:color="auto" w:sz="4" w:space="0"/>
            </w:tcBorders>
            <w:noWrap w:val="0"/>
            <w:vAlign w:val="center"/>
          </w:tcPr>
          <w:p w14:paraId="48EAB8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56474C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62" w:type="dxa"/>
            <w:tcBorders>
              <w:top w:val="single" w:color="auto" w:sz="4" w:space="0"/>
              <w:left w:val="nil"/>
              <w:bottom w:val="single" w:color="auto" w:sz="4" w:space="0"/>
              <w:right w:val="single" w:color="auto" w:sz="4" w:space="0"/>
            </w:tcBorders>
            <w:noWrap w:val="0"/>
            <w:vAlign w:val="center"/>
          </w:tcPr>
          <w:p w14:paraId="1487FE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67B137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25" w:type="dxa"/>
            <w:tcBorders>
              <w:top w:val="single" w:color="auto" w:sz="4" w:space="0"/>
              <w:left w:val="nil"/>
              <w:bottom w:val="single" w:color="auto" w:sz="4" w:space="0"/>
              <w:right w:val="single" w:color="auto" w:sz="4" w:space="0"/>
            </w:tcBorders>
            <w:noWrap w:val="0"/>
            <w:vAlign w:val="center"/>
          </w:tcPr>
          <w:p w14:paraId="5E1740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r>
      <w:tr w14:paraId="41BE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74807F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082" w:type="dxa"/>
            <w:tcBorders>
              <w:top w:val="single" w:color="auto" w:sz="4" w:space="0"/>
              <w:left w:val="nil"/>
              <w:bottom w:val="single" w:color="auto" w:sz="4" w:space="0"/>
              <w:right w:val="single" w:color="auto" w:sz="4" w:space="0"/>
            </w:tcBorders>
            <w:noWrap w:val="0"/>
            <w:vAlign w:val="center"/>
          </w:tcPr>
          <w:p w14:paraId="1DD8E898">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Cs/>
                <w:color w:val="auto"/>
                <w:kern w:val="2"/>
                <w:sz w:val="24"/>
                <w:szCs w:val="24"/>
                <w:highlight w:val="none"/>
              </w:rPr>
            </w:pPr>
            <w:r>
              <w:rPr>
                <w:rFonts w:hint="eastAsia" w:ascii="宋体" w:hAnsi="宋体" w:eastAsia="宋体" w:cs="宋体"/>
                <w:b w:val="0"/>
                <w:bCs w:val="0"/>
                <w:color w:val="auto"/>
                <w:sz w:val="24"/>
                <w:szCs w:val="20"/>
                <w:highlight w:val="none"/>
                <w:lang w:val="en-US" w:eastAsia="zh-CN"/>
              </w:rPr>
              <w:t>光照疗愈系统</w:t>
            </w:r>
          </w:p>
        </w:tc>
        <w:tc>
          <w:tcPr>
            <w:tcW w:w="3964" w:type="dxa"/>
            <w:tcBorders>
              <w:top w:val="single" w:color="auto" w:sz="4" w:space="0"/>
              <w:left w:val="nil"/>
              <w:bottom w:val="single" w:color="auto" w:sz="4" w:space="0"/>
              <w:right w:val="single" w:color="auto" w:sz="4" w:space="0"/>
            </w:tcBorders>
            <w:noWrap w:val="0"/>
            <w:vAlign w:val="center"/>
          </w:tcPr>
          <w:p w14:paraId="570EC1C8">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1、光照治疗系统主要参数：</w:t>
            </w:r>
          </w:p>
          <w:p w14:paraId="0AF1CFCC">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▲1.1管理权限：支持医生账号登录，可分配不同权限以对系统功能、患者基础信息，数据库分别进行管理。</w:t>
            </w:r>
          </w:p>
          <w:p w14:paraId="03204DAF">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1.2支持提供智能心理健康云平台接口，为进一步大数据分析研究提供支撑。</w:t>
            </w:r>
          </w:p>
          <w:p w14:paraId="4AA63E1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1.3能够通过量表电子化自评/他评问卷，包含焦虑、抑郁、睡眠觉醒类型、睡眠质量等多种评估模块。</w:t>
            </w:r>
          </w:p>
          <w:p w14:paraId="6C548F5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1.4支持医生对光照强度和时间进行设置。</w:t>
            </w:r>
          </w:p>
          <w:p w14:paraId="7A753E3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1.5支持可视化生理参数指标显示，实时输出多频段脑电波或对应数值。</w:t>
            </w:r>
          </w:p>
          <w:p w14:paraId="49F37E2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1.6用户管理系统必须同时包含权限管理模块、用户管理模块、量表评测模块、光照方案管理模块、操作历史记录模块。</w:t>
            </w:r>
          </w:p>
          <w:p w14:paraId="7151A80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1.7支持电子化睡眠日记或体动记录。</w:t>
            </w:r>
          </w:p>
          <w:p w14:paraId="7D1A93EB">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1.8支持控制器自动扫描与识别功能。</w:t>
            </w:r>
          </w:p>
          <w:p w14:paraId="75EA2B6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1.9提供患者标签管理功能，医生可自定义患者标签内容，以便于针对性地实施治疗方案。</w:t>
            </w:r>
          </w:p>
          <w:p w14:paraId="0595D672">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1.10支持户外光照环境模拟，真实场景还原再现，缓解患者压力，提升治疗效果。</w:t>
            </w:r>
          </w:p>
          <w:p w14:paraId="598798D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1.11光照强度：≥10000Lux。</w:t>
            </w:r>
          </w:p>
          <w:p w14:paraId="30F360D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1.12光源散热方式符合要求，自然空气散热或智能风冷等方式。</w:t>
            </w:r>
          </w:p>
          <w:p w14:paraId="276DB0B2">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1.13提供身心反馈模块，配合光照治疗使用，以辅助患者治疗前后愉悦身心，可提供睡眠卫生教育、睡眠日记讲解、服用药品的相关事宜讲解、放松训练、睡眠训练。</w:t>
            </w:r>
          </w:p>
          <w:p w14:paraId="093BB919">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▲1.14认知评估模块，将光照疗法与认知行为干预结合，通过改变负面思维和行为模式，提升治疗效果‌，包括不限于失眠、抑郁等认知主题治疗，可自定义方案时长。（提供系统对应功能页面截图证明）</w:t>
            </w:r>
          </w:p>
          <w:p w14:paraId="268EA16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1.15系统支持对患者信息管理，评估和治疗数据报告管理，导出并打印治疗报告。</w:t>
            </w:r>
          </w:p>
          <w:p w14:paraId="22D82347">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▲1.16支持临床自主添加和上传相关内容，系统自动获取新增的内容并在管理系统界面生成目录，并支持自主设置内容名称。（提供系统对应功能页面截图证明）</w:t>
            </w:r>
          </w:p>
          <w:p w14:paraId="3BBE9161">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1.17系统采用标准化神经认知评估模块，包括不限于对以下核心认知维度进行精准测量：注意力、感知运动、语言能力、社会认知、记忆力等支持生成多维度的认知报告。（提供系统对应功能页面截图证明）</w:t>
            </w:r>
          </w:p>
          <w:p w14:paraId="739C793D">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1.18支持跟医院内部系统的HIS对接服务，以便实现数据互联共通、信息关联共享。包括：诊疗信息、费用信息、病人基础信息等。</w:t>
            </w:r>
          </w:p>
          <w:p w14:paraId="3B66ADB1">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▲1.19产品交付时需提供提供用于光照治疗的计算机软件著作权登记证书和系统软件产品证书。</w:t>
            </w:r>
          </w:p>
          <w:p w14:paraId="26F6AA6C">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 xml:space="preserve">  1.20用户端可通过手机端扫码完成测评任务。管理系统可分配不同权限账户。任务派发方式便捷，支持团体版和个人版。</w:t>
            </w:r>
          </w:p>
          <w:p w14:paraId="5A555972">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 xml:space="preserve">▲1.21系统需提供色弱模式，以兼容特殊群体有效答题；（需提供第三方检测机构出具的含有色弱模式的测试符合报告）  </w:t>
            </w:r>
          </w:p>
          <w:p w14:paraId="2C040EB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2、硬件部分：（基础参数）</w:t>
            </w:r>
          </w:p>
          <w:p w14:paraId="4D8EA83D">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▲2.1显色指数：≥90</w:t>
            </w:r>
          </w:p>
          <w:p w14:paraId="62EEF2C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2.2设备运行时的噪音应低于30分贝，保证使用环境安静。</w:t>
            </w:r>
          </w:p>
          <w:p w14:paraId="74D90BEA">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▲2.3色温：≥5000K 范围可调</w:t>
            </w:r>
          </w:p>
          <w:p w14:paraId="28FF5430">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▲2.4刷新率≥40HZ；</w:t>
            </w:r>
          </w:p>
          <w:p w14:paraId="45AB157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2.5发光均匀，发光光斑无明显条纹，阴影，斑点。</w:t>
            </w:r>
          </w:p>
          <w:p w14:paraId="10193505">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2.6全套系统需支持内网部署和运行，所有数据均本地储存和分析处理。</w:t>
            </w:r>
          </w:p>
          <w:p w14:paraId="79F607F2">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 xml:space="preserve">  2.7支持接入自然光照治疗控制硬件对光源参数进行控制。</w:t>
            </w:r>
          </w:p>
          <w:p w14:paraId="26C4B4F0">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沉浸式光照治疗环境打造</w:t>
            </w:r>
          </w:p>
          <w:p w14:paraId="725137F1">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★3.1根据医院场地设计方案，室内布局装饰改造及显示器等配置符合院方要求。（提供承诺函）</w:t>
            </w:r>
          </w:p>
          <w:p w14:paraId="2F5E908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★3.2系统配置至少能满足6位患者同时治疗。</w:t>
            </w:r>
          </w:p>
          <w:p w14:paraId="2B18ACE6">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系统需提供以下模块</w:t>
            </w:r>
          </w:p>
          <w:p w14:paraId="4CEE4D73">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▲4.1包含但不限于以下模块：意力认知评估模块、感知运动评估模块、语言能力评估模块、社会认知评估模块、记忆力评估模块、 睡眠日记模块、 音乐治疗模块、 催眠治疗模块、抑郁治疗模块、服用药品讲解、科研数据统计模块、科研数据图表化模块</w:t>
            </w:r>
          </w:p>
          <w:p w14:paraId="5140EFB6">
            <w:pPr>
              <w:keepNext w:val="0"/>
              <w:keepLines w:val="0"/>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4.2心身放松训练音频≥20种</w:t>
            </w:r>
          </w:p>
          <w:p w14:paraId="5D81F092">
            <w:pPr>
              <w:keepNext w:val="0"/>
              <w:keepLines w:val="0"/>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4.3睡眠身心反馈动画≥10种</w:t>
            </w:r>
          </w:p>
          <w:p w14:paraId="5CE60ACA">
            <w:pPr>
              <w:keepNext w:val="0"/>
              <w:keepLines w:val="0"/>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▲4.4睡眠冥想训练≥20种</w:t>
            </w:r>
          </w:p>
          <w:p w14:paraId="761FD6D1">
            <w:pPr>
              <w:keepNext w:val="0"/>
              <w:keepLines w:val="0"/>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4.5身心放松训练≥14种</w:t>
            </w:r>
          </w:p>
          <w:p w14:paraId="4AAFD294">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4.6身心沉浸式主题≥10种</w:t>
            </w:r>
          </w:p>
          <w:p w14:paraId="4283ADDE">
            <w:pPr>
              <w:keepNext w:val="0"/>
              <w:keepLines w:val="0"/>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4.7睡眠教育动画≥5种</w:t>
            </w:r>
          </w:p>
        </w:tc>
        <w:tc>
          <w:tcPr>
            <w:tcW w:w="1089" w:type="dxa"/>
            <w:tcBorders>
              <w:top w:val="single" w:color="auto" w:sz="4" w:space="0"/>
              <w:left w:val="nil"/>
              <w:bottom w:val="single" w:color="auto" w:sz="4" w:space="0"/>
              <w:right w:val="single" w:color="auto" w:sz="4" w:space="0"/>
            </w:tcBorders>
            <w:noWrap w:val="0"/>
            <w:vAlign w:val="center"/>
          </w:tcPr>
          <w:p w14:paraId="3CFF56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1套</w:t>
            </w:r>
          </w:p>
        </w:tc>
        <w:tc>
          <w:tcPr>
            <w:tcW w:w="862" w:type="dxa"/>
            <w:tcBorders>
              <w:top w:val="single" w:color="auto" w:sz="4" w:space="0"/>
              <w:left w:val="nil"/>
              <w:bottom w:val="single" w:color="auto" w:sz="4" w:space="0"/>
              <w:right w:val="single" w:color="auto" w:sz="4" w:space="0"/>
            </w:tcBorders>
            <w:noWrap w:val="0"/>
            <w:vAlign w:val="center"/>
          </w:tcPr>
          <w:p w14:paraId="1ABC09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 w:val="0"/>
                <w:bCs w:val="0"/>
                <w:color w:val="auto"/>
                <w:sz w:val="24"/>
                <w:szCs w:val="24"/>
                <w:highlight w:val="none"/>
                <w:lang w:val="en-US" w:eastAsia="zh-CN"/>
              </w:rPr>
              <w:t>软件和信息技术服务业</w:t>
            </w:r>
          </w:p>
        </w:tc>
        <w:tc>
          <w:tcPr>
            <w:tcW w:w="1225" w:type="dxa"/>
            <w:tcBorders>
              <w:top w:val="single" w:color="auto" w:sz="4" w:space="0"/>
              <w:left w:val="nil"/>
              <w:bottom w:val="single" w:color="auto" w:sz="4" w:space="0"/>
              <w:right w:val="single" w:color="auto" w:sz="4" w:space="0"/>
            </w:tcBorders>
            <w:noWrap w:val="0"/>
            <w:vAlign w:val="center"/>
          </w:tcPr>
          <w:p w14:paraId="57A8AF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是</w:t>
            </w:r>
          </w:p>
        </w:tc>
      </w:tr>
    </w:tbl>
    <w:p w14:paraId="6624C71C">
      <w:pPr>
        <w:pStyle w:val="84"/>
        <w:numPr>
          <w:ilvl w:val="0"/>
          <w:numId w:val="0"/>
        </w:numP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注：1、如需要与医院his系统对接，中标方须配合采购人完成设备与医院his系统的无缝对接，所涉接口费用均中标方承担。</w:t>
      </w:r>
    </w:p>
    <w:p w14:paraId="665DC978">
      <w:pP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2、提供软件系统终生免费升级及维护服务。</w:t>
      </w:r>
    </w:p>
    <w:p w14:paraId="12661C99">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24"/>
      <w:bookmarkEnd w:id="25"/>
    </w:p>
    <w:p w14:paraId="0969CE6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p>
    <w:p w14:paraId="68C53943">
      <w:pPr>
        <w:spacing w:line="360" w:lineRule="auto"/>
        <w:ind w:firstLine="437"/>
        <w:outlineLvl w:val="1"/>
        <w:rPr>
          <w:rFonts w:hint="eastAsia" w:ascii="宋体" w:hAnsi="宋体" w:eastAsia="宋体"/>
          <w:b/>
          <w:bCs/>
          <w:color w:val="auto"/>
          <w:sz w:val="24"/>
          <w:szCs w:val="18"/>
          <w:highlight w:val="none"/>
        </w:rPr>
      </w:pPr>
      <w:bookmarkStart w:id="39" w:name="_Toc15293"/>
      <w:bookmarkStart w:id="40" w:name="_Toc14698"/>
      <w:r>
        <w:rPr>
          <w:rFonts w:hint="eastAsia" w:ascii="宋体" w:hAnsi="宋体" w:eastAsia="宋体"/>
          <w:b/>
          <w:bCs/>
          <w:color w:val="auto"/>
          <w:sz w:val="24"/>
          <w:szCs w:val="18"/>
          <w:highlight w:val="none"/>
        </w:rPr>
        <w:t>四、其他要求</w:t>
      </w:r>
      <w:bookmarkEnd w:id="39"/>
      <w:bookmarkEnd w:id="40"/>
    </w:p>
    <w:p w14:paraId="46A39C4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36DB5F57">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0667823A">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41B4BE4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5C27CBA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6182F906">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32584F7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4793142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3AAB73F6">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w:t>
      </w:r>
      <w:r>
        <w:rPr>
          <w:rFonts w:hint="eastAsia" w:ascii="宋体" w:hAnsi="宋体" w:eastAsia="宋体"/>
          <w:bCs/>
          <w:color w:val="auto"/>
          <w:sz w:val="24"/>
          <w:szCs w:val="18"/>
          <w:highlight w:val="none"/>
          <w:lang w:val="en-US" w:eastAsia="zh-CN"/>
        </w:rPr>
        <w:t>所投货物产品</w:t>
      </w:r>
      <w:r>
        <w:rPr>
          <w:rFonts w:hint="eastAsia" w:ascii="宋体" w:hAnsi="宋体" w:eastAsia="宋体"/>
          <w:bCs/>
          <w:color w:val="auto"/>
          <w:sz w:val="24"/>
          <w:szCs w:val="18"/>
          <w:highlight w:val="none"/>
        </w:rPr>
        <w:t>须提供至少 3 年的免费质保服务</w:t>
      </w:r>
      <w:r>
        <w:rPr>
          <w:rFonts w:hint="eastAsia" w:ascii="宋体" w:hAnsi="宋体" w:eastAsia="宋体"/>
          <w:bCs/>
          <w:color w:val="auto"/>
          <w:sz w:val="24"/>
          <w:szCs w:val="18"/>
          <w:highlight w:val="none"/>
          <w:lang w:val="en-US" w:eastAsia="zh-CN"/>
        </w:rPr>
        <w:t>（具体以投标承诺为准）</w:t>
      </w:r>
      <w:r>
        <w:rPr>
          <w:rFonts w:hint="eastAsia" w:ascii="宋体" w:hAnsi="宋体" w:eastAsia="宋体"/>
          <w:bCs/>
          <w:color w:val="auto"/>
          <w:sz w:val="24"/>
          <w:szCs w:val="18"/>
          <w:highlight w:val="none"/>
        </w:rPr>
        <w:t>，中标人每年须至少提供2次的上门巡检服务，巡检过程中须根据采购人使用情况，免费更换常用配件，如备用产品备件及常用维修工具。无正当理由，中标人不得拒绝上门巡检服务及备品备件更换。所有质保费用均已包含在投标报价中，质保期满后，应提供优先的有偿售后服务及按不高于投标文件中主要配件、易损件清单所报价格供应原厂零配件等。软件终身免费升级服务。</w:t>
      </w:r>
    </w:p>
    <w:p w14:paraId="7D4FDE7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5E26754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2684D29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w:t>
      </w:r>
      <w:r>
        <w:rPr>
          <w:rFonts w:hint="eastAsia" w:ascii="宋体" w:hAnsi="宋体" w:eastAsia="宋体"/>
          <w:bCs/>
          <w:color w:val="auto"/>
          <w:sz w:val="24"/>
          <w:szCs w:val="18"/>
          <w:highlight w:val="none"/>
          <w:lang w:val="en-US" w:eastAsia="zh-CN"/>
        </w:rPr>
        <w:t xml:space="preserve">中标人负责为采购人操作人员提供操作及维护培训，直至其能 </w:t>
      </w:r>
    </w:p>
    <w:p w14:paraId="1663E210">
      <w:pPr>
        <w:spacing w:line="360" w:lineRule="auto"/>
        <w:ind w:left="0" w:leftChars="0" w:firstLine="0" w:firstLineChars="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熟练独立操作及日常维护与保养，简单故障诊断与排除。中标供应商应提供上门用户培训服务；供应商应免费提供操作手册、培训课程和视频等参考资料；使关 </w:t>
      </w:r>
    </w:p>
    <w:p w14:paraId="3F36A4B9">
      <w:pPr>
        <w:spacing w:line="360" w:lineRule="auto"/>
        <w:ind w:left="0" w:leftChars="0" w:firstLine="0" w:firstLineChars="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键用户能够理解并熟练掌握标准软件及设备的流程操作，为后续的软件系统运行 </w:t>
      </w:r>
    </w:p>
    <w:p w14:paraId="5CB579C7">
      <w:pPr>
        <w:spacing w:line="360" w:lineRule="auto"/>
        <w:ind w:left="0" w:leftChars="0" w:firstLine="0" w:firstLineChars="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做准备，通过培训，使用户能够自如地运行该设备及软件，使客户了解设备产品</w:t>
      </w:r>
    </w:p>
    <w:p w14:paraId="40B76AED">
      <w:pPr>
        <w:spacing w:line="360" w:lineRule="auto"/>
        <w:ind w:left="0" w:leftChars="0" w:firstLine="0" w:firstLineChars="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及软件的日常保养与维护。 </w:t>
      </w:r>
    </w:p>
    <w:p w14:paraId="53AA310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（1）提供免长途服务电话 7 x 24 小时不间断技术支持； </w:t>
      </w:r>
    </w:p>
    <w:p w14:paraId="65CEC15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（2）网络对话交流提供 7 x 8 小时的开通服务； </w:t>
      </w:r>
    </w:p>
    <w:p w14:paraId="311506F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（3）确保用户在 1 小时内能获得服务响应； </w:t>
      </w:r>
    </w:p>
    <w:p w14:paraId="62CC2C3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（4）一般问题通过电话或网络 1 小时内能获得服务响应并给出处理方案， </w:t>
      </w:r>
    </w:p>
    <w:p w14:paraId="23852226">
      <w:pPr>
        <w:spacing w:line="360" w:lineRule="auto"/>
        <w:ind w:left="0" w:leftChars="0" w:firstLine="0" w:firstLineChars="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在电话指导与远程登录均无法解决问题的情况下，将及时派遣工程师上门服务； </w:t>
      </w:r>
    </w:p>
    <w:p w14:paraId="387403C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 xml:space="preserve">（5）售后服务，设有专门的售后服务电话，有专业人员接听并及时做好反馈记录，并提供解决问题的办法。 </w:t>
      </w:r>
    </w:p>
    <w:p w14:paraId="6ACCC07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（七）交货期：合同签订后不高于 20 个日历天全部供货安装调试完毕。</w:t>
      </w:r>
    </w:p>
    <w:p w14:paraId="32A513E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w:t>
      </w:r>
      <w:r>
        <w:rPr>
          <w:rFonts w:hint="eastAsia" w:ascii="宋体" w:hAnsi="宋体" w:eastAsia="宋体"/>
          <w:bCs/>
          <w:color w:val="auto"/>
          <w:sz w:val="24"/>
          <w:szCs w:val="18"/>
          <w:highlight w:val="none"/>
          <w:lang w:val="en-US" w:eastAsia="zh-CN"/>
        </w:rPr>
        <w:t>八</w:t>
      </w:r>
      <w:r>
        <w:rPr>
          <w:rFonts w:hint="eastAsia" w:ascii="宋体" w:hAnsi="宋体" w:eastAsia="宋体"/>
          <w:bCs/>
          <w:color w:val="auto"/>
          <w:sz w:val="24"/>
          <w:szCs w:val="18"/>
          <w:highlight w:val="none"/>
        </w:rPr>
        <w:t>）交货地点：采购人指定地点。</w:t>
      </w:r>
    </w:p>
    <w:p w14:paraId="10A5FCF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w:t>
      </w:r>
      <w:r>
        <w:rPr>
          <w:rFonts w:hint="eastAsia" w:ascii="宋体" w:hAnsi="宋体" w:eastAsia="宋体"/>
          <w:bCs/>
          <w:color w:val="auto"/>
          <w:sz w:val="24"/>
          <w:szCs w:val="18"/>
          <w:highlight w:val="none"/>
          <w:lang w:val="en-US" w:eastAsia="zh-CN"/>
        </w:rPr>
        <w:t>九</w:t>
      </w:r>
      <w:r>
        <w:rPr>
          <w:rFonts w:hint="eastAsia" w:ascii="宋体" w:hAnsi="宋体" w:eastAsia="宋体"/>
          <w:bCs/>
          <w:color w:val="auto"/>
          <w:sz w:val="24"/>
          <w:szCs w:val="18"/>
          <w:highlight w:val="none"/>
        </w:rPr>
        <w:t>）验收：</w:t>
      </w:r>
    </w:p>
    <w:p w14:paraId="3778071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656F0940">
      <w:pPr>
        <w:spacing w:line="360" w:lineRule="auto"/>
        <w:ind w:firstLine="437"/>
        <w:rPr>
          <w:rFonts w:hint="eastAsia" w:ascii="宋体" w:hAnsi="宋体" w:eastAsia="宋体"/>
          <w:b/>
          <w:bCs/>
          <w:color w:val="auto"/>
          <w:sz w:val="24"/>
          <w:szCs w:val="18"/>
          <w:highlight w:val="none"/>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6890344D">
      <w:pPr>
        <w:spacing w:line="360" w:lineRule="auto"/>
        <w:ind w:firstLine="480" w:firstLineChars="200"/>
        <w:rPr>
          <w:rFonts w:hint="eastAsia" w:ascii="宋体" w:hAnsi="宋体" w:eastAsia="宋体"/>
          <w:color w:val="auto"/>
          <w:sz w:val="24"/>
          <w:highlight w:val="none"/>
        </w:rPr>
      </w:pPr>
      <w:r>
        <w:rPr>
          <w:rFonts w:ascii="宋体" w:hAnsi="宋体" w:eastAsia="宋体"/>
          <w:color w:val="auto"/>
          <w:sz w:val="24"/>
          <w:highlight w:val="none"/>
        </w:rPr>
        <w:br w:type="page"/>
      </w:r>
    </w:p>
    <w:p w14:paraId="61DEECBE">
      <w:pPr>
        <w:spacing w:line="360" w:lineRule="auto"/>
        <w:jc w:val="center"/>
        <w:outlineLvl w:val="0"/>
        <w:rPr>
          <w:rFonts w:hint="eastAsia" w:ascii="宋体" w:hAnsi="宋体" w:eastAsia="宋体"/>
          <w:b/>
          <w:color w:val="auto"/>
          <w:sz w:val="28"/>
          <w:highlight w:val="none"/>
        </w:rPr>
      </w:pPr>
      <w:bookmarkStart w:id="41" w:name="_Toc16417"/>
      <w:r>
        <w:rPr>
          <w:rFonts w:hint="eastAsia" w:ascii="宋体" w:hAnsi="宋体" w:eastAsia="宋体"/>
          <w:b/>
          <w:color w:val="auto"/>
          <w:sz w:val="28"/>
          <w:highlight w:val="none"/>
        </w:rPr>
        <w:t>第四章  评标方法和标准（综合评分法）</w:t>
      </w:r>
      <w:bookmarkEnd w:id="41"/>
    </w:p>
    <w:p w14:paraId="0D0E081E">
      <w:pPr>
        <w:spacing w:line="360" w:lineRule="auto"/>
        <w:ind w:firstLine="437"/>
        <w:outlineLvl w:val="1"/>
        <w:rPr>
          <w:rFonts w:hint="eastAsia" w:ascii="宋体" w:hAnsi="宋体" w:eastAsia="宋体"/>
          <w:b/>
          <w:color w:val="auto"/>
          <w:sz w:val="24"/>
          <w:highlight w:val="none"/>
        </w:rPr>
      </w:pPr>
      <w:bookmarkStart w:id="42" w:name="_Toc1246"/>
      <w:bookmarkStart w:id="43" w:name="_Toc11823"/>
      <w:r>
        <w:rPr>
          <w:rFonts w:hint="eastAsia" w:ascii="宋体" w:hAnsi="宋体" w:eastAsia="宋体"/>
          <w:b/>
          <w:color w:val="auto"/>
          <w:sz w:val="24"/>
          <w:highlight w:val="none"/>
        </w:rPr>
        <w:t>一、总则</w:t>
      </w:r>
      <w:bookmarkEnd w:id="42"/>
      <w:bookmarkEnd w:id="43"/>
    </w:p>
    <w:p w14:paraId="7BCF3F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6FBC408B">
      <w:pPr>
        <w:spacing w:line="360" w:lineRule="auto"/>
        <w:ind w:firstLine="437"/>
        <w:outlineLvl w:val="1"/>
        <w:rPr>
          <w:rFonts w:hint="eastAsia" w:ascii="宋体" w:hAnsi="宋体" w:eastAsia="宋体"/>
          <w:b/>
          <w:color w:val="auto"/>
          <w:sz w:val="24"/>
          <w:highlight w:val="none"/>
        </w:rPr>
      </w:pPr>
      <w:bookmarkStart w:id="44" w:name="_Toc13117"/>
      <w:bookmarkStart w:id="45" w:name="_Toc31871"/>
      <w:r>
        <w:rPr>
          <w:rFonts w:hint="eastAsia" w:ascii="宋体" w:hAnsi="宋体" w:eastAsia="宋体"/>
          <w:b/>
          <w:color w:val="auto"/>
          <w:sz w:val="24"/>
          <w:highlight w:val="none"/>
        </w:rPr>
        <w:t>二、评标方法</w:t>
      </w:r>
      <w:bookmarkEnd w:id="44"/>
      <w:bookmarkEnd w:id="45"/>
    </w:p>
    <w:p w14:paraId="024B148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第1/2/3/4包）</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51"/>
        <w:gridCol w:w="4561"/>
        <w:gridCol w:w="1903"/>
      </w:tblGrid>
      <w:tr w14:paraId="4C6C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2E50044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EC5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noWrap w:val="0"/>
            <w:vAlign w:val="center"/>
          </w:tcPr>
          <w:p w14:paraId="64C887C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noWrap w:val="0"/>
            <w:vAlign w:val="center"/>
          </w:tcPr>
          <w:p w14:paraId="2B4EA5F8">
            <w:pPr>
              <w:pStyle w:val="5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3" w:type="pct"/>
            <w:tcBorders>
              <w:bottom w:val="single" w:color="auto" w:sz="4" w:space="0"/>
            </w:tcBorders>
            <w:noWrap w:val="0"/>
            <w:vAlign w:val="center"/>
          </w:tcPr>
          <w:p w14:paraId="7466C4A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审查内容</w:t>
            </w:r>
          </w:p>
        </w:tc>
        <w:tc>
          <w:tcPr>
            <w:tcW w:w="1084" w:type="pct"/>
            <w:tcBorders>
              <w:bottom w:val="single" w:color="auto" w:sz="4" w:space="0"/>
            </w:tcBorders>
            <w:noWrap w:val="0"/>
            <w:vAlign w:val="center"/>
          </w:tcPr>
          <w:p w14:paraId="415E074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7279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noWrap w:val="0"/>
            <w:vAlign w:val="center"/>
          </w:tcPr>
          <w:p w14:paraId="6707DB1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2" w:type="pct"/>
            <w:tcBorders>
              <w:bottom w:val="single" w:color="auto" w:sz="4" w:space="0"/>
            </w:tcBorders>
            <w:noWrap w:val="0"/>
            <w:vAlign w:val="center"/>
          </w:tcPr>
          <w:p w14:paraId="619A5F7B">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3" w:type="pct"/>
            <w:tcBorders>
              <w:bottom w:val="single" w:color="auto" w:sz="4" w:space="0"/>
            </w:tcBorders>
            <w:noWrap w:val="0"/>
            <w:vAlign w:val="center"/>
          </w:tcPr>
          <w:p w14:paraId="61CC3198">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p w14:paraId="4006F40F">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供有效的事业单位法人证书；</w:t>
            </w:r>
          </w:p>
          <w:p w14:paraId="0335536A">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hint="default" w:ascii="宋体" w:hAnsi="宋体" w:eastAsia="宋体" w:cs="宋体"/>
                <w:color w:val="auto"/>
                <w:sz w:val="24"/>
                <w:szCs w:val="24"/>
                <w:highlight w:val="none"/>
              </w:rPr>
              <w:t>登记证书等证明文件；</w:t>
            </w:r>
          </w:p>
          <w:p w14:paraId="772F1D8D">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供有效的个体工商户营业执照；</w:t>
            </w:r>
          </w:p>
          <w:p w14:paraId="5DADEB15">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供有效的自然人身份证明。</w:t>
            </w:r>
          </w:p>
        </w:tc>
        <w:tc>
          <w:tcPr>
            <w:tcW w:w="1084" w:type="pct"/>
            <w:noWrap w:val="0"/>
            <w:vAlign w:val="center"/>
          </w:tcPr>
          <w:p w14:paraId="185C8828">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0"/>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77C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noWrap w:val="0"/>
            <w:vAlign w:val="center"/>
          </w:tcPr>
          <w:p w14:paraId="439549A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2" w:type="pct"/>
            <w:tcBorders>
              <w:bottom w:val="single" w:color="auto" w:sz="4" w:space="0"/>
            </w:tcBorders>
            <w:noWrap w:val="0"/>
            <w:vAlign w:val="center"/>
          </w:tcPr>
          <w:p w14:paraId="5DA4FBFE">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3" w:type="pct"/>
            <w:tcBorders>
              <w:bottom w:val="single" w:color="auto" w:sz="4" w:space="0"/>
            </w:tcBorders>
            <w:noWrap w:val="0"/>
            <w:vAlign w:val="center"/>
          </w:tcPr>
          <w:p w14:paraId="299245B0">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4" w:type="pct"/>
            <w:noWrap w:val="0"/>
            <w:vAlign w:val="center"/>
          </w:tcPr>
          <w:p w14:paraId="24A0805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详见第六章投标文件格式。</w:t>
            </w:r>
          </w:p>
        </w:tc>
      </w:tr>
      <w:tr w14:paraId="57C4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noWrap w:val="0"/>
            <w:vAlign w:val="center"/>
          </w:tcPr>
          <w:p w14:paraId="783C771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2" w:type="pct"/>
            <w:tcBorders>
              <w:bottom w:val="single" w:color="auto" w:sz="4" w:space="0"/>
            </w:tcBorders>
            <w:noWrap w:val="0"/>
            <w:vAlign w:val="center"/>
          </w:tcPr>
          <w:p w14:paraId="6D35F241">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noWrap w:val="0"/>
            <w:vAlign w:val="center"/>
          </w:tcPr>
          <w:p w14:paraId="5255D450">
            <w:pPr>
              <w:keepNext w:val="0"/>
              <w:keepLines w:val="0"/>
              <w:suppressLineNumbers w:val="0"/>
              <w:spacing w:before="0" w:beforeAutospacing="0" w:after="50" w:afterAutospacing="0" w:line="360" w:lineRule="auto"/>
              <w:ind w:left="0" w:right="-10"/>
              <w:jc w:val="left"/>
              <w:rPr>
                <w:rFonts w:hint="eastAsia"/>
                <w:color w:val="auto"/>
                <w:szCs w:val="20"/>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4" w:type="pct"/>
            <w:tcBorders>
              <w:bottom w:val="single" w:color="auto" w:sz="4" w:space="0"/>
            </w:tcBorders>
            <w:noWrap w:val="0"/>
            <w:vAlign w:val="center"/>
          </w:tcPr>
          <w:p w14:paraId="098F5F5A">
            <w:pPr>
              <w:keepNext w:val="0"/>
              <w:keepLines w:val="0"/>
              <w:suppressLineNumbers w:val="0"/>
              <w:spacing w:before="0" w:beforeAutospacing="0" w:after="0" w:afterAutospacing="0" w:line="360" w:lineRule="auto"/>
              <w:ind w:left="0" w:right="0"/>
              <w:jc w:val="left"/>
              <w:rPr>
                <w:rFonts w:hint="eastAsia"/>
                <w:color w:val="auto"/>
                <w:szCs w:val="20"/>
                <w:highlight w:val="none"/>
              </w:rPr>
            </w:pPr>
            <w:r>
              <w:rPr>
                <w:rFonts w:hint="eastAsia" w:ascii="宋体" w:hAnsi="宋体" w:eastAsia="宋体" w:cs="宋体"/>
                <w:color w:val="auto"/>
                <w:sz w:val="24"/>
                <w:szCs w:val="24"/>
                <w:highlight w:val="none"/>
              </w:rPr>
              <w:t>无须投标人提供，由采购人或采购代理机构查询。</w:t>
            </w:r>
          </w:p>
        </w:tc>
      </w:tr>
      <w:tr w14:paraId="5897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noWrap w:val="0"/>
            <w:vAlign w:val="center"/>
          </w:tcPr>
          <w:p w14:paraId="451E9FF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42" w:type="pct"/>
            <w:noWrap w:val="0"/>
            <w:vAlign w:val="top"/>
          </w:tcPr>
          <w:p w14:paraId="118BB79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诚信投标承诺书</w:t>
            </w:r>
          </w:p>
        </w:tc>
        <w:tc>
          <w:tcPr>
            <w:tcW w:w="2603" w:type="pct"/>
            <w:noWrap w:val="0"/>
            <w:vAlign w:val="center"/>
          </w:tcPr>
          <w:p w14:paraId="391414B3">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rPr>
              <w:t>格式、填写要求符合招标文件规定并加盖投标人电子签章</w:t>
            </w:r>
          </w:p>
        </w:tc>
        <w:tc>
          <w:tcPr>
            <w:tcW w:w="1084" w:type="pct"/>
            <w:noWrap w:val="0"/>
            <w:vAlign w:val="center"/>
          </w:tcPr>
          <w:p w14:paraId="626778F1">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0"/>
                <w:highlight w:val="none"/>
              </w:rPr>
              <w:t>详见第六章投标文件格式。</w:t>
            </w:r>
          </w:p>
        </w:tc>
      </w:tr>
      <w:tr w14:paraId="0447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noWrap w:val="0"/>
            <w:vAlign w:val="center"/>
          </w:tcPr>
          <w:p w14:paraId="798189E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651" w:type="dxa"/>
            <w:tcBorders>
              <w:bottom w:val="single" w:color="auto" w:sz="4" w:space="0"/>
            </w:tcBorders>
            <w:noWrap w:val="0"/>
            <w:vAlign w:val="center"/>
          </w:tcPr>
          <w:p w14:paraId="56870A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4561" w:type="dxa"/>
            <w:tcBorders>
              <w:bottom w:val="single" w:color="auto" w:sz="4" w:space="0"/>
            </w:tcBorders>
            <w:noWrap w:val="0"/>
            <w:vAlign w:val="top"/>
          </w:tcPr>
          <w:p w14:paraId="4FF65D0C">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903" w:type="dxa"/>
            <w:tcBorders>
              <w:bottom w:val="single" w:color="auto" w:sz="4" w:space="0"/>
            </w:tcBorders>
            <w:noWrap w:val="0"/>
            <w:vAlign w:val="center"/>
          </w:tcPr>
          <w:p w14:paraId="7B3E0B51">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2F3E440C">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3989659">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2.2符合性审查</w:t>
      </w:r>
    </w:p>
    <w:p w14:paraId="60F5A7F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F1A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noWrap w:val="0"/>
            <w:vAlign w:val="center"/>
          </w:tcPr>
          <w:p w14:paraId="4BC6BC0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1A30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noWrap w:val="0"/>
            <w:vAlign w:val="center"/>
          </w:tcPr>
          <w:p w14:paraId="633F3A6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noWrap w:val="0"/>
            <w:vAlign w:val="center"/>
          </w:tcPr>
          <w:p w14:paraId="52A9DD7E">
            <w:pPr>
              <w:pStyle w:val="5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noWrap w:val="0"/>
            <w:vAlign w:val="center"/>
          </w:tcPr>
          <w:p w14:paraId="70CDD1D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2" w:type="pct"/>
            <w:tcBorders>
              <w:bottom w:val="single" w:color="auto" w:sz="4" w:space="0"/>
            </w:tcBorders>
            <w:noWrap w:val="0"/>
            <w:vAlign w:val="center"/>
          </w:tcPr>
          <w:p w14:paraId="0281432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E7E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3F07383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noWrap w:val="0"/>
            <w:vAlign w:val="center"/>
          </w:tcPr>
          <w:p w14:paraId="0B23587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noWrap w:val="0"/>
            <w:vAlign w:val="center"/>
          </w:tcPr>
          <w:p w14:paraId="3053E183">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格式、填写要求符合招标文件规定并加盖投标人电子签章</w:t>
            </w:r>
          </w:p>
        </w:tc>
        <w:tc>
          <w:tcPr>
            <w:tcW w:w="1472" w:type="pct"/>
            <w:noWrap w:val="0"/>
            <w:vAlign w:val="center"/>
          </w:tcPr>
          <w:p w14:paraId="333162F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p>
        </w:tc>
      </w:tr>
      <w:tr w14:paraId="7BEF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6208A7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noWrap w:val="0"/>
            <w:vAlign w:val="center"/>
          </w:tcPr>
          <w:p w14:paraId="11ABBE57">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noWrap w:val="0"/>
            <w:vAlign w:val="center"/>
          </w:tcPr>
          <w:p w14:paraId="692448CA">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格式、填写要求符合招标文件规定并加盖投标人电子签章</w:t>
            </w:r>
          </w:p>
        </w:tc>
        <w:tc>
          <w:tcPr>
            <w:tcW w:w="1472" w:type="pct"/>
            <w:noWrap w:val="0"/>
            <w:vAlign w:val="center"/>
          </w:tcPr>
          <w:p w14:paraId="62AA1B7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p>
        </w:tc>
      </w:tr>
      <w:tr w14:paraId="2CE9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3A506B7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noWrap w:val="0"/>
            <w:vAlign w:val="center"/>
          </w:tcPr>
          <w:p w14:paraId="61AD6755">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noWrap w:val="0"/>
            <w:vAlign w:val="center"/>
          </w:tcPr>
          <w:p w14:paraId="3FE3F8D6">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格式、填写要求符合招标文件规定并加盖投标人电子签章</w:t>
            </w:r>
          </w:p>
        </w:tc>
        <w:tc>
          <w:tcPr>
            <w:tcW w:w="1472" w:type="pct"/>
            <w:noWrap w:val="0"/>
            <w:vAlign w:val="center"/>
          </w:tcPr>
          <w:p w14:paraId="21F529A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法定代表人参加投标的无需此件，提供身份证明即可。详见第六章投标文件格式。</w:t>
            </w:r>
          </w:p>
        </w:tc>
      </w:tr>
      <w:tr w14:paraId="28AD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115234E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noWrap w:val="0"/>
            <w:vAlign w:val="center"/>
          </w:tcPr>
          <w:p w14:paraId="3503B78A">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noWrap w:val="0"/>
            <w:vAlign w:val="center"/>
          </w:tcPr>
          <w:p w14:paraId="32104B0B">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招标文件投标人须知正文第9条要求</w:t>
            </w:r>
          </w:p>
        </w:tc>
        <w:tc>
          <w:tcPr>
            <w:tcW w:w="1472" w:type="pct"/>
            <w:noWrap w:val="0"/>
            <w:vAlign w:val="center"/>
          </w:tcPr>
          <w:p w14:paraId="4B0E70C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p>
        </w:tc>
      </w:tr>
      <w:tr w14:paraId="4B0A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4FD6705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1242" w:type="pct"/>
            <w:noWrap w:val="0"/>
            <w:vAlign w:val="center"/>
          </w:tcPr>
          <w:p w14:paraId="2EBE431E">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noWrap w:val="0"/>
            <w:vAlign w:val="center"/>
          </w:tcPr>
          <w:p w14:paraId="39B782F6">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符合招标文件采购需求中对付款方式、供货及安装期限、供货及安装地点、免费质保期等实质性要求</w:t>
            </w:r>
          </w:p>
        </w:tc>
        <w:tc>
          <w:tcPr>
            <w:tcW w:w="1472" w:type="pct"/>
            <w:noWrap w:val="0"/>
            <w:vAlign w:val="center"/>
          </w:tcPr>
          <w:p w14:paraId="2C8CA3F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p>
        </w:tc>
      </w:tr>
      <w:tr w14:paraId="76E2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63A16F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1242" w:type="pct"/>
            <w:noWrap w:val="0"/>
            <w:vAlign w:val="center"/>
          </w:tcPr>
          <w:p w14:paraId="6E2AE453">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noWrap w:val="0"/>
            <w:vAlign w:val="center"/>
          </w:tcPr>
          <w:p w14:paraId="13EAB6F6">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符合招标文件采购需求中货物技术参数等实质性要求</w:t>
            </w:r>
          </w:p>
        </w:tc>
        <w:tc>
          <w:tcPr>
            <w:tcW w:w="1472" w:type="pct"/>
            <w:noWrap w:val="0"/>
            <w:vAlign w:val="center"/>
          </w:tcPr>
          <w:p w14:paraId="56B19F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p>
        </w:tc>
      </w:tr>
      <w:tr w14:paraId="666D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64B5AE9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1242" w:type="pct"/>
            <w:noWrap w:val="0"/>
            <w:vAlign w:val="center"/>
          </w:tcPr>
          <w:p w14:paraId="6AEAFE98">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noWrap w:val="0"/>
            <w:vAlign w:val="center"/>
          </w:tcPr>
          <w:p w14:paraId="4179E0B1">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符合法律、行政法规规定的其他条件或招标文件列明的其他实质性要求</w:t>
            </w:r>
          </w:p>
        </w:tc>
        <w:tc>
          <w:tcPr>
            <w:tcW w:w="1472" w:type="pct"/>
            <w:noWrap w:val="0"/>
            <w:vAlign w:val="center"/>
          </w:tcPr>
          <w:p w14:paraId="6C4A833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p>
        </w:tc>
      </w:tr>
    </w:tbl>
    <w:p w14:paraId="4DE8F9A5">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643DA32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2.3详细审查</w:t>
      </w:r>
    </w:p>
    <w:p w14:paraId="7C3D995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495EED25">
      <w:pPr>
        <w:spacing w:line="324"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第1包</w:t>
      </w:r>
      <w:r>
        <w:rPr>
          <w:rFonts w:hint="eastAsia" w:ascii="宋体" w:hAnsi="宋体" w:eastAsia="宋体"/>
          <w:color w:val="auto"/>
          <w:sz w:val="24"/>
          <w:highlight w:val="none"/>
        </w:rPr>
        <w:t>综合评分满分为100分，其中：资信分值占总分值的权重为</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%，技术分值占总分值的权重为5</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%，价格分值占总分值的权重为40%。具体评分细则如下：</w:t>
      </w:r>
    </w:p>
    <w:tbl>
      <w:tblPr>
        <w:tblStyle w:val="26"/>
        <w:tblW w:w="5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310"/>
        <w:gridCol w:w="6113"/>
        <w:gridCol w:w="1416"/>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98"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类别</w:t>
            </w:r>
          </w:p>
        </w:tc>
        <w:tc>
          <w:tcPr>
            <w:tcW w:w="667"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评分内容</w:t>
            </w:r>
          </w:p>
        </w:tc>
        <w:tc>
          <w:tcPr>
            <w:tcW w:w="3113"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评分标准</w:t>
            </w:r>
          </w:p>
        </w:tc>
        <w:tc>
          <w:tcPr>
            <w:tcW w:w="720"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分值范围</w:t>
            </w:r>
          </w:p>
        </w:tc>
      </w:tr>
      <w:tr w14:paraId="09B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restart"/>
            <w:tcBorders>
              <w:left w:val="single" w:color="auto" w:sz="4" w:space="0"/>
              <w:right w:val="single" w:color="auto" w:sz="4" w:space="0"/>
            </w:tcBorders>
            <w:vAlign w:val="center"/>
          </w:tcPr>
          <w:p w14:paraId="4620477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资信技术分</w:t>
            </w:r>
          </w:p>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（60 分）</w:t>
            </w:r>
          </w:p>
        </w:tc>
        <w:tc>
          <w:tcPr>
            <w:tcW w:w="45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058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资信部分（</w:t>
            </w:r>
            <w:r>
              <w:rPr>
                <w:rFonts w:hint="eastAsia" w:asciiTheme="majorEastAsia" w:hAnsiTheme="majorEastAsia" w:eastAsiaTheme="majorEastAsia" w:cstheme="majorEastAsia"/>
                <w:b w:val="0"/>
                <w:bCs w:val="0"/>
                <w:color w:val="auto"/>
                <w:sz w:val="24"/>
                <w:szCs w:val="24"/>
                <w:highlight w:val="none"/>
                <w:lang w:val="en-US" w:eastAsia="zh-CN"/>
              </w:rPr>
              <w:t>4</w:t>
            </w:r>
            <w:r>
              <w:rPr>
                <w:rFonts w:hint="eastAsia" w:asciiTheme="majorEastAsia" w:hAnsiTheme="majorEastAsia" w:eastAsiaTheme="majorEastAsia" w:cstheme="majorEastAsia"/>
                <w:b w:val="0"/>
                <w:bCs w:val="0"/>
                <w:color w:val="auto"/>
                <w:sz w:val="24"/>
                <w:szCs w:val="24"/>
                <w:highlight w:val="none"/>
              </w:rPr>
              <w:t>分）</w:t>
            </w:r>
          </w:p>
        </w:tc>
      </w:tr>
      <w:tr w14:paraId="5D5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left w:val="single" w:color="auto" w:sz="4" w:space="0"/>
              <w:right w:val="single" w:color="auto" w:sz="4" w:space="0"/>
            </w:tcBorders>
            <w:vAlign w:val="center"/>
          </w:tcPr>
          <w:p w14:paraId="1477D4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70D47C8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投标人业绩</w:t>
            </w:r>
          </w:p>
        </w:tc>
        <w:tc>
          <w:tcPr>
            <w:tcW w:w="3113" w:type="pct"/>
            <w:tcBorders>
              <w:top w:val="single" w:color="auto" w:sz="4" w:space="0"/>
              <w:left w:val="single" w:color="auto" w:sz="4" w:space="0"/>
              <w:bottom w:val="single" w:color="auto" w:sz="4" w:space="0"/>
              <w:right w:val="single" w:color="auto" w:sz="4" w:space="0"/>
            </w:tcBorders>
            <w:shd w:val="clear" w:color="auto" w:fill="auto"/>
          </w:tcPr>
          <w:p w14:paraId="5E9E1C68">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自2023年1月1日以来（以合同签订时间为准），所投同品牌同型号产品供货业绩的</w:t>
            </w:r>
            <w:r>
              <w:rPr>
                <w:rFonts w:hint="eastAsia" w:asciiTheme="majorEastAsia" w:hAnsiTheme="majorEastAsia" w:eastAsiaTheme="majorEastAsia" w:cstheme="majorEastAsia"/>
                <w:b w:val="0"/>
                <w:bCs w:val="0"/>
                <w:color w:val="auto"/>
                <w:sz w:val="24"/>
                <w:szCs w:val="24"/>
                <w:highlight w:val="none"/>
              </w:rPr>
              <w:t>（此处业绩系指产品业绩，不限合同卖方主体）</w:t>
            </w:r>
            <w:r>
              <w:rPr>
                <w:rFonts w:hint="eastAsia" w:asciiTheme="majorEastAsia" w:hAnsiTheme="majorEastAsia" w:eastAsiaTheme="majorEastAsia" w:cstheme="majorEastAsia"/>
                <w:b w:val="0"/>
                <w:bCs w:val="0"/>
                <w:snapToGrid w:val="0"/>
                <w:color w:val="auto"/>
                <w:kern w:val="0"/>
                <w:sz w:val="24"/>
                <w:szCs w:val="24"/>
                <w:highlight w:val="none"/>
                <w:lang w:bidi="ar"/>
              </w:rPr>
              <w:t>，每个业绩得2分，满分4分；</w:t>
            </w:r>
          </w:p>
          <w:p w14:paraId="5C6EE34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1DF1D1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w:t>
            </w:r>
            <w:r>
              <w:rPr>
                <w:rFonts w:hint="eastAsia" w:asciiTheme="majorEastAsia" w:hAnsiTheme="majorEastAsia" w:eastAsiaTheme="majorEastAsia" w:cstheme="majorEastAsia"/>
                <w:b w:val="0"/>
                <w:bCs w:val="0"/>
                <w:color w:val="auto"/>
                <w:sz w:val="24"/>
                <w:szCs w:val="24"/>
                <w:highlight w:val="none"/>
                <w:lang w:val="en-US" w:eastAsia="zh-CN"/>
              </w:rPr>
              <w:t>4</w:t>
            </w:r>
            <w:r>
              <w:rPr>
                <w:rFonts w:hint="eastAsia" w:asciiTheme="majorEastAsia" w:hAnsiTheme="majorEastAsia" w:eastAsiaTheme="majorEastAsia" w:cstheme="majorEastAsia"/>
                <w:b w:val="0"/>
                <w:bCs w:val="0"/>
                <w:color w:val="auto"/>
                <w:sz w:val="24"/>
                <w:szCs w:val="24"/>
                <w:highlight w:val="none"/>
              </w:rPr>
              <w:t>分</w:t>
            </w:r>
          </w:p>
        </w:tc>
      </w:tr>
      <w:tr w14:paraId="538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left w:val="single" w:color="auto" w:sz="4" w:space="0"/>
              <w:right w:val="single" w:color="auto" w:sz="4" w:space="0"/>
            </w:tcBorders>
            <w:vAlign w:val="center"/>
          </w:tcPr>
          <w:p w14:paraId="6B95AE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45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81FE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技术部分（5</w:t>
            </w:r>
            <w:r>
              <w:rPr>
                <w:rFonts w:hint="eastAsia" w:asciiTheme="majorEastAsia" w:hAnsiTheme="majorEastAsia" w:eastAsiaTheme="majorEastAsia" w:cstheme="majorEastAsia"/>
                <w:b w:val="0"/>
                <w:bCs w:val="0"/>
                <w:color w:val="auto"/>
                <w:sz w:val="24"/>
                <w:szCs w:val="24"/>
                <w:highlight w:val="none"/>
                <w:lang w:val="en-US" w:eastAsia="zh-CN"/>
              </w:rPr>
              <w:t>6</w:t>
            </w:r>
            <w:r>
              <w:rPr>
                <w:rFonts w:hint="eastAsia" w:asciiTheme="majorEastAsia" w:hAnsiTheme="majorEastAsia" w:eastAsiaTheme="majorEastAsia" w:cstheme="majorEastAsia"/>
                <w:b w:val="0"/>
                <w:bCs w:val="0"/>
                <w:color w:val="auto"/>
                <w:sz w:val="24"/>
                <w:szCs w:val="24"/>
                <w:highlight w:val="none"/>
              </w:rPr>
              <w:t>分）</w:t>
            </w:r>
          </w:p>
        </w:tc>
      </w:tr>
      <w:tr w14:paraId="195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left w:val="single" w:color="auto" w:sz="4" w:space="0"/>
              <w:right w:val="single" w:color="auto" w:sz="4" w:space="0"/>
            </w:tcBorders>
            <w:vAlign w:val="center"/>
          </w:tcPr>
          <w:p w14:paraId="51AA275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511E503A">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color w:val="auto"/>
                <w:kern w:val="0"/>
                <w:sz w:val="24"/>
                <w:szCs w:val="24"/>
                <w:highlight w:val="none"/>
              </w:rPr>
            </w:pPr>
            <w:r>
              <w:rPr>
                <w:rFonts w:hint="eastAsia" w:asciiTheme="majorEastAsia" w:hAnsiTheme="majorEastAsia" w:eastAsiaTheme="majorEastAsia" w:cstheme="majorEastAsia"/>
                <w:b w:val="0"/>
                <w:bCs w:val="0"/>
                <w:snapToGrid w:val="0"/>
                <w:color w:val="auto"/>
                <w:kern w:val="0"/>
                <w:sz w:val="24"/>
                <w:szCs w:val="24"/>
                <w:highlight w:val="none"/>
                <w:lang w:bidi="ar"/>
              </w:rPr>
              <w:t>技术参数响应</w:t>
            </w:r>
          </w:p>
        </w:tc>
        <w:tc>
          <w:tcPr>
            <w:tcW w:w="3113" w:type="pct"/>
            <w:tcBorders>
              <w:top w:val="single" w:color="auto" w:sz="4" w:space="0"/>
              <w:left w:val="single" w:color="auto" w:sz="4" w:space="0"/>
              <w:bottom w:val="single" w:color="auto" w:sz="4" w:space="0"/>
              <w:right w:val="single" w:color="auto" w:sz="4" w:space="0"/>
            </w:tcBorders>
            <w:shd w:val="clear" w:color="auto" w:fill="auto"/>
          </w:tcPr>
          <w:p w14:paraId="59299965">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（1）标注“★”的为</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核心参数，</w:t>
            </w:r>
            <w:r>
              <w:rPr>
                <w:rFonts w:hint="eastAsia" w:asciiTheme="majorEastAsia" w:hAnsiTheme="majorEastAsia" w:eastAsiaTheme="majorEastAsia" w:cstheme="majorEastAsia"/>
                <w:b w:val="0"/>
                <w:bCs w:val="0"/>
                <w:snapToGrid w:val="0"/>
                <w:color w:val="auto"/>
                <w:kern w:val="0"/>
                <w:sz w:val="24"/>
                <w:szCs w:val="24"/>
                <w:highlight w:val="none"/>
                <w:lang w:bidi="ar"/>
              </w:rPr>
              <w:t>须全部满足，任一项不响应或负偏离按无效标处理。</w:t>
            </w:r>
          </w:p>
          <w:p w14:paraId="6FE8425B">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（2）标注“▲”的</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为</w:t>
            </w:r>
            <w:r>
              <w:rPr>
                <w:rFonts w:hint="eastAsia" w:asciiTheme="majorEastAsia" w:hAnsiTheme="majorEastAsia" w:eastAsiaTheme="majorEastAsia" w:cstheme="majorEastAsia"/>
                <w:b w:val="0"/>
                <w:bCs w:val="0"/>
                <w:snapToGrid w:val="0"/>
                <w:color w:val="auto"/>
                <w:kern w:val="0"/>
                <w:sz w:val="24"/>
                <w:szCs w:val="24"/>
                <w:highlight w:val="none"/>
                <w:lang w:bidi="ar"/>
              </w:rPr>
              <w:t>重要技术参数，每满足或优于一项指标，得2分，共</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8</w:t>
            </w:r>
            <w:r>
              <w:rPr>
                <w:rFonts w:hint="eastAsia" w:asciiTheme="majorEastAsia" w:hAnsiTheme="majorEastAsia" w:eastAsiaTheme="majorEastAsia" w:cstheme="majorEastAsia"/>
                <w:b w:val="0"/>
                <w:bCs w:val="0"/>
                <w:snapToGrid w:val="0"/>
                <w:color w:val="auto"/>
                <w:kern w:val="0"/>
                <w:sz w:val="24"/>
                <w:szCs w:val="24"/>
                <w:highlight w:val="none"/>
                <w:lang w:bidi="ar"/>
              </w:rPr>
              <w:t>项，共计1</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6</w:t>
            </w:r>
            <w:r>
              <w:rPr>
                <w:rFonts w:hint="eastAsia" w:asciiTheme="majorEastAsia" w:hAnsiTheme="majorEastAsia" w:eastAsiaTheme="majorEastAsia" w:cstheme="majorEastAsia"/>
                <w:b w:val="0"/>
                <w:bCs w:val="0"/>
                <w:snapToGrid w:val="0"/>
                <w:color w:val="auto"/>
                <w:kern w:val="0"/>
                <w:sz w:val="24"/>
                <w:szCs w:val="24"/>
                <w:highlight w:val="none"/>
                <w:lang w:bidi="ar"/>
              </w:rPr>
              <w:t>分。</w:t>
            </w:r>
          </w:p>
          <w:p w14:paraId="03BEB877">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（3）非标注“▲”项和非标注“★”项的为一般性参数，共</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18</w:t>
            </w:r>
            <w:r>
              <w:rPr>
                <w:rFonts w:hint="eastAsia" w:asciiTheme="majorEastAsia" w:hAnsiTheme="majorEastAsia" w:eastAsiaTheme="majorEastAsia" w:cstheme="majorEastAsia"/>
                <w:b w:val="0"/>
                <w:bCs w:val="0"/>
                <w:snapToGrid w:val="0"/>
                <w:color w:val="auto"/>
                <w:kern w:val="0"/>
                <w:sz w:val="24"/>
                <w:szCs w:val="24"/>
                <w:highlight w:val="none"/>
                <w:lang w:bidi="ar"/>
              </w:rPr>
              <w:t>项，每满足或优于一项指标要求得1.</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5</w:t>
            </w:r>
            <w:r>
              <w:rPr>
                <w:rFonts w:hint="eastAsia" w:asciiTheme="majorEastAsia" w:hAnsiTheme="majorEastAsia" w:eastAsiaTheme="majorEastAsia" w:cstheme="majorEastAsia"/>
                <w:b w:val="0"/>
                <w:bCs w:val="0"/>
                <w:snapToGrid w:val="0"/>
                <w:color w:val="auto"/>
                <w:kern w:val="0"/>
                <w:sz w:val="24"/>
                <w:szCs w:val="24"/>
                <w:highlight w:val="none"/>
                <w:lang w:bidi="ar"/>
              </w:rPr>
              <w:t>分，负偏离不得分，共2</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7</w:t>
            </w:r>
            <w:r>
              <w:rPr>
                <w:rFonts w:hint="eastAsia" w:asciiTheme="majorEastAsia" w:hAnsiTheme="majorEastAsia" w:eastAsiaTheme="majorEastAsia" w:cstheme="majorEastAsia"/>
                <w:b w:val="0"/>
                <w:bCs w:val="0"/>
                <w:snapToGrid w:val="0"/>
                <w:color w:val="auto"/>
                <w:kern w:val="0"/>
                <w:sz w:val="24"/>
                <w:szCs w:val="24"/>
                <w:highlight w:val="none"/>
                <w:lang w:bidi="ar"/>
              </w:rPr>
              <w:t>分。</w:t>
            </w:r>
          </w:p>
          <w:p w14:paraId="1DDBCB4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注：（1）标“▲”</w:t>
            </w:r>
            <w:r>
              <w:rPr>
                <w:rFonts w:hint="eastAsia" w:asciiTheme="majorEastAsia" w:hAnsiTheme="majorEastAsia" w:eastAsiaTheme="majorEastAsia" w:cstheme="majorEastAsia"/>
                <w:b w:val="0"/>
                <w:bCs w:val="0"/>
                <w:snapToGrid w:val="0"/>
                <w:color w:val="auto"/>
                <w:kern w:val="0"/>
                <w:sz w:val="24"/>
                <w:szCs w:val="24"/>
                <w:highlight w:val="none"/>
                <w:lang w:eastAsia="zh-CN" w:bidi="ar"/>
              </w:rPr>
              <w:t>、</w:t>
            </w:r>
            <w:r>
              <w:rPr>
                <w:rFonts w:hint="eastAsia" w:asciiTheme="majorEastAsia" w:hAnsiTheme="majorEastAsia" w:eastAsiaTheme="majorEastAsia" w:cstheme="majorEastAsia"/>
                <w:b w:val="0"/>
                <w:bCs w:val="0"/>
                <w:snapToGrid w:val="0"/>
                <w:color w:val="auto"/>
                <w:kern w:val="0"/>
                <w:sz w:val="24"/>
                <w:szCs w:val="24"/>
                <w:highlight w:val="none"/>
                <w:lang w:bidi="ar"/>
              </w:rPr>
              <w:t>“★”参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44BEDD33">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2）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592A1B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0-4</w:t>
            </w:r>
            <w:r>
              <w:rPr>
                <w:rFonts w:hint="eastAsia" w:asciiTheme="majorEastAsia" w:hAnsiTheme="majorEastAsia" w:eastAsiaTheme="majorEastAsia" w:cstheme="majorEastAsia"/>
                <w:b w:val="0"/>
                <w:bCs w:val="0"/>
                <w:color w:val="auto"/>
                <w:sz w:val="24"/>
                <w:szCs w:val="24"/>
                <w:highlight w:val="none"/>
                <w:lang w:val="en-US" w:eastAsia="zh-CN"/>
              </w:rPr>
              <w:t>3</w:t>
            </w:r>
            <w:r>
              <w:rPr>
                <w:rFonts w:hint="eastAsia" w:asciiTheme="majorEastAsia" w:hAnsiTheme="majorEastAsia" w:eastAsiaTheme="majorEastAsia" w:cstheme="majorEastAsia"/>
                <w:b w:val="0"/>
                <w:bCs w:val="0"/>
                <w:color w:val="auto"/>
                <w:sz w:val="24"/>
                <w:szCs w:val="24"/>
                <w:highlight w:val="none"/>
              </w:rPr>
              <w:t>分</w:t>
            </w:r>
          </w:p>
        </w:tc>
      </w:tr>
      <w:tr w14:paraId="2C66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left w:val="single" w:color="auto" w:sz="4" w:space="0"/>
              <w:right w:val="single" w:color="auto" w:sz="4" w:space="0"/>
            </w:tcBorders>
            <w:vAlign w:val="center"/>
          </w:tcPr>
          <w:p w14:paraId="5E3B9A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40CC21C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质保期</w:t>
            </w:r>
          </w:p>
        </w:tc>
        <w:tc>
          <w:tcPr>
            <w:tcW w:w="3113" w:type="pct"/>
            <w:tcBorders>
              <w:top w:val="single" w:color="auto" w:sz="4" w:space="0"/>
              <w:left w:val="single" w:color="auto" w:sz="4" w:space="0"/>
              <w:bottom w:val="single" w:color="auto" w:sz="4" w:space="0"/>
              <w:right w:val="single" w:color="auto" w:sz="4" w:space="0"/>
            </w:tcBorders>
            <w:shd w:val="clear" w:color="auto" w:fill="auto"/>
          </w:tcPr>
          <w:p w14:paraId="6A7C30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lang w:val="en-US" w:eastAsia="zh-CN"/>
              </w:rPr>
              <w:t>免费质保期在满足招标文件要求提供质保期三年的基础上，每增加一年得2分（不足一年不加分），最高分4分。</w:t>
            </w:r>
          </w:p>
          <w:p w14:paraId="57317640">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注：以投标响应表为准，提供承诺函放入投标文件（格式自拟）。</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179754C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0-4分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实施方案</w:t>
            </w:r>
          </w:p>
        </w:tc>
        <w:tc>
          <w:tcPr>
            <w:tcW w:w="3113" w:type="pct"/>
            <w:tcBorders>
              <w:top w:val="single" w:color="auto" w:sz="4" w:space="0"/>
              <w:left w:val="single" w:color="auto" w:sz="4" w:space="0"/>
              <w:bottom w:val="single" w:color="auto" w:sz="4" w:space="0"/>
              <w:right w:val="single" w:color="auto" w:sz="4" w:space="0"/>
            </w:tcBorders>
            <w:shd w:val="clear" w:color="auto" w:fill="auto"/>
            <w:vAlign w:val="center"/>
          </w:tcPr>
          <w:p w14:paraId="285BBF92">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对各投标人针对本项目的实施方案，内容包括：供货安排、安装调试、运输车辆、人员安排及时间分配等方面进行综合评审：</w:t>
            </w:r>
          </w:p>
          <w:p w14:paraId="30744AF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（1）供货安装、验收等实施方案详尽，施工进度、质量、安全保证方案及措施和协同配合方案完整且符合项目实际情况的，得5分；</w:t>
            </w:r>
          </w:p>
          <w:p w14:paraId="1BCA1D1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（2）供货安装、验收等实施方案齐全，施工进度、质量、安全保证方案及措施和协同配合方案简单且符合实际情况的，得4分；</w:t>
            </w:r>
          </w:p>
          <w:p w14:paraId="4846CCD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（3）供货安装、验收内容简单，施工进度、质量、安全保证方案及措施和协同配合方案存在缺项，需要进一步完善的，得3分；</w:t>
            </w:r>
          </w:p>
          <w:p w14:paraId="4AC38E80">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（4）未提供的不得分。</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0-5分</w:t>
            </w:r>
          </w:p>
        </w:tc>
      </w:tr>
      <w:tr w14:paraId="0CA7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1" w:hRule="atLeast"/>
          <w:jc w:val="center"/>
        </w:trPr>
        <w:tc>
          <w:tcPr>
            <w:tcW w:w="498" w:type="pct"/>
            <w:vMerge w:val="continue"/>
            <w:tcBorders>
              <w:left w:val="single" w:color="auto" w:sz="4" w:space="0"/>
              <w:right w:val="single" w:color="auto" w:sz="4" w:space="0"/>
            </w:tcBorders>
            <w:vAlign w:val="center"/>
          </w:tcPr>
          <w:p w14:paraId="023F805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6DCB940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售后服务方案</w:t>
            </w:r>
          </w:p>
        </w:tc>
        <w:tc>
          <w:tcPr>
            <w:tcW w:w="3113" w:type="pct"/>
            <w:tcBorders>
              <w:top w:val="single" w:color="auto" w:sz="4" w:space="0"/>
              <w:left w:val="single" w:color="auto" w:sz="4" w:space="0"/>
              <w:bottom w:val="single" w:color="auto" w:sz="4" w:space="0"/>
              <w:right w:val="single" w:color="auto" w:sz="4" w:space="0"/>
            </w:tcBorders>
            <w:shd w:val="clear" w:color="auto" w:fill="auto"/>
            <w:vAlign w:val="center"/>
          </w:tcPr>
          <w:p w14:paraId="7B55F4F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根据投标人提供详细的项目实施、培训与售后服务保障方案：包含质保期承诺、售后服务点设置、人员配备、响应时间、配件备品备库、培训计划等内容，由评委会进行综合评审：</w:t>
            </w:r>
          </w:p>
          <w:p w14:paraId="2D12115D">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（1）售后服务措施详尽、维修响应时间及时、备件供应保障充足、人员售后配置详细、远程报修服务方案全面、实时维修统计详尽，能保障采购人获得质量售后服务的，得</w:t>
            </w:r>
            <w:r>
              <w:rPr>
                <w:rFonts w:hint="eastAsia" w:asciiTheme="majorEastAsia" w:hAnsiTheme="majorEastAsia" w:eastAsiaTheme="majorEastAsia" w:cstheme="majorEastAsia"/>
                <w:b w:val="0"/>
                <w:bCs w:val="0"/>
                <w:color w:val="auto"/>
                <w:sz w:val="24"/>
                <w:szCs w:val="24"/>
                <w:highlight w:val="none"/>
                <w:lang w:val="en-US" w:eastAsia="zh-CN"/>
              </w:rPr>
              <w:t>4</w:t>
            </w:r>
            <w:r>
              <w:rPr>
                <w:rFonts w:hint="eastAsia" w:asciiTheme="majorEastAsia" w:hAnsiTheme="majorEastAsia" w:eastAsiaTheme="majorEastAsia" w:cstheme="majorEastAsia"/>
                <w:b w:val="0"/>
                <w:bCs w:val="0"/>
                <w:color w:val="auto"/>
                <w:sz w:val="24"/>
                <w:szCs w:val="24"/>
                <w:highlight w:val="none"/>
              </w:rPr>
              <w:t>分；</w:t>
            </w:r>
          </w:p>
          <w:p w14:paraId="512240E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（2）售后服务措施完整、维修响应时间及时、具有备件供应保障措施、配置售后人员、具有远程报修服务的，得</w:t>
            </w:r>
            <w:r>
              <w:rPr>
                <w:rFonts w:hint="eastAsia" w:asciiTheme="majorEastAsia" w:hAnsiTheme="majorEastAsia" w:eastAsiaTheme="majorEastAsia" w:cstheme="majorEastAsia"/>
                <w:b w:val="0"/>
                <w:bCs w:val="0"/>
                <w:color w:val="auto"/>
                <w:sz w:val="24"/>
                <w:szCs w:val="24"/>
                <w:highlight w:val="none"/>
                <w:lang w:val="en-US" w:eastAsia="zh-CN"/>
              </w:rPr>
              <w:t>3</w:t>
            </w:r>
            <w:r>
              <w:rPr>
                <w:rFonts w:hint="eastAsia" w:asciiTheme="majorEastAsia" w:hAnsiTheme="majorEastAsia" w:eastAsiaTheme="majorEastAsia" w:cstheme="majorEastAsia"/>
                <w:b w:val="0"/>
                <w:bCs w:val="0"/>
                <w:color w:val="auto"/>
                <w:sz w:val="24"/>
                <w:szCs w:val="24"/>
                <w:highlight w:val="none"/>
              </w:rPr>
              <w:t>分；</w:t>
            </w:r>
          </w:p>
          <w:p w14:paraId="037AE5C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（3）售后服务措施、维修响应时间、备件供应保障、配置售后人员、远程报修服务措施不全或存在不足，有待改善的，得</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rPr>
              <w:t>分；</w:t>
            </w:r>
          </w:p>
          <w:p w14:paraId="346D8AA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（4）未提供的不得分。</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17544BF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w:t>
            </w:r>
            <w:r>
              <w:rPr>
                <w:rFonts w:hint="eastAsia" w:asciiTheme="majorEastAsia" w:hAnsiTheme="majorEastAsia" w:eastAsiaTheme="majorEastAsia" w:cstheme="majorEastAsia"/>
                <w:b w:val="0"/>
                <w:bCs w:val="0"/>
                <w:color w:val="auto"/>
                <w:sz w:val="24"/>
                <w:szCs w:val="24"/>
                <w:highlight w:val="none"/>
                <w:lang w:val="en-US" w:eastAsia="zh-CN"/>
              </w:rPr>
              <w:t>4</w:t>
            </w:r>
            <w:r>
              <w:rPr>
                <w:rFonts w:hint="eastAsia" w:asciiTheme="majorEastAsia" w:hAnsiTheme="majorEastAsia" w:eastAsiaTheme="majorEastAsia" w:cstheme="majorEastAsia"/>
                <w:b w:val="0"/>
                <w:bCs w:val="0"/>
                <w:color w:val="auto"/>
                <w:sz w:val="24"/>
                <w:szCs w:val="24"/>
                <w:highlight w:val="none"/>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（4</w:t>
            </w:r>
            <w:r>
              <w:rPr>
                <w:rFonts w:hint="eastAsia" w:asciiTheme="majorEastAsia" w:hAnsiTheme="majorEastAsia" w:eastAsiaTheme="majorEastAsia" w:cstheme="majorEastAsia"/>
                <w:b w:val="0"/>
                <w:bCs w:val="0"/>
                <w:color w:val="auto"/>
                <w:sz w:val="24"/>
                <w:szCs w:val="24"/>
                <w:highlight w:val="none"/>
                <w:u w:val="single"/>
              </w:rPr>
              <w:t>0</w:t>
            </w:r>
            <w:r>
              <w:rPr>
                <w:rFonts w:hint="eastAsia" w:asciiTheme="majorEastAsia" w:hAnsiTheme="majorEastAsia" w:eastAsiaTheme="majorEastAsia" w:cstheme="majorEastAsia"/>
                <w:b w:val="0"/>
                <w:bCs w:val="0"/>
                <w:color w:val="auto"/>
                <w:sz w:val="24"/>
                <w:szCs w:val="24"/>
                <w:highlight w:val="none"/>
              </w:rPr>
              <w:t>分）</w:t>
            </w:r>
          </w:p>
        </w:tc>
        <w:tc>
          <w:tcPr>
            <w:tcW w:w="4501" w:type="pct"/>
            <w:gridSpan w:val="3"/>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color w:val="auto"/>
                <w:sz w:val="24"/>
                <w:szCs w:val="24"/>
                <w:highlight w:val="none"/>
                <w:u w:val="single"/>
              </w:rPr>
              <w:t>40</w:t>
            </w:r>
            <w:r>
              <w:rPr>
                <w:rFonts w:hint="eastAsia" w:asciiTheme="majorEastAsia" w:hAnsiTheme="majorEastAsia" w:eastAsiaTheme="majorEastAsia" w:cstheme="majorEastAsia"/>
                <w:b w:val="0"/>
                <w:bCs w:val="0"/>
                <w:color w:val="auto"/>
                <w:sz w:val="24"/>
                <w:szCs w:val="24"/>
                <w:highlight w:val="none"/>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投标报价得分＝（评标基准价/投标报价）×</w:t>
            </w:r>
            <w:r>
              <w:rPr>
                <w:rFonts w:hint="eastAsia" w:asciiTheme="majorEastAsia" w:hAnsiTheme="majorEastAsia" w:eastAsiaTheme="majorEastAsia" w:cstheme="majorEastAsia"/>
                <w:b w:val="0"/>
                <w:bCs w:val="0"/>
                <w:color w:val="auto"/>
                <w:sz w:val="24"/>
                <w:szCs w:val="24"/>
                <w:highlight w:val="none"/>
                <w:u w:val="single"/>
              </w:rPr>
              <w:t>40</w:t>
            </w:r>
            <w:r>
              <w:rPr>
                <w:rFonts w:hint="eastAsia" w:asciiTheme="majorEastAsia" w:hAnsiTheme="majorEastAsia" w:eastAsiaTheme="majorEastAsia" w:cstheme="majorEastAsia"/>
                <w:b w:val="0"/>
                <w:bCs w:val="0"/>
                <w:color w:val="auto"/>
                <w:sz w:val="24"/>
                <w:szCs w:val="24"/>
                <w:highlight w:val="none"/>
              </w:rPr>
              <w:t>％×100</w:t>
            </w:r>
          </w:p>
        </w:tc>
      </w:tr>
    </w:tbl>
    <w:p w14:paraId="3A4425C5">
      <w:pPr>
        <w:spacing w:line="324"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2.3.2本项目</w:t>
      </w:r>
      <w:r>
        <w:rPr>
          <w:rFonts w:hint="eastAsia" w:ascii="宋体" w:hAnsi="宋体" w:eastAsia="宋体"/>
          <w:color w:val="auto"/>
          <w:sz w:val="24"/>
          <w:highlight w:val="none"/>
          <w:lang w:val="en-US" w:eastAsia="zh-CN"/>
        </w:rPr>
        <w:t>第2包</w:t>
      </w:r>
      <w:r>
        <w:rPr>
          <w:rFonts w:hint="eastAsia" w:ascii="宋体" w:hAnsi="宋体" w:eastAsia="宋体"/>
          <w:color w:val="auto"/>
          <w:sz w:val="24"/>
          <w:highlight w:val="none"/>
        </w:rPr>
        <w:t>综合评分满分为100分，其中：资信分值占总分值的权重为4%，技术分值占总分值的权重为66%，价格分值占总分值的权重为30%。具体评分细则如下：</w:t>
      </w:r>
    </w:p>
    <w:tbl>
      <w:tblPr>
        <w:tblStyle w:val="26"/>
        <w:tblW w:w="55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251"/>
        <w:gridCol w:w="5914"/>
        <w:gridCol w:w="1230"/>
      </w:tblGrid>
      <w:tr w14:paraId="105E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14:paraId="1CFB4E4F">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类别</w:t>
            </w:r>
          </w:p>
        </w:tc>
        <w:tc>
          <w:tcPr>
            <w:tcW w:w="667" w:type="pct"/>
            <w:tcBorders>
              <w:top w:val="single" w:color="auto" w:sz="4" w:space="0"/>
              <w:left w:val="single" w:color="auto" w:sz="4" w:space="0"/>
              <w:bottom w:val="single" w:color="auto" w:sz="4" w:space="0"/>
              <w:right w:val="single" w:color="auto" w:sz="4" w:space="0"/>
            </w:tcBorders>
            <w:vAlign w:val="center"/>
          </w:tcPr>
          <w:p w14:paraId="77ACDC7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评分内容</w:t>
            </w:r>
          </w:p>
        </w:tc>
        <w:tc>
          <w:tcPr>
            <w:tcW w:w="3153" w:type="pct"/>
            <w:tcBorders>
              <w:top w:val="single" w:color="auto" w:sz="4" w:space="0"/>
              <w:left w:val="single" w:color="auto" w:sz="4" w:space="0"/>
              <w:bottom w:val="single" w:color="auto" w:sz="4" w:space="0"/>
              <w:right w:val="single" w:color="auto" w:sz="4" w:space="0"/>
            </w:tcBorders>
            <w:vAlign w:val="center"/>
          </w:tcPr>
          <w:p w14:paraId="7C335E9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评分标准</w:t>
            </w:r>
          </w:p>
        </w:tc>
        <w:tc>
          <w:tcPr>
            <w:tcW w:w="655" w:type="pct"/>
            <w:tcBorders>
              <w:top w:val="single" w:color="auto" w:sz="4" w:space="0"/>
              <w:left w:val="single" w:color="auto" w:sz="4" w:space="0"/>
              <w:bottom w:val="single" w:color="auto" w:sz="4" w:space="0"/>
              <w:right w:val="single" w:color="auto" w:sz="4" w:space="0"/>
            </w:tcBorders>
            <w:vAlign w:val="center"/>
          </w:tcPr>
          <w:p w14:paraId="4CEBD9A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分值范围</w:t>
            </w:r>
          </w:p>
        </w:tc>
      </w:tr>
      <w:tr w14:paraId="0D6F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restart"/>
            <w:tcBorders>
              <w:left w:val="single" w:color="auto" w:sz="4" w:space="0"/>
              <w:right w:val="single" w:color="auto" w:sz="4" w:space="0"/>
            </w:tcBorders>
            <w:vAlign w:val="center"/>
          </w:tcPr>
          <w:p w14:paraId="35EAB04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资信技术分</w:t>
            </w:r>
          </w:p>
          <w:p w14:paraId="60D6D07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（70 分）</w:t>
            </w:r>
          </w:p>
        </w:tc>
        <w:tc>
          <w:tcPr>
            <w:tcW w:w="44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CBF4A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资信部分（4分）</w:t>
            </w:r>
          </w:p>
        </w:tc>
      </w:tr>
      <w:tr w14:paraId="1FA6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tcBorders>
              <w:left w:val="single" w:color="auto" w:sz="4" w:space="0"/>
              <w:right w:val="single" w:color="auto" w:sz="4" w:space="0"/>
            </w:tcBorders>
            <w:vAlign w:val="center"/>
          </w:tcPr>
          <w:p w14:paraId="459C994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04D4A5F8">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投标人业绩</w:t>
            </w:r>
          </w:p>
        </w:tc>
        <w:tc>
          <w:tcPr>
            <w:tcW w:w="3153" w:type="pct"/>
            <w:tcBorders>
              <w:top w:val="single" w:color="auto" w:sz="4" w:space="0"/>
              <w:left w:val="single" w:color="auto" w:sz="4" w:space="0"/>
              <w:bottom w:val="single" w:color="auto" w:sz="4" w:space="0"/>
              <w:right w:val="single" w:color="auto" w:sz="4" w:space="0"/>
            </w:tcBorders>
            <w:shd w:val="clear" w:color="auto" w:fill="auto"/>
          </w:tcPr>
          <w:p w14:paraId="67BC2766">
            <w:pPr>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kern w:val="2"/>
                <w:sz w:val="24"/>
                <w:szCs w:val="24"/>
                <w:highlight w:val="none"/>
              </w:rPr>
            </w:pPr>
            <w:r>
              <w:rPr>
                <w:rFonts w:hint="eastAsia" w:asciiTheme="majorEastAsia" w:hAnsiTheme="majorEastAsia" w:eastAsiaTheme="majorEastAsia" w:cstheme="majorEastAsia"/>
                <w:b w:val="0"/>
                <w:bCs w:val="0"/>
                <w:color w:val="auto"/>
                <w:kern w:val="2"/>
                <w:sz w:val="24"/>
                <w:szCs w:val="24"/>
                <w:highlight w:val="none"/>
                <w:lang w:val="en-US" w:eastAsia="zh-CN" w:bidi="ar"/>
              </w:rPr>
              <w:t>自2023年1月1日以来（以合同签订时间为准），投标人（或所投核心产品</w:t>
            </w:r>
            <w:r>
              <w:rPr>
                <w:rFonts w:hint="eastAsia" w:asciiTheme="majorEastAsia" w:hAnsiTheme="majorEastAsia" w:eastAsiaTheme="majorEastAsia" w:cstheme="majorEastAsia"/>
                <w:b w:val="0"/>
                <w:bCs w:val="0"/>
                <w:color w:val="auto"/>
                <w:sz w:val="24"/>
                <w:szCs w:val="24"/>
                <w:highlight w:val="none"/>
              </w:rPr>
              <w:t>听觉言语语言喉功能检测处理系统</w:t>
            </w:r>
            <w:r>
              <w:rPr>
                <w:rFonts w:hint="eastAsia" w:asciiTheme="majorEastAsia" w:hAnsiTheme="majorEastAsia" w:eastAsiaTheme="majorEastAsia" w:cstheme="majorEastAsia"/>
                <w:b w:val="0"/>
                <w:bCs w:val="0"/>
                <w:color w:val="auto"/>
                <w:kern w:val="2"/>
                <w:sz w:val="24"/>
                <w:szCs w:val="24"/>
                <w:highlight w:val="none"/>
                <w:lang w:val="en-US" w:eastAsia="zh-CN" w:bidi="ar"/>
              </w:rPr>
              <w:t>制造商）具有成品软件或操作平台供货业绩（且与本次所投产品同型号的），每提供1个业绩得2分，满分4分。</w:t>
            </w:r>
          </w:p>
          <w:p w14:paraId="235E133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770B8B8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0-4分</w:t>
            </w:r>
          </w:p>
        </w:tc>
      </w:tr>
      <w:tr w14:paraId="3967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tcBorders>
              <w:left w:val="single" w:color="auto" w:sz="4" w:space="0"/>
              <w:right w:val="single" w:color="auto" w:sz="4" w:space="0"/>
            </w:tcBorders>
            <w:vAlign w:val="center"/>
          </w:tcPr>
          <w:p w14:paraId="61B38C4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44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303742">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技术部分（66分）</w:t>
            </w:r>
          </w:p>
        </w:tc>
      </w:tr>
      <w:tr w14:paraId="1BA2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tcBorders>
              <w:left w:val="single" w:color="auto" w:sz="4" w:space="0"/>
              <w:right w:val="single" w:color="auto" w:sz="4" w:space="0"/>
            </w:tcBorders>
            <w:vAlign w:val="center"/>
          </w:tcPr>
          <w:p w14:paraId="157603B2">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5A5F526F">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color w:val="auto"/>
                <w:kern w:val="0"/>
                <w:sz w:val="24"/>
                <w:szCs w:val="24"/>
                <w:highlight w:val="none"/>
              </w:rPr>
            </w:pPr>
            <w:r>
              <w:rPr>
                <w:rFonts w:hint="eastAsia" w:asciiTheme="majorEastAsia" w:hAnsiTheme="majorEastAsia" w:eastAsiaTheme="majorEastAsia" w:cstheme="majorEastAsia"/>
                <w:b w:val="0"/>
                <w:bCs w:val="0"/>
                <w:snapToGrid w:val="0"/>
                <w:color w:val="auto"/>
                <w:kern w:val="0"/>
                <w:sz w:val="24"/>
                <w:szCs w:val="24"/>
                <w:highlight w:val="none"/>
                <w:lang w:bidi="ar"/>
              </w:rPr>
              <w:t>技术参数响应</w:t>
            </w:r>
          </w:p>
        </w:tc>
        <w:tc>
          <w:tcPr>
            <w:tcW w:w="3153" w:type="pct"/>
            <w:tcBorders>
              <w:top w:val="single" w:color="auto" w:sz="4" w:space="0"/>
              <w:left w:val="single" w:color="auto" w:sz="4" w:space="0"/>
              <w:bottom w:val="single" w:color="auto" w:sz="4" w:space="0"/>
              <w:right w:val="single" w:color="auto" w:sz="4" w:space="0"/>
            </w:tcBorders>
            <w:shd w:val="clear" w:color="auto" w:fill="auto"/>
          </w:tcPr>
          <w:p w14:paraId="246C3C39">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（1）标注“★”的为</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核心参数，</w:t>
            </w:r>
            <w:r>
              <w:rPr>
                <w:rFonts w:hint="eastAsia" w:asciiTheme="majorEastAsia" w:hAnsiTheme="majorEastAsia" w:eastAsiaTheme="majorEastAsia" w:cstheme="majorEastAsia"/>
                <w:b w:val="0"/>
                <w:bCs w:val="0"/>
                <w:snapToGrid w:val="0"/>
                <w:color w:val="auto"/>
                <w:kern w:val="0"/>
                <w:sz w:val="24"/>
                <w:szCs w:val="24"/>
                <w:highlight w:val="none"/>
                <w:lang w:bidi="ar"/>
              </w:rPr>
              <w:t>须全部满足，任一项不响应或负偏离按无效标处理。</w:t>
            </w:r>
          </w:p>
          <w:p w14:paraId="25E5C8E6">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（2）标注“▲”的重要技术参数，每满足或优于一项指标，得2分，共</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21</w:t>
            </w:r>
            <w:r>
              <w:rPr>
                <w:rFonts w:hint="eastAsia" w:asciiTheme="majorEastAsia" w:hAnsiTheme="majorEastAsia" w:eastAsiaTheme="majorEastAsia" w:cstheme="majorEastAsia"/>
                <w:b w:val="0"/>
                <w:bCs w:val="0"/>
                <w:snapToGrid w:val="0"/>
                <w:color w:val="auto"/>
                <w:kern w:val="0"/>
                <w:sz w:val="24"/>
                <w:szCs w:val="24"/>
                <w:highlight w:val="none"/>
                <w:lang w:bidi="ar"/>
              </w:rPr>
              <w:t>项，共计</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42</w:t>
            </w:r>
            <w:r>
              <w:rPr>
                <w:rFonts w:hint="eastAsia" w:asciiTheme="majorEastAsia" w:hAnsiTheme="majorEastAsia" w:eastAsiaTheme="majorEastAsia" w:cstheme="majorEastAsia"/>
                <w:b w:val="0"/>
                <w:bCs w:val="0"/>
                <w:snapToGrid w:val="0"/>
                <w:color w:val="auto"/>
                <w:kern w:val="0"/>
                <w:sz w:val="24"/>
                <w:szCs w:val="24"/>
                <w:highlight w:val="none"/>
                <w:lang w:bidi="ar"/>
              </w:rPr>
              <w:t>分。</w:t>
            </w:r>
          </w:p>
          <w:p w14:paraId="2877DD6F">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（3）非标注“▲”项和非标注“★”项的为一般性参数，共3</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5</w:t>
            </w:r>
            <w:r>
              <w:rPr>
                <w:rFonts w:hint="eastAsia" w:asciiTheme="majorEastAsia" w:hAnsiTheme="majorEastAsia" w:eastAsiaTheme="majorEastAsia" w:cstheme="majorEastAsia"/>
                <w:b w:val="0"/>
                <w:bCs w:val="0"/>
                <w:snapToGrid w:val="0"/>
                <w:color w:val="auto"/>
                <w:kern w:val="0"/>
                <w:sz w:val="24"/>
                <w:szCs w:val="24"/>
                <w:highlight w:val="none"/>
                <w:lang w:bidi="ar"/>
              </w:rPr>
              <w:t>项，每满足或优于一项指标，得</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0.4</w:t>
            </w:r>
            <w:r>
              <w:rPr>
                <w:rFonts w:hint="eastAsia" w:asciiTheme="majorEastAsia" w:hAnsiTheme="majorEastAsia" w:eastAsiaTheme="majorEastAsia" w:cstheme="majorEastAsia"/>
                <w:b w:val="0"/>
                <w:bCs w:val="0"/>
                <w:snapToGrid w:val="0"/>
                <w:color w:val="auto"/>
                <w:kern w:val="0"/>
                <w:sz w:val="24"/>
                <w:szCs w:val="24"/>
                <w:highlight w:val="none"/>
                <w:lang w:bidi="ar"/>
              </w:rPr>
              <w:t>分，负偏离不得分，共计</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14</w:t>
            </w:r>
            <w:r>
              <w:rPr>
                <w:rFonts w:hint="eastAsia" w:asciiTheme="majorEastAsia" w:hAnsiTheme="majorEastAsia" w:eastAsiaTheme="majorEastAsia" w:cstheme="majorEastAsia"/>
                <w:b w:val="0"/>
                <w:bCs w:val="0"/>
                <w:snapToGrid w:val="0"/>
                <w:color w:val="auto"/>
                <w:kern w:val="0"/>
                <w:sz w:val="24"/>
                <w:szCs w:val="24"/>
                <w:highlight w:val="none"/>
                <w:lang w:bidi="ar"/>
              </w:rPr>
              <w:t>分。</w:t>
            </w:r>
          </w:p>
          <w:p w14:paraId="41E3EBE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注：（1）标“▲”</w:t>
            </w:r>
            <w:r>
              <w:rPr>
                <w:rFonts w:hint="eastAsia" w:asciiTheme="majorEastAsia" w:hAnsiTheme="majorEastAsia" w:eastAsiaTheme="majorEastAsia" w:cstheme="majorEastAsia"/>
                <w:b w:val="0"/>
                <w:bCs w:val="0"/>
                <w:snapToGrid w:val="0"/>
                <w:color w:val="auto"/>
                <w:kern w:val="0"/>
                <w:sz w:val="24"/>
                <w:szCs w:val="24"/>
                <w:highlight w:val="none"/>
                <w:lang w:eastAsia="zh-CN" w:bidi="ar"/>
              </w:rPr>
              <w:t>、</w:t>
            </w:r>
            <w:r>
              <w:rPr>
                <w:rFonts w:hint="eastAsia" w:asciiTheme="majorEastAsia" w:hAnsiTheme="majorEastAsia" w:eastAsiaTheme="majorEastAsia" w:cstheme="majorEastAsia"/>
                <w:b w:val="0"/>
                <w:bCs w:val="0"/>
                <w:snapToGrid w:val="0"/>
                <w:color w:val="auto"/>
                <w:kern w:val="0"/>
                <w:sz w:val="24"/>
                <w:szCs w:val="24"/>
                <w:highlight w:val="none"/>
                <w:lang w:bidi="ar"/>
              </w:rPr>
              <w:t>“★”参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501CCA9A">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2）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75E2805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0-56分</w:t>
            </w:r>
          </w:p>
        </w:tc>
      </w:tr>
      <w:tr w14:paraId="788E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tcBorders>
              <w:left w:val="single" w:color="auto" w:sz="4" w:space="0"/>
              <w:right w:val="single" w:color="auto" w:sz="4" w:space="0"/>
            </w:tcBorders>
            <w:vAlign w:val="center"/>
          </w:tcPr>
          <w:p w14:paraId="50B9149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00A83ED7">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质保期</w:t>
            </w:r>
          </w:p>
        </w:tc>
        <w:tc>
          <w:tcPr>
            <w:tcW w:w="3153" w:type="pct"/>
            <w:tcBorders>
              <w:top w:val="single" w:color="auto" w:sz="4" w:space="0"/>
              <w:left w:val="single" w:color="auto" w:sz="4" w:space="0"/>
              <w:bottom w:val="single" w:color="auto" w:sz="4" w:space="0"/>
              <w:right w:val="single" w:color="auto" w:sz="4" w:space="0"/>
            </w:tcBorders>
            <w:shd w:val="clear" w:color="auto" w:fill="auto"/>
          </w:tcPr>
          <w:p w14:paraId="65FA9026">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 xml:space="preserve">免费质保期在满足招标文件要求提供质保期三年的基础上，每增加一年得2分（不足一年不加分），最高分4分。 </w:t>
            </w:r>
          </w:p>
          <w:p w14:paraId="34284547">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color w:val="auto"/>
                <w:kern w:val="0"/>
                <w:sz w:val="24"/>
                <w:szCs w:val="24"/>
                <w:highlight w:val="none"/>
                <w:lang w:bidi="ar"/>
              </w:rPr>
            </w:pPr>
            <w:r>
              <w:rPr>
                <w:rFonts w:hint="eastAsia" w:asciiTheme="majorEastAsia" w:hAnsiTheme="majorEastAsia" w:eastAsiaTheme="majorEastAsia" w:cstheme="majorEastAsia"/>
                <w:b w:val="0"/>
                <w:bCs w:val="0"/>
                <w:snapToGrid w:val="0"/>
                <w:color w:val="auto"/>
                <w:kern w:val="0"/>
                <w:sz w:val="24"/>
                <w:szCs w:val="24"/>
                <w:highlight w:val="none"/>
                <w:lang w:bidi="ar"/>
              </w:rPr>
              <w:t>注：以投标响应表为准，提供承诺函放入投标文件（格式自拟）。</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2353522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0-4分</w:t>
            </w:r>
          </w:p>
        </w:tc>
      </w:tr>
      <w:tr w14:paraId="1B5B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tcBorders>
              <w:left w:val="single" w:color="auto" w:sz="4" w:space="0"/>
              <w:right w:val="single" w:color="auto" w:sz="4" w:space="0"/>
            </w:tcBorders>
            <w:vAlign w:val="center"/>
          </w:tcPr>
          <w:p w14:paraId="568B5C6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4827BA7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实施方案</w:t>
            </w:r>
          </w:p>
        </w:tc>
        <w:tc>
          <w:tcPr>
            <w:tcW w:w="3153" w:type="pct"/>
            <w:tcBorders>
              <w:top w:val="single" w:color="auto" w:sz="4" w:space="0"/>
              <w:left w:val="single" w:color="auto" w:sz="4" w:space="0"/>
              <w:bottom w:val="single" w:color="auto" w:sz="4" w:space="0"/>
              <w:right w:val="single" w:color="auto" w:sz="4" w:space="0"/>
            </w:tcBorders>
            <w:shd w:val="clear" w:color="auto" w:fill="auto"/>
            <w:vAlign w:val="center"/>
          </w:tcPr>
          <w:p w14:paraId="2F7BAD3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对各投标人针对本项目的实施方案，内容包括：供货安排、安装调试、运输车辆、人员安排及时间分配等方面进行综合评审：</w:t>
            </w:r>
          </w:p>
          <w:p w14:paraId="20CC9D0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（1）供货安装、验收等实施方案详尽，施工进度、质量、安全保证方案及措施和协同配合方案完整且符合项目实际情况的，得3分；</w:t>
            </w:r>
          </w:p>
          <w:p w14:paraId="7E0ABC4D">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（2）供货安装、验收等实施方案齐全，施工进度、质量、安全保证方案及措施和协同配合方案简单且符合实际情况的，得2分；</w:t>
            </w:r>
          </w:p>
          <w:p w14:paraId="6EB8F33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（3）供货安装、验收内容简单，施工进度、质量、安全保证方案及措施和协同配合方案存在缺项，需要进一步完善的，得1分；</w:t>
            </w:r>
          </w:p>
          <w:p w14:paraId="508D9668">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（4）未提供的不得分。</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09721D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0-3分</w:t>
            </w:r>
          </w:p>
        </w:tc>
      </w:tr>
      <w:tr w14:paraId="0408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23" w:type="pct"/>
            <w:vMerge w:val="continue"/>
            <w:tcBorders>
              <w:left w:val="single" w:color="auto" w:sz="4" w:space="0"/>
              <w:right w:val="single" w:color="auto" w:sz="4" w:space="0"/>
            </w:tcBorders>
            <w:vAlign w:val="center"/>
          </w:tcPr>
          <w:p w14:paraId="3E4AFEF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6E2B073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售后服务方案</w:t>
            </w:r>
          </w:p>
        </w:tc>
        <w:tc>
          <w:tcPr>
            <w:tcW w:w="3153" w:type="pct"/>
            <w:tcBorders>
              <w:top w:val="single" w:color="auto" w:sz="4" w:space="0"/>
              <w:left w:val="single" w:color="auto" w:sz="4" w:space="0"/>
              <w:bottom w:val="single" w:color="auto" w:sz="4" w:space="0"/>
              <w:right w:val="single" w:color="auto" w:sz="4" w:space="0"/>
            </w:tcBorders>
            <w:shd w:val="clear" w:color="auto" w:fill="auto"/>
            <w:vAlign w:val="center"/>
          </w:tcPr>
          <w:p w14:paraId="3B966C97">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根据投标人提供详细的项目实施、培训与售后服务保障方案：包含质保期承诺、售后服务点设置、人员配备、响应时间、配件备品备库、培训计划等内容，由评委会进行综合评审：</w:t>
            </w:r>
          </w:p>
          <w:p w14:paraId="18FC43F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（1）售后服务措施详尽、维修响应时间及时、备件供应保障充足、人员售后配置详细、远程报修服务方案全面、实时维修统计详尽，能保障采购人获得质量售后服务的，得3分；</w:t>
            </w:r>
          </w:p>
          <w:p w14:paraId="7B8F1D8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（2）售后服务措施完整、维修响应时间及时、具有备件供应保障措施、配置售后人员、具有远程报修服务的，得2分；</w:t>
            </w:r>
          </w:p>
          <w:p w14:paraId="66920A7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（3）售后服务措施、维修响应时间、备件供应保障、配置售后人员、远程报修服务措施不全或存在不足，有待改善的，得1分；</w:t>
            </w:r>
          </w:p>
          <w:p w14:paraId="44B5D98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（4）未提供的不得分。</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401308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0-3分</w:t>
            </w:r>
          </w:p>
        </w:tc>
      </w:tr>
      <w:tr w14:paraId="4E65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Borders>
              <w:left w:val="single" w:color="auto" w:sz="4" w:space="0"/>
              <w:right w:val="single" w:color="auto" w:sz="4" w:space="0"/>
            </w:tcBorders>
            <w:vAlign w:val="center"/>
          </w:tcPr>
          <w:p w14:paraId="3E62CA9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价格分</w:t>
            </w:r>
          </w:p>
          <w:p w14:paraId="2ECB4BF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（3</w:t>
            </w:r>
            <w:r>
              <w:rPr>
                <w:rFonts w:hint="eastAsia" w:asciiTheme="majorEastAsia" w:hAnsiTheme="majorEastAsia" w:eastAsiaTheme="majorEastAsia" w:cstheme="majorEastAsia"/>
                <w:b w:val="0"/>
                <w:bCs w:val="0"/>
                <w:color w:val="auto"/>
                <w:sz w:val="24"/>
                <w:szCs w:val="24"/>
                <w:highlight w:val="none"/>
                <w:u w:val="single"/>
              </w:rPr>
              <w:t>0</w:t>
            </w:r>
            <w:r>
              <w:rPr>
                <w:rFonts w:hint="eastAsia" w:asciiTheme="majorEastAsia" w:hAnsiTheme="majorEastAsia" w:eastAsiaTheme="majorEastAsia" w:cstheme="majorEastAsia"/>
                <w:b w:val="0"/>
                <w:bCs w:val="0"/>
                <w:color w:val="auto"/>
                <w:sz w:val="24"/>
                <w:szCs w:val="24"/>
                <w:highlight w:val="none"/>
              </w:rPr>
              <w:t>分）</w:t>
            </w:r>
          </w:p>
        </w:tc>
        <w:tc>
          <w:tcPr>
            <w:tcW w:w="4476" w:type="pct"/>
            <w:gridSpan w:val="3"/>
            <w:tcBorders>
              <w:top w:val="single" w:color="auto" w:sz="4" w:space="0"/>
              <w:left w:val="single" w:color="auto" w:sz="4" w:space="0"/>
              <w:bottom w:val="single" w:color="auto" w:sz="4" w:space="0"/>
              <w:right w:val="single" w:color="auto" w:sz="4" w:space="0"/>
            </w:tcBorders>
            <w:vAlign w:val="center"/>
          </w:tcPr>
          <w:p w14:paraId="7726C1DD">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color w:val="auto"/>
                <w:sz w:val="24"/>
                <w:szCs w:val="24"/>
                <w:highlight w:val="none"/>
                <w:u w:val="single"/>
              </w:rPr>
              <w:t>30</w:t>
            </w:r>
            <w:r>
              <w:rPr>
                <w:rFonts w:hint="eastAsia" w:asciiTheme="majorEastAsia" w:hAnsiTheme="majorEastAsia" w:eastAsiaTheme="majorEastAsia" w:cstheme="majorEastAsia"/>
                <w:b w:val="0"/>
                <w:bCs w:val="0"/>
                <w:color w:val="auto"/>
                <w:sz w:val="24"/>
                <w:szCs w:val="24"/>
                <w:highlight w:val="none"/>
              </w:rPr>
              <w:t>分。其他投标人的价格分统一按照下列公式计算：</w:t>
            </w:r>
          </w:p>
          <w:p w14:paraId="504707BF">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投标报价得分＝（评标基准价/投标报价）×3</w:t>
            </w:r>
            <w:r>
              <w:rPr>
                <w:rFonts w:hint="eastAsia" w:asciiTheme="majorEastAsia" w:hAnsiTheme="majorEastAsia" w:eastAsiaTheme="majorEastAsia" w:cstheme="majorEastAsia"/>
                <w:b w:val="0"/>
                <w:bCs w:val="0"/>
                <w:color w:val="auto"/>
                <w:sz w:val="24"/>
                <w:szCs w:val="24"/>
                <w:highlight w:val="none"/>
                <w:u w:val="single"/>
              </w:rPr>
              <w:t>0</w:t>
            </w:r>
            <w:r>
              <w:rPr>
                <w:rFonts w:hint="eastAsia" w:asciiTheme="majorEastAsia" w:hAnsiTheme="majorEastAsia" w:eastAsiaTheme="majorEastAsia" w:cstheme="majorEastAsia"/>
                <w:b w:val="0"/>
                <w:bCs w:val="0"/>
                <w:color w:val="auto"/>
                <w:sz w:val="24"/>
                <w:szCs w:val="24"/>
                <w:highlight w:val="none"/>
              </w:rPr>
              <w:t>％×100</w:t>
            </w:r>
          </w:p>
        </w:tc>
      </w:tr>
    </w:tbl>
    <w:p w14:paraId="3F87ACCF">
      <w:pPr>
        <w:spacing w:line="360" w:lineRule="exact"/>
        <w:rPr>
          <w:rFonts w:ascii="宋体" w:hAnsi="宋体" w:eastAsia="宋体" w:cs="宋体"/>
          <w:color w:val="auto"/>
          <w:sz w:val="30"/>
          <w:szCs w:val="30"/>
          <w:highlight w:val="none"/>
        </w:rPr>
      </w:pPr>
    </w:p>
    <w:p w14:paraId="43177A01">
      <w:pPr>
        <w:spacing w:line="324"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2.3.2本项目</w:t>
      </w:r>
      <w:r>
        <w:rPr>
          <w:rFonts w:hint="eastAsia" w:ascii="宋体" w:hAnsi="宋体" w:eastAsia="宋体"/>
          <w:color w:val="auto"/>
          <w:sz w:val="24"/>
          <w:highlight w:val="none"/>
          <w:lang w:val="en-US" w:eastAsia="zh-CN"/>
        </w:rPr>
        <w:t>第3包</w:t>
      </w:r>
      <w:r>
        <w:rPr>
          <w:rFonts w:hint="eastAsia" w:ascii="宋体" w:hAnsi="宋体" w:eastAsia="宋体"/>
          <w:color w:val="auto"/>
          <w:sz w:val="24"/>
          <w:highlight w:val="none"/>
        </w:rPr>
        <w:t>综合评分满分为100分，其中：资信分值占总分值的权重为4%，技术分值占总分值的权重为56%，价格分值占总分值的权重为40%。具体评分细则如下：</w:t>
      </w:r>
    </w:p>
    <w:tbl>
      <w:tblPr>
        <w:tblStyle w:val="2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88"/>
        <w:gridCol w:w="4210"/>
        <w:gridCol w:w="874"/>
        <w:gridCol w:w="874"/>
        <w:gridCol w:w="874"/>
      </w:tblGrid>
      <w:tr w14:paraId="52E8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24F293FD">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类别</w:t>
            </w:r>
          </w:p>
        </w:tc>
        <w:tc>
          <w:tcPr>
            <w:tcW w:w="528" w:type="pct"/>
            <w:tcBorders>
              <w:top w:val="single" w:color="auto" w:sz="4" w:space="0"/>
              <w:left w:val="single" w:color="auto" w:sz="4" w:space="0"/>
              <w:bottom w:val="single" w:color="auto" w:sz="4" w:space="0"/>
              <w:right w:val="single" w:color="auto" w:sz="4" w:space="0"/>
            </w:tcBorders>
            <w:vAlign w:val="center"/>
          </w:tcPr>
          <w:p w14:paraId="23B65E04">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评分内容</w:t>
            </w:r>
          </w:p>
        </w:tc>
        <w:tc>
          <w:tcPr>
            <w:tcW w:w="2501" w:type="pct"/>
            <w:tcBorders>
              <w:top w:val="single" w:color="auto" w:sz="4" w:space="0"/>
              <w:left w:val="single" w:color="auto" w:sz="4" w:space="0"/>
              <w:bottom w:val="single" w:color="auto" w:sz="4" w:space="0"/>
              <w:right w:val="single" w:color="auto" w:sz="4" w:space="0"/>
            </w:tcBorders>
            <w:vAlign w:val="center"/>
          </w:tcPr>
          <w:p w14:paraId="11240610">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评分标准</w:t>
            </w:r>
          </w:p>
        </w:tc>
        <w:tc>
          <w:tcPr>
            <w:tcW w:w="519" w:type="pct"/>
            <w:tcBorders>
              <w:top w:val="single" w:color="auto" w:sz="4" w:space="0"/>
              <w:left w:val="single" w:color="auto" w:sz="4" w:space="0"/>
              <w:bottom w:val="single" w:color="auto" w:sz="4" w:space="0"/>
              <w:right w:val="single" w:color="auto" w:sz="4" w:space="0"/>
            </w:tcBorders>
            <w:vAlign w:val="center"/>
          </w:tcPr>
          <w:p w14:paraId="7C74583E">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分值范围</w:t>
            </w:r>
          </w:p>
        </w:tc>
        <w:tc>
          <w:tcPr>
            <w:tcW w:w="519" w:type="pct"/>
            <w:tcBorders>
              <w:top w:val="single" w:color="auto" w:sz="4" w:space="0"/>
              <w:left w:val="single" w:color="auto" w:sz="4" w:space="0"/>
              <w:bottom w:val="single" w:color="auto" w:sz="4" w:space="0"/>
              <w:right w:val="single" w:color="auto" w:sz="4" w:space="0"/>
            </w:tcBorders>
            <w:vAlign w:val="center"/>
          </w:tcPr>
          <w:p w14:paraId="3DA7A7DE">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2276B850">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1A5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12" w:type="pct"/>
            <w:vMerge w:val="restart"/>
            <w:tcBorders>
              <w:left w:val="single" w:color="auto" w:sz="4" w:space="0"/>
              <w:right w:val="single" w:color="auto" w:sz="4" w:space="0"/>
            </w:tcBorders>
            <w:vAlign w:val="center"/>
          </w:tcPr>
          <w:p w14:paraId="35B09EAC">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资信技术分</w:t>
            </w:r>
          </w:p>
          <w:p w14:paraId="3C4144F3">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0 分）</w:t>
            </w:r>
          </w:p>
        </w:tc>
        <w:tc>
          <w:tcPr>
            <w:tcW w:w="35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D0C1A3">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资信部分（4分）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3DBE50DA">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52BF8855">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53A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6" w:hRule="atLeast"/>
          <w:jc w:val="center"/>
        </w:trPr>
        <w:tc>
          <w:tcPr>
            <w:tcW w:w="412" w:type="pct"/>
            <w:vMerge w:val="continue"/>
            <w:tcBorders>
              <w:left w:val="single" w:color="auto" w:sz="4" w:space="0"/>
              <w:right w:val="single" w:color="auto" w:sz="4" w:space="0"/>
            </w:tcBorders>
            <w:vAlign w:val="center"/>
          </w:tcPr>
          <w:p w14:paraId="21095209">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38E0C163">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投标人业绩</w:t>
            </w:r>
          </w:p>
        </w:tc>
        <w:tc>
          <w:tcPr>
            <w:tcW w:w="2501" w:type="pct"/>
            <w:tcBorders>
              <w:top w:val="single" w:color="auto" w:sz="4" w:space="0"/>
              <w:left w:val="single" w:color="auto" w:sz="4" w:space="0"/>
              <w:bottom w:val="single" w:color="auto" w:sz="4" w:space="0"/>
              <w:right w:val="single" w:color="auto" w:sz="4" w:space="0"/>
            </w:tcBorders>
            <w:shd w:val="clear" w:color="auto" w:fill="auto"/>
          </w:tcPr>
          <w:p w14:paraId="16340D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自2023年1月1日以来（以合同签订时间为准），投标人（或所投产品制造商）具有成品软件供货业绩（且与本次所投产品同型号的），每提供1个业绩得2分，满分4分。</w:t>
            </w:r>
          </w:p>
          <w:p w14:paraId="5765E4B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57D5927">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0-4分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8D4B9FF">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216CF3F">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7B83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12" w:type="pct"/>
            <w:vMerge w:val="continue"/>
            <w:tcBorders>
              <w:left w:val="single" w:color="auto" w:sz="4" w:space="0"/>
              <w:right w:val="single" w:color="auto" w:sz="4" w:space="0"/>
            </w:tcBorders>
            <w:vAlign w:val="center"/>
          </w:tcPr>
          <w:p w14:paraId="58F43A6A">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35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F662DD">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技术部分（56分）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8540EC8">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01C75FE3">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2A5C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3" w:hRule="atLeast"/>
          <w:jc w:val="center"/>
        </w:trPr>
        <w:tc>
          <w:tcPr>
            <w:tcW w:w="412" w:type="pct"/>
            <w:vMerge w:val="continue"/>
            <w:tcBorders>
              <w:left w:val="single" w:color="auto" w:sz="4" w:space="0"/>
              <w:right w:val="single" w:color="auto" w:sz="4" w:space="0"/>
            </w:tcBorders>
            <w:vAlign w:val="center"/>
          </w:tcPr>
          <w:p w14:paraId="718FAE91">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39B498BF">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bidi="ar"/>
              </w:rPr>
              <w:t>技术参数响应</w:t>
            </w:r>
          </w:p>
        </w:tc>
        <w:tc>
          <w:tcPr>
            <w:tcW w:w="2501" w:type="pct"/>
            <w:tcBorders>
              <w:top w:val="single" w:color="auto" w:sz="4" w:space="0"/>
              <w:left w:val="single" w:color="auto" w:sz="4" w:space="0"/>
              <w:bottom w:val="single" w:color="auto" w:sz="4" w:space="0"/>
              <w:right w:val="single" w:color="auto" w:sz="4" w:space="0"/>
            </w:tcBorders>
            <w:shd w:val="clear" w:color="auto" w:fill="auto"/>
          </w:tcPr>
          <w:p w14:paraId="7733CA58">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（1）标注“★”的为</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核心参数</w:t>
            </w: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bidi="ar"/>
              </w:rPr>
              <w:t>须全部满足，任一项不响应或负偏离按无效标处理。</w:t>
            </w:r>
          </w:p>
          <w:p w14:paraId="0E5B6F56">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（2）标注“▲”的重要技术参数，每满足或优于一项指标，得2分，共</w:t>
            </w:r>
            <w:r>
              <w:rPr>
                <w:rFonts w:hint="eastAsia" w:ascii="宋体" w:hAnsi="宋体" w:eastAsia="宋体" w:cs="宋体"/>
                <w:b w:val="0"/>
                <w:bCs w:val="0"/>
                <w:snapToGrid w:val="0"/>
                <w:color w:val="auto"/>
                <w:kern w:val="0"/>
                <w:sz w:val="24"/>
                <w:szCs w:val="24"/>
                <w:highlight w:val="none"/>
                <w:lang w:val="en-US" w:eastAsia="zh-CN" w:bidi="ar"/>
              </w:rPr>
              <w:t>9</w:t>
            </w:r>
            <w:r>
              <w:rPr>
                <w:rFonts w:hint="eastAsia" w:ascii="宋体" w:hAnsi="宋体" w:eastAsia="宋体" w:cs="宋体"/>
                <w:b w:val="0"/>
                <w:bCs w:val="0"/>
                <w:snapToGrid w:val="0"/>
                <w:color w:val="auto"/>
                <w:kern w:val="0"/>
                <w:sz w:val="24"/>
                <w:szCs w:val="24"/>
                <w:highlight w:val="none"/>
                <w:lang w:bidi="ar"/>
              </w:rPr>
              <w:t>项，共计1</w:t>
            </w:r>
            <w:r>
              <w:rPr>
                <w:rFonts w:hint="eastAsia" w:ascii="宋体" w:hAnsi="宋体" w:eastAsia="宋体" w:cs="宋体"/>
                <w:b w:val="0"/>
                <w:bCs w:val="0"/>
                <w:snapToGrid w:val="0"/>
                <w:color w:val="auto"/>
                <w:kern w:val="0"/>
                <w:sz w:val="24"/>
                <w:szCs w:val="24"/>
                <w:highlight w:val="none"/>
                <w:lang w:val="en-US" w:eastAsia="zh-CN" w:bidi="ar"/>
              </w:rPr>
              <w:t>8</w:t>
            </w:r>
            <w:r>
              <w:rPr>
                <w:rFonts w:hint="eastAsia" w:ascii="宋体" w:hAnsi="宋体" w:eastAsia="宋体" w:cs="宋体"/>
                <w:b w:val="0"/>
                <w:bCs w:val="0"/>
                <w:snapToGrid w:val="0"/>
                <w:color w:val="auto"/>
                <w:kern w:val="0"/>
                <w:sz w:val="24"/>
                <w:szCs w:val="24"/>
                <w:highlight w:val="none"/>
                <w:lang w:bidi="ar"/>
              </w:rPr>
              <w:t>分。</w:t>
            </w:r>
          </w:p>
          <w:p w14:paraId="746CA227">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（3）非标注“▲”项和非标注“★”项的为一般性参数，共</w:t>
            </w:r>
            <w:r>
              <w:rPr>
                <w:rFonts w:hint="eastAsia" w:ascii="宋体" w:hAnsi="宋体" w:eastAsia="宋体" w:cs="宋体"/>
                <w:b w:val="0"/>
                <w:bCs w:val="0"/>
                <w:snapToGrid w:val="0"/>
                <w:color w:val="auto"/>
                <w:kern w:val="0"/>
                <w:sz w:val="24"/>
                <w:szCs w:val="24"/>
                <w:highlight w:val="none"/>
                <w:lang w:val="en-US" w:eastAsia="zh-CN" w:bidi="ar"/>
              </w:rPr>
              <w:t>18</w:t>
            </w:r>
            <w:r>
              <w:rPr>
                <w:rFonts w:hint="eastAsia" w:ascii="宋体" w:hAnsi="宋体" w:eastAsia="宋体" w:cs="宋体"/>
                <w:b w:val="0"/>
                <w:bCs w:val="0"/>
                <w:snapToGrid w:val="0"/>
                <w:color w:val="auto"/>
                <w:kern w:val="0"/>
                <w:sz w:val="24"/>
                <w:szCs w:val="24"/>
                <w:highlight w:val="none"/>
                <w:lang w:bidi="ar"/>
              </w:rPr>
              <w:t>项，每满足或优于一项指标，得1.</w:t>
            </w:r>
            <w:r>
              <w:rPr>
                <w:rFonts w:hint="eastAsia" w:ascii="宋体" w:hAnsi="宋体" w:eastAsia="宋体" w:cs="宋体"/>
                <w:b w:val="0"/>
                <w:bCs w:val="0"/>
                <w:snapToGrid w:val="0"/>
                <w:color w:val="auto"/>
                <w:kern w:val="0"/>
                <w:sz w:val="24"/>
                <w:szCs w:val="24"/>
                <w:highlight w:val="none"/>
                <w:lang w:val="en-US" w:eastAsia="zh-CN" w:bidi="ar"/>
              </w:rPr>
              <w:t>5</w:t>
            </w:r>
            <w:r>
              <w:rPr>
                <w:rFonts w:hint="eastAsia" w:ascii="宋体" w:hAnsi="宋体" w:eastAsia="宋体" w:cs="宋体"/>
                <w:b w:val="0"/>
                <w:bCs w:val="0"/>
                <w:snapToGrid w:val="0"/>
                <w:color w:val="auto"/>
                <w:kern w:val="0"/>
                <w:sz w:val="24"/>
                <w:szCs w:val="24"/>
                <w:highlight w:val="none"/>
                <w:lang w:bidi="ar"/>
              </w:rPr>
              <w:t>分，负偏离不得分，共</w:t>
            </w:r>
            <w:r>
              <w:rPr>
                <w:rFonts w:hint="eastAsia" w:ascii="宋体" w:hAnsi="宋体" w:eastAsia="宋体" w:cs="宋体"/>
                <w:b w:val="0"/>
                <w:bCs w:val="0"/>
                <w:snapToGrid w:val="0"/>
                <w:color w:val="auto"/>
                <w:kern w:val="0"/>
                <w:sz w:val="24"/>
                <w:szCs w:val="24"/>
                <w:highlight w:val="none"/>
                <w:lang w:val="en-US" w:eastAsia="zh-CN" w:bidi="ar"/>
              </w:rPr>
              <w:t>27</w:t>
            </w:r>
            <w:r>
              <w:rPr>
                <w:rFonts w:hint="eastAsia" w:ascii="宋体" w:hAnsi="宋体" w:eastAsia="宋体" w:cs="宋体"/>
                <w:b w:val="0"/>
                <w:bCs w:val="0"/>
                <w:snapToGrid w:val="0"/>
                <w:color w:val="auto"/>
                <w:kern w:val="0"/>
                <w:sz w:val="24"/>
                <w:szCs w:val="24"/>
                <w:highlight w:val="none"/>
                <w:lang w:bidi="ar"/>
              </w:rPr>
              <w:t>分。</w:t>
            </w:r>
          </w:p>
          <w:p w14:paraId="5BD378CE">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注：（1）“标“▲”</w:t>
            </w:r>
            <w:r>
              <w:rPr>
                <w:rFonts w:hint="eastAsia" w:ascii="宋体" w:hAnsi="宋体" w:eastAsia="宋体" w:cs="宋体"/>
                <w:b w:val="0"/>
                <w:bCs w:val="0"/>
                <w:snapToGrid w:val="0"/>
                <w:color w:val="auto"/>
                <w:kern w:val="0"/>
                <w:sz w:val="24"/>
                <w:szCs w:val="24"/>
                <w:highlight w:val="none"/>
                <w:lang w:eastAsia="zh-CN" w:bidi="ar"/>
              </w:rPr>
              <w:t>、</w:t>
            </w:r>
            <w:r>
              <w:rPr>
                <w:rFonts w:hint="eastAsia" w:ascii="宋体" w:hAnsi="宋体" w:eastAsia="宋体" w:cs="宋体"/>
                <w:b w:val="0"/>
                <w:bCs w:val="0"/>
                <w:snapToGrid w:val="0"/>
                <w:color w:val="auto"/>
                <w:kern w:val="0"/>
                <w:sz w:val="24"/>
                <w:szCs w:val="24"/>
                <w:highlight w:val="none"/>
                <w:lang w:bidi="ar"/>
              </w:rPr>
              <w:t>“★”参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639492F5">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2）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7BD562DE">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0-4</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046FF294">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39D6419">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2FF9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412" w:type="pct"/>
            <w:vMerge w:val="continue"/>
            <w:tcBorders>
              <w:left w:val="single" w:color="auto" w:sz="4" w:space="0"/>
              <w:right w:val="single" w:color="auto" w:sz="4" w:space="0"/>
            </w:tcBorders>
            <w:vAlign w:val="center"/>
          </w:tcPr>
          <w:p w14:paraId="6892ABE4">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3392A2FA">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质保期</w:t>
            </w:r>
          </w:p>
        </w:tc>
        <w:tc>
          <w:tcPr>
            <w:tcW w:w="2501" w:type="pct"/>
            <w:tcBorders>
              <w:top w:val="single" w:color="auto" w:sz="4" w:space="0"/>
              <w:left w:val="single" w:color="auto" w:sz="4" w:space="0"/>
              <w:bottom w:val="single" w:color="auto" w:sz="4" w:space="0"/>
              <w:right w:val="single" w:color="auto" w:sz="4" w:space="0"/>
            </w:tcBorders>
            <w:shd w:val="clear" w:color="auto" w:fill="auto"/>
          </w:tcPr>
          <w:p w14:paraId="780246F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免费质保期在满足招标文件要求提供质保期三年的基础上，每增加一年得2分（不足一年不加分），最高分</w:t>
            </w:r>
            <w:r>
              <w:rPr>
                <w:rFonts w:hint="eastAsia" w:ascii="宋体" w:hAnsi="宋体" w:eastAsia="宋体" w:cs="宋体"/>
                <w:b w:val="0"/>
                <w:bCs w:val="0"/>
                <w:snapToGrid w:val="0"/>
                <w:color w:val="auto"/>
                <w:kern w:val="0"/>
                <w:sz w:val="24"/>
                <w:szCs w:val="24"/>
                <w:highlight w:val="none"/>
                <w:lang w:val="en-US" w:eastAsia="zh-CN" w:bidi="ar"/>
              </w:rPr>
              <w:t>4</w:t>
            </w:r>
            <w:r>
              <w:rPr>
                <w:rFonts w:hint="eastAsia" w:ascii="宋体" w:hAnsi="宋体" w:eastAsia="宋体" w:cs="宋体"/>
                <w:b w:val="0"/>
                <w:bCs w:val="0"/>
                <w:snapToGrid w:val="0"/>
                <w:color w:val="auto"/>
                <w:kern w:val="0"/>
                <w:sz w:val="24"/>
                <w:szCs w:val="24"/>
                <w:highlight w:val="none"/>
                <w:lang w:bidi="ar"/>
              </w:rPr>
              <w:t xml:space="preserve">分。 </w:t>
            </w:r>
          </w:p>
          <w:p w14:paraId="3CA5CB82">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注：以投标响应表为准，提供承诺函放入投标文件（格式自拟）。</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5990B127">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9133883">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9B81250">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083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jc w:val="center"/>
        </w:trPr>
        <w:tc>
          <w:tcPr>
            <w:tcW w:w="412" w:type="pct"/>
            <w:vMerge w:val="continue"/>
            <w:tcBorders>
              <w:left w:val="single" w:color="auto" w:sz="4" w:space="0"/>
              <w:right w:val="single" w:color="auto" w:sz="4" w:space="0"/>
            </w:tcBorders>
            <w:vAlign w:val="center"/>
          </w:tcPr>
          <w:p w14:paraId="6A8B284B">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94EBF08">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实施方案</w:t>
            </w:r>
          </w:p>
        </w:tc>
        <w:tc>
          <w:tcPr>
            <w:tcW w:w="2501" w:type="pct"/>
            <w:tcBorders>
              <w:top w:val="single" w:color="auto" w:sz="4" w:space="0"/>
              <w:left w:val="single" w:color="auto" w:sz="4" w:space="0"/>
              <w:bottom w:val="single" w:color="auto" w:sz="4" w:space="0"/>
              <w:right w:val="single" w:color="auto" w:sz="4" w:space="0"/>
            </w:tcBorders>
            <w:shd w:val="clear" w:color="auto" w:fill="auto"/>
            <w:vAlign w:val="center"/>
          </w:tcPr>
          <w:p w14:paraId="6923ED05">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对各投标人针对本项目的实施方案，内容包括：供货安排、安装调试、运输车辆、人员安排及时间分配等方面进行综合评审：</w:t>
            </w:r>
          </w:p>
          <w:p w14:paraId="60D470D0">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（1）供货安装、验收等实施方案详尽，施工进度、质量、安全保证方案及措施和协同配合方案完整且符合项目实际情况的，得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p w14:paraId="7338DB31">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（2）供货安装、验收等实施方案齐全，施工进度、质量、安全保证方案及措施和协同配合方案简单且符合实际情况的，得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1BC62AE3">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（3）供货安装、验收内容简单，施工进度、质量、安全保证方案及措施和协同配合方案存在缺项，需要进一步完善的，得</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p>
          <w:p w14:paraId="1A4799B6">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（4）未提供的不得分。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9A8104E">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741E6AC1">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36B5E10">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7669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8" w:hRule="atLeast"/>
          <w:jc w:val="center"/>
        </w:trPr>
        <w:tc>
          <w:tcPr>
            <w:tcW w:w="412" w:type="pct"/>
            <w:vMerge w:val="continue"/>
            <w:tcBorders>
              <w:left w:val="single" w:color="auto" w:sz="4" w:space="0"/>
              <w:right w:val="single" w:color="auto" w:sz="4" w:space="0"/>
            </w:tcBorders>
            <w:vAlign w:val="center"/>
          </w:tcPr>
          <w:p w14:paraId="3F1B40CB">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70B92E23">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售后服务方案</w:t>
            </w:r>
          </w:p>
        </w:tc>
        <w:tc>
          <w:tcPr>
            <w:tcW w:w="2501" w:type="pct"/>
            <w:tcBorders>
              <w:top w:val="single" w:color="auto" w:sz="4" w:space="0"/>
              <w:left w:val="single" w:color="auto" w:sz="4" w:space="0"/>
              <w:bottom w:val="single" w:color="auto" w:sz="4" w:space="0"/>
              <w:right w:val="single" w:color="auto" w:sz="4" w:space="0"/>
            </w:tcBorders>
            <w:shd w:val="clear" w:color="auto" w:fill="auto"/>
            <w:vAlign w:val="center"/>
          </w:tcPr>
          <w:p w14:paraId="0F333FEB">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根据投标人提供详细的项目实施、培训与售后服务保障方案：包含质保期承诺、售后服务点设置、人员配备、响应时间、配件备品备库、培训计划等内容，由评委会进行综合评审：</w:t>
            </w:r>
          </w:p>
          <w:p w14:paraId="487ED358">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（1）售后服务措施详尽、维修响应时间及时、备件供应保障充足、人员售后配置详细、远程报修服务方案全面、实时维修统计详尽，能保障采购人获得质量售后服务的，得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p w14:paraId="3A13585A">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（2）售后服务措施完整、维修响应时间及时、具有备件供应保障措施、配置售后人员、具有远程报修服务的，得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p w14:paraId="037392E5">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（3）售后服务措施、维修响应时间、备件供应保障、配置售后人员、远程报修服务措施不全或存在不足，有待改善的，得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287CAB3F">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（4）未提供的不得分。</w:t>
            </w:r>
          </w:p>
          <w:p w14:paraId="17641608">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786E9407">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776208F">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09DB3E3C">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r>
      <w:tr w14:paraId="7900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412" w:type="pct"/>
            <w:tcBorders>
              <w:left w:val="single" w:color="auto" w:sz="4" w:space="0"/>
              <w:right w:val="single" w:color="auto" w:sz="4" w:space="0"/>
            </w:tcBorders>
            <w:vAlign w:val="center"/>
          </w:tcPr>
          <w:p w14:paraId="42E7CFB4">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价格分</w:t>
            </w:r>
          </w:p>
          <w:p w14:paraId="1844E26C">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u w:val="single"/>
              </w:rPr>
              <w:t>0</w:t>
            </w:r>
            <w:r>
              <w:rPr>
                <w:rFonts w:hint="eastAsia" w:ascii="宋体" w:hAnsi="宋体" w:eastAsia="宋体" w:cs="宋体"/>
                <w:b w:val="0"/>
                <w:bCs w:val="0"/>
                <w:color w:val="auto"/>
                <w:sz w:val="24"/>
                <w:szCs w:val="24"/>
                <w:highlight w:val="none"/>
              </w:rPr>
              <w:t>分）</w:t>
            </w:r>
          </w:p>
        </w:tc>
        <w:tc>
          <w:tcPr>
            <w:tcW w:w="3548" w:type="pct"/>
            <w:gridSpan w:val="3"/>
            <w:tcBorders>
              <w:top w:val="single" w:color="auto" w:sz="4" w:space="0"/>
              <w:left w:val="single" w:color="auto" w:sz="4" w:space="0"/>
              <w:bottom w:val="single" w:color="auto" w:sz="4" w:space="0"/>
              <w:right w:val="single" w:color="auto" w:sz="4" w:space="0"/>
            </w:tcBorders>
            <w:vAlign w:val="center"/>
          </w:tcPr>
          <w:p w14:paraId="06EC00A0">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设备价格分统一采用低价优先法，即满足招标文件要求且投标价格最低的投标报价为评标基准价，其价格分为满分4</w:t>
            </w:r>
            <w:r>
              <w:rPr>
                <w:rFonts w:hint="eastAsia" w:ascii="宋体" w:hAnsi="宋体" w:eastAsia="宋体" w:cs="宋体"/>
                <w:b w:val="0"/>
                <w:bCs w:val="0"/>
                <w:color w:val="auto"/>
                <w:sz w:val="24"/>
                <w:szCs w:val="24"/>
                <w:highlight w:val="none"/>
                <w:u w:val="single"/>
              </w:rPr>
              <w:t>0</w:t>
            </w:r>
            <w:r>
              <w:rPr>
                <w:rFonts w:hint="eastAsia" w:ascii="宋体" w:hAnsi="宋体" w:eastAsia="宋体" w:cs="宋体"/>
                <w:b w:val="0"/>
                <w:bCs w:val="0"/>
                <w:color w:val="auto"/>
                <w:sz w:val="24"/>
                <w:szCs w:val="24"/>
                <w:highlight w:val="none"/>
              </w:rPr>
              <w:t>分。其他投标人的价格分统一按照下列公式计算：</w:t>
            </w:r>
          </w:p>
          <w:p w14:paraId="5E659ABE">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投标报价得分＝（评标基准价/投标报价）×4</w:t>
            </w:r>
            <w:r>
              <w:rPr>
                <w:rFonts w:hint="eastAsia" w:ascii="宋体" w:hAnsi="宋体" w:eastAsia="宋体" w:cs="宋体"/>
                <w:b w:val="0"/>
                <w:bCs w:val="0"/>
                <w:color w:val="auto"/>
                <w:sz w:val="24"/>
                <w:szCs w:val="24"/>
                <w:highlight w:val="none"/>
                <w:u w:val="single"/>
              </w:rPr>
              <w:t>0</w:t>
            </w:r>
            <w:r>
              <w:rPr>
                <w:rFonts w:hint="eastAsia" w:ascii="宋体" w:hAnsi="宋体" w:eastAsia="宋体" w:cs="宋体"/>
                <w:b w:val="0"/>
                <w:bCs w:val="0"/>
                <w:color w:val="auto"/>
                <w:sz w:val="24"/>
                <w:szCs w:val="24"/>
                <w:highlight w:val="none"/>
              </w:rPr>
              <w:t>％×100</w:t>
            </w:r>
          </w:p>
          <w:p w14:paraId="1A9ACEE9">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32964E46">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2A3F3F3E">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p>
        </w:tc>
      </w:tr>
    </w:tbl>
    <w:p w14:paraId="42037D38">
      <w:pPr>
        <w:spacing w:line="360" w:lineRule="exact"/>
        <w:rPr>
          <w:rFonts w:ascii="宋体" w:hAnsi="宋体" w:eastAsia="宋体" w:cs="宋体"/>
          <w:color w:val="auto"/>
          <w:sz w:val="30"/>
          <w:szCs w:val="30"/>
          <w:highlight w:val="none"/>
        </w:rPr>
      </w:pPr>
    </w:p>
    <w:p w14:paraId="29F57006">
      <w:pPr>
        <w:spacing w:line="324"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2.3.2本项目</w:t>
      </w:r>
      <w:r>
        <w:rPr>
          <w:rFonts w:hint="eastAsia" w:ascii="宋体" w:hAnsi="宋体" w:eastAsia="宋体"/>
          <w:color w:val="auto"/>
          <w:sz w:val="24"/>
          <w:highlight w:val="none"/>
          <w:lang w:val="en-US" w:eastAsia="zh-CN"/>
        </w:rPr>
        <w:t>第4包</w:t>
      </w:r>
      <w:r>
        <w:rPr>
          <w:rFonts w:hint="eastAsia" w:ascii="宋体" w:hAnsi="宋体" w:eastAsia="宋体"/>
          <w:color w:val="auto"/>
          <w:sz w:val="24"/>
          <w:highlight w:val="none"/>
        </w:rPr>
        <w:t>综合评分满分为100分，其中：资信分值占总分值的权重为4%，技术分值占总分值的权重为56%，价格分值占总分值的权重为40%。具体评分细则如下：</w:t>
      </w:r>
    </w:p>
    <w:tbl>
      <w:tblPr>
        <w:tblStyle w:val="26"/>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621"/>
        <w:gridCol w:w="5008"/>
        <w:gridCol w:w="1045"/>
      </w:tblGrid>
      <w:tr w14:paraId="7AF2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14:paraId="448F8202">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类别</w:t>
            </w:r>
          </w:p>
        </w:tc>
        <w:tc>
          <w:tcPr>
            <w:tcW w:w="963" w:type="pct"/>
            <w:tcBorders>
              <w:top w:val="single" w:color="auto" w:sz="4" w:space="0"/>
              <w:left w:val="single" w:color="auto" w:sz="4" w:space="0"/>
              <w:bottom w:val="single" w:color="auto" w:sz="4" w:space="0"/>
              <w:right w:val="single" w:color="auto" w:sz="4" w:space="0"/>
            </w:tcBorders>
            <w:vAlign w:val="center"/>
          </w:tcPr>
          <w:p w14:paraId="660A18A6">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评分内容</w:t>
            </w:r>
          </w:p>
        </w:tc>
        <w:tc>
          <w:tcPr>
            <w:tcW w:w="2975" w:type="pct"/>
            <w:tcBorders>
              <w:top w:val="single" w:color="auto" w:sz="4" w:space="0"/>
              <w:left w:val="single" w:color="auto" w:sz="4" w:space="0"/>
              <w:bottom w:val="single" w:color="auto" w:sz="4" w:space="0"/>
              <w:right w:val="single" w:color="auto" w:sz="4" w:space="0"/>
            </w:tcBorders>
            <w:vAlign w:val="center"/>
          </w:tcPr>
          <w:p w14:paraId="0ECC1710">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评分标准</w:t>
            </w:r>
          </w:p>
        </w:tc>
        <w:tc>
          <w:tcPr>
            <w:tcW w:w="620" w:type="pct"/>
            <w:tcBorders>
              <w:top w:val="single" w:color="auto" w:sz="4" w:space="0"/>
              <w:left w:val="single" w:color="auto" w:sz="4" w:space="0"/>
              <w:bottom w:val="single" w:color="auto" w:sz="4" w:space="0"/>
              <w:right w:val="single" w:color="auto" w:sz="4" w:space="0"/>
            </w:tcBorders>
            <w:vAlign w:val="center"/>
          </w:tcPr>
          <w:p w14:paraId="734105E9">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分值范围</w:t>
            </w:r>
          </w:p>
        </w:tc>
      </w:tr>
      <w:tr w14:paraId="4505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0" w:type="pct"/>
            <w:vMerge w:val="restart"/>
            <w:tcBorders>
              <w:left w:val="single" w:color="auto" w:sz="4" w:space="0"/>
              <w:right w:val="single" w:color="auto" w:sz="4" w:space="0"/>
            </w:tcBorders>
            <w:vAlign w:val="center"/>
          </w:tcPr>
          <w:p w14:paraId="7D560685">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资信技术分</w:t>
            </w:r>
          </w:p>
          <w:p w14:paraId="6EA37DEE">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（60 分）</w:t>
            </w:r>
          </w:p>
        </w:tc>
        <w:tc>
          <w:tcPr>
            <w:tcW w:w="45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BBC3C4">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资信部分（4分）</w:t>
            </w:r>
          </w:p>
        </w:tc>
      </w:tr>
      <w:tr w14:paraId="6D07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0" w:type="pct"/>
            <w:vMerge w:val="continue"/>
            <w:tcBorders>
              <w:left w:val="single" w:color="auto" w:sz="4" w:space="0"/>
              <w:right w:val="single" w:color="auto" w:sz="4" w:space="0"/>
            </w:tcBorders>
            <w:vAlign w:val="center"/>
          </w:tcPr>
          <w:p w14:paraId="3C447181">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14:paraId="3037C63E">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投标人业绩</w:t>
            </w:r>
          </w:p>
        </w:tc>
        <w:tc>
          <w:tcPr>
            <w:tcW w:w="2975" w:type="pct"/>
            <w:tcBorders>
              <w:top w:val="single" w:color="auto" w:sz="4" w:space="0"/>
              <w:left w:val="single" w:color="auto" w:sz="4" w:space="0"/>
              <w:bottom w:val="single" w:color="auto" w:sz="4" w:space="0"/>
              <w:right w:val="single" w:color="auto" w:sz="4" w:space="0"/>
            </w:tcBorders>
            <w:shd w:val="clear" w:color="auto" w:fill="auto"/>
          </w:tcPr>
          <w:p w14:paraId="70A90E72">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val="en-US" w:eastAsia="zh-CN" w:bidi="ar"/>
              </w:rPr>
              <w:t>自 2023年1月1日以来（以合同签订时间为准），所投同品牌同型号产品供货业绩</w:t>
            </w:r>
            <w:r>
              <w:rPr>
                <w:rFonts w:hint="eastAsia" w:ascii="宋体" w:hAnsi="宋体" w:eastAsia="宋体" w:cs="宋体"/>
                <w:b w:val="0"/>
                <w:bCs w:val="0"/>
                <w:color w:val="auto"/>
                <w:sz w:val="24"/>
                <w:szCs w:val="24"/>
                <w:highlight w:val="none"/>
              </w:rPr>
              <w:t>（此处业绩系指产品业绩，不限合同卖方主体）</w:t>
            </w:r>
            <w:r>
              <w:rPr>
                <w:rFonts w:hint="eastAsia" w:ascii="宋体" w:hAnsi="宋体" w:eastAsia="宋体" w:cs="宋体"/>
                <w:b w:val="0"/>
                <w:bCs w:val="0"/>
                <w:snapToGrid w:val="0"/>
                <w:color w:val="auto"/>
                <w:kern w:val="0"/>
                <w:sz w:val="24"/>
                <w:szCs w:val="24"/>
                <w:highlight w:val="none"/>
                <w:lang w:bidi="ar"/>
              </w:rPr>
              <w:t>，每个业绩得2分，满分4分；</w:t>
            </w:r>
          </w:p>
          <w:p w14:paraId="41F1757F">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7D78101">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0-4分</w:t>
            </w:r>
          </w:p>
        </w:tc>
      </w:tr>
      <w:tr w14:paraId="141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0" w:type="pct"/>
            <w:vMerge w:val="continue"/>
            <w:tcBorders>
              <w:left w:val="single" w:color="auto" w:sz="4" w:space="0"/>
              <w:right w:val="single" w:color="auto" w:sz="4" w:space="0"/>
            </w:tcBorders>
            <w:vAlign w:val="center"/>
          </w:tcPr>
          <w:p w14:paraId="7F657F59">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45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C78756">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技术部分（56分）</w:t>
            </w:r>
          </w:p>
        </w:tc>
      </w:tr>
      <w:tr w14:paraId="5E0B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440" w:type="pct"/>
            <w:vMerge w:val="continue"/>
            <w:tcBorders>
              <w:left w:val="single" w:color="auto" w:sz="4" w:space="0"/>
              <w:right w:val="single" w:color="auto" w:sz="4" w:space="0"/>
            </w:tcBorders>
            <w:vAlign w:val="center"/>
          </w:tcPr>
          <w:p w14:paraId="74C98141">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14:paraId="5B59861A">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bidi="ar"/>
              </w:rPr>
              <w:t>技术参数响应</w:t>
            </w:r>
          </w:p>
        </w:tc>
        <w:tc>
          <w:tcPr>
            <w:tcW w:w="2975" w:type="pct"/>
            <w:tcBorders>
              <w:top w:val="single" w:color="auto" w:sz="4" w:space="0"/>
              <w:left w:val="single" w:color="auto" w:sz="4" w:space="0"/>
              <w:bottom w:val="single" w:color="auto" w:sz="4" w:space="0"/>
              <w:right w:val="single" w:color="auto" w:sz="4" w:space="0"/>
            </w:tcBorders>
            <w:shd w:val="clear" w:color="auto" w:fill="auto"/>
          </w:tcPr>
          <w:p w14:paraId="7E71423E">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（1）标注“★”的为</w:t>
            </w:r>
            <w:r>
              <w:rPr>
                <w:rFonts w:hint="eastAsia" w:asciiTheme="majorEastAsia" w:hAnsiTheme="majorEastAsia" w:eastAsiaTheme="majorEastAsia" w:cstheme="majorEastAsia"/>
                <w:b w:val="0"/>
                <w:bCs w:val="0"/>
                <w:snapToGrid w:val="0"/>
                <w:color w:val="auto"/>
                <w:kern w:val="0"/>
                <w:sz w:val="24"/>
                <w:szCs w:val="24"/>
                <w:highlight w:val="none"/>
                <w:lang w:val="en-US" w:eastAsia="zh-CN" w:bidi="ar"/>
              </w:rPr>
              <w:t>核心参数</w:t>
            </w: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bidi="ar"/>
              </w:rPr>
              <w:t>须全部满足，任一项不响应或负偏离按无效标处理。</w:t>
            </w:r>
          </w:p>
          <w:p w14:paraId="5A42B8F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（2）标注“▲”的重要技术参数，每满足或优于一项指标，得2分，共</w:t>
            </w:r>
            <w:r>
              <w:rPr>
                <w:rFonts w:hint="eastAsia" w:ascii="宋体" w:hAnsi="宋体" w:eastAsia="宋体" w:cs="宋体"/>
                <w:b w:val="0"/>
                <w:bCs w:val="0"/>
                <w:snapToGrid w:val="0"/>
                <w:color w:val="auto"/>
                <w:kern w:val="0"/>
                <w:sz w:val="24"/>
                <w:szCs w:val="24"/>
                <w:highlight w:val="none"/>
                <w:lang w:val="en-US" w:eastAsia="zh-CN" w:bidi="ar"/>
              </w:rPr>
              <w:t>10</w:t>
            </w:r>
            <w:r>
              <w:rPr>
                <w:rFonts w:hint="eastAsia" w:ascii="宋体" w:hAnsi="宋体" w:eastAsia="宋体" w:cs="宋体"/>
                <w:b w:val="0"/>
                <w:bCs w:val="0"/>
                <w:snapToGrid w:val="0"/>
                <w:color w:val="auto"/>
                <w:kern w:val="0"/>
                <w:sz w:val="24"/>
                <w:szCs w:val="24"/>
                <w:highlight w:val="none"/>
                <w:lang w:bidi="ar"/>
              </w:rPr>
              <w:t>项，共计</w:t>
            </w:r>
            <w:r>
              <w:rPr>
                <w:rFonts w:hint="eastAsia" w:ascii="宋体" w:hAnsi="宋体" w:eastAsia="宋体" w:cs="宋体"/>
                <w:b w:val="0"/>
                <w:bCs w:val="0"/>
                <w:snapToGrid w:val="0"/>
                <w:color w:val="auto"/>
                <w:kern w:val="0"/>
                <w:sz w:val="24"/>
                <w:szCs w:val="24"/>
                <w:highlight w:val="none"/>
                <w:lang w:val="en-US" w:eastAsia="zh-CN" w:bidi="ar"/>
              </w:rPr>
              <w:t>20</w:t>
            </w:r>
            <w:r>
              <w:rPr>
                <w:rFonts w:hint="eastAsia" w:ascii="宋体" w:hAnsi="宋体" w:eastAsia="宋体" w:cs="宋体"/>
                <w:b w:val="0"/>
                <w:bCs w:val="0"/>
                <w:snapToGrid w:val="0"/>
                <w:color w:val="auto"/>
                <w:kern w:val="0"/>
                <w:sz w:val="24"/>
                <w:szCs w:val="24"/>
                <w:highlight w:val="none"/>
                <w:lang w:bidi="ar"/>
              </w:rPr>
              <w:t>分。</w:t>
            </w:r>
          </w:p>
          <w:p w14:paraId="42DB9171">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（3）非标注“▲”项和非标注“★”项的为一般性参数，共2</w:t>
            </w:r>
            <w:r>
              <w:rPr>
                <w:rFonts w:hint="eastAsia" w:ascii="宋体" w:hAnsi="宋体" w:eastAsia="宋体" w:cs="宋体"/>
                <w:b w:val="0"/>
                <w:bCs w:val="0"/>
                <w:snapToGrid w:val="0"/>
                <w:color w:val="auto"/>
                <w:kern w:val="0"/>
                <w:sz w:val="24"/>
                <w:szCs w:val="24"/>
                <w:highlight w:val="none"/>
                <w:lang w:val="en-US" w:eastAsia="zh-CN" w:bidi="ar"/>
              </w:rPr>
              <w:t>5</w:t>
            </w:r>
            <w:r>
              <w:rPr>
                <w:rFonts w:hint="eastAsia" w:ascii="宋体" w:hAnsi="宋体" w:eastAsia="宋体" w:cs="宋体"/>
                <w:b w:val="0"/>
                <w:bCs w:val="0"/>
                <w:snapToGrid w:val="0"/>
                <w:color w:val="auto"/>
                <w:kern w:val="0"/>
                <w:sz w:val="24"/>
                <w:szCs w:val="24"/>
                <w:highlight w:val="none"/>
                <w:lang w:bidi="ar"/>
              </w:rPr>
              <w:t>项，每满足或优于一项指标，得</w:t>
            </w:r>
            <w:r>
              <w:rPr>
                <w:rFonts w:hint="eastAsia" w:ascii="宋体" w:hAnsi="宋体" w:eastAsia="宋体" w:cs="宋体"/>
                <w:b w:val="0"/>
                <w:bCs w:val="0"/>
                <w:snapToGrid w:val="0"/>
                <w:color w:val="auto"/>
                <w:kern w:val="0"/>
                <w:sz w:val="24"/>
                <w:szCs w:val="24"/>
                <w:highlight w:val="none"/>
                <w:lang w:val="en-US" w:eastAsia="zh-CN" w:bidi="ar"/>
              </w:rPr>
              <w:t>0.88</w:t>
            </w:r>
            <w:r>
              <w:rPr>
                <w:rFonts w:hint="eastAsia" w:ascii="宋体" w:hAnsi="宋体" w:eastAsia="宋体" w:cs="宋体"/>
                <w:b w:val="0"/>
                <w:bCs w:val="0"/>
                <w:snapToGrid w:val="0"/>
                <w:color w:val="auto"/>
                <w:kern w:val="0"/>
                <w:sz w:val="24"/>
                <w:szCs w:val="24"/>
                <w:highlight w:val="none"/>
                <w:lang w:bidi="ar"/>
              </w:rPr>
              <w:t>分，负偏离不得分，共</w:t>
            </w:r>
            <w:r>
              <w:rPr>
                <w:rFonts w:hint="eastAsia" w:ascii="宋体" w:hAnsi="宋体" w:eastAsia="宋体" w:cs="宋体"/>
                <w:b w:val="0"/>
                <w:bCs w:val="0"/>
                <w:snapToGrid w:val="0"/>
                <w:color w:val="auto"/>
                <w:kern w:val="0"/>
                <w:sz w:val="24"/>
                <w:szCs w:val="24"/>
                <w:highlight w:val="none"/>
                <w:lang w:val="en-US" w:eastAsia="zh-CN" w:bidi="ar"/>
              </w:rPr>
              <w:t>22</w:t>
            </w:r>
            <w:r>
              <w:rPr>
                <w:rFonts w:hint="eastAsia" w:ascii="宋体" w:hAnsi="宋体" w:eastAsia="宋体" w:cs="宋体"/>
                <w:b w:val="0"/>
                <w:bCs w:val="0"/>
                <w:snapToGrid w:val="0"/>
                <w:color w:val="auto"/>
                <w:kern w:val="0"/>
                <w:sz w:val="24"/>
                <w:szCs w:val="24"/>
                <w:highlight w:val="none"/>
                <w:lang w:bidi="ar"/>
              </w:rPr>
              <w:t>分。</w:t>
            </w:r>
          </w:p>
          <w:p w14:paraId="7DBE6F7F">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注：（1）“标“▲”参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69EBFAD9">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2）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583A3DB">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0-4</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tc>
      </w:tr>
      <w:tr w14:paraId="3D4E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40" w:type="pct"/>
            <w:vMerge w:val="continue"/>
            <w:tcBorders>
              <w:left w:val="single" w:color="auto" w:sz="4" w:space="0"/>
              <w:right w:val="single" w:color="auto" w:sz="4" w:space="0"/>
            </w:tcBorders>
            <w:vAlign w:val="center"/>
          </w:tcPr>
          <w:p w14:paraId="776BAFD0">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14:paraId="0C268A70">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质保期</w:t>
            </w:r>
          </w:p>
        </w:tc>
        <w:tc>
          <w:tcPr>
            <w:tcW w:w="2975" w:type="pct"/>
            <w:tcBorders>
              <w:top w:val="single" w:color="auto" w:sz="4" w:space="0"/>
              <w:left w:val="single" w:color="auto" w:sz="4" w:space="0"/>
              <w:bottom w:val="single" w:color="auto" w:sz="4" w:space="0"/>
              <w:right w:val="single" w:color="auto" w:sz="4" w:space="0"/>
            </w:tcBorders>
            <w:shd w:val="clear" w:color="auto" w:fill="auto"/>
          </w:tcPr>
          <w:p w14:paraId="1CAA4459">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免费质保期在满足招标文件要求提供质保期三年的基础上，每增加一年得</w:t>
            </w:r>
            <w:r>
              <w:rPr>
                <w:rFonts w:hint="eastAsia" w:ascii="宋体" w:hAnsi="宋体" w:eastAsia="宋体" w:cs="宋体"/>
                <w:b w:val="0"/>
                <w:bCs w:val="0"/>
                <w:snapToGrid w:val="0"/>
                <w:color w:val="auto"/>
                <w:kern w:val="0"/>
                <w:sz w:val="24"/>
                <w:szCs w:val="24"/>
                <w:highlight w:val="none"/>
                <w:lang w:val="en-US" w:eastAsia="zh-CN" w:bidi="ar"/>
              </w:rPr>
              <w:t>2</w:t>
            </w:r>
            <w:r>
              <w:rPr>
                <w:rFonts w:hint="eastAsia" w:ascii="宋体" w:hAnsi="宋体" w:eastAsia="宋体" w:cs="宋体"/>
                <w:b w:val="0"/>
                <w:bCs w:val="0"/>
                <w:snapToGrid w:val="0"/>
                <w:color w:val="auto"/>
                <w:kern w:val="0"/>
                <w:sz w:val="24"/>
                <w:szCs w:val="24"/>
                <w:highlight w:val="none"/>
                <w:lang w:bidi="ar"/>
              </w:rPr>
              <w:t>分（不足一年不加分），最高分</w:t>
            </w:r>
            <w:r>
              <w:rPr>
                <w:rFonts w:hint="eastAsia" w:ascii="宋体" w:hAnsi="宋体" w:eastAsia="宋体" w:cs="宋体"/>
                <w:b w:val="0"/>
                <w:bCs w:val="0"/>
                <w:snapToGrid w:val="0"/>
                <w:color w:val="auto"/>
                <w:kern w:val="0"/>
                <w:sz w:val="24"/>
                <w:szCs w:val="24"/>
                <w:highlight w:val="none"/>
                <w:lang w:val="en-US" w:eastAsia="zh-CN" w:bidi="ar"/>
              </w:rPr>
              <w:t>4</w:t>
            </w:r>
            <w:r>
              <w:rPr>
                <w:rFonts w:hint="eastAsia" w:ascii="宋体" w:hAnsi="宋体" w:eastAsia="宋体" w:cs="宋体"/>
                <w:b w:val="0"/>
                <w:bCs w:val="0"/>
                <w:snapToGrid w:val="0"/>
                <w:color w:val="auto"/>
                <w:kern w:val="0"/>
                <w:sz w:val="24"/>
                <w:szCs w:val="24"/>
                <w:highlight w:val="none"/>
                <w:lang w:bidi="ar"/>
              </w:rPr>
              <w:t xml:space="preserve">分。 </w:t>
            </w:r>
          </w:p>
          <w:p w14:paraId="5EC498BA">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注：以投标响应表为准，提供承诺函放入投标文件（格式自拟）。</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532296E">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r>
      <w:tr w14:paraId="2A69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jc w:val="center"/>
        </w:trPr>
        <w:tc>
          <w:tcPr>
            <w:tcW w:w="440" w:type="pct"/>
            <w:vMerge w:val="continue"/>
            <w:tcBorders>
              <w:left w:val="single" w:color="auto" w:sz="4" w:space="0"/>
              <w:right w:val="single" w:color="auto" w:sz="4" w:space="0"/>
            </w:tcBorders>
            <w:vAlign w:val="center"/>
          </w:tcPr>
          <w:p w14:paraId="414B9E0A">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14:paraId="76981ABD">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实施方案</w:t>
            </w:r>
          </w:p>
        </w:tc>
        <w:tc>
          <w:tcPr>
            <w:tcW w:w="2975" w:type="pct"/>
            <w:tcBorders>
              <w:top w:val="single" w:color="auto" w:sz="4" w:space="0"/>
              <w:left w:val="single" w:color="auto" w:sz="4" w:space="0"/>
              <w:bottom w:val="single" w:color="auto" w:sz="4" w:space="0"/>
              <w:right w:val="single" w:color="auto" w:sz="4" w:space="0"/>
            </w:tcBorders>
            <w:shd w:val="clear" w:color="auto" w:fill="auto"/>
            <w:vAlign w:val="center"/>
          </w:tcPr>
          <w:p w14:paraId="77728376">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对各投标人针对本项目的实施方案，内容包括：供货安排、安装调试、运输车辆、人员安排及时间分配等方面进行综合评审：</w:t>
            </w:r>
          </w:p>
          <w:p w14:paraId="6261BB1F">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（1）供货安装、验收等实施方案详尽，施工进度、质量、安全保证方案及措施和协同配合方案完整且符合项目实际情况的，得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2029A81F">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（2）供货安装、验收等实施方案齐全，施工进度、质量、安全保证方案及措施和协同配合方案简单且符合实际情况的，得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p w14:paraId="09F21DD1">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（3）供货安装、验收内容简单，施工进度、质量、安全保证方案及措施和协同配合方案存在缺项，需要进一步完善的，得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p w14:paraId="15E98A09">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（4）未提供的不得分。</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695152A">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bookmarkStart w:id="72" w:name="_GoBack"/>
            <w:bookmarkEnd w:id="72"/>
            <w:r>
              <w:rPr>
                <w:rFonts w:hint="eastAsia" w:ascii="宋体" w:hAnsi="宋体" w:eastAsia="宋体" w:cs="宋体"/>
                <w:b w:val="0"/>
                <w:bCs w:val="0"/>
                <w:color w:val="auto"/>
                <w:sz w:val="24"/>
                <w:szCs w:val="24"/>
                <w:highlight w:val="none"/>
              </w:rPr>
              <w:t>分</w:t>
            </w:r>
          </w:p>
        </w:tc>
      </w:tr>
      <w:tr w14:paraId="7F57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jc w:val="center"/>
        </w:trPr>
        <w:tc>
          <w:tcPr>
            <w:tcW w:w="440" w:type="pct"/>
            <w:vMerge w:val="continue"/>
            <w:tcBorders>
              <w:left w:val="single" w:color="auto" w:sz="4" w:space="0"/>
              <w:right w:val="single" w:color="auto" w:sz="4" w:space="0"/>
            </w:tcBorders>
            <w:vAlign w:val="center"/>
          </w:tcPr>
          <w:p w14:paraId="45650CBC">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14:paraId="14947249">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售后服务方案</w:t>
            </w:r>
          </w:p>
        </w:tc>
        <w:tc>
          <w:tcPr>
            <w:tcW w:w="2975" w:type="pct"/>
            <w:tcBorders>
              <w:top w:val="single" w:color="auto" w:sz="4" w:space="0"/>
              <w:left w:val="single" w:color="auto" w:sz="4" w:space="0"/>
              <w:bottom w:val="single" w:color="auto" w:sz="4" w:space="0"/>
              <w:right w:val="single" w:color="auto" w:sz="4" w:space="0"/>
            </w:tcBorders>
            <w:shd w:val="clear" w:color="auto" w:fill="auto"/>
            <w:vAlign w:val="center"/>
          </w:tcPr>
          <w:p w14:paraId="705346AB">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根据投标人提供详细的项目实施、培训与售后服务保障方案：包含质保期承诺、售后服务点设置、人员配备、响应时间、配件备品备库、培训计划等内容，由评委会进行综合评审：</w:t>
            </w:r>
          </w:p>
          <w:p w14:paraId="265BA988">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（1）售后服务措施详尽、维修响应时间及时、备件供应保障充足、人员售后配置详细、远程报修服务方案全面、实时维修统计详尽，能保障采购人获得质量售后服务的，得5分；</w:t>
            </w:r>
          </w:p>
          <w:p w14:paraId="10695F96">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（2）售后服务措施完整、维修响应时间及时、具有备件供应保障措施、配置售后人员、具有远程报修服务的，得4分；</w:t>
            </w:r>
          </w:p>
          <w:p w14:paraId="6ADD0A80">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（3）售后服务措施、维修响应时间、备件供应保障、配置售后人员、远程报修服务措施不全或存在不足，有待改善的，得3分；</w:t>
            </w:r>
          </w:p>
          <w:p w14:paraId="6D5FCD37">
            <w:pPr>
              <w:keepNext w:val="0"/>
              <w:keepLines w:val="0"/>
              <w:suppressLineNumbers w:val="0"/>
              <w:spacing w:before="0" w:beforeAutospacing="0" w:after="0" w:afterAutospacing="0" w:line="324"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（4）未提供的不得分。</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C72F33F">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0-5分</w:t>
            </w:r>
          </w:p>
        </w:tc>
      </w:tr>
      <w:tr w14:paraId="1993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40" w:type="pct"/>
            <w:tcBorders>
              <w:left w:val="single" w:color="auto" w:sz="4" w:space="0"/>
              <w:right w:val="single" w:color="auto" w:sz="4" w:space="0"/>
            </w:tcBorders>
            <w:vAlign w:val="center"/>
          </w:tcPr>
          <w:p w14:paraId="02BCA410">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价格分</w:t>
            </w:r>
          </w:p>
          <w:p w14:paraId="0027A495">
            <w:pPr>
              <w:keepNext w:val="0"/>
              <w:keepLines w:val="0"/>
              <w:suppressLineNumbers w:val="0"/>
              <w:spacing w:before="0" w:beforeAutospacing="0" w:after="0" w:afterAutospacing="0" w:line="324"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u w:val="single"/>
              </w:rPr>
              <w:t>0</w:t>
            </w:r>
            <w:r>
              <w:rPr>
                <w:rFonts w:hint="eastAsia" w:ascii="宋体" w:hAnsi="宋体" w:eastAsia="宋体" w:cs="宋体"/>
                <w:b w:val="0"/>
                <w:bCs w:val="0"/>
                <w:color w:val="auto"/>
                <w:sz w:val="24"/>
                <w:szCs w:val="24"/>
                <w:highlight w:val="none"/>
              </w:rPr>
              <w:t>分）</w:t>
            </w:r>
          </w:p>
        </w:tc>
        <w:tc>
          <w:tcPr>
            <w:tcW w:w="4559" w:type="pct"/>
            <w:gridSpan w:val="3"/>
            <w:tcBorders>
              <w:top w:val="single" w:color="auto" w:sz="4" w:space="0"/>
              <w:left w:val="single" w:color="auto" w:sz="4" w:space="0"/>
              <w:bottom w:val="single" w:color="auto" w:sz="4" w:space="0"/>
              <w:right w:val="single" w:color="auto" w:sz="4" w:space="0"/>
            </w:tcBorders>
            <w:vAlign w:val="center"/>
          </w:tcPr>
          <w:p w14:paraId="4F76BEAC">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设备价格分统一采用低价优先法，即满足招标文件要求且投标价格最低的投标报价为评标基准价，其价格分为满分40分。其他投标人的价格分统一按照下列公式计算：</w:t>
            </w:r>
          </w:p>
          <w:p w14:paraId="279EAC77">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投标报价得分＝（评标基准价/投标报价）×4</w:t>
            </w:r>
            <w:r>
              <w:rPr>
                <w:rFonts w:hint="eastAsia" w:ascii="宋体" w:hAnsi="宋体" w:eastAsia="宋体" w:cs="宋体"/>
                <w:b w:val="0"/>
                <w:bCs w:val="0"/>
                <w:color w:val="auto"/>
                <w:sz w:val="24"/>
                <w:szCs w:val="24"/>
                <w:highlight w:val="none"/>
                <w:u w:val="single"/>
              </w:rPr>
              <w:t>0</w:t>
            </w:r>
            <w:r>
              <w:rPr>
                <w:rFonts w:hint="eastAsia" w:ascii="宋体" w:hAnsi="宋体" w:eastAsia="宋体" w:cs="宋体"/>
                <w:b w:val="0"/>
                <w:bCs w:val="0"/>
                <w:color w:val="auto"/>
                <w:sz w:val="24"/>
                <w:szCs w:val="24"/>
                <w:highlight w:val="none"/>
              </w:rPr>
              <w:t>％×100</w:t>
            </w:r>
          </w:p>
          <w:p w14:paraId="1D404CB0">
            <w:pPr>
              <w:keepNext w:val="0"/>
              <w:keepLines w:val="0"/>
              <w:suppressLineNumbers w:val="0"/>
              <w:spacing w:before="0" w:beforeAutospacing="0" w:after="0" w:afterAutospacing="0" w:line="324" w:lineRule="auto"/>
              <w:ind w:left="0" w:right="0"/>
              <w:rPr>
                <w:rFonts w:hint="eastAsia" w:ascii="宋体" w:hAnsi="宋体" w:eastAsia="宋体" w:cs="宋体"/>
                <w:b w:val="0"/>
                <w:bCs w:val="0"/>
                <w:color w:val="auto"/>
                <w:sz w:val="24"/>
                <w:szCs w:val="24"/>
                <w:highlight w:val="none"/>
              </w:rPr>
            </w:pPr>
          </w:p>
        </w:tc>
      </w:tr>
    </w:tbl>
    <w:p w14:paraId="6A8D9D9C">
      <w:pPr>
        <w:spacing w:line="360" w:lineRule="exact"/>
        <w:rPr>
          <w:rFonts w:ascii="宋体" w:hAnsi="宋体"/>
          <w:color w:val="auto"/>
          <w:sz w:val="30"/>
          <w:szCs w:val="30"/>
          <w:highlight w:val="none"/>
        </w:rPr>
      </w:pPr>
    </w:p>
    <w:p w14:paraId="64A428D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178178E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71566A8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hint="eastAsia" w:ascii="宋体" w:hAnsi="宋体" w:eastAsia="宋体"/>
          <w:color w:val="auto"/>
          <w:sz w:val="24"/>
          <w:highlight w:val="none"/>
        </w:rPr>
        <w:t>。</w:t>
      </w:r>
    </w:p>
    <w:p w14:paraId="067EC74C">
      <w:pPr>
        <w:spacing w:line="360" w:lineRule="auto"/>
        <w:ind w:firstLine="435"/>
        <w:rPr>
          <w:rFonts w:hint="eastAsia" w:ascii="宋体" w:hAnsi="宋体" w:eastAsia="宋体"/>
          <w:b/>
          <w:color w:val="auto"/>
          <w:sz w:val="24"/>
          <w:highlight w:val="none"/>
        </w:rPr>
      </w:pPr>
      <w:r>
        <w:rPr>
          <w:rFonts w:hint="eastAsia" w:ascii="宋体" w:hAnsi="宋体" w:eastAsia="宋体"/>
          <w:b/>
          <w:color w:val="auto"/>
          <w:sz w:val="24"/>
          <w:highlight w:val="none"/>
        </w:rPr>
        <w:t>三、无效投标条款</w:t>
      </w:r>
    </w:p>
    <w:p w14:paraId="7E84ED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14:paraId="46D3F73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 未在</w:t>
      </w:r>
      <w:r>
        <w:rPr>
          <w:rFonts w:hint="eastAsia" w:ascii="宋体" w:hAnsi="宋体" w:eastAsia="宋体"/>
          <w:color w:val="auto"/>
          <w:sz w:val="24"/>
          <w:highlight w:val="none"/>
          <w:lang w:val="en-US" w:eastAsia="zh-CN"/>
        </w:rPr>
        <w:t>投</w:t>
      </w:r>
      <w:r>
        <w:rPr>
          <w:rFonts w:hint="eastAsia" w:ascii="宋体" w:hAnsi="宋体" w:eastAsia="宋体"/>
          <w:color w:val="auto"/>
          <w:sz w:val="24"/>
          <w:highlight w:val="none"/>
        </w:rPr>
        <w:t>标截止时间前通过网上招标投标系统递交有效电子投标文件的，开标系统不予接收，投标将被拒绝。</w:t>
      </w:r>
    </w:p>
    <w:p w14:paraId="614ECC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0000A59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14:paraId="37FA86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14:paraId="65B4D2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14:paraId="4AA9B0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14:paraId="27B6669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14:paraId="7D9A9A3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14:paraId="1197EAE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(6)评标专家无法查看并检验电子投标文件中相关资料的；</w:t>
      </w:r>
    </w:p>
    <w:p w14:paraId="7E3AA7A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14:paraId="5259DC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(8)责令停产停业的；</w:t>
      </w:r>
    </w:p>
    <w:p w14:paraId="5FE0CB3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14:paraId="3176DE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14:paraId="081CB2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14:paraId="7DBF80C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EB00D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(13)其它情形，经评标委员会委提出按无效投标处理，并经公共资源交易监督部门核准的；</w:t>
      </w:r>
    </w:p>
    <w:p w14:paraId="75A895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(14)投标人投标MAC地址或投标人联系人或联系电话相同的，由评标委员会否决其投标，并报告监管部门作不良行为处理和进一步调查；</w:t>
      </w:r>
    </w:p>
    <w:p w14:paraId="1E35C0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(15)投标人单方面出现其他投标人材料的；</w:t>
      </w:r>
    </w:p>
    <w:p w14:paraId="4F004E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(16)招标公告未写明允许采购进口产品，投标人所投产品为进口产品的；</w:t>
      </w:r>
    </w:p>
    <w:p w14:paraId="54758B4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(17)招标文件规定的其它无效投标情形。</w:t>
      </w:r>
    </w:p>
    <w:p w14:paraId="582C6AA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14:paraId="120E53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(1)投标文件签字、盖章不全，经评标委员会一致认定对开评标内容有实质性影响并经公共资源交易监督部门核准的；</w:t>
      </w:r>
    </w:p>
    <w:p w14:paraId="61596F0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(2)未按规定的格式填写导致实质性内容不全以及实质上不响应，或者关键字迹模糊、无法辨认；经公共资源交易监督部门核准的；</w:t>
      </w:r>
    </w:p>
    <w:p w14:paraId="2255AFE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14:paraId="786F444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14:paraId="357C22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14:paraId="528319F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14:paraId="465AFCB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(7)其它情形，经评标委员会委提出按无效投标处理，并经公共资源交易监督部门核准的；</w:t>
      </w:r>
    </w:p>
    <w:p w14:paraId="2FA11F6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14:paraId="4F0C13F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14:paraId="4E5144D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14:paraId="16F59B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14:paraId="3F7A80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14:paraId="63403A3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14:paraId="307D35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14:paraId="6849CBF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14:paraId="23C37CA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(6)其它情形，经评标委员会委提出按无效投标处理，并经公共资源交易监督部门核准的；</w:t>
      </w:r>
    </w:p>
    <w:p w14:paraId="64AEA10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(7)招标文件规定的其它无效投标情形。</w:t>
      </w:r>
    </w:p>
    <w:p w14:paraId="14DB2031">
      <w:pPr>
        <w:spacing w:line="360" w:lineRule="auto"/>
        <w:ind w:firstLine="435"/>
        <w:rPr>
          <w:rFonts w:hint="eastAsia" w:ascii="宋体" w:hAnsi="宋体" w:eastAsia="宋体"/>
          <w:color w:val="auto"/>
          <w:sz w:val="24"/>
          <w:highlight w:val="none"/>
        </w:rPr>
      </w:pPr>
    </w:p>
    <w:p w14:paraId="2AA1F1E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br w:type="page"/>
      </w:r>
    </w:p>
    <w:p w14:paraId="72AA7D19">
      <w:pPr>
        <w:spacing w:line="360" w:lineRule="auto"/>
        <w:jc w:val="center"/>
        <w:outlineLvl w:val="0"/>
        <w:rPr>
          <w:rFonts w:hint="eastAsia" w:ascii="宋体" w:hAnsi="宋体" w:eastAsia="宋体"/>
          <w:b/>
          <w:color w:val="auto"/>
          <w:sz w:val="28"/>
          <w:highlight w:val="none"/>
        </w:rPr>
      </w:pPr>
      <w:bookmarkStart w:id="46" w:name="_Toc4682"/>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6"/>
    </w:p>
    <w:p w14:paraId="5E7D5CC3">
      <w:pPr>
        <w:pStyle w:val="9"/>
        <w:spacing w:after="0" w:line="360" w:lineRule="auto"/>
        <w:rPr>
          <w:rFonts w:hint="eastAsia" w:ascii="宋体" w:hAnsi="宋体" w:eastAsia="宋体" w:cs="宋体"/>
          <w:b/>
          <w:bCs/>
          <w:color w:val="auto"/>
          <w:spacing w:val="-20"/>
          <w:kern w:val="44"/>
          <w:sz w:val="24"/>
          <w:highlight w:val="none"/>
        </w:rPr>
      </w:pPr>
    </w:p>
    <w:p w14:paraId="171F5796">
      <w:pPr>
        <w:pStyle w:val="9"/>
        <w:spacing w:after="0" w:line="360" w:lineRule="auto"/>
        <w:jc w:val="center"/>
        <w:rPr>
          <w:rFonts w:hint="eastAsia" w:ascii="宋体" w:hAnsi="宋体" w:eastAsia="宋体" w:cs="宋体"/>
          <w:b/>
          <w:bCs/>
          <w:color w:val="auto"/>
          <w:spacing w:val="-20"/>
          <w:kern w:val="44"/>
          <w:sz w:val="24"/>
          <w:highlight w:val="none"/>
        </w:rPr>
      </w:pPr>
    </w:p>
    <w:p w14:paraId="6704747A">
      <w:pPr>
        <w:pStyle w:val="9"/>
        <w:spacing w:after="0" w:line="360" w:lineRule="auto"/>
        <w:jc w:val="center"/>
        <w:rPr>
          <w:rFonts w:hint="eastAsia" w:ascii="宋体" w:hAnsi="宋体" w:eastAsia="宋体" w:cs="宋体"/>
          <w:b/>
          <w:bCs/>
          <w:color w:val="auto"/>
          <w:spacing w:val="-20"/>
          <w:kern w:val="44"/>
          <w:sz w:val="24"/>
          <w:highlight w:val="none"/>
        </w:rPr>
      </w:pPr>
    </w:p>
    <w:p w14:paraId="09F0F9C5">
      <w:pPr>
        <w:pStyle w:val="9"/>
        <w:spacing w:after="0" w:line="360" w:lineRule="auto"/>
        <w:jc w:val="center"/>
        <w:rPr>
          <w:rFonts w:hint="eastAsia" w:ascii="宋体" w:hAnsi="宋体" w:eastAsia="宋体" w:cs="宋体"/>
          <w:b/>
          <w:bCs/>
          <w:color w:val="auto"/>
          <w:spacing w:val="-20"/>
          <w:kern w:val="44"/>
          <w:sz w:val="24"/>
          <w:highlight w:val="none"/>
        </w:rPr>
      </w:pPr>
    </w:p>
    <w:p w14:paraId="56DC012D">
      <w:pPr>
        <w:spacing w:line="360" w:lineRule="auto"/>
        <w:rPr>
          <w:rFonts w:hint="eastAsia" w:ascii="宋体" w:hAnsi="宋体" w:eastAsia="宋体" w:cs="宋体"/>
          <w:b/>
          <w:bCs/>
          <w:color w:val="auto"/>
          <w:spacing w:val="-20"/>
          <w:kern w:val="44"/>
          <w:sz w:val="24"/>
          <w:szCs w:val="24"/>
          <w:highlight w:val="none"/>
        </w:rPr>
      </w:pPr>
    </w:p>
    <w:p w14:paraId="3F2F4BB4">
      <w:pPr>
        <w:pStyle w:val="9"/>
        <w:rPr>
          <w:rFonts w:hint="eastAsia" w:ascii="宋体" w:hAnsi="宋体" w:eastAsia="宋体" w:cs="宋体"/>
          <w:b/>
          <w:bCs/>
          <w:color w:val="auto"/>
          <w:spacing w:val="-20"/>
          <w:kern w:val="44"/>
          <w:sz w:val="24"/>
          <w:highlight w:val="none"/>
        </w:rPr>
      </w:pPr>
    </w:p>
    <w:p w14:paraId="67E1FE5E">
      <w:pPr>
        <w:pStyle w:val="9"/>
        <w:rPr>
          <w:rFonts w:hint="eastAsia" w:ascii="宋体" w:hAnsi="宋体" w:eastAsia="宋体" w:cs="宋体"/>
          <w:b/>
          <w:bCs/>
          <w:color w:val="auto"/>
          <w:spacing w:val="-20"/>
          <w:kern w:val="44"/>
          <w:sz w:val="24"/>
          <w:highlight w:val="none"/>
        </w:rPr>
      </w:pPr>
    </w:p>
    <w:p w14:paraId="03DCF3CB">
      <w:pPr>
        <w:spacing w:line="360" w:lineRule="auto"/>
        <w:rPr>
          <w:rFonts w:hint="eastAsia" w:ascii="宋体" w:hAnsi="宋体" w:eastAsia="宋体" w:cs="宋体"/>
          <w:b/>
          <w:bCs/>
          <w:color w:val="auto"/>
          <w:spacing w:val="-20"/>
          <w:kern w:val="44"/>
          <w:sz w:val="24"/>
          <w:szCs w:val="24"/>
          <w:highlight w:val="none"/>
        </w:rPr>
      </w:pPr>
    </w:p>
    <w:p w14:paraId="6695EA95">
      <w:pPr>
        <w:pStyle w:val="9"/>
        <w:spacing w:line="360" w:lineRule="auto"/>
        <w:rPr>
          <w:rFonts w:hint="eastAsia"/>
          <w:color w:val="auto"/>
          <w:highlight w:val="none"/>
        </w:rPr>
      </w:pPr>
    </w:p>
    <w:p w14:paraId="220490F1">
      <w:pPr>
        <w:spacing w:line="360" w:lineRule="auto"/>
        <w:rPr>
          <w:rFonts w:hint="eastAsia" w:ascii="宋体" w:hAnsi="宋体" w:eastAsia="宋体" w:cs="宋体"/>
          <w:b/>
          <w:bCs/>
          <w:color w:val="auto"/>
          <w:spacing w:val="-20"/>
          <w:kern w:val="44"/>
          <w:sz w:val="24"/>
          <w:szCs w:val="24"/>
          <w:highlight w:val="none"/>
        </w:rPr>
      </w:pPr>
    </w:p>
    <w:p w14:paraId="630C58BA">
      <w:pPr>
        <w:spacing w:line="360" w:lineRule="auto"/>
        <w:ind w:left="420" w:leftChars="200"/>
        <w:rPr>
          <w:rFonts w:hint="default" w:ascii="宋体" w:hAnsi="宋体" w:eastAsia="宋体" w:cs="Times New Roman"/>
          <w:i/>
          <w:iCs/>
          <w:color w:val="auto"/>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滁州市第二人民医院经颅磁刺激治疗仪、听觉言语语言喉功能检测处理系统等设备采购项目（</w:t>
      </w:r>
      <w:r>
        <w:rPr>
          <w:rFonts w:hint="eastAsia" w:ascii="宋体" w:hAnsi="宋体" w:eastAsia="宋体" w:cs="宋体"/>
          <w:color w:val="auto"/>
          <w:sz w:val="24"/>
          <w:szCs w:val="24"/>
          <w:highlight w:val="none"/>
          <w:u w:val="single"/>
          <w:lang w:val="en-US" w:eastAsia="zh-CN"/>
        </w:rPr>
        <w:t>第1/2/3/4包）</w:t>
      </w:r>
    </w:p>
    <w:p w14:paraId="538890AA">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D9BB0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63FA1B3E">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滁州市第二人民医院（市传染病医院、市精神病医院）</w:t>
      </w:r>
      <w:r>
        <w:rPr>
          <w:rFonts w:hint="eastAsia" w:ascii="宋体" w:hAnsi="宋体" w:eastAsia="宋体" w:cs="宋体"/>
          <w:color w:val="auto"/>
          <w:sz w:val="24"/>
          <w:szCs w:val="24"/>
          <w:highlight w:val="none"/>
          <w:u w:val="single"/>
        </w:rPr>
        <w:t xml:space="preserve"> </w:t>
      </w:r>
    </w:p>
    <w:p w14:paraId="60356C44">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AE523D4">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3B8C8FCB">
      <w:pPr>
        <w:spacing w:line="360" w:lineRule="auto"/>
        <w:rPr>
          <w:rFonts w:hint="eastAsia" w:ascii="宋体" w:hAnsi="宋体" w:eastAsia="宋体" w:cs="宋体"/>
          <w:color w:val="auto"/>
          <w:sz w:val="24"/>
          <w:szCs w:val="24"/>
          <w:highlight w:val="none"/>
        </w:rPr>
      </w:pPr>
    </w:p>
    <w:p w14:paraId="1DDB15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6AB6347">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rPr>
        <w:t>使 用 说 明</w:t>
      </w:r>
    </w:p>
    <w:p w14:paraId="58415BCF">
      <w:pPr>
        <w:spacing w:line="360" w:lineRule="auto"/>
        <w:ind w:firstLine="480" w:firstLineChars="200"/>
        <w:rPr>
          <w:rFonts w:hint="eastAsia" w:ascii="宋体" w:hAnsi="宋体" w:eastAsia="宋体" w:cs="宋体"/>
          <w:color w:val="auto"/>
          <w:sz w:val="24"/>
          <w:szCs w:val="24"/>
          <w:highlight w:val="none"/>
        </w:rPr>
      </w:pPr>
    </w:p>
    <w:p w14:paraId="7222D9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1.本合同标准文本适用于购买现成货物的采购项目，不包括需要供应商定制开发、创新研发的货物采购项目。</w:t>
      </w:r>
    </w:p>
    <w:p w14:paraId="41294A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2.本合同标准文本为政府采购货物买卖合同编制提供参考，可以结合采购项目具体情况，对文本作必要的调整修订后使用。</w:t>
      </w:r>
    </w:p>
    <w:p w14:paraId="45785C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3.本合同标准文本各条款中，如涉及填写多家供应商、制造商，多种采购标的、分包主要内容等信息的，可根据采购项目具体情况添加信息项。</w:t>
      </w:r>
    </w:p>
    <w:p w14:paraId="4E96E65E">
      <w:pPr>
        <w:spacing w:line="360" w:lineRule="auto"/>
        <w:ind w:firstLine="480" w:firstLineChars="200"/>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788E91D4">
      <w:pPr>
        <w:spacing w:line="360" w:lineRule="auto"/>
        <w:jc w:val="center"/>
        <w:outlineLvl w:val="1"/>
        <w:rPr>
          <w:rFonts w:hint="eastAsia" w:ascii="宋体" w:hAnsi="宋体" w:eastAsia="宋体"/>
          <w:b/>
          <w:color w:val="auto"/>
          <w:sz w:val="24"/>
          <w:highlight w:val="none"/>
        </w:rPr>
      </w:pPr>
      <w:bookmarkStart w:id="47" w:name="_Toc22209"/>
      <w:r>
        <w:rPr>
          <w:rFonts w:hint="eastAsia" w:ascii="宋体" w:hAnsi="宋体" w:eastAsia="宋体"/>
          <w:b/>
          <w:color w:val="auto"/>
          <w:sz w:val="24"/>
          <w:highlight w:val="none"/>
        </w:rPr>
        <w:t>第一节 政府采购合同协议书</w:t>
      </w:r>
      <w:bookmarkEnd w:id="47"/>
    </w:p>
    <w:p w14:paraId="14906082">
      <w:pPr>
        <w:adjustRightInd w:val="0"/>
        <w:snapToGrid w:val="0"/>
        <w:spacing w:line="360" w:lineRule="auto"/>
        <w:rPr>
          <w:rFonts w:hint="eastAsia" w:ascii="宋体" w:hAnsi="宋体" w:eastAsia="宋体" w:cs="宋体"/>
          <w:color w:val="auto"/>
          <w:sz w:val="24"/>
          <w:szCs w:val="24"/>
          <w:highlight w:val="none"/>
        </w:rPr>
      </w:pPr>
    </w:p>
    <w:p w14:paraId="544AC0FF">
      <w:pPr>
        <w:adjustRightInd w:val="0"/>
        <w:snapToGrid w:val="0"/>
        <w:spacing w:line="360" w:lineRule="auto"/>
        <w:ind w:left="1680" w:leftChars="0" w:hanging="1680" w:hangingChars="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lang w:eastAsia="zh-CN"/>
        </w:rPr>
        <w:t>滁州市第二人民医院（市传染病医院、市精神病医院）</w:t>
      </w:r>
      <w:r>
        <w:rPr>
          <w:rFonts w:hint="eastAsia" w:ascii="宋体" w:hAnsi="宋体" w:eastAsia="宋体" w:cs="宋体"/>
          <w:color w:val="auto"/>
          <w:sz w:val="24"/>
          <w:szCs w:val="24"/>
          <w:highlight w:val="none"/>
        </w:rPr>
        <w:t>（采购人、受采购人委托签订合同的单位或采购文件约定的合同甲方）</w:t>
      </w:r>
    </w:p>
    <w:p w14:paraId="1BE0ED1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7261BA6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646738D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40BDA857">
      <w:pPr>
        <w:spacing w:line="360" w:lineRule="auto"/>
        <w:rPr>
          <w:rFonts w:hint="eastAsia" w:ascii="宋体" w:hAnsi="宋体" w:eastAsia="宋体" w:cs="宋体"/>
          <w:color w:val="auto"/>
          <w:sz w:val="24"/>
          <w:szCs w:val="24"/>
          <w:highlight w:val="none"/>
        </w:rPr>
      </w:pPr>
    </w:p>
    <w:p w14:paraId="3D4E6A7D">
      <w:pPr>
        <w:pStyle w:val="12"/>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202C239">
      <w:pPr>
        <w:numPr>
          <w:ilvl w:val="0"/>
          <w:numId w:val="9"/>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0895B1D7">
      <w:pPr>
        <w:pStyle w:val="12"/>
        <w:numPr>
          <w:ilvl w:val="0"/>
          <w:numId w:val="10"/>
        </w:numPr>
        <w:adjustRightInd w:val="0"/>
        <w:snapToGrid w:val="0"/>
        <w:spacing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滁州市第二人民医院经颅磁刺激治疗仪、听觉言语语言喉功能检测处理系统等设备采购项目（</w:t>
      </w:r>
      <w:r>
        <w:rPr>
          <w:rFonts w:hint="eastAsia" w:ascii="宋体" w:hAnsi="宋体" w:eastAsia="宋体" w:cs="宋体"/>
          <w:color w:val="auto"/>
          <w:sz w:val="24"/>
          <w:szCs w:val="24"/>
          <w:highlight w:val="none"/>
          <w:u w:val="single"/>
          <w:lang w:val="en-US" w:eastAsia="zh-CN"/>
        </w:rPr>
        <w:t>第  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43CC48BA">
      <w:pPr>
        <w:pStyle w:val="12"/>
        <w:numPr>
          <w:ilvl w:val="0"/>
          <w:numId w:val="0"/>
        </w:numPr>
        <w:tabs>
          <w:tab w:val="left" w:pos="999"/>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w:t>
      </w:r>
      <w:r>
        <w:rPr>
          <w:rFonts w:hint="eastAsia" w:ascii="宋体" w:hAnsi="宋体" w:eastAsia="宋体" w:cs="宋体"/>
          <w:color w:val="auto"/>
          <w:sz w:val="24"/>
          <w:szCs w:val="24"/>
          <w:highlight w:val="none"/>
          <w:u w:val="single"/>
        </w:rPr>
        <w:t xml:space="preserve">                                   </w:t>
      </w:r>
    </w:p>
    <w:p w14:paraId="24109A1C">
      <w:pPr>
        <w:pStyle w:val="12"/>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63ABF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6CC240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详见采购需求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1256322">
      <w:pPr>
        <w:numPr>
          <w:ilvl w:val="0"/>
          <w:numId w:val="0"/>
        </w:numPr>
        <w:adjustRightInd w:val="0"/>
        <w:snapToGrid w:val="0"/>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p>
    <w:p w14:paraId="4EB40D54">
      <w:pPr>
        <w:adjustRightInd w:val="0"/>
        <w:snapToGrid w:val="0"/>
        <w:spacing w:line="360" w:lineRule="auto"/>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14:paraId="301391AD">
      <w:pPr>
        <w:numPr>
          <w:ilvl w:val="0"/>
          <w:numId w:val="0"/>
        </w:numPr>
        <w:adjustRightInd w:val="0"/>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4313C40D">
      <w:pPr>
        <w:numPr>
          <w:ilvl w:val="0"/>
          <w:numId w:val="0"/>
        </w:numPr>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     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
        </w:rPr>
        <w:t xml:space="preserve">               </w:t>
      </w:r>
      <w:r>
        <w:rPr>
          <w:rFonts w:hint="eastAsia" w:ascii="宋体" w:hAnsi="宋体" w:eastAsia="宋体" w:cs="宋体"/>
          <w:color w:val="auto"/>
          <w:kern w:val="0"/>
          <w:sz w:val="24"/>
          <w:szCs w:val="24"/>
          <w:highlight w:val="none"/>
          <w:u w:val="single"/>
        </w:rPr>
        <w:t xml:space="preserve">    </w:t>
      </w:r>
    </w:p>
    <w:p w14:paraId="563F6DF8">
      <w:pPr>
        <w:numPr>
          <w:ilvl w:val="0"/>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B9B9F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025FEBC">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14:paraId="28A9365A">
      <w:pPr>
        <w:pStyle w:val="72"/>
        <w:numPr>
          <w:ilvl w:val="0"/>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5329BF5">
      <w:pPr>
        <w:pStyle w:val="72"/>
        <w:numPr>
          <w:ilvl w:val="0"/>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14:paraId="45165570">
      <w:pPr>
        <w:pStyle w:val="72"/>
        <w:numPr>
          <w:ilvl w:val="0"/>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B7E2866">
      <w:pPr>
        <w:pStyle w:val="72"/>
        <w:numPr>
          <w:ilvl w:val="0"/>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2C3953B4">
      <w:pPr>
        <w:pStyle w:val="72"/>
        <w:numPr>
          <w:ilvl w:val="0"/>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3057BF51">
      <w:pPr>
        <w:pStyle w:val="72"/>
        <w:numPr>
          <w:ilvl w:val="0"/>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0A4A5180">
      <w:pPr>
        <w:pStyle w:val="72"/>
        <w:numPr>
          <w:ilvl w:val="0"/>
          <w:numId w:val="0"/>
        </w:numPr>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6930CA36">
      <w:pPr>
        <w:pStyle w:val="72"/>
        <w:numPr>
          <w:ilvl w:val="0"/>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4B19979B">
      <w:pPr>
        <w:pStyle w:val="72"/>
        <w:numPr>
          <w:ilvl w:val="0"/>
          <w:numId w:val="0"/>
        </w:numPr>
        <w:snapToGrid w:val="0"/>
        <w:spacing w:line="360" w:lineRule="auto"/>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3713815E">
      <w:pPr>
        <w:numPr>
          <w:ilvl w:val="0"/>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EE0AAA4">
      <w:pPr>
        <w:numPr>
          <w:ilvl w:val="0"/>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6A284EC">
      <w:pPr>
        <w:numPr>
          <w:ilvl w:val="0"/>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795A13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E2EB68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370E4E2A">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分包主要内容：</w:t>
      </w:r>
      <w:r>
        <w:rPr>
          <w:rFonts w:hint="eastAsia" w:ascii="宋体" w:hAnsi="宋体" w:eastAsia="宋体" w:cs="宋体"/>
          <w:color w:val="auto"/>
          <w:sz w:val="24"/>
          <w:szCs w:val="24"/>
          <w:highlight w:val="none"/>
          <w:u w:val="single"/>
        </w:rPr>
        <w:t xml:space="preserve">     /                                      </w:t>
      </w:r>
    </w:p>
    <w:p w14:paraId="4326F660">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分包供应商/制造商名称（如供应商和制造商不同，请分别填写）：</w:t>
      </w:r>
    </w:p>
    <w:p w14:paraId="76CFF632">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p>
    <w:p w14:paraId="3AB4062B">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分包供应商/制造商类型（如果供应商和制造商不同，只填写制造商类型）：</w:t>
      </w:r>
    </w:p>
    <w:p w14:paraId="0852EC79">
      <w:pPr>
        <w:adjustRightInd w:val="0"/>
        <w:snapToGrid w:val="0"/>
        <w:spacing w:line="360" w:lineRule="auto"/>
        <w:ind w:firstLine="960" w:firstLineChars="4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小微型企业  </w:t>
      </w:r>
    </w:p>
    <w:p w14:paraId="3D655DD1">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残疾人福利性单位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p>
    <w:p w14:paraId="100BB80A">
      <w:pPr>
        <w:numPr>
          <w:ilvl w:val="0"/>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0E92515">
      <w:pPr>
        <w:pStyle w:val="72"/>
        <w:tabs>
          <w:tab w:val="left" w:pos="1340"/>
        </w:tabs>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0BE610CE">
      <w:pPr>
        <w:numPr>
          <w:ilvl w:val="0"/>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14:paraId="21A7D6D3">
      <w:pPr>
        <w:numPr>
          <w:ilvl w:val="0"/>
          <w:numId w:val="0"/>
        </w:num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p>
    <w:p w14:paraId="648C1A37">
      <w:pPr>
        <w:numPr>
          <w:ilvl w:val="0"/>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8F747C1">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0142EF28">
      <w:pPr>
        <w:numPr>
          <w:ilvl w:val="0"/>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14:paraId="76C91C58">
      <w:pPr>
        <w:numPr>
          <w:ilvl w:val="0"/>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62B0B804">
      <w:pPr>
        <w:numPr>
          <w:ilvl w:val="0"/>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29227C45">
      <w:pPr>
        <w:numPr>
          <w:ilvl w:val="0"/>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A71B820">
      <w:pPr>
        <w:numPr>
          <w:ilvl w:val="0"/>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76858C3C">
      <w:pPr>
        <w:numPr>
          <w:ilvl w:val="0"/>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71F702D8">
      <w:pPr>
        <w:numPr>
          <w:ilvl w:val="0"/>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4546D7B5">
      <w:pPr>
        <w:numPr>
          <w:ilvl w:val="0"/>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4562AEAF">
      <w:pPr>
        <w:pStyle w:val="72"/>
        <w:numPr>
          <w:ilvl w:val="0"/>
          <w:numId w:val="0"/>
        </w:numPr>
        <w:snapToGrid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6E7863F0">
      <w:pPr>
        <w:pStyle w:val="72"/>
        <w:spacing w:line="360" w:lineRule="auto"/>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03CCA6D9">
      <w:pPr>
        <w:numPr>
          <w:ilvl w:val="0"/>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2465C0CD">
      <w:pPr>
        <w:pStyle w:val="72"/>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78D98244">
      <w:pPr>
        <w:numPr>
          <w:ilvl w:val="0"/>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14:paraId="0B887ECA">
      <w:pPr>
        <w:numPr>
          <w:ilvl w:val="0"/>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1E48F5B0">
      <w:pPr>
        <w:numPr>
          <w:ilvl w:val="0"/>
          <w:numId w:val="9"/>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367A2E2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66EDEA18">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69EED9F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              </w:t>
      </w:r>
    </w:p>
    <w:p w14:paraId="5563E336">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               </w:t>
      </w:r>
    </w:p>
    <w:p w14:paraId="7AB4BD8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7BF90481">
      <w:pPr>
        <w:numPr>
          <w:ilvl w:val="0"/>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62F1DB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7ADAB5D2">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46A60612">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                    </w:t>
      </w:r>
    </w:p>
    <w:p w14:paraId="5AE6C5A6">
      <w:pPr>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p>
    <w:p w14:paraId="0EB3855B">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D01A5FD">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    </w:t>
      </w:r>
    </w:p>
    <w:p w14:paraId="5375609F">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    </w:t>
      </w:r>
    </w:p>
    <w:p w14:paraId="6AB26248">
      <w:pPr>
        <w:numPr>
          <w:ilvl w:val="0"/>
          <w:numId w:val="9"/>
        </w:num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07FC1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DACF55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采购人指定地点          </w:t>
      </w:r>
    </w:p>
    <w:p w14:paraId="7D43967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78635B61">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F181F62">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623B86D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2349093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                                                   </w:t>
      </w:r>
    </w:p>
    <w:p w14:paraId="102EB006">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                                                      </w:t>
      </w:r>
    </w:p>
    <w:p w14:paraId="1A65B4CA">
      <w:pPr>
        <w:numPr>
          <w:ilvl w:val="0"/>
          <w:numId w:val="9"/>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3DB35A06">
      <w:pPr>
        <w:numPr>
          <w:ilvl w:val="0"/>
          <w:numId w:val="11"/>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17A4B2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采购人        </w:t>
      </w:r>
    </w:p>
    <w:p w14:paraId="1C6D3FF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5FDA6F">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84A3C5F">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77C7A377">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1DC3D2">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92DD064">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402392AF">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AAF3760">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0D31600F">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 供应商提出验收申请之日起5日内组织验收 </w:t>
      </w:r>
    </w:p>
    <w:p w14:paraId="4946C7A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3F368CD9">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  </w:t>
      </w:r>
    </w:p>
    <w:p w14:paraId="1A7FD9E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2D2E41D4">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1F0A1306">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符合国家标准                     </w:t>
      </w:r>
    </w:p>
    <w:p w14:paraId="5AFDA8AD">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1CFAFDF5">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          </w:t>
      </w:r>
    </w:p>
    <w:p w14:paraId="435F6102">
      <w:pPr>
        <w:numPr>
          <w:ilvl w:val="0"/>
          <w:numId w:val="9"/>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653E2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95A43A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1E5A787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3ACA6D4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67722D7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4F27514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33ED0D8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6405336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38B4324">
      <w:pPr>
        <w:pStyle w:val="72"/>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7565ACB1">
      <w:pPr>
        <w:numPr>
          <w:ilvl w:val="0"/>
          <w:numId w:val="9"/>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0351E1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双方加盖印章之后             </w:t>
      </w:r>
      <w:r>
        <w:rPr>
          <w:rFonts w:hint="eastAsia" w:ascii="宋体" w:hAnsi="宋体" w:eastAsia="宋体" w:cs="宋体"/>
          <w:color w:val="auto"/>
          <w:sz w:val="24"/>
          <w:szCs w:val="24"/>
          <w:highlight w:val="none"/>
        </w:rPr>
        <w:t>生效。</w:t>
      </w:r>
    </w:p>
    <w:p w14:paraId="1C7037BF">
      <w:pPr>
        <w:numPr>
          <w:ilvl w:val="0"/>
          <w:numId w:val="9"/>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875178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六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份，均具有同等法律效力。</w:t>
      </w:r>
    </w:p>
    <w:p w14:paraId="165378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69396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滁州市第二人民医院（市传染病医院、市精神病医院）</w:t>
      </w:r>
      <w:r>
        <w:rPr>
          <w:rFonts w:hint="eastAsia" w:ascii="宋体" w:hAnsi="宋体" w:eastAsia="宋体" w:cs="宋体"/>
          <w:color w:val="auto"/>
          <w:sz w:val="24"/>
          <w:szCs w:val="24"/>
          <w:highlight w:val="none"/>
          <w:u w:val="single"/>
        </w:rPr>
        <w:t xml:space="preserve">       </w:t>
      </w:r>
    </w:p>
    <w:p w14:paraId="301D26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14:paraId="17EBE0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A208B15">
      <w:pPr>
        <w:pStyle w:val="73"/>
        <w:spacing w:line="360" w:lineRule="auto"/>
        <w:ind w:firstLine="480"/>
        <w:rPr>
          <w:rFonts w:hint="eastAsia" w:ascii="宋体" w:hAnsi="宋体" w:eastAsia="宋体" w:cs="宋体"/>
          <w:color w:val="auto"/>
          <w:sz w:val="24"/>
          <w:szCs w:val="24"/>
          <w:highlight w:val="none"/>
        </w:rPr>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315970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78BB28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noWrap w:val="0"/>
            <w:vAlign w:val="center"/>
          </w:tcPr>
          <w:p w14:paraId="1A2114F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383055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6958EB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63CA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E5DCE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noWrap w:val="0"/>
            <w:vAlign w:val="center"/>
          </w:tcPr>
          <w:p w14:paraId="69606F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434C8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0DDC2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487580B">
            <w:pPr>
              <w:keepNext w:val="0"/>
              <w:keepLines w:val="0"/>
              <w:suppressLineNumbers w:val="0"/>
              <w:adjustRightInd w:val="0"/>
              <w:snapToGrid w:val="0"/>
              <w:spacing w:before="0" w:beforeAutospacing="0" w:after="0" w:afterAutospacing="0" w:line="360" w:lineRule="auto"/>
              <w:ind w:left="0" w:right="0"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0C2DE2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7D6259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BFA4EF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15F766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F7CA7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075B1B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24FA48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ED2AF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07C2FE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51C86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1AEBD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8BA6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BE8B51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59" w:type="pct"/>
            <w:tcBorders>
              <w:top w:val="single" w:color="auto" w:sz="2" w:space="0"/>
              <w:left w:val="single" w:color="auto" w:sz="2" w:space="0"/>
              <w:bottom w:val="single" w:color="auto" w:sz="2" w:space="0"/>
            </w:tcBorders>
            <w:noWrap w:val="0"/>
            <w:vAlign w:val="center"/>
          </w:tcPr>
          <w:p w14:paraId="4A2CDF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7AEB06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BE3FB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EF31A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8A67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51552A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E8A5F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540B4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AE09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F784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1C0DE5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17AA6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17A0C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DCD8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D15EF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7448D4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D051C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D25504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EF6C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6C880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22F181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28047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944AA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4AFD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D6B7A0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711B499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E6474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8C34B0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CF450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77D8B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048B9BE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E50A1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57A22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A9E36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79AE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5AD40D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50818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92380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91FD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C5F6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FCF60C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4F7A6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83E2D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3C03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71E2C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4CB065C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4588B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D10D927">
            <w:pPr>
              <w:pStyle w:val="12"/>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E3DCC1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48" w:name="_Toc27624"/>
      <w:r>
        <w:rPr>
          <w:rFonts w:hint="eastAsia" w:ascii="宋体" w:hAnsi="宋体" w:eastAsia="宋体" w:cs="@仿宋_GB2312"/>
          <w:bCs w:val="0"/>
          <w:color w:val="auto"/>
          <w:sz w:val="24"/>
          <w:szCs w:val="20"/>
          <w:highlight w:val="none"/>
        </w:rPr>
        <w:t>第二节 政府采购合同通用条款</w:t>
      </w:r>
      <w:bookmarkEnd w:id="48"/>
    </w:p>
    <w:p w14:paraId="6D431FC1">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714D82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5C7FA61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0543B65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179C41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125896C5">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7E5070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94D0E0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D3DE8CC">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1E914D9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7182A16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411CCF8">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7DD139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0D301B0C">
      <w:pPr>
        <w:numPr>
          <w:ilvl w:val="0"/>
          <w:numId w:val="12"/>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2A05F14">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3C11F30D">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3B81F75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120939DC">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7156E91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0C080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2FDCD0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D8809C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6ACBE7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072F1C2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1CD5D8F0">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672374F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4465492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3EA64D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2A20650B">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4915B01D">
      <w:pPr>
        <w:numPr>
          <w:ilvl w:val="0"/>
          <w:numId w:val="13"/>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1139589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757CB85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2176DE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05DF8B1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3B732CF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731BCF9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872D50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7B9A6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27F40230">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2A70D18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767A2C3B">
      <w:pPr>
        <w:pStyle w:val="14"/>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392B1BF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55FCE39">
      <w:pPr>
        <w:pStyle w:val="14"/>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39941FF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D1A059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239CA8D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257DF37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0981C27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07A468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891C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348DEA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0B882F95">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4EB1DF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32F361B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60198B3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3D1E1E33">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0C2E8B2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4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49"/>
      <w:r>
        <w:rPr>
          <w:rFonts w:hint="eastAsia" w:ascii="宋体" w:hAnsi="宋体" w:eastAsia="宋体" w:cs="宋体"/>
          <w:color w:val="auto"/>
          <w:sz w:val="24"/>
          <w:szCs w:val="24"/>
          <w:highlight w:val="none"/>
        </w:rPr>
        <w:t>。</w:t>
      </w:r>
    </w:p>
    <w:p w14:paraId="6001F363">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07009F8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D5D0EF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6561E0C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4C4604E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DE7638C">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172656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22647DE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8E759A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E4E94BA">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6DC629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2A57664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6212D4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E48D54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7E74BB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186B9759">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E3E85C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9ED5E4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536DA9D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11FC5D2">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10B6773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2A66D116">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4EE23A5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70EF4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2ECFEAE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0A1D8B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62CBE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21EB6D2">
      <w:pPr>
        <w:numPr>
          <w:ilvl w:val="0"/>
          <w:numId w:val="14"/>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2266FBF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100F4BC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F5098D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7A0B53E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31AFC36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4BFBFD">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5DC4B54">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68245EF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6A9DC4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C10984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28A311E2">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4705B11E">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0F5D61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6B2FDF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5BC756D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54E300F">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747023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14522AC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05A8B5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057F4F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AE7D692">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EEFD644">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836AE11">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7B8C86E4">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0022583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3B6AD6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CC18EBC">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50AD863">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6ADB3C06">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09D8B3B">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34055EA1">
      <w:pPr>
        <w:numPr>
          <w:ilvl w:val="0"/>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7ADA42BA">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4E543CF">
      <w:pPr>
        <w:pStyle w:val="72"/>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6E1B08A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3607CC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772630A0">
      <w:pPr>
        <w:numPr>
          <w:ilvl w:val="0"/>
          <w:numId w:val="15"/>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32C0E37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E4ABA5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50" w:name="_Toc20313"/>
    </w:p>
    <w:p w14:paraId="5E65A7A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8A6FF39">
      <w:pPr>
        <w:pStyle w:val="3"/>
        <w:adjustRightInd w:val="0"/>
        <w:snapToGrid w:val="0"/>
        <w:spacing w:before="156" w:beforeLines="50" w:line="360" w:lineRule="auto"/>
        <w:jc w:val="center"/>
        <w:rPr>
          <w:rFonts w:hint="eastAsia" w:ascii="宋体" w:hAnsi="宋体" w:eastAsia="宋体" w:cs="@仿宋_GB2312"/>
          <w:bCs w:val="0"/>
          <w:color w:val="auto"/>
          <w:sz w:val="24"/>
          <w:szCs w:val="20"/>
          <w:highlight w:val="none"/>
        </w:rPr>
      </w:pPr>
      <w:r>
        <w:rPr>
          <w:rFonts w:hint="eastAsia" w:ascii="宋体" w:hAnsi="宋体" w:eastAsia="宋体" w:cs="@仿宋_GB2312"/>
          <w:bCs w:val="0"/>
          <w:color w:val="auto"/>
          <w:sz w:val="24"/>
          <w:szCs w:val="20"/>
          <w:highlight w:val="none"/>
        </w:rPr>
        <w:t>第三节 政府采购合同专用条款</w:t>
      </w:r>
      <w:bookmarkEnd w:id="50"/>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B4EE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0323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9A46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noWrap w:val="0"/>
            <w:vAlign w:val="center"/>
          </w:tcPr>
          <w:p w14:paraId="6A0ECCF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noWrap w:val="0"/>
            <w:vAlign w:val="center"/>
          </w:tcPr>
          <w:p w14:paraId="50E576A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不接受联合体投标</w:t>
            </w:r>
          </w:p>
        </w:tc>
      </w:tr>
      <w:tr w14:paraId="6AE3D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5E941A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8FA6F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noWrap w:val="0"/>
            <w:vAlign w:val="center"/>
          </w:tcPr>
          <w:p w14:paraId="5B3E66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noWrap w:val="0"/>
            <w:vAlign w:val="center"/>
          </w:tcPr>
          <w:p w14:paraId="28CABA4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16AE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CD7461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528F4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noWrap w:val="0"/>
            <w:vAlign w:val="center"/>
          </w:tcPr>
          <w:p w14:paraId="261A3FE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noWrap w:val="0"/>
            <w:vAlign w:val="center"/>
          </w:tcPr>
          <w:p w14:paraId="71F05B7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5个工作日</w:t>
            </w:r>
          </w:p>
        </w:tc>
      </w:tr>
      <w:tr w14:paraId="45532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F686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1AC35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noWrap w:val="0"/>
            <w:vAlign w:val="center"/>
          </w:tcPr>
          <w:p w14:paraId="7689974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noWrap w:val="0"/>
            <w:vAlign w:val="center"/>
          </w:tcPr>
          <w:p w14:paraId="1D1C441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(1)在合同生效后，非因产品质量问题，买方要求退货的，应向卖方偿付合同总价款的5%，作为违约金，违约金不足以补偿损失的，卖方有权要求甲方补足。</w:t>
            </w:r>
          </w:p>
          <w:p w14:paraId="2CCC17F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(2)买方逾期付款的应按照逾期付款金额的每天万分之四支付逾期付款违约金。</w:t>
            </w:r>
          </w:p>
          <w:p w14:paraId="0AD93A6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(3)买方违反合同规定，无正当理由拒绝接收卖方交付的符合招标文件要求的合格标的物，应当承担卖方由此造成的损失。</w:t>
            </w:r>
          </w:p>
        </w:tc>
      </w:tr>
      <w:tr w14:paraId="140E23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AA2AC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89FCD4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noWrap w:val="0"/>
            <w:vAlign w:val="center"/>
          </w:tcPr>
          <w:p w14:paraId="30B1BA5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noWrap w:val="0"/>
            <w:vAlign w:val="center"/>
          </w:tcPr>
          <w:p w14:paraId="2FC9F9A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(1)乙方不能交货（逾期超过五天视为不能交货），或交货不合格从而影响甲方按期正常使用的，应向甲方偿付合同总价款5%的违约金，违约金不足以补偿损失的，甲方有权要求乙方补足。</w:t>
            </w:r>
          </w:p>
          <w:p w14:paraId="2FC6E2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(2)乙方逾期交货的，应在发货前与甲方和政府采购管理部门协商，甲方仍需求的，乙方应立即发货并应按照逾期交货部分货款的每天万分之四支付逾期交货违约金，同时承担甲方因此遭致的损失费用。</w:t>
            </w:r>
          </w:p>
          <w:p w14:paraId="2AB40CF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收到甲方提出的产品维保或者伴随服务要求之日起24小时内未提供相应的维保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7616D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45BA1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711BBB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noWrap w:val="0"/>
            <w:vAlign w:val="center"/>
          </w:tcPr>
          <w:p w14:paraId="00F61EC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noWrap w:val="0"/>
            <w:vAlign w:val="center"/>
          </w:tcPr>
          <w:p w14:paraId="4F6140E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乙方按规定履行合同义务后，甲方再履行合同义务。</w:t>
            </w:r>
          </w:p>
        </w:tc>
      </w:tr>
      <w:tr w14:paraId="4C9B2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5D2B88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954649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noWrap w:val="0"/>
            <w:vAlign w:val="center"/>
          </w:tcPr>
          <w:p w14:paraId="5FFBED5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noWrap w:val="0"/>
            <w:vAlign w:val="center"/>
          </w:tcPr>
          <w:p w14:paraId="5280B1B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A1C6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F78818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2" w:type="dxa"/>
            <w:noWrap w:val="0"/>
            <w:vAlign w:val="center"/>
          </w:tcPr>
          <w:p w14:paraId="1655D6E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noWrap w:val="0"/>
            <w:vAlign w:val="center"/>
          </w:tcPr>
          <w:p w14:paraId="4AB3163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甲方指定地点</w:t>
            </w:r>
          </w:p>
        </w:tc>
      </w:tr>
      <w:tr w14:paraId="6A0D81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8E6957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BE65F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noWrap w:val="0"/>
            <w:vAlign w:val="center"/>
          </w:tcPr>
          <w:p w14:paraId="2EE293D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noWrap w:val="0"/>
            <w:vAlign w:val="center"/>
          </w:tcPr>
          <w:p w14:paraId="3B658F4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B391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5EA3E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FC88B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noWrap w:val="0"/>
            <w:vAlign w:val="center"/>
          </w:tcPr>
          <w:p w14:paraId="453D66E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noWrap w:val="0"/>
            <w:vAlign w:val="center"/>
          </w:tcPr>
          <w:p w14:paraId="41DFA3D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按规定购买保险</w:t>
            </w:r>
          </w:p>
        </w:tc>
      </w:tr>
      <w:tr w14:paraId="591C15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0A097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3158D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noWrap w:val="0"/>
            <w:vAlign w:val="center"/>
          </w:tcPr>
          <w:p w14:paraId="2CFCD5A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noWrap w:val="0"/>
            <w:vAlign w:val="center"/>
          </w:tcPr>
          <w:p w14:paraId="65863DB3">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乙方书面承诺的期限</w:t>
            </w:r>
          </w:p>
        </w:tc>
      </w:tr>
      <w:tr w14:paraId="656B55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BBDFF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2480F0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noWrap w:val="0"/>
            <w:vAlign w:val="center"/>
          </w:tcPr>
          <w:p w14:paraId="7F65629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0504971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noWrap w:val="0"/>
            <w:vAlign w:val="center"/>
          </w:tcPr>
          <w:p w14:paraId="5738BBF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如货物出现故障，电话响应无法解决，卖方必须在接报修电话24小时内到现场并解决问题。</w:t>
            </w:r>
          </w:p>
        </w:tc>
      </w:tr>
      <w:tr w14:paraId="6A1E1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88D5E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AAEE23">
            <w:pPr>
              <w:pStyle w:val="72"/>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noWrap w:val="0"/>
            <w:vAlign w:val="center"/>
          </w:tcPr>
          <w:p w14:paraId="5C65404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noWrap w:val="0"/>
            <w:vAlign w:val="center"/>
          </w:tcPr>
          <w:p w14:paraId="457B93E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58BDA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8AA94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7CD84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noWrap w:val="0"/>
            <w:vAlign w:val="center"/>
          </w:tcPr>
          <w:p w14:paraId="138713D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noWrap w:val="0"/>
            <w:vAlign w:val="center"/>
          </w:tcPr>
          <w:p w14:paraId="1E64A15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按第一节政府采购合同协议书相关内容执行</w:t>
            </w:r>
          </w:p>
        </w:tc>
      </w:tr>
      <w:tr w14:paraId="5BE48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8F7FC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2B3AE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noWrap w:val="0"/>
            <w:vAlign w:val="center"/>
          </w:tcPr>
          <w:p w14:paraId="34C7BAC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noWrap w:val="0"/>
            <w:vAlign w:val="center"/>
          </w:tcPr>
          <w:p w14:paraId="16533D9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590006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EB998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1233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noWrap w:val="0"/>
            <w:vAlign w:val="center"/>
          </w:tcPr>
          <w:p w14:paraId="44AC6D9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noWrap w:val="0"/>
            <w:vAlign w:val="center"/>
          </w:tcPr>
          <w:p w14:paraId="41E27BE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175FA0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358A71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CC69C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noWrap w:val="0"/>
            <w:vAlign w:val="center"/>
          </w:tcPr>
          <w:p w14:paraId="7CF7646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noWrap w:val="0"/>
            <w:vAlign w:val="center"/>
          </w:tcPr>
          <w:p w14:paraId="2CF33E7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乙方书面承诺的质保期内</w:t>
            </w:r>
          </w:p>
        </w:tc>
      </w:tr>
      <w:tr w14:paraId="1513B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EAB2E0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266B5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noWrap w:val="0"/>
            <w:vAlign w:val="center"/>
          </w:tcPr>
          <w:p w14:paraId="6DA09A1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noWrap w:val="0"/>
            <w:vAlign w:val="center"/>
          </w:tcPr>
          <w:p w14:paraId="35EAD72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由乙方在规定时间内自行组织回收，相关费用自行承担，甲方不另行支付相关费用。</w:t>
            </w:r>
          </w:p>
        </w:tc>
      </w:tr>
      <w:tr w14:paraId="619D06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138C4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5FA37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noWrap w:val="0"/>
            <w:vAlign w:val="center"/>
          </w:tcPr>
          <w:p w14:paraId="415BD9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noWrap w:val="0"/>
            <w:vAlign w:val="center"/>
          </w:tcPr>
          <w:p w14:paraId="723C5D8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按甲方要求须提供的其他相关服务</w:t>
            </w:r>
          </w:p>
        </w:tc>
      </w:tr>
      <w:tr w14:paraId="146A8B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6096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0CE5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noWrap w:val="0"/>
            <w:vAlign w:val="center"/>
          </w:tcPr>
          <w:p w14:paraId="25AFA6A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noWrap w:val="0"/>
            <w:vAlign w:val="center"/>
          </w:tcPr>
          <w:p w14:paraId="10771CC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保修期内两次修理仍不能正常使用的的必须更换新设备</w:t>
            </w:r>
          </w:p>
        </w:tc>
      </w:tr>
      <w:tr w14:paraId="11197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3FD72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5595CA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noWrap w:val="0"/>
            <w:vAlign w:val="center"/>
          </w:tcPr>
          <w:p w14:paraId="0D8905D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noWrap w:val="0"/>
            <w:vAlign w:val="center"/>
          </w:tcPr>
          <w:p w14:paraId="02C5AF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(1)乙方不能交货（逾期超过五天视为不能交货），或交货不合格从而影响甲方按期正常使用的，应向甲方偿付合同总价款5%的违约金，违约金不足以补偿损失的，甲方有权要求乙方补足。</w:t>
            </w:r>
          </w:p>
          <w:p w14:paraId="6971590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(2)乙方逾期交货的，应在发货前与甲方和政府采购管理部门协商，甲方仍需求的，乙方应立即发货并应按照逾期交货部分货款的每天万分之四支付逾期交货违约金，同时承担甲方因此遭致的损失费用。</w:t>
            </w:r>
          </w:p>
        </w:tc>
      </w:tr>
      <w:tr w14:paraId="0381C7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2DC8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566BC2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noWrap w:val="0"/>
            <w:vAlign w:val="center"/>
          </w:tcPr>
          <w:p w14:paraId="3AF0DF3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noWrap w:val="0"/>
            <w:vAlign w:val="center"/>
          </w:tcPr>
          <w:p w14:paraId="4D5130F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p>
        </w:tc>
      </w:tr>
      <w:tr w14:paraId="2B68F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6E95F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BD22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4C28542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noWrap w:val="0"/>
            <w:vAlign w:val="center"/>
          </w:tcPr>
          <w:p w14:paraId="72CBEB1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合同一方不履行合同义务或者履行合同义务不符合约定的，应当承担继续履行、采取补救措施或者赔偿损失等违约责任。</w:t>
            </w:r>
          </w:p>
        </w:tc>
      </w:tr>
      <w:tr w14:paraId="7A3E41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C6FBB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5E50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noWrap w:val="0"/>
            <w:vAlign w:val="center"/>
          </w:tcPr>
          <w:p w14:paraId="7AD07C4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noWrap w:val="0"/>
            <w:vAlign w:val="center"/>
          </w:tcPr>
          <w:p w14:paraId="7B649843">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（2） </w:t>
            </w:r>
            <w:r>
              <w:rPr>
                <w:rFonts w:hint="eastAsia" w:ascii="宋体" w:hAnsi="宋体" w:eastAsia="宋体" w:cs="宋体"/>
                <w:iCs/>
                <w:color w:val="auto"/>
                <w:sz w:val="24"/>
                <w:szCs w:val="24"/>
                <w:highlight w:val="none"/>
              </w:rPr>
              <w:t>种方式解决：</w:t>
            </w:r>
          </w:p>
          <w:p w14:paraId="74052BFD">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滁州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滁州市 </w:t>
            </w:r>
            <w:r>
              <w:rPr>
                <w:rFonts w:hint="eastAsia" w:ascii="宋体" w:hAnsi="宋体" w:eastAsia="宋体" w:cs="宋体"/>
                <w:iCs/>
                <w:color w:val="auto"/>
                <w:sz w:val="24"/>
                <w:szCs w:val="24"/>
                <w:highlight w:val="none"/>
              </w:rPr>
              <w:t>；</w:t>
            </w:r>
          </w:p>
          <w:p w14:paraId="1C2A892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项目所在地  </w:t>
            </w:r>
            <w:r>
              <w:rPr>
                <w:rFonts w:hint="eastAsia" w:ascii="宋体" w:hAnsi="宋体" w:eastAsia="宋体" w:cs="宋体"/>
                <w:iCs/>
                <w:color w:val="auto"/>
                <w:sz w:val="24"/>
                <w:szCs w:val="24"/>
                <w:highlight w:val="none"/>
              </w:rPr>
              <w:t>人民法院起诉。</w:t>
            </w:r>
          </w:p>
        </w:tc>
      </w:tr>
      <w:tr w14:paraId="64C0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16D8BF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8D3441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noWrap w:val="0"/>
            <w:vAlign w:val="center"/>
          </w:tcPr>
          <w:p w14:paraId="750DE70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noWrap w:val="0"/>
            <w:vAlign w:val="center"/>
          </w:tcPr>
          <w:p w14:paraId="47FDE94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本合同未尽事宜应按《中华人民共和国政府采购法》、《中华人民共和国民法典》、《中华人民共和国产品质量法》之规定解释或签订合同时补充。</w:t>
            </w:r>
          </w:p>
        </w:tc>
      </w:tr>
    </w:tbl>
    <w:p w14:paraId="2525F31E">
      <w:pPr>
        <w:rPr>
          <w:rFonts w:hint="eastAsia" w:ascii="宋体" w:hAnsi="宋体" w:eastAsia="宋体" w:cs="宋体"/>
          <w:color w:val="auto"/>
          <w:sz w:val="24"/>
          <w:szCs w:val="24"/>
          <w:highlight w:val="none"/>
        </w:rPr>
      </w:pPr>
    </w:p>
    <w:p w14:paraId="1BCCB089">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5E52A6E1">
      <w:pPr>
        <w:spacing w:line="360" w:lineRule="auto"/>
        <w:jc w:val="center"/>
        <w:outlineLvl w:val="0"/>
        <w:rPr>
          <w:rFonts w:hint="eastAsia" w:ascii="宋体" w:hAnsi="宋体" w:eastAsia="宋体"/>
          <w:b/>
          <w:color w:val="auto"/>
          <w:sz w:val="28"/>
          <w:highlight w:val="none"/>
        </w:rPr>
      </w:pPr>
      <w:bookmarkStart w:id="51" w:name="_Toc22492"/>
      <w:r>
        <w:rPr>
          <w:rFonts w:hint="eastAsia" w:ascii="宋体" w:hAnsi="宋体" w:eastAsia="宋体"/>
          <w:b/>
          <w:color w:val="auto"/>
          <w:sz w:val="28"/>
          <w:highlight w:val="none"/>
        </w:rPr>
        <w:t>第六章  投标文件格式</w:t>
      </w:r>
      <w:bookmarkEnd w:id="51"/>
    </w:p>
    <w:p w14:paraId="1F118DF7">
      <w:pPr>
        <w:spacing w:line="900" w:lineRule="exact"/>
        <w:jc w:val="center"/>
        <w:rPr>
          <w:rFonts w:hint="eastAsia" w:ascii="宋体" w:hAnsi="宋体" w:eastAsia="宋体"/>
          <w:b/>
          <w:color w:val="auto"/>
          <w:sz w:val="72"/>
          <w:highlight w:val="none"/>
        </w:rPr>
      </w:pPr>
    </w:p>
    <w:p w14:paraId="4A139DC7">
      <w:pPr>
        <w:spacing w:line="900" w:lineRule="exact"/>
        <w:jc w:val="center"/>
        <w:outlineLvl w:val="1"/>
        <w:rPr>
          <w:rFonts w:hint="eastAsia" w:ascii="宋体" w:hAnsi="宋体" w:eastAsia="宋体"/>
          <w:b/>
          <w:color w:val="auto"/>
          <w:sz w:val="72"/>
          <w:highlight w:val="none"/>
        </w:rPr>
      </w:pPr>
      <w:bookmarkStart w:id="52" w:name="_Toc651"/>
      <w:r>
        <w:rPr>
          <w:rFonts w:hint="eastAsia" w:ascii="宋体" w:hAnsi="宋体" w:eastAsia="宋体"/>
          <w:b/>
          <w:color w:val="auto"/>
          <w:sz w:val="72"/>
          <w:highlight w:val="none"/>
        </w:rPr>
        <w:t>投</w:t>
      </w:r>
      <w:bookmarkEnd w:id="52"/>
    </w:p>
    <w:p w14:paraId="005C0503">
      <w:pPr>
        <w:spacing w:line="900" w:lineRule="exact"/>
        <w:jc w:val="center"/>
        <w:rPr>
          <w:rFonts w:hint="eastAsia" w:ascii="宋体" w:hAnsi="宋体" w:eastAsia="宋体"/>
          <w:b/>
          <w:color w:val="auto"/>
          <w:sz w:val="72"/>
          <w:highlight w:val="none"/>
        </w:rPr>
      </w:pPr>
    </w:p>
    <w:p w14:paraId="6C05D1CF">
      <w:pPr>
        <w:spacing w:line="900" w:lineRule="exact"/>
        <w:jc w:val="center"/>
        <w:outlineLvl w:val="1"/>
        <w:rPr>
          <w:rFonts w:hint="eastAsia" w:ascii="宋体" w:hAnsi="宋体" w:eastAsia="宋体"/>
          <w:b/>
          <w:color w:val="auto"/>
          <w:sz w:val="72"/>
          <w:highlight w:val="none"/>
        </w:rPr>
      </w:pPr>
      <w:bookmarkStart w:id="53" w:name="_Toc6148"/>
      <w:r>
        <w:rPr>
          <w:rFonts w:hint="eastAsia" w:ascii="宋体" w:hAnsi="宋体" w:eastAsia="宋体"/>
          <w:b/>
          <w:color w:val="auto"/>
          <w:sz w:val="72"/>
          <w:highlight w:val="none"/>
        </w:rPr>
        <w:t>标</w:t>
      </w:r>
      <w:bookmarkEnd w:id="53"/>
    </w:p>
    <w:p w14:paraId="1017A17E">
      <w:pPr>
        <w:spacing w:line="900" w:lineRule="exact"/>
        <w:jc w:val="center"/>
        <w:rPr>
          <w:rFonts w:hint="eastAsia" w:ascii="宋体" w:hAnsi="宋体" w:eastAsia="宋体"/>
          <w:b/>
          <w:color w:val="auto"/>
          <w:sz w:val="72"/>
          <w:highlight w:val="none"/>
        </w:rPr>
      </w:pPr>
    </w:p>
    <w:p w14:paraId="60FA85E6">
      <w:pPr>
        <w:spacing w:line="900" w:lineRule="exact"/>
        <w:jc w:val="center"/>
        <w:outlineLvl w:val="1"/>
        <w:rPr>
          <w:rFonts w:hint="eastAsia" w:ascii="宋体" w:hAnsi="宋体" w:eastAsia="宋体"/>
          <w:b/>
          <w:color w:val="auto"/>
          <w:sz w:val="72"/>
          <w:highlight w:val="none"/>
        </w:rPr>
      </w:pPr>
      <w:bookmarkStart w:id="54" w:name="_Toc1338"/>
      <w:r>
        <w:rPr>
          <w:rFonts w:hint="eastAsia" w:ascii="宋体" w:hAnsi="宋体" w:eastAsia="宋体"/>
          <w:b/>
          <w:color w:val="auto"/>
          <w:sz w:val="72"/>
          <w:highlight w:val="none"/>
        </w:rPr>
        <w:t>文</w:t>
      </w:r>
      <w:bookmarkEnd w:id="54"/>
    </w:p>
    <w:p w14:paraId="41F66923">
      <w:pPr>
        <w:spacing w:line="900" w:lineRule="exact"/>
        <w:jc w:val="center"/>
        <w:rPr>
          <w:rFonts w:hint="eastAsia" w:ascii="宋体" w:hAnsi="宋体" w:eastAsia="宋体"/>
          <w:b/>
          <w:color w:val="auto"/>
          <w:sz w:val="72"/>
          <w:highlight w:val="none"/>
        </w:rPr>
      </w:pPr>
    </w:p>
    <w:p w14:paraId="68B55D94">
      <w:pPr>
        <w:jc w:val="center"/>
        <w:outlineLvl w:val="1"/>
        <w:rPr>
          <w:rFonts w:hint="eastAsia" w:ascii="宋体" w:hAnsi="宋体" w:eastAsia="宋体"/>
          <w:b/>
          <w:color w:val="auto"/>
          <w:sz w:val="72"/>
          <w:highlight w:val="none"/>
        </w:rPr>
      </w:pPr>
      <w:bookmarkStart w:id="55" w:name="_Toc10796"/>
      <w:r>
        <w:rPr>
          <w:rFonts w:hint="eastAsia" w:ascii="宋体" w:hAnsi="宋体" w:eastAsia="宋体"/>
          <w:b/>
          <w:color w:val="auto"/>
          <w:sz w:val="72"/>
          <w:highlight w:val="none"/>
        </w:rPr>
        <w:t>件</w:t>
      </w:r>
      <w:bookmarkEnd w:id="55"/>
    </w:p>
    <w:p w14:paraId="7F5012EC">
      <w:pPr>
        <w:spacing w:after="156" w:afterLines="50"/>
        <w:jc w:val="center"/>
        <w:rPr>
          <w:rFonts w:hint="eastAsia" w:ascii="宋体" w:hAnsi="宋体" w:eastAsia="宋体"/>
          <w:b/>
          <w:color w:val="auto"/>
          <w:sz w:val="72"/>
          <w:highlight w:val="none"/>
        </w:rPr>
      </w:pPr>
    </w:p>
    <w:p w14:paraId="3B1B22BF">
      <w:pPr>
        <w:pStyle w:val="9"/>
        <w:spacing w:after="0" w:line="360" w:lineRule="auto"/>
        <w:ind w:firstLine="480" w:firstLineChars="200"/>
        <w:jc w:val="center"/>
        <w:outlineLvl w:val="1"/>
        <w:rPr>
          <w:rFonts w:hint="eastAsia" w:ascii="宋体" w:hAnsi="宋体" w:eastAsia="宋体"/>
          <w:color w:val="auto"/>
          <w:sz w:val="24"/>
          <w:szCs w:val="18"/>
          <w:highlight w:val="none"/>
          <w:lang w:val="en-US"/>
        </w:rPr>
      </w:pPr>
    </w:p>
    <w:p w14:paraId="014602B4">
      <w:pPr>
        <w:spacing w:before="156" w:beforeLines="50" w:after="156" w:afterLines="50"/>
        <w:jc w:val="center"/>
        <w:rPr>
          <w:rFonts w:hint="eastAsia" w:ascii="宋体" w:hAnsi="宋体" w:eastAsia="宋体"/>
          <w:b/>
          <w:color w:val="auto"/>
          <w:sz w:val="32"/>
          <w:szCs w:val="32"/>
          <w:highlight w:val="none"/>
        </w:rPr>
      </w:pPr>
    </w:p>
    <w:p w14:paraId="14E3817E">
      <w:pPr>
        <w:spacing w:after="156" w:afterLines="50" w:line="500" w:lineRule="exact"/>
        <w:jc w:val="center"/>
        <w:rPr>
          <w:rFonts w:hint="eastAsia" w:ascii="宋体" w:hAnsi="宋体" w:eastAsia="宋体"/>
          <w:b/>
          <w:color w:val="auto"/>
          <w:sz w:val="28"/>
          <w:szCs w:val="28"/>
          <w:highlight w:val="none"/>
        </w:rPr>
      </w:pPr>
    </w:p>
    <w:p w14:paraId="0D6EFE08">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p>
    <w:p w14:paraId="622D596C">
      <w:pPr>
        <w:tabs>
          <w:tab w:val="left" w:pos="2410"/>
        </w:tabs>
        <w:autoSpaceDE w:val="0"/>
        <w:autoSpaceDN w:val="0"/>
        <w:adjustRightInd w:val="0"/>
        <w:snapToGrid w:val="0"/>
        <w:spacing w:line="360" w:lineRule="auto"/>
        <w:ind w:firstLine="643" w:firstLineChars="200"/>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p>
    <w:p w14:paraId="6EF031DB">
      <w:pPr>
        <w:tabs>
          <w:tab w:val="left" w:pos="2410"/>
        </w:tabs>
        <w:autoSpaceDE w:val="0"/>
        <w:autoSpaceDN w:val="0"/>
        <w:adjustRightInd w:val="0"/>
        <w:snapToGrid w:val="0"/>
        <w:spacing w:line="360" w:lineRule="auto"/>
        <w:ind w:firstLine="643" w:firstLineChars="200"/>
        <w:rPr>
          <w:rFonts w:hint="eastAsia" w:ascii="宋体" w:hAnsi="宋体" w:eastAsia="宋体"/>
          <w:b/>
          <w:color w:val="auto"/>
          <w:sz w:val="32"/>
          <w:highlight w:val="none"/>
          <w:u w:val="single"/>
        </w:rPr>
      </w:pPr>
      <w:r>
        <w:rPr>
          <w:rFonts w:hint="eastAsia" w:ascii="宋体" w:hAnsi="宋体" w:eastAsia="宋体"/>
          <w:b/>
          <w:color w:val="auto"/>
          <w:sz w:val="32"/>
          <w:highlight w:val="none"/>
        </w:rPr>
        <w:t>投 标 人：</w:t>
      </w:r>
      <w:r>
        <w:rPr>
          <w:rFonts w:hint="eastAsia" w:ascii="宋体" w:hAnsi="宋体" w:eastAsia="宋体"/>
          <w:b/>
          <w:color w:val="auto"/>
          <w:sz w:val="32"/>
          <w:highlight w:val="none"/>
          <w:u w:val="single"/>
        </w:rPr>
        <w:t xml:space="preserve">                  </w:t>
      </w:r>
    </w:p>
    <w:p w14:paraId="552640A4">
      <w:pPr>
        <w:spacing w:after="156" w:afterLines="50" w:line="500" w:lineRule="exact"/>
        <w:jc w:val="center"/>
        <w:outlineLvl w:val="1"/>
        <w:rPr>
          <w:rFonts w:hint="eastAsia"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6" w:name="_Toc8037"/>
      <w:bookmarkStart w:id="57"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6"/>
      <w:bookmarkEnd w:id="57"/>
    </w:p>
    <w:p w14:paraId="2ACE7C13">
      <w:pPr>
        <w:widowControl/>
        <w:jc w:val="left"/>
        <w:rPr>
          <w:rFonts w:hint="eastAsia" w:ascii="宋体" w:hAnsi="宋体" w:eastAsia="宋体"/>
          <w:b/>
          <w:color w:val="auto"/>
          <w:sz w:val="28"/>
          <w:highlight w:val="none"/>
        </w:rPr>
      </w:pPr>
      <w:r>
        <w:rPr>
          <w:rFonts w:ascii="宋体" w:hAnsi="宋体" w:eastAsia="宋体"/>
          <w:b/>
          <w:color w:val="auto"/>
          <w:sz w:val="28"/>
          <w:highlight w:val="none"/>
        </w:rPr>
        <w:br w:type="page"/>
      </w:r>
    </w:p>
    <w:p w14:paraId="7F28FFF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一、资信证明格式文件</w:t>
      </w:r>
    </w:p>
    <w:p w14:paraId="7677137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1CF75CE4">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2AF317D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7C7AAE4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资信证明文件</w:t>
      </w:r>
    </w:p>
    <w:p w14:paraId="387BEF4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5EC2A46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（投标文件一）</w:t>
      </w:r>
    </w:p>
    <w:p w14:paraId="2B4FD3F2">
      <w:pPr>
        <w:jc w:val="center"/>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lang w:bidi="ar"/>
        </w:rPr>
        <w:t xml:space="preserve"> </w:t>
      </w:r>
    </w:p>
    <w:p w14:paraId="4E90AB3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lang w:eastAsia="zh-CN" w:bidi="ar"/>
        </w:rPr>
        <w:t>（</w:t>
      </w:r>
      <w:r>
        <w:rPr>
          <w:rFonts w:hint="eastAsia" w:ascii="宋体" w:hAnsi="宋体" w:eastAsia="宋体" w:cs="宋体"/>
          <w:color w:val="auto"/>
          <w:sz w:val="32"/>
          <w:szCs w:val="32"/>
          <w:highlight w:val="none"/>
          <w:lang w:val="en-US" w:eastAsia="zh-CN" w:bidi="ar"/>
        </w:rPr>
        <w:t>第1/2/3/4包）</w:t>
      </w:r>
    </w:p>
    <w:p w14:paraId="7938C69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FFE20C1">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44FD261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ABD819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3E34C9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CE0623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6FE8A0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99A5C8D">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483820C">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283DFBEC">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65213947">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61375689">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409CFBA5">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lang w:bidi="ar"/>
        </w:rPr>
        <w:t>目   录</w:t>
      </w:r>
    </w:p>
    <w:p w14:paraId="6AA458DF">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2F5BC1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（1）投标人资格声明书（格式见附件）；</w:t>
      </w:r>
    </w:p>
    <w:p w14:paraId="47C715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（2）授权书（格式见附件）；   </w:t>
      </w:r>
    </w:p>
    <w:p w14:paraId="38DA22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（3）投标人为企业（包括合伙企业）的，应提供有效的“营业执照”；</w:t>
      </w:r>
    </w:p>
    <w:p w14:paraId="159DAA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投标人为事业单位的，应提供有效的“事业单位法人证书”；</w:t>
      </w:r>
    </w:p>
    <w:p w14:paraId="6B6BEC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投标人是非企业机构的，应提供有效的“执业许可证”、“登记证书”等证明文件；</w:t>
      </w:r>
    </w:p>
    <w:p w14:paraId="6DBBF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投标人是个体工商户的，应提供有效的“个体工商户营业执照”；</w:t>
      </w:r>
    </w:p>
    <w:p w14:paraId="2A3ED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投标人是自然人的，应提供有效的自然人身份证明；</w:t>
      </w:r>
    </w:p>
    <w:p w14:paraId="332ACF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（4）诚信投标承诺书（格式见附件）；</w:t>
      </w:r>
    </w:p>
    <w:p w14:paraId="2515912E">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）中小企业声明函，残疾人福利性企业（格式见附件）；</w:t>
      </w:r>
    </w:p>
    <w:p w14:paraId="4041B79D">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）省级以上监狱管理局、戒毒管理局（含新疆生产建设兵团）出具的属于监狱企业的证明（如是）</w:t>
      </w:r>
    </w:p>
    <w:p w14:paraId="5F4010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）招标文件中要求的资信评审和资信评分的支持资料；</w:t>
      </w:r>
    </w:p>
    <w:p w14:paraId="26C75B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）投标人认为需要提供的其他资信证明材料；</w:t>
      </w:r>
    </w:p>
    <w:p w14:paraId="61D482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）其他（如有）。</w:t>
      </w:r>
    </w:p>
    <w:p w14:paraId="2ADD3842">
      <w:pPr>
        <w:spacing w:line="360" w:lineRule="auto"/>
        <w:ind w:firstLine="420" w:firstLineChars="200"/>
        <w:rPr>
          <w:rFonts w:hint="eastAsia" w:ascii="宋体" w:hAnsi="宋体" w:eastAsia="宋体" w:cs="宋体"/>
          <w:color w:val="auto"/>
          <w:szCs w:val="21"/>
          <w:highlight w:val="none"/>
        </w:rPr>
      </w:pPr>
    </w:p>
    <w:p w14:paraId="2490A8E5">
      <w:pPr>
        <w:spacing w:line="360" w:lineRule="auto"/>
        <w:ind w:firstLine="420" w:firstLineChars="200"/>
        <w:rPr>
          <w:rFonts w:hint="eastAsia" w:ascii="宋体" w:hAnsi="宋体" w:eastAsia="宋体" w:cs="宋体"/>
          <w:color w:val="auto"/>
          <w:szCs w:val="21"/>
          <w:highlight w:val="none"/>
        </w:rPr>
      </w:pPr>
    </w:p>
    <w:p w14:paraId="12E002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EC961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EC089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878CB3D">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0085090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（1）投标人资格声明书</w:t>
      </w:r>
    </w:p>
    <w:p w14:paraId="7DCCD530">
      <w:pPr>
        <w:pStyle w:val="22"/>
        <w:spacing w:before="0" w:beforeAutospacing="0" w:after="0" w:afterAutospacing="0" w:line="360" w:lineRule="auto"/>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FF25FC9">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39A18E96">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80B7093">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41BD4AD">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5F5EF03">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A00A578">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596D3B6">
      <w:pPr>
        <w:widowControl/>
        <w:autoSpaceDE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601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noWrap w:val="0"/>
            <w:vAlign w:val="top"/>
          </w:tcPr>
          <w:p w14:paraId="240980C1">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noWrap w:val="0"/>
            <w:vAlign w:val="top"/>
          </w:tcPr>
          <w:p w14:paraId="1286E047">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noWrap w:val="0"/>
            <w:vAlign w:val="top"/>
          </w:tcPr>
          <w:p w14:paraId="0948BB7D">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769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vAlign w:val="top"/>
          </w:tcPr>
          <w:p w14:paraId="4D280B00">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noWrap w:val="0"/>
            <w:vAlign w:val="top"/>
          </w:tcPr>
          <w:p w14:paraId="1F083911">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noWrap w:val="0"/>
            <w:vAlign w:val="top"/>
          </w:tcPr>
          <w:p w14:paraId="53AAC33E">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3855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vAlign w:val="top"/>
          </w:tcPr>
          <w:p w14:paraId="5D1E71CA">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noWrap w:val="0"/>
            <w:vAlign w:val="top"/>
          </w:tcPr>
          <w:p w14:paraId="5611ED53">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noWrap w:val="0"/>
            <w:vAlign w:val="top"/>
          </w:tcPr>
          <w:p w14:paraId="0E55F8AE">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67CB13B0">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2502798B">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1942DDE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E3FD34A">
      <w:pPr>
        <w:pStyle w:val="22"/>
        <w:spacing w:before="0" w:after="120" w:afterAutospacing="0"/>
        <w:jc w:val="both"/>
        <w:rPr>
          <w:rFonts w:hint="eastAsia" w:ascii="宋体" w:hAnsi="宋体" w:eastAsia="宋体" w:cs="宋体"/>
          <w:color w:val="auto"/>
          <w:szCs w:val="24"/>
          <w:highlight w:val="none"/>
        </w:rPr>
      </w:pPr>
    </w:p>
    <w:p w14:paraId="1F9EF87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3C74FD70">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45028CF">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31058F48">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（2）授权书</w:t>
      </w:r>
    </w:p>
    <w:p w14:paraId="30C45DD1">
      <w:pPr>
        <w:pStyle w:val="22"/>
        <w:snapToGrid w:val="0"/>
        <w:spacing w:before="0" w:beforeAutospacing="0" w:after="0" w:afterAutospacing="0" w:line="360" w:lineRule="auto"/>
        <w:ind w:firstLine="480" w:firstLineChars="200"/>
        <w:rPr>
          <w:rFonts w:hint="eastAsia" w:ascii="宋体" w:hAnsi="宋体" w:eastAsia="宋体"/>
          <w:color w:val="auto"/>
          <w:kern w:val="2"/>
          <w:szCs w:val="24"/>
          <w:highlight w:val="none"/>
        </w:rPr>
      </w:pPr>
      <w:r>
        <w:rPr>
          <w:rFonts w:hint="eastAsia" w:ascii="宋体" w:hAnsi="宋体" w:eastAsia="宋体"/>
          <w:color w:val="auto"/>
          <w:kern w:val="2"/>
          <w:szCs w:val="24"/>
          <w:highlight w:val="none"/>
          <w:lang w:bidi="ar"/>
        </w:rPr>
        <w:t xml:space="preserve"> </w:t>
      </w:r>
    </w:p>
    <w:p w14:paraId="50707F40">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9040976">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00097E7">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授权代表身份证明扫描件：</w:t>
      </w:r>
    </w:p>
    <w:p w14:paraId="7C7E2FB0">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14360623">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4BE5327">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20C4A412">
      <w:pPr>
        <w:spacing w:line="360" w:lineRule="auto"/>
        <w:ind w:firstLine="435"/>
        <w:rPr>
          <w:rFonts w:hint="eastAsia" w:hAnsi="宋体" w:eastAsia="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（请填写手机号码）</w:t>
      </w:r>
    </w:p>
    <w:p w14:paraId="63B47D87">
      <w:pPr>
        <w:spacing w:line="360" w:lineRule="auto"/>
        <w:ind w:firstLine="435"/>
        <w:rPr>
          <w:rFonts w:hint="eastAsia" w:hAnsi="宋体" w:eastAsia="宋体"/>
          <w:color w:val="auto"/>
          <w:sz w:val="24"/>
          <w:szCs w:val="24"/>
          <w:highlight w:val="none"/>
        </w:rPr>
      </w:pPr>
      <w:r>
        <w:rPr>
          <w:rFonts w:hAnsi="宋体" w:eastAsia="宋体"/>
          <w:color w:val="auto"/>
          <w:sz w:val="24"/>
          <w:szCs w:val="24"/>
          <w:highlight w:val="none"/>
          <w:lang w:bidi="ar"/>
        </w:rPr>
        <w:t xml:space="preserve"> </w:t>
      </w:r>
    </w:p>
    <w:p w14:paraId="5D40B5EB">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特此声明。</w:t>
      </w:r>
    </w:p>
    <w:p w14:paraId="09EB2087">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088F784">
      <w:pPr>
        <w:spacing w:line="360" w:lineRule="auto"/>
        <w:ind w:firstLine="435"/>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3032601E">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b/>
          <w:bCs/>
          <w:color w:val="auto"/>
          <w:sz w:val="24"/>
          <w:szCs w:val="24"/>
          <w:highlight w:val="none"/>
          <w:u w:val="single"/>
          <w:lang w:bidi="ar"/>
        </w:rPr>
        <w:t xml:space="preserve">                    </w:t>
      </w:r>
    </w:p>
    <w:p w14:paraId="341A60FA">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5CCD75B7">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B9CAC61">
      <w:pPr>
        <w:spacing w:line="36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注：</w:t>
      </w:r>
    </w:p>
    <w:p w14:paraId="55D1C0FA">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1.本项目只允许有唯一的投标人授权代表，提供身份证明扫描件；</w:t>
      </w:r>
    </w:p>
    <w:p w14:paraId="10299E7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2.法定代表人参加投标的无需提供授权书，提供身份证明扫描件。</w:t>
      </w:r>
    </w:p>
    <w:p w14:paraId="686CC7D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5E747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ED7C1FE">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61B9B676">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（3）诚信投标承诺书</w:t>
      </w:r>
    </w:p>
    <w:p w14:paraId="37CAE11B">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5584729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7520CC2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B5D090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0A46F5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D704D8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4C0B7F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019971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130742C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3261499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0D601F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349354E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3DC04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4679452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2D87C9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4984A8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4743493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618707A">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7444F3C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56EE3A0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626E8EE">
      <w:pPr>
        <w:spacing w:line="360" w:lineRule="auto"/>
        <w:jc w:val="center"/>
        <w:outlineLvl w:val="1"/>
        <w:rPr>
          <w:rFonts w:hint="eastAsia" w:ascii="宋体" w:hAnsi="宋体" w:eastAsia="宋体"/>
          <w:b/>
          <w:color w:val="auto"/>
          <w:sz w:val="24"/>
          <w:szCs w:val="24"/>
          <w:highlight w:val="none"/>
        </w:rPr>
      </w:pPr>
    </w:p>
    <w:p w14:paraId="7174FE3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1A88965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color w:val="auto"/>
          <w:sz w:val="24"/>
          <w:szCs w:val="24"/>
          <w:highlight w:val="none"/>
          <w:lang w:bidi="ar"/>
        </w:rPr>
        <w:t>（4）</w:t>
      </w:r>
      <w:r>
        <w:rPr>
          <w:rFonts w:hint="eastAsia" w:ascii="宋体" w:hAnsi="宋体" w:eastAsia="宋体" w:cs="宋体"/>
          <w:b/>
          <w:bCs w:val="0"/>
          <w:color w:val="auto"/>
          <w:kern w:val="2"/>
          <w:sz w:val="24"/>
          <w:szCs w:val="24"/>
          <w:highlight w:val="none"/>
          <w:lang w:val="en-US" w:eastAsia="zh-CN" w:bidi="ar"/>
        </w:rPr>
        <w:t>中小企业声明函</w:t>
      </w:r>
    </w:p>
    <w:p w14:paraId="44F13D2D">
      <w:pPr>
        <w:pStyle w:val="22"/>
        <w:widowControl/>
        <w:spacing w:before="0" w:beforeAutospacing="0" w:after="120" w:afterAutospacing="0" w:line="360" w:lineRule="auto"/>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（非中小企业投标，不需此件，请删去“中小企业声明函”）</w:t>
      </w:r>
    </w:p>
    <w:p w14:paraId="6323E8D9">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B81E8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119B17A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2CAB310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39A75DD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4D0FDFA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4ED71B0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35B7542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DA9A44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7664604D">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2BF1351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注：</w:t>
      </w:r>
    </w:p>
    <w:p w14:paraId="13FF87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1.从业人员、营业收入、资产总额填报上一年数据，无上一年数据的新成立企业可不填报。</w:t>
      </w:r>
    </w:p>
    <w:p w14:paraId="49A91265">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219C82DF">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137CA3A0">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7901726C">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4B192E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5609A32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73B9D54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7DD8C377">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（5）残疾人福利性单位声明函</w:t>
      </w:r>
    </w:p>
    <w:p w14:paraId="5139CC36">
      <w:pPr>
        <w:pStyle w:val="22"/>
        <w:widowControl/>
        <w:spacing w:before="0" w:beforeAutospacing="0" w:after="120" w:afterAutospacing="0" w:line="360" w:lineRule="auto"/>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（非残疾人福利性单位投标，请删去“残疾人福利性单位声明函”）</w:t>
      </w:r>
    </w:p>
    <w:p w14:paraId="33AD439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4BD25E9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664BBF7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277B6B4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E832D1F">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0CFAA274">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3DD6BA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23C18002">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179A5AE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二、技术标格式文件</w:t>
      </w:r>
    </w:p>
    <w:p w14:paraId="38432E18">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429C2C23">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12B73EE5">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228817F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技术标</w:t>
      </w:r>
    </w:p>
    <w:p w14:paraId="6021238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（投标文件二）</w:t>
      </w:r>
    </w:p>
    <w:p w14:paraId="16E8FC61">
      <w:pPr>
        <w:jc w:val="center"/>
        <w:rPr>
          <w:rFonts w:hint="eastAsia" w:ascii="宋体" w:hAnsi="宋体" w:eastAsia="宋体" w:cs="宋体"/>
          <w:color w:val="auto"/>
          <w:sz w:val="32"/>
          <w:szCs w:val="32"/>
          <w:highlight w:val="none"/>
          <w:u w:val="single"/>
        </w:rPr>
      </w:pPr>
    </w:p>
    <w:p w14:paraId="07872792">
      <w:pPr>
        <w:jc w:val="center"/>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lang w:eastAsia="zh-CN" w:bidi="ar"/>
        </w:rPr>
        <w:t>（</w:t>
      </w:r>
      <w:r>
        <w:rPr>
          <w:rFonts w:hint="eastAsia" w:ascii="宋体" w:hAnsi="宋体" w:eastAsia="宋体" w:cs="宋体"/>
          <w:color w:val="auto"/>
          <w:sz w:val="32"/>
          <w:szCs w:val="32"/>
          <w:highlight w:val="none"/>
          <w:lang w:val="en-US" w:eastAsia="zh-CN" w:bidi="ar"/>
        </w:rPr>
        <w:t>第1/2/3/4包）</w:t>
      </w:r>
      <w:r>
        <w:rPr>
          <w:rFonts w:hint="eastAsia" w:ascii="宋体" w:hAnsi="宋体" w:eastAsia="宋体" w:cs="宋体"/>
          <w:color w:val="auto"/>
          <w:sz w:val="28"/>
          <w:szCs w:val="28"/>
          <w:highlight w:val="none"/>
          <w:lang w:bidi="ar"/>
        </w:rPr>
        <w:t xml:space="preserve"> </w:t>
      </w:r>
    </w:p>
    <w:p w14:paraId="52CF349E">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3462B4C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71AB0B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61EB43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B0472D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2FDBA8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FC44B5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C2DEA4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A21C69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FE59FBC">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74135750">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0BC5FD78">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152B4645">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ABCB615">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3A4A57FC">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69FAF0CB">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79D4EE25">
      <w:pPr>
        <w:spacing w:line="400" w:lineRule="exact"/>
        <w:ind w:firstLine="3744" w:firstLineChars="103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 xml:space="preserve"> </w:t>
      </w:r>
    </w:p>
    <w:p w14:paraId="5C61E9B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（1）</w:t>
      </w:r>
      <w:r>
        <w:rPr>
          <w:rFonts w:hint="eastAsia" w:ascii="宋体" w:hAnsi="宋体" w:eastAsia="宋体" w:cs="宋体"/>
          <w:color w:val="auto"/>
          <w:szCs w:val="21"/>
          <w:highlight w:val="none"/>
          <w:lang w:bidi="ar"/>
        </w:rPr>
        <w:t>投标响应表（格式见附件）</w:t>
      </w:r>
      <w:r>
        <w:rPr>
          <w:rFonts w:hint="eastAsia" w:ascii="宋体" w:hAnsi="宋体" w:eastAsia="宋体" w:cs="宋体"/>
          <w:bCs/>
          <w:color w:val="auto"/>
          <w:szCs w:val="21"/>
          <w:highlight w:val="none"/>
          <w:lang w:bidi="ar"/>
        </w:rPr>
        <w:t>；</w:t>
      </w:r>
    </w:p>
    <w:p w14:paraId="45803EC0">
      <w:pPr>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bidi="ar"/>
        </w:rPr>
        <w:t>（2）诚信履约承诺函（格式见附件）</w:t>
      </w:r>
      <w:r>
        <w:rPr>
          <w:rFonts w:hint="eastAsia" w:ascii="宋体" w:hAnsi="宋体" w:eastAsia="宋体" w:cs="宋体"/>
          <w:bCs/>
          <w:color w:val="auto"/>
          <w:szCs w:val="21"/>
          <w:highlight w:val="none"/>
          <w:lang w:eastAsia="zh-CN" w:bidi="ar"/>
        </w:rPr>
        <w:t>；</w:t>
      </w:r>
    </w:p>
    <w:p w14:paraId="79D91FF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（3）技术方案：为本项目实施所采用的技术措施和实施方案等；</w:t>
      </w:r>
    </w:p>
    <w:p w14:paraId="55BA868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（4）招标文件中要求的技术标评审及技术标评分的支持资料；</w:t>
      </w:r>
    </w:p>
    <w:p w14:paraId="6BC41412">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（5）投标人认为需要提供的其他技术证明材料；</w:t>
      </w:r>
    </w:p>
    <w:p w14:paraId="34FA5D9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（6）其他（如有）。</w:t>
      </w:r>
    </w:p>
    <w:p w14:paraId="778ED20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 xml:space="preserve"> </w:t>
      </w:r>
    </w:p>
    <w:p w14:paraId="13ED03C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3EFD114">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D3755AA">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1F073A5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（1）投标响应表</w:t>
      </w:r>
    </w:p>
    <w:p w14:paraId="73698372">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2DB9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699CC432">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noWrap w:val="0"/>
            <w:vAlign w:val="center"/>
          </w:tcPr>
          <w:p w14:paraId="021B3D5F">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noWrap w:val="0"/>
            <w:vAlign w:val="center"/>
          </w:tcPr>
          <w:p w14:paraId="33DEB394">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noWrap w:val="0"/>
            <w:vAlign w:val="center"/>
          </w:tcPr>
          <w:p w14:paraId="0BEE8FA7">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noWrap w:val="0"/>
            <w:vAlign w:val="center"/>
          </w:tcPr>
          <w:p w14:paraId="14BB15F5">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4BEE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73ED301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noWrap w:val="0"/>
            <w:vAlign w:val="center"/>
          </w:tcPr>
          <w:p w14:paraId="449805E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noWrap w:val="0"/>
            <w:vAlign w:val="center"/>
          </w:tcPr>
          <w:p w14:paraId="1E1ADF2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noWrap w:val="0"/>
            <w:vAlign w:val="center"/>
          </w:tcPr>
          <w:p w14:paraId="7EB485E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noWrap w:val="0"/>
            <w:vAlign w:val="center"/>
          </w:tcPr>
          <w:p w14:paraId="1C45684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5E8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61B37EC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noWrap w:val="0"/>
            <w:vAlign w:val="center"/>
          </w:tcPr>
          <w:p w14:paraId="4170265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noWrap w:val="0"/>
            <w:vAlign w:val="center"/>
          </w:tcPr>
          <w:p w14:paraId="030A702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noWrap w:val="0"/>
            <w:vAlign w:val="center"/>
          </w:tcPr>
          <w:p w14:paraId="3615F87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noWrap w:val="0"/>
            <w:vAlign w:val="center"/>
          </w:tcPr>
          <w:p w14:paraId="112E147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F91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064EC1C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noWrap w:val="0"/>
            <w:vAlign w:val="center"/>
          </w:tcPr>
          <w:p w14:paraId="3308709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noWrap w:val="0"/>
            <w:vAlign w:val="center"/>
          </w:tcPr>
          <w:p w14:paraId="3EBE332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noWrap w:val="0"/>
            <w:vAlign w:val="center"/>
          </w:tcPr>
          <w:p w14:paraId="221BB414">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noWrap w:val="0"/>
            <w:vAlign w:val="center"/>
          </w:tcPr>
          <w:p w14:paraId="1C622EC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104F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164CFED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noWrap w:val="0"/>
            <w:vAlign w:val="center"/>
          </w:tcPr>
          <w:p w14:paraId="5C79267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noWrap w:val="0"/>
            <w:vAlign w:val="center"/>
          </w:tcPr>
          <w:p w14:paraId="460D30A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noWrap w:val="0"/>
            <w:vAlign w:val="center"/>
          </w:tcPr>
          <w:p w14:paraId="053A2C8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noWrap w:val="0"/>
            <w:vAlign w:val="center"/>
          </w:tcPr>
          <w:p w14:paraId="3EF976B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10BE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22C1D05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noWrap w:val="0"/>
            <w:vAlign w:val="center"/>
          </w:tcPr>
          <w:p w14:paraId="723EF72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noWrap w:val="0"/>
            <w:vAlign w:val="center"/>
          </w:tcPr>
          <w:p w14:paraId="0DAFF01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noWrap w:val="0"/>
            <w:vAlign w:val="center"/>
          </w:tcPr>
          <w:p w14:paraId="157B6AA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noWrap w:val="0"/>
            <w:vAlign w:val="center"/>
          </w:tcPr>
          <w:p w14:paraId="69FD23E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4ABAE3DB">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4B58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4914DFD2">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915" w:type="pct"/>
            <w:tcBorders>
              <w:top w:val="single" w:color="auto" w:sz="4" w:space="0"/>
              <w:left w:val="nil"/>
              <w:bottom w:val="single" w:color="auto" w:sz="4" w:space="0"/>
              <w:right w:val="single" w:color="auto" w:sz="4" w:space="0"/>
            </w:tcBorders>
            <w:noWrap w:val="0"/>
            <w:vAlign w:val="center"/>
          </w:tcPr>
          <w:p w14:paraId="0C4C0640">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noWrap w:val="0"/>
            <w:vAlign w:val="center"/>
          </w:tcPr>
          <w:p w14:paraId="1CC70830">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456" w:type="pct"/>
            <w:tcBorders>
              <w:top w:val="single" w:color="auto" w:sz="4" w:space="0"/>
              <w:left w:val="nil"/>
              <w:bottom w:val="single" w:color="auto" w:sz="4" w:space="0"/>
              <w:right w:val="single" w:color="auto" w:sz="4" w:space="0"/>
            </w:tcBorders>
            <w:noWrap w:val="0"/>
            <w:vAlign w:val="center"/>
          </w:tcPr>
          <w:p w14:paraId="2EE000C8">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01" w:type="pct"/>
            <w:tcBorders>
              <w:top w:val="single" w:color="auto" w:sz="4" w:space="0"/>
              <w:left w:val="nil"/>
              <w:bottom w:val="single" w:color="auto" w:sz="4" w:space="0"/>
              <w:right w:val="single" w:color="auto" w:sz="4" w:space="0"/>
            </w:tcBorders>
            <w:noWrap w:val="0"/>
            <w:vAlign w:val="center"/>
          </w:tcPr>
          <w:p w14:paraId="566B0033">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0F5F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54CB8C1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915" w:type="pct"/>
            <w:tcBorders>
              <w:top w:val="single" w:color="auto" w:sz="4" w:space="0"/>
              <w:left w:val="nil"/>
              <w:bottom w:val="single" w:color="auto" w:sz="4" w:space="0"/>
              <w:right w:val="single" w:color="auto" w:sz="4" w:space="0"/>
            </w:tcBorders>
            <w:noWrap w:val="0"/>
            <w:vAlign w:val="center"/>
          </w:tcPr>
          <w:p w14:paraId="1169829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noWrap w:val="0"/>
            <w:vAlign w:val="center"/>
          </w:tcPr>
          <w:p w14:paraId="2618F4F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noWrap w:val="0"/>
            <w:vAlign w:val="center"/>
          </w:tcPr>
          <w:p w14:paraId="7E899C4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noWrap w:val="0"/>
            <w:vAlign w:val="center"/>
          </w:tcPr>
          <w:p w14:paraId="229F970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504C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109D658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915" w:type="pct"/>
            <w:tcBorders>
              <w:top w:val="single" w:color="auto" w:sz="4" w:space="0"/>
              <w:left w:val="nil"/>
              <w:bottom w:val="single" w:color="auto" w:sz="4" w:space="0"/>
              <w:right w:val="single" w:color="auto" w:sz="4" w:space="0"/>
            </w:tcBorders>
            <w:noWrap w:val="0"/>
            <w:vAlign w:val="center"/>
          </w:tcPr>
          <w:p w14:paraId="2F053D4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noWrap w:val="0"/>
            <w:vAlign w:val="center"/>
          </w:tcPr>
          <w:p w14:paraId="64356B3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noWrap w:val="0"/>
            <w:vAlign w:val="center"/>
          </w:tcPr>
          <w:p w14:paraId="57F1C6A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noWrap w:val="0"/>
            <w:vAlign w:val="center"/>
          </w:tcPr>
          <w:p w14:paraId="0B900F8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1A70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2F8FCF1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915" w:type="pct"/>
            <w:tcBorders>
              <w:top w:val="single" w:color="auto" w:sz="4" w:space="0"/>
              <w:left w:val="nil"/>
              <w:bottom w:val="single" w:color="auto" w:sz="4" w:space="0"/>
              <w:right w:val="single" w:color="auto" w:sz="4" w:space="0"/>
            </w:tcBorders>
            <w:noWrap w:val="0"/>
            <w:vAlign w:val="center"/>
          </w:tcPr>
          <w:p w14:paraId="7CBFC9C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noWrap w:val="0"/>
            <w:vAlign w:val="center"/>
          </w:tcPr>
          <w:p w14:paraId="5D8A5F1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noWrap w:val="0"/>
            <w:vAlign w:val="center"/>
          </w:tcPr>
          <w:p w14:paraId="19265A93">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noWrap w:val="0"/>
            <w:vAlign w:val="center"/>
          </w:tcPr>
          <w:p w14:paraId="5F3AE4C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AAB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693254C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915" w:type="pct"/>
            <w:tcBorders>
              <w:top w:val="single" w:color="auto" w:sz="4" w:space="0"/>
              <w:left w:val="nil"/>
              <w:bottom w:val="single" w:color="auto" w:sz="4" w:space="0"/>
              <w:right w:val="single" w:color="auto" w:sz="4" w:space="0"/>
            </w:tcBorders>
            <w:noWrap w:val="0"/>
            <w:vAlign w:val="center"/>
          </w:tcPr>
          <w:p w14:paraId="3877F8A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noWrap w:val="0"/>
            <w:vAlign w:val="center"/>
          </w:tcPr>
          <w:p w14:paraId="72D6F90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noWrap w:val="0"/>
            <w:vAlign w:val="center"/>
          </w:tcPr>
          <w:p w14:paraId="482C2387">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noWrap w:val="0"/>
            <w:vAlign w:val="center"/>
          </w:tcPr>
          <w:p w14:paraId="0BFE9A4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BF5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6E5A4D3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915" w:type="pct"/>
            <w:tcBorders>
              <w:top w:val="single" w:color="auto" w:sz="4" w:space="0"/>
              <w:left w:val="nil"/>
              <w:bottom w:val="single" w:color="auto" w:sz="4" w:space="0"/>
              <w:right w:val="single" w:color="auto" w:sz="4" w:space="0"/>
            </w:tcBorders>
            <w:noWrap w:val="0"/>
            <w:vAlign w:val="center"/>
          </w:tcPr>
          <w:p w14:paraId="3144DC5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noWrap w:val="0"/>
            <w:vAlign w:val="center"/>
          </w:tcPr>
          <w:p w14:paraId="3CD8822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noWrap w:val="0"/>
            <w:vAlign w:val="center"/>
          </w:tcPr>
          <w:p w14:paraId="774275C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noWrap w:val="0"/>
            <w:vAlign w:val="center"/>
          </w:tcPr>
          <w:p w14:paraId="173C185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066F90D3">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5B678A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572B889">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2216E12">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A11249B">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0AFA92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（2）诚信履约承诺函</w:t>
      </w:r>
    </w:p>
    <w:p w14:paraId="31432A78">
      <w:pPr>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7A1175DF">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6A9E9E7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69A23C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3BDE7D8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1EF058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E4C79F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CEE283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7DF933E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1BB54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7049F5E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2F0B2EC0">
      <w:pPr>
        <w:spacing w:line="36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14C0D65A">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5EDCF2C6">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360131B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456E051">
      <w:pPr>
        <w:spacing w:line="360" w:lineRule="auto"/>
        <w:jc w:val="center"/>
        <w:outlineLvl w:val="1"/>
        <w:rPr>
          <w:rFonts w:hint="eastAsia" w:ascii="宋体" w:hAnsi="宋体" w:eastAsia="宋体"/>
          <w:b/>
          <w:color w:val="auto"/>
          <w:sz w:val="24"/>
          <w:szCs w:val="24"/>
          <w:highlight w:val="none"/>
          <w:lang w:eastAsia="zh-CN" w:bidi="ar"/>
        </w:rPr>
      </w:pPr>
    </w:p>
    <w:p w14:paraId="3411A405">
      <w:pPr>
        <w:spacing w:line="360" w:lineRule="auto"/>
        <w:jc w:val="center"/>
        <w:outlineLvl w:val="1"/>
        <w:rPr>
          <w:rFonts w:hint="eastAsia" w:ascii="宋体" w:hAnsi="宋体" w:eastAsia="宋体"/>
          <w:b/>
          <w:color w:val="auto"/>
          <w:sz w:val="24"/>
          <w:szCs w:val="24"/>
          <w:highlight w:val="none"/>
          <w:lang w:eastAsia="zh-CN" w:bidi="ar"/>
        </w:rPr>
      </w:pPr>
      <w:r>
        <w:rPr>
          <w:rFonts w:hint="eastAsia" w:ascii="宋体" w:hAnsi="宋体" w:eastAsia="宋体"/>
          <w:b/>
          <w:color w:val="auto"/>
          <w:sz w:val="24"/>
          <w:szCs w:val="24"/>
          <w:highlight w:val="none"/>
          <w:lang w:eastAsia="zh-CN" w:bidi="ar"/>
        </w:rPr>
        <w:t>（</w:t>
      </w:r>
      <w:r>
        <w:rPr>
          <w:rFonts w:hint="eastAsia" w:ascii="宋体" w:hAnsi="宋体" w:eastAsia="宋体"/>
          <w:b/>
          <w:color w:val="auto"/>
          <w:sz w:val="24"/>
          <w:szCs w:val="24"/>
          <w:highlight w:val="none"/>
          <w:lang w:val="en-US" w:eastAsia="zh-CN" w:bidi="ar"/>
        </w:rPr>
        <w:t>3</w:t>
      </w:r>
      <w:r>
        <w:rPr>
          <w:rFonts w:hint="eastAsia" w:ascii="宋体" w:hAnsi="宋体" w:eastAsia="宋体"/>
          <w:b/>
          <w:color w:val="auto"/>
          <w:sz w:val="24"/>
          <w:szCs w:val="24"/>
          <w:highlight w:val="none"/>
          <w:lang w:eastAsia="zh-CN" w:bidi="ar"/>
        </w:rPr>
        <w:t>）</w:t>
      </w:r>
      <w:r>
        <w:rPr>
          <w:rFonts w:hint="eastAsia" w:ascii="宋体" w:hAnsi="宋体" w:eastAsia="宋体"/>
          <w:b/>
          <w:color w:val="auto"/>
          <w:sz w:val="24"/>
          <w:szCs w:val="24"/>
          <w:highlight w:val="none"/>
          <w:lang w:bidi="ar"/>
        </w:rPr>
        <w:t xml:space="preserve"> </w:t>
      </w:r>
      <w:r>
        <w:rPr>
          <w:rFonts w:hint="eastAsia" w:ascii="宋体" w:hAnsi="宋体" w:eastAsia="宋体"/>
          <w:b/>
          <w:color w:val="auto"/>
          <w:sz w:val="24"/>
          <w:szCs w:val="24"/>
          <w:highlight w:val="none"/>
          <w:lang w:val="en-US" w:eastAsia="zh-CN" w:bidi="ar"/>
        </w:rPr>
        <w:t>响应承诺函</w:t>
      </w:r>
    </w:p>
    <w:p w14:paraId="37404448">
      <w:pPr>
        <w:spacing w:line="360" w:lineRule="auto"/>
        <w:jc w:val="center"/>
        <w:outlineLvl w:val="1"/>
        <w:rPr>
          <w:rFonts w:hint="default" w:ascii="宋体" w:hAnsi="宋体" w:eastAsia="宋体"/>
          <w:b/>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按招标文件P66页评审要求提供响应承诺函，格式自拟</w:t>
      </w:r>
    </w:p>
    <w:p w14:paraId="67890DD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27CA8BB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三、商务标格式文件</w:t>
      </w:r>
    </w:p>
    <w:p w14:paraId="204C94A3">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6CD99411">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522281A9">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4DEC5513">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2503328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商务标</w:t>
      </w:r>
    </w:p>
    <w:p w14:paraId="0C1D0D1A">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（投标文件三）</w:t>
      </w:r>
    </w:p>
    <w:p w14:paraId="0AB700A0">
      <w:pPr>
        <w:jc w:val="center"/>
        <w:rPr>
          <w:rFonts w:hint="eastAsia" w:ascii="宋体" w:hAnsi="宋体" w:eastAsia="宋体" w:cs="宋体"/>
          <w:color w:val="auto"/>
          <w:sz w:val="32"/>
          <w:szCs w:val="32"/>
          <w:highlight w:val="none"/>
          <w:u w:val="single"/>
        </w:rPr>
      </w:pPr>
    </w:p>
    <w:p w14:paraId="217489F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lang w:eastAsia="zh-CN" w:bidi="ar"/>
        </w:rPr>
        <w:t>（</w:t>
      </w:r>
      <w:r>
        <w:rPr>
          <w:rFonts w:hint="eastAsia" w:ascii="宋体" w:hAnsi="宋体" w:eastAsia="宋体" w:cs="宋体"/>
          <w:color w:val="auto"/>
          <w:sz w:val="32"/>
          <w:szCs w:val="32"/>
          <w:highlight w:val="none"/>
          <w:lang w:val="en-US" w:eastAsia="zh-CN" w:bidi="ar"/>
        </w:rPr>
        <w:t>第1/2/3/4包）</w:t>
      </w:r>
    </w:p>
    <w:p w14:paraId="09CDE06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776A2DE">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15891CE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FA627B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CB4E97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32D02A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187A7C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B52622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1DB101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996F6E9">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1713A90C">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72E5822D">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06CA281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390E1E14">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5BB21128">
      <w:pPr>
        <w:spacing w:line="400" w:lineRule="exact"/>
        <w:ind w:firstLine="3379" w:firstLineChars="935"/>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4FA06A40">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6BE732C8">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（1）开标一览表（格式见附件）；</w:t>
      </w:r>
    </w:p>
    <w:p w14:paraId="5368EE37">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（2）投标函（格式见附件）；</w:t>
      </w:r>
    </w:p>
    <w:p w14:paraId="038A3E2B">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（3）投标分项报价表（格式见附件）；</w:t>
      </w:r>
    </w:p>
    <w:p w14:paraId="6A0721CD">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（4）招标文件商务评审中要求提供的其他相关资料；</w:t>
      </w:r>
    </w:p>
    <w:p w14:paraId="7B6442C8">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）投标人认为需要提供的其他材料；</w:t>
      </w:r>
    </w:p>
    <w:p w14:paraId="5D8A80D4">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）其他（如有）。</w:t>
      </w:r>
    </w:p>
    <w:p w14:paraId="665189ED">
      <w:pPr>
        <w:spacing w:line="440" w:lineRule="exact"/>
        <w:ind w:left="420"/>
        <w:rPr>
          <w:rFonts w:hint="eastAsia" w:ascii="宋体" w:hAnsi="宋体" w:eastAsia="宋体" w:cs="宋体"/>
          <w:color w:val="auto"/>
          <w:szCs w:val="21"/>
          <w:highlight w:val="none"/>
        </w:rPr>
      </w:pPr>
    </w:p>
    <w:p w14:paraId="60B0A7B8">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A202CC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13311CE">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1DCCF4C9">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3119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left w:val="single" w:color="auto" w:sz="4" w:space="0"/>
              <w:bottom w:val="single" w:color="auto" w:sz="4" w:space="0"/>
              <w:right w:val="single" w:color="auto" w:sz="4" w:space="0"/>
            </w:tcBorders>
            <w:noWrap w:val="0"/>
            <w:vAlign w:val="center"/>
          </w:tcPr>
          <w:p w14:paraId="4DE0FD01">
            <w:pPr>
              <w:keepNext w:val="0"/>
              <w:keepLines w:val="0"/>
              <w:widowControl/>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项目名称</w:t>
            </w:r>
          </w:p>
        </w:tc>
        <w:tc>
          <w:tcPr>
            <w:tcW w:w="3647" w:type="pct"/>
            <w:tcBorders>
              <w:top w:val="single" w:color="auto" w:sz="4" w:space="0"/>
              <w:left w:val="nil"/>
              <w:bottom w:val="single" w:color="auto" w:sz="4" w:space="0"/>
              <w:right w:val="single" w:color="auto" w:sz="4" w:space="0"/>
            </w:tcBorders>
            <w:noWrap w:val="0"/>
            <w:vAlign w:val="center"/>
          </w:tcPr>
          <w:p w14:paraId="32218E2D">
            <w:pPr>
              <w:keepNext w:val="0"/>
              <w:keepLines w:val="0"/>
              <w:suppressLineNumbers w:val="0"/>
              <w:spacing w:before="0" w:beforeAutospacing="0" w:after="0" w:afterAutospacing="0" w:line="360" w:lineRule="exact"/>
              <w:ind w:left="0" w:right="0"/>
              <w:jc w:val="center"/>
              <w:rPr>
                <w:rFonts w:hint="eastAsia" w:ascii="宋体" w:hAnsi="宋体" w:eastAsia="宋体"/>
                <w:bCs/>
                <w:color w:val="auto"/>
                <w:sz w:val="24"/>
                <w:szCs w:val="24"/>
                <w:highlight w:val="none"/>
                <w:u w:val="single"/>
              </w:rPr>
            </w:pPr>
          </w:p>
        </w:tc>
      </w:tr>
      <w:tr w14:paraId="4761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left w:val="single" w:color="auto" w:sz="4" w:space="0"/>
              <w:bottom w:val="single" w:color="auto" w:sz="4" w:space="0"/>
              <w:right w:val="single" w:color="auto" w:sz="4" w:space="0"/>
            </w:tcBorders>
            <w:noWrap w:val="0"/>
            <w:vAlign w:val="center"/>
          </w:tcPr>
          <w:p w14:paraId="6395EEDE">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投标人全称</w:t>
            </w:r>
          </w:p>
        </w:tc>
        <w:tc>
          <w:tcPr>
            <w:tcW w:w="3647" w:type="pct"/>
            <w:tcBorders>
              <w:top w:val="nil"/>
              <w:left w:val="single" w:color="auto" w:sz="4" w:space="0"/>
              <w:bottom w:val="single" w:color="auto" w:sz="4" w:space="0"/>
              <w:right w:val="single" w:color="auto" w:sz="4" w:space="0"/>
            </w:tcBorders>
            <w:noWrap w:val="0"/>
            <w:vAlign w:val="center"/>
          </w:tcPr>
          <w:p w14:paraId="45460F41">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4"/>
                <w:highlight w:val="none"/>
              </w:rPr>
            </w:pPr>
          </w:p>
        </w:tc>
      </w:tr>
      <w:tr w14:paraId="6CD7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1" w:type="pct"/>
            <w:tcBorders>
              <w:top w:val="nil"/>
              <w:left w:val="single" w:color="auto" w:sz="4" w:space="0"/>
              <w:bottom w:val="single" w:color="auto" w:sz="4" w:space="0"/>
              <w:right w:val="single" w:color="auto" w:sz="4" w:space="0"/>
            </w:tcBorders>
            <w:noWrap w:val="0"/>
            <w:vAlign w:val="center"/>
          </w:tcPr>
          <w:p w14:paraId="7985FD75">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投标范围</w:t>
            </w:r>
          </w:p>
        </w:tc>
        <w:tc>
          <w:tcPr>
            <w:tcW w:w="3647" w:type="pct"/>
            <w:tcBorders>
              <w:top w:val="nil"/>
              <w:left w:val="single" w:color="auto" w:sz="4" w:space="0"/>
              <w:bottom w:val="single" w:color="auto" w:sz="4" w:space="0"/>
              <w:right w:val="single" w:color="auto" w:sz="4" w:space="0"/>
            </w:tcBorders>
            <w:noWrap w:val="0"/>
            <w:vAlign w:val="center"/>
          </w:tcPr>
          <w:p w14:paraId="2FC33AA4">
            <w:pPr>
              <w:keepNext w:val="0"/>
              <w:keepLines w:val="0"/>
              <w:widowControl/>
              <w:suppressLineNumbers w:val="0"/>
              <w:autoSpaceDE w:val="0"/>
              <w:spacing w:before="0" w:beforeAutospacing="0" w:after="0" w:afterAutospacing="0" w:line="360" w:lineRule="auto"/>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全部</w:t>
            </w:r>
          </w:p>
        </w:tc>
      </w:tr>
      <w:tr w14:paraId="18AA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351" w:type="pct"/>
            <w:tcBorders>
              <w:top w:val="nil"/>
              <w:left w:val="single" w:color="auto" w:sz="4" w:space="0"/>
              <w:bottom w:val="single" w:color="auto" w:sz="4" w:space="0"/>
              <w:right w:val="single" w:color="auto" w:sz="4" w:space="0"/>
            </w:tcBorders>
            <w:noWrap w:val="0"/>
            <w:vAlign w:val="center"/>
          </w:tcPr>
          <w:p w14:paraId="4205ADB5">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投标报价</w:t>
            </w:r>
          </w:p>
        </w:tc>
        <w:tc>
          <w:tcPr>
            <w:tcW w:w="3647" w:type="pct"/>
            <w:tcBorders>
              <w:top w:val="nil"/>
              <w:left w:val="single" w:color="auto" w:sz="4" w:space="0"/>
              <w:bottom w:val="single" w:color="auto" w:sz="4" w:space="0"/>
              <w:right w:val="single" w:color="auto" w:sz="4" w:space="0"/>
            </w:tcBorders>
            <w:noWrap w:val="0"/>
            <w:vAlign w:val="center"/>
          </w:tcPr>
          <w:p w14:paraId="417E0FCF">
            <w:pPr>
              <w:keepNext w:val="0"/>
              <w:keepLines w:val="0"/>
              <w:suppressLineNumbers w:val="0"/>
              <w:autoSpaceDE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大写：</w:t>
            </w:r>
            <w:r>
              <w:rPr>
                <w:rFonts w:hint="eastAsia" w:ascii="宋体" w:hAnsi="宋体" w:eastAsia="宋体" w:cs="宋体"/>
                <w:bCs/>
                <w:color w:val="auto"/>
                <w:sz w:val="24"/>
                <w:szCs w:val="24"/>
                <w:highlight w:val="none"/>
                <w:u w:val="single"/>
                <w:lang w:bidi="ar"/>
              </w:rPr>
              <w:t xml:space="preserve">                     </w:t>
            </w:r>
          </w:p>
          <w:p w14:paraId="2F512C30">
            <w:pPr>
              <w:keepNext w:val="0"/>
              <w:keepLines w:val="0"/>
              <w:suppressLineNumbers w:val="0"/>
              <w:autoSpaceDE w:val="0"/>
              <w:spacing w:before="0" w:beforeAutospacing="0" w:after="0" w:afterAutospacing="0" w:line="360" w:lineRule="auto"/>
              <w:ind w:left="0" w:right="-670"/>
              <w:rPr>
                <w:rFonts w:hint="eastAsia" w:ascii="宋体" w:hAnsi="宋体" w:eastAsia="宋体"/>
                <w:color w:val="auto"/>
                <w:sz w:val="24"/>
                <w:szCs w:val="24"/>
                <w:highlight w:val="none"/>
              </w:rPr>
            </w:pPr>
            <w:r>
              <w:rPr>
                <w:rFonts w:hint="eastAsia" w:ascii="宋体" w:hAnsi="宋体" w:eastAsia="宋体" w:cs="宋体"/>
                <w:bCs/>
                <w:color w:val="auto"/>
                <w:sz w:val="24"/>
                <w:szCs w:val="24"/>
                <w:highlight w:val="none"/>
                <w:lang w:bidi="ar"/>
              </w:rPr>
              <w:t>小写：</w:t>
            </w:r>
            <w:r>
              <w:rPr>
                <w:rFonts w:hint="eastAsia" w:ascii="宋体" w:hAnsi="宋体" w:eastAsia="宋体" w:cs="宋体"/>
                <w:bCs/>
                <w:color w:val="auto"/>
                <w:sz w:val="24"/>
                <w:szCs w:val="24"/>
                <w:highlight w:val="none"/>
                <w:u w:val="single"/>
                <w:lang w:bidi="ar"/>
              </w:rPr>
              <w:t xml:space="preserve">                     </w:t>
            </w:r>
          </w:p>
        </w:tc>
      </w:tr>
      <w:tr w14:paraId="7A68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left w:val="single" w:color="auto" w:sz="4" w:space="0"/>
              <w:bottom w:val="single" w:color="auto" w:sz="4" w:space="0"/>
              <w:right w:val="single" w:color="auto" w:sz="4" w:space="0"/>
            </w:tcBorders>
            <w:noWrap w:val="0"/>
            <w:vAlign w:val="center"/>
          </w:tcPr>
          <w:p w14:paraId="252E81F5">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其他</w:t>
            </w:r>
          </w:p>
        </w:tc>
        <w:tc>
          <w:tcPr>
            <w:tcW w:w="3647" w:type="pct"/>
            <w:tcBorders>
              <w:top w:val="nil"/>
              <w:left w:val="single" w:color="auto" w:sz="4" w:space="0"/>
              <w:bottom w:val="single" w:color="auto" w:sz="4" w:space="0"/>
              <w:right w:val="single" w:color="auto" w:sz="4" w:space="0"/>
            </w:tcBorders>
            <w:noWrap w:val="0"/>
            <w:vAlign w:val="center"/>
          </w:tcPr>
          <w:p w14:paraId="54805FFA">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4"/>
                <w:highlight w:val="none"/>
              </w:rPr>
            </w:pPr>
          </w:p>
        </w:tc>
      </w:tr>
    </w:tbl>
    <w:p w14:paraId="64025DD0">
      <w:pPr>
        <w:spacing w:line="360" w:lineRule="auto"/>
        <w:ind w:firstLine="4320" w:firstLineChars="1800"/>
        <w:jc w:val="center"/>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08F8A9AE">
      <w:pPr>
        <w:spacing w:line="360" w:lineRule="auto"/>
        <w:ind w:firstLine="4320" w:firstLineChars="1800"/>
        <w:jc w:val="center"/>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665EBE15">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C42448E">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3372F2FF">
      <w:pPr>
        <w:spacing w:line="360" w:lineRule="auto"/>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注：</w:t>
      </w:r>
    </w:p>
    <w:p w14:paraId="185CC043">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1</w:t>
      </w:r>
      <w:r>
        <w:rPr>
          <w:rFonts w:hint="eastAsia" w:ascii="宋体" w:hAnsi="宋体" w:eastAsia="宋体" w:cs="宋体"/>
          <w:color w:val="auto"/>
          <w:sz w:val="24"/>
          <w:szCs w:val="24"/>
          <w:highlight w:val="none"/>
          <w:lang w:bidi="ar"/>
        </w:rPr>
        <w:t>.此表用于开标唱标之用。</w:t>
      </w:r>
    </w:p>
    <w:p w14:paraId="23E88F8A">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w:t>
      </w:r>
      <w:r>
        <w:rPr>
          <w:rFonts w:hint="eastAsia" w:ascii="宋体" w:hAnsi="宋体" w:eastAsia="宋体" w:cs="宋体"/>
          <w:color w:val="auto"/>
          <w:sz w:val="24"/>
          <w:szCs w:val="24"/>
          <w:highlight w:val="none"/>
          <w:lang w:bidi="ar"/>
        </w:rPr>
        <w:t>.表中投标报价即为优惠后报价，并作为评审及定标依据。任何有选择或有条件的投标报价，或者表中某一包别填写多个报价，均为无效报价。</w:t>
      </w:r>
    </w:p>
    <w:p w14:paraId="154392CC">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3.表中大写金额与小写金额不一致的，以大写金额为准。</w:t>
      </w:r>
      <w:r>
        <w:rPr>
          <w:rFonts w:hint="eastAsia" w:ascii="宋体" w:hAnsi="宋体" w:eastAsia="宋体"/>
          <w:color w:val="auto"/>
          <w:sz w:val="24"/>
          <w:szCs w:val="24"/>
          <w:highlight w:val="none"/>
          <w:lang w:bidi="ar"/>
        </w:rPr>
        <w:br w:type="page"/>
      </w:r>
    </w:p>
    <w:p w14:paraId="2B53E39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（2）投标函</w:t>
      </w:r>
    </w:p>
    <w:p w14:paraId="29BD24B0">
      <w:pPr>
        <w:pStyle w:val="22"/>
        <w:spacing w:before="0" w:beforeAutospacing="0" w:after="0" w:afterAutospacing="0" w:line="360" w:lineRule="auto"/>
        <w:jc w:val="both"/>
        <w:rPr>
          <w:rFonts w:hint="eastAsia" w:ascii="宋体" w:hAnsi="宋体" w:eastAsia="宋体" w:cs="Arial"/>
          <w:b/>
          <w:color w:val="auto"/>
          <w:kern w:val="2"/>
          <w:szCs w:val="24"/>
          <w:highlight w:val="none"/>
          <w:u w:val="singl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796BA2B7">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根据贵方的招标公告和投标邀请，我方兹宣布同意如下：</w:t>
      </w:r>
    </w:p>
    <w:p w14:paraId="063D0EE1">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1.我方根据招标文件的规定，严格履行合同的责任和义务,并保证于买方要求的日期内完成，并通过买方验收。</w:t>
      </w:r>
    </w:p>
    <w:p w14:paraId="3E881DC1">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2.我方已详细审核全部招标文件，包括招标文件附件及更正公告（如有），我方正式认可并遵守本次招标文件，并对招标文件各项条款、规定及要求均无异议。</w:t>
      </w:r>
    </w:p>
    <w:p w14:paraId="57954B28">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3.我方同意从招标文件规定的开标日期起遵循本招标文件，并在招标文件规定的投标有效期之前均具有约束力。</w:t>
      </w:r>
    </w:p>
    <w:p w14:paraId="4D6FA667">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B8D1D59">
      <w:pPr>
        <w:spacing w:line="360" w:lineRule="auto"/>
        <w:ind w:firstLine="4800" w:firstLineChars="20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1A0F52EB">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69B9FC7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D481402">
      <w:pPr>
        <w:widowControl/>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bidi="ar"/>
        </w:rPr>
        <w:br w:type="page"/>
      </w:r>
    </w:p>
    <w:p w14:paraId="01C46B0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（3）投标分项报价表</w:t>
      </w:r>
    </w:p>
    <w:p w14:paraId="1396787A">
      <w:pPr>
        <w:spacing w:line="360" w:lineRule="auto"/>
        <w:ind w:firstLine="435"/>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3E8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14:paraId="2F8F6AFA">
            <w:pPr>
              <w:pStyle w:val="22"/>
              <w:keepNext w:val="0"/>
              <w:keepLines w:val="0"/>
              <w:suppressLineNumbers w:val="0"/>
              <w:spacing w:before="0" w:beforeAutospacing="0" w:after="0" w:afterAutospacing="0"/>
              <w:ind w:left="0" w:right="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776" w:type="pct"/>
            <w:tcBorders>
              <w:top w:val="single" w:color="auto" w:sz="4" w:space="0"/>
              <w:left w:val="single" w:color="auto" w:sz="4" w:space="0"/>
              <w:bottom w:val="single" w:color="auto" w:sz="4" w:space="0"/>
              <w:right w:val="single" w:color="auto" w:sz="4" w:space="0"/>
            </w:tcBorders>
            <w:noWrap w:val="0"/>
            <w:vAlign w:val="center"/>
          </w:tcPr>
          <w:p w14:paraId="762721BA">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773" w:type="pct"/>
            <w:tcBorders>
              <w:top w:val="single" w:color="auto" w:sz="4" w:space="0"/>
              <w:left w:val="single" w:color="auto" w:sz="4" w:space="0"/>
              <w:bottom w:val="single" w:color="auto" w:sz="4" w:space="0"/>
              <w:right w:val="single" w:color="auto" w:sz="4" w:space="0"/>
            </w:tcBorders>
            <w:noWrap w:val="0"/>
            <w:vAlign w:val="center"/>
          </w:tcPr>
          <w:p w14:paraId="614FD5D7">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品牌、型</w:t>
            </w:r>
          </w:p>
          <w:p w14:paraId="1D37F49A">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号</w:t>
            </w:r>
          </w:p>
        </w:tc>
        <w:tc>
          <w:tcPr>
            <w:tcW w:w="773" w:type="pct"/>
            <w:tcBorders>
              <w:top w:val="single" w:color="auto" w:sz="4" w:space="0"/>
              <w:left w:val="single" w:color="auto" w:sz="4" w:space="0"/>
              <w:bottom w:val="single" w:color="auto" w:sz="4" w:space="0"/>
              <w:right w:val="single" w:color="auto" w:sz="4" w:space="0"/>
            </w:tcBorders>
            <w:noWrap w:val="0"/>
            <w:vAlign w:val="center"/>
          </w:tcPr>
          <w:p w14:paraId="1C76228D">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原产地及</w:t>
            </w:r>
          </w:p>
          <w:p w14:paraId="2E6C6018">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生产厂商</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720947C5">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F811F0A">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697D67F">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单价</w:t>
            </w:r>
          </w:p>
          <w:p w14:paraId="74A27EB6">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D91A38D">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5C4FD3C5">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66E856AB">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1DC5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31E1E83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776" w:type="pct"/>
            <w:tcBorders>
              <w:top w:val="single" w:color="auto" w:sz="4" w:space="0"/>
              <w:left w:val="single" w:color="auto" w:sz="4" w:space="0"/>
              <w:bottom w:val="single" w:color="auto" w:sz="4" w:space="0"/>
              <w:right w:val="single" w:color="auto" w:sz="4" w:space="0"/>
            </w:tcBorders>
            <w:noWrap w:val="0"/>
            <w:vAlign w:val="top"/>
          </w:tcPr>
          <w:p w14:paraId="00135B3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7F3FB8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02368E1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6D3B955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3C8F2C8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0EFD1E2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07ABF1C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5DEB3CE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10A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2E82ED2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776" w:type="pct"/>
            <w:tcBorders>
              <w:top w:val="single" w:color="auto" w:sz="4" w:space="0"/>
              <w:left w:val="single" w:color="auto" w:sz="4" w:space="0"/>
              <w:bottom w:val="single" w:color="auto" w:sz="4" w:space="0"/>
              <w:right w:val="single" w:color="auto" w:sz="4" w:space="0"/>
            </w:tcBorders>
            <w:noWrap w:val="0"/>
            <w:vAlign w:val="top"/>
          </w:tcPr>
          <w:p w14:paraId="2099552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A73979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5836BDF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4913C76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7079C59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E10671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1F31CCF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55BD9A2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2A28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08E51FA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776" w:type="pct"/>
            <w:tcBorders>
              <w:top w:val="single" w:color="auto" w:sz="4" w:space="0"/>
              <w:left w:val="single" w:color="auto" w:sz="4" w:space="0"/>
              <w:bottom w:val="single" w:color="auto" w:sz="4" w:space="0"/>
              <w:right w:val="single" w:color="auto" w:sz="4" w:space="0"/>
            </w:tcBorders>
            <w:noWrap w:val="0"/>
            <w:vAlign w:val="top"/>
          </w:tcPr>
          <w:p w14:paraId="0607D1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10CE7A8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6D730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1F20398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4D17E34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7CFED10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0D8BBF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2F150BA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6375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0E56EA7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776" w:type="pct"/>
            <w:tcBorders>
              <w:top w:val="single" w:color="auto" w:sz="4" w:space="0"/>
              <w:left w:val="single" w:color="auto" w:sz="4" w:space="0"/>
              <w:bottom w:val="single" w:color="auto" w:sz="4" w:space="0"/>
              <w:right w:val="single" w:color="auto" w:sz="4" w:space="0"/>
            </w:tcBorders>
            <w:noWrap w:val="0"/>
            <w:vAlign w:val="top"/>
          </w:tcPr>
          <w:p w14:paraId="74F8556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A9C902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21BC918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7CD5F31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521531C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22E046D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74E99B0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725DE82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4D8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1BD7958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5</w:t>
            </w:r>
          </w:p>
        </w:tc>
        <w:tc>
          <w:tcPr>
            <w:tcW w:w="776" w:type="pct"/>
            <w:tcBorders>
              <w:top w:val="single" w:color="auto" w:sz="4" w:space="0"/>
              <w:left w:val="single" w:color="auto" w:sz="4" w:space="0"/>
              <w:bottom w:val="single" w:color="auto" w:sz="4" w:space="0"/>
              <w:right w:val="single" w:color="auto" w:sz="4" w:space="0"/>
            </w:tcBorders>
            <w:noWrap w:val="0"/>
            <w:vAlign w:val="top"/>
          </w:tcPr>
          <w:p w14:paraId="75474F1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3759E3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841886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1A0AB53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389BA16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0C71F42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4B386F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2BDD640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DDD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6AEDDF1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6</w:t>
            </w:r>
          </w:p>
        </w:tc>
        <w:tc>
          <w:tcPr>
            <w:tcW w:w="776" w:type="pct"/>
            <w:tcBorders>
              <w:top w:val="single" w:color="auto" w:sz="4" w:space="0"/>
              <w:left w:val="single" w:color="auto" w:sz="4" w:space="0"/>
              <w:bottom w:val="single" w:color="auto" w:sz="4" w:space="0"/>
              <w:right w:val="single" w:color="auto" w:sz="4" w:space="0"/>
            </w:tcBorders>
            <w:noWrap w:val="0"/>
            <w:vAlign w:val="top"/>
          </w:tcPr>
          <w:p w14:paraId="7340D0B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70EF611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1DC1BD9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73BCA55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411023A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15D6745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20E62CE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230F2E1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C81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3F42CC8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7</w:t>
            </w:r>
          </w:p>
        </w:tc>
        <w:tc>
          <w:tcPr>
            <w:tcW w:w="776" w:type="pct"/>
            <w:tcBorders>
              <w:top w:val="single" w:color="auto" w:sz="4" w:space="0"/>
              <w:left w:val="single" w:color="auto" w:sz="4" w:space="0"/>
              <w:bottom w:val="single" w:color="auto" w:sz="4" w:space="0"/>
              <w:right w:val="single" w:color="auto" w:sz="4" w:space="0"/>
            </w:tcBorders>
            <w:noWrap w:val="0"/>
            <w:vAlign w:val="top"/>
          </w:tcPr>
          <w:p w14:paraId="49326DF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7390FAB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5BFF298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06E3AF6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461E2B1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A8D16E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06A348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6B6A433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113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13CAA59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8</w:t>
            </w:r>
          </w:p>
        </w:tc>
        <w:tc>
          <w:tcPr>
            <w:tcW w:w="776" w:type="pct"/>
            <w:tcBorders>
              <w:top w:val="single" w:color="auto" w:sz="4" w:space="0"/>
              <w:left w:val="single" w:color="auto" w:sz="4" w:space="0"/>
              <w:bottom w:val="single" w:color="auto" w:sz="4" w:space="0"/>
              <w:right w:val="single" w:color="auto" w:sz="4" w:space="0"/>
            </w:tcBorders>
            <w:noWrap w:val="0"/>
            <w:vAlign w:val="top"/>
          </w:tcPr>
          <w:p w14:paraId="158B078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4BCF2DC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050163E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38DF9A9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35A00BE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5BF8D4F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333AD1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5F1718A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FC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73DF04D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9</w:t>
            </w:r>
          </w:p>
        </w:tc>
        <w:tc>
          <w:tcPr>
            <w:tcW w:w="776" w:type="pct"/>
            <w:tcBorders>
              <w:top w:val="single" w:color="auto" w:sz="4" w:space="0"/>
              <w:left w:val="single" w:color="auto" w:sz="4" w:space="0"/>
              <w:bottom w:val="single" w:color="auto" w:sz="4" w:space="0"/>
              <w:right w:val="single" w:color="auto" w:sz="4" w:space="0"/>
            </w:tcBorders>
            <w:noWrap w:val="0"/>
            <w:vAlign w:val="top"/>
          </w:tcPr>
          <w:p w14:paraId="4750AA9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6948ED6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120A9C0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550ECB7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0794115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61A27C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FA397A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5892E08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1348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0719DCC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10</w:t>
            </w:r>
          </w:p>
        </w:tc>
        <w:tc>
          <w:tcPr>
            <w:tcW w:w="776" w:type="pct"/>
            <w:tcBorders>
              <w:top w:val="single" w:color="auto" w:sz="4" w:space="0"/>
              <w:left w:val="single" w:color="auto" w:sz="4" w:space="0"/>
              <w:bottom w:val="single" w:color="auto" w:sz="4" w:space="0"/>
              <w:right w:val="single" w:color="auto" w:sz="4" w:space="0"/>
            </w:tcBorders>
            <w:noWrap w:val="0"/>
            <w:vAlign w:val="top"/>
          </w:tcPr>
          <w:p w14:paraId="3FFF4FC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78F53C5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20F21EB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2430DB3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0E969F3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5035293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510572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3063573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1B26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787DD49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11</w:t>
            </w:r>
          </w:p>
        </w:tc>
        <w:tc>
          <w:tcPr>
            <w:tcW w:w="776" w:type="pct"/>
            <w:tcBorders>
              <w:top w:val="single" w:color="auto" w:sz="4" w:space="0"/>
              <w:left w:val="single" w:color="auto" w:sz="4" w:space="0"/>
              <w:bottom w:val="single" w:color="auto" w:sz="4" w:space="0"/>
              <w:right w:val="single" w:color="auto" w:sz="4" w:space="0"/>
            </w:tcBorders>
            <w:noWrap w:val="0"/>
            <w:vAlign w:val="top"/>
          </w:tcPr>
          <w:p w14:paraId="7393B34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05F4419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70F8F5F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6F1B159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601543F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105A140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1242E09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41194F6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DD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651C51F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12</w:t>
            </w:r>
          </w:p>
        </w:tc>
        <w:tc>
          <w:tcPr>
            <w:tcW w:w="776" w:type="pct"/>
            <w:tcBorders>
              <w:top w:val="single" w:color="auto" w:sz="4" w:space="0"/>
              <w:left w:val="single" w:color="auto" w:sz="4" w:space="0"/>
              <w:bottom w:val="single" w:color="auto" w:sz="4" w:space="0"/>
              <w:right w:val="single" w:color="auto" w:sz="4" w:space="0"/>
            </w:tcBorders>
            <w:noWrap w:val="0"/>
            <w:vAlign w:val="top"/>
          </w:tcPr>
          <w:p w14:paraId="4765D49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044D227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0DA10E2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6E13232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4241A8D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027B7C7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5D3146D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43EBFCD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4E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03AD706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13</w:t>
            </w:r>
          </w:p>
        </w:tc>
        <w:tc>
          <w:tcPr>
            <w:tcW w:w="776" w:type="pct"/>
            <w:tcBorders>
              <w:top w:val="single" w:color="auto" w:sz="4" w:space="0"/>
              <w:left w:val="single" w:color="auto" w:sz="4" w:space="0"/>
              <w:bottom w:val="single" w:color="auto" w:sz="4" w:space="0"/>
              <w:right w:val="single" w:color="auto" w:sz="4" w:space="0"/>
            </w:tcBorders>
            <w:noWrap w:val="0"/>
            <w:vAlign w:val="top"/>
          </w:tcPr>
          <w:p w14:paraId="6FFF5B0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76885FA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6D0207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683243A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55E178B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01A715B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1D0A272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7B57D88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1EFD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08E9295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center"/>
          </w:tcPr>
          <w:p w14:paraId="0895334A">
            <w:pPr>
              <w:pStyle w:val="22"/>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其他费用</w:t>
            </w:r>
          </w:p>
        </w:tc>
        <w:tc>
          <w:tcPr>
            <w:tcW w:w="773" w:type="pct"/>
            <w:tcBorders>
              <w:top w:val="single" w:color="auto" w:sz="4" w:space="0"/>
              <w:left w:val="single" w:color="auto" w:sz="4" w:space="0"/>
              <w:bottom w:val="single" w:color="auto" w:sz="4" w:space="0"/>
              <w:right w:val="single" w:color="auto" w:sz="4" w:space="0"/>
            </w:tcBorders>
            <w:noWrap w:val="0"/>
            <w:vAlign w:val="top"/>
          </w:tcPr>
          <w:p w14:paraId="6C10D99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635B70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07840AD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50B5F4D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01F577A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4EFEC53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6692E26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82B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1469B47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top"/>
          </w:tcPr>
          <w:p w14:paraId="03D2244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noWrap w:val="0"/>
            <w:vAlign w:val="top"/>
          </w:tcPr>
          <w:p w14:paraId="64B0098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6D87A2B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6D9A84C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76699A8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256271F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7DDA319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71AB77B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1CA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0E6C397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top"/>
          </w:tcPr>
          <w:p w14:paraId="7A41778F">
            <w:pPr>
              <w:pStyle w:val="22"/>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noWrap w:val="0"/>
            <w:vAlign w:val="top"/>
          </w:tcPr>
          <w:p w14:paraId="00B55FB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377C606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5B8957E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70AE3D6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650C76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49E1690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3F2C7B5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E65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top"/>
          </w:tcPr>
          <w:p w14:paraId="0A423C7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top"/>
          </w:tcPr>
          <w:p w14:paraId="00A9D43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noWrap w:val="0"/>
            <w:vAlign w:val="top"/>
          </w:tcPr>
          <w:p w14:paraId="3E287D4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6C52AA2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05A3BCD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45C6460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7519B6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622DBC1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572B7C8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641D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tcBorders>
              <w:top w:val="single" w:color="auto" w:sz="4" w:space="0"/>
              <w:left w:val="single" w:color="auto" w:sz="4" w:space="0"/>
              <w:bottom w:val="single" w:color="auto" w:sz="4" w:space="0"/>
              <w:right w:val="single" w:color="auto" w:sz="4" w:space="0"/>
            </w:tcBorders>
            <w:noWrap w:val="0"/>
            <w:vAlign w:val="center"/>
          </w:tcPr>
          <w:p w14:paraId="78DB9A92">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合计（元）</w:t>
            </w:r>
          </w:p>
        </w:tc>
        <w:tc>
          <w:tcPr>
            <w:tcW w:w="773" w:type="pct"/>
            <w:tcBorders>
              <w:top w:val="single" w:color="auto" w:sz="4" w:space="0"/>
              <w:left w:val="single" w:color="auto" w:sz="4" w:space="0"/>
              <w:bottom w:val="single" w:color="auto" w:sz="4" w:space="0"/>
              <w:right w:val="single" w:color="auto" w:sz="4" w:space="0"/>
            </w:tcBorders>
            <w:noWrap w:val="0"/>
            <w:vAlign w:val="top"/>
          </w:tcPr>
          <w:p w14:paraId="5292FDB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top"/>
          </w:tcPr>
          <w:p w14:paraId="5E5ADAC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3F45BC1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14:paraId="3E302D7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788F89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1B2E4FB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noWrap w:val="0"/>
            <w:vAlign w:val="top"/>
          </w:tcPr>
          <w:p w14:paraId="58D429A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bl>
    <w:p w14:paraId="5440FEF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3F06F5D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643778BE">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6E66AFA8">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注：</w:t>
      </w:r>
    </w:p>
    <w:p w14:paraId="6A952EBD">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48E32CE">
      <w:pPr>
        <w:spacing w:line="360" w:lineRule="auto"/>
        <w:ind w:firstLine="435"/>
        <w:rPr>
          <w:rFonts w:hint="eastAsia"/>
          <w:color w:val="auto"/>
          <w:szCs w:val="21"/>
          <w:highlight w:val="none"/>
        </w:rPr>
      </w:pPr>
      <w:r>
        <w:rPr>
          <w:rFonts w:hint="eastAsia" w:ascii="宋体" w:hAnsi="宋体" w:eastAsia="宋体" w:cs="宋体"/>
          <w:color w:val="auto"/>
          <w:sz w:val="24"/>
          <w:szCs w:val="24"/>
          <w:highlight w:val="none"/>
          <w:lang w:bidi="ar"/>
        </w:rPr>
        <w:t>2.表中须明确列出所投产品的货物名称、品牌、型号规格、原产地及生产厂商，否则可能导致</w:t>
      </w:r>
      <w:r>
        <w:rPr>
          <w:rFonts w:hint="eastAsia" w:ascii="宋体" w:hAnsi="宋体" w:eastAsia="宋体" w:cs="宋体"/>
          <w:b/>
          <w:bCs/>
          <w:color w:val="auto"/>
          <w:sz w:val="24"/>
          <w:szCs w:val="24"/>
          <w:highlight w:val="none"/>
          <w:lang w:bidi="ar"/>
        </w:rPr>
        <w:t>投标无效</w:t>
      </w:r>
      <w:r>
        <w:rPr>
          <w:rFonts w:hint="eastAsia" w:ascii="宋体" w:hAnsi="宋体" w:eastAsia="宋体" w:cs="宋体"/>
          <w:color w:val="auto"/>
          <w:sz w:val="24"/>
          <w:szCs w:val="24"/>
          <w:highlight w:val="none"/>
          <w:lang w:bidi="ar"/>
        </w:rPr>
        <w:t>。</w:t>
      </w:r>
    </w:p>
    <w:p w14:paraId="21CF67BA">
      <w:pPr>
        <w:widowControl/>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br w:type="page"/>
      </w:r>
    </w:p>
    <w:p w14:paraId="0B40E01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4E08E92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249050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（4）其他相关证明材料</w:t>
      </w:r>
    </w:p>
    <w:p w14:paraId="7F339637">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如有。</w:t>
      </w:r>
    </w:p>
    <w:p w14:paraId="468FD865">
      <w:pPr>
        <w:spacing w:line="360" w:lineRule="auto"/>
        <w:ind w:firstLine="435"/>
        <w:rPr>
          <w:rFonts w:hint="eastAsia" w:ascii="宋体" w:hAnsi="宋体" w:eastAsia="宋体"/>
          <w:color w:val="auto"/>
          <w:sz w:val="24"/>
          <w:highlight w:val="none"/>
        </w:rPr>
      </w:pPr>
    </w:p>
    <w:p w14:paraId="123E1872">
      <w:pPr>
        <w:spacing w:line="360" w:lineRule="auto"/>
        <w:ind w:firstLine="435"/>
        <w:rPr>
          <w:rFonts w:hint="eastAsia" w:ascii="宋体" w:hAnsi="宋体" w:eastAsia="宋体"/>
          <w:color w:val="auto"/>
          <w:sz w:val="24"/>
          <w:highlight w:val="none"/>
        </w:rPr>
      </w:pPr>
    </w:p>
    <w:p w14:paraId="6A242C01">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4C99146D">
      <w:pP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7C5F8C33">
      <w:pPr>
        <w:spacing w:line="440" w:lineRule="exact"/>
        <w:jc w:val="center"/>
        <w:rPr>
          <w:rFonts w:hint="eastAsia"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关于联合惩戒失信行为 加强信用查询管理的通知</w:t>
      </w:r>
    </w:p>
    <w:p w14:paraId="533E532A">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636F7162">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00229241">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（一）工程建设项目</w:t>
      </w:r>
    </w:p>
    <w:p w14:paraId="7D0A8EB1">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7852524D">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79603A49">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6C8A2DC3">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2386F2D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4CF06447">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16E28D6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20ECC88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7C54573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274C7EDD">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0435064A">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06471EC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1AA09013">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678FC177">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B6DD20C">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（二）政府采购项目</w:t>
      </w:r>
    </w:p>
    <w:p w14:paraId="01BC5231">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1AA17631">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028C192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41A81E93">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7F0DD366">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20230BDC">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2、国家企业信用信息公示系统网站（www.gsxt.gov.cn）查询供应商以下失信行为：</w:t>
      </w:r>
    </w:p>
    <w:p w14:paraId="28905019">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12AE7323">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3、中国政府采购网站（www.ccgp.gov.cn）查询以下失信行为：</w:t>
      </w:r>
    </w:p>
    <w:p w14:paraId="19075B54">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①被列入“政府采购严重违法失信行为信息记录”的。</w:t>
      </w:r>
    </w:p>
    <w:p w14:paraId="5F5A8FD7">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17EA7AF3">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4FF462CC">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二、在开评标活动中的查询程序</w:t>
      </w:r>
    </w:p>
    <w:p w14:paraId="2D55B737">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A6B3EAF">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20C2AF2">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1FDF4DDD">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三、相关要求</w:t>
      </w:r>
    </w:p>
    <w:p w14:paraId="6857B8F8">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9C3D7D">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0199E2C">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E043B17">
      <w:pPr>
        <w:widowControl/>
        <w:autoSpaceDE w:val="0"/>
        <w:spacing w:line="520" w:lineRule="exact"/>
        <w:ind w:firstLine="482" w:firstLineChars="200"/>
        <w:textAlignment w:val="baseline"/>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4057A680">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36C8F2EC">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68181CD2">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4C3CC45">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2E3EE72">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2B2397BB">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64F7C03B">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6A9ACB7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1E0B364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0556CBD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20D61AF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B44C01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79931E2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5E1EECC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3AA4CDF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29A6FE9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3D39C5A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42CA99B9">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4FE05BB7">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3D98F176">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572D4A98">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3D61B4B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36C43AE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023D238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31D99DD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01DBB0A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0E7B83E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031ABEA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68A657A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122D9A3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4571595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4422204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0BF535B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360D4BE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6F940D86">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416DF315">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0473D8F4">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3DCEF019">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402B922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318AB8E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4BFCF38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7F8C0FC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43E5A0C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64E002D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67C9936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683BEF9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97E201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7EA059F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6CD036E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046CD1F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1B32550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4029E0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3A93F9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3903998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34678FC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CBD597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492F234E">
      <w:pPr>
        <w:widowControl/>
        <w:autoSpaceDE w:val="0"/>
        <w:spacing w:line="480" w:lineRule="exact"/>
        <w:ind w:firstLine="480" w:firstLineChars="200"/>
        <w:jc w:val="left"/>
        <w:textAlignment w:val="baseline"/>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3F979F26">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08169397">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38C4C90B">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78D7607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00AD657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1AF0B93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64090BF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101EF64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1DA44A2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5C15E05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7C08FC4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79F6021">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30143999">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523D4214">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76633000">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211C822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450D2F9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39B12C4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2A10EC9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41197325">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657A454A">
      <w:pPr>
        <w:widowControl/>
        <w:autoSpaceDE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630DC75D">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4540602">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389AA4D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00FAA75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7CD9700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5098727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5E1B753B">
      <w:pPr>
        <w:widowControl/>
        <w:autoSpaceDE w:val="0"/>
        <w:spacing w:line="480" w:lineRule="exact"/>
        <w:ind w:firstLine="480" w:firstLineChars="200"/>
        <w:jc w:val="left"/>
        <w:textAlignment w:val="baseline"/>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6CEA9870">
      <w:pPr>
        <w:widowControl/>
        <w:autoSpaceDE w:val="0"/>
        <w:spacing w:line="480" w:lineRule="exact"/>
        <w:ind w:firstLine="482" w:firstLineChars="200"/>
        <w:jc w:val="left"/>
        <w:textAlignment w:val="baseline"/>
        <w:rPr>
          <w:rFonts w:hint="eastAsia"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77B558E2">
      <w:pPr>
        <w:widowControl/>
        <w:autoSpaceDE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EC50314">
      <w:pPr>
        <w:widowControl/>
        <w:autoSpaceDE w:val="0"/>
        <w:spacing w:line="48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未列出的其他类别严重失信行为，由招标人（代理机构）根据各类别行业主管部门下发的联合惩戒文件进行判断。</w:t>
      </w:r>
    </w:p>
    <w:p w14:paraId="355F8106">
      <w:pPr>
        <w:spacing w:line="44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3298EFBF">
      <w:pPr>
        <w:spacing w:line="360" w:lineRule="auto"/>
        <w:ind w:firstLine="435"/>
        <w:rPr>
          <w:rFonts w:hint="eastAsia" w:ascii="宋体" w:hAnsi="宋体" w:eastAsia="宋体"/>
          <w:color w:val="auto"/>
          <w:sz w:val="24"/>
          <w:highlight w:val="none"/>
        </w:rPr>
      </w:pPr>
    </w:p>
    <w:p w14:paraId="4CE0CA03">
      <w:pPr>
        <w:spacing w:line="360" w:lineRule="auto"/>
        <w:ind w:firstLine="435"/>
        <w:rPr>
          <w:rFonts w:hint="eastAsia" w:ascii="宋体" w:hAnsi="宋体" w:eastAsia="宋体"/>
          <w:color w:val="auto"/>
          <w:sz w:val="24"/>
          <w:highlight w:val="none"/>
        </w:rPr>
      </w:pPr>
    </w:p>
    <w:p w14:paraId="15773A28">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44ADA514">
      <w:pPr>
        <w:spacing w:line="360" w:lineRule="auto"/>
        <w:jc w:val="center"/>
        <w:outlineLvl w:val="0"/>
        <w:rPr>
          <w:rFonts w:hint="eastAsia" w:ascii="宋体" w:hAnsi="宋体" w:eastAsia="宋体"/>
          <w:b/>
          <w:bCs/>
          <w:color w:val="auto"/>
          <w:sz w:val="28"/>
          <w:highlight w:val="none"/>
        </w:rPr>
      </w:pPr>
      <w:bookmarkStart w:id="58" w:name="_Toc6435"/>
      <w:bookmarkStart w:id="59" w:name="_Toc18131"/>
      <w:r>
        <w:rPr>
          <w:rFonts w:hint="eastAsia" w:ascii="宋体" w:hAnsi="宋体" w:eastAsia="宋体"/>
          <w:b/>
          <w:color w:val="auto"/>
          <w:sz w:val="28"/>
          <w:highlight w:val="none"/>
        </w:rPr>
        <w:t>第七章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58"/>
      <w:bookmarkEnd w:id="59"/>
    </w:p>
    <w:p w14:paraId="5F92856A">
      <w:pPr>
        <w:spacing w:line="360" w:lineRule="auto"/>
        <w:jc w:val="center"/>
        <w:outlineLvl w:val="1"/>
        <w:rPr>
          <w:rFonts w:hint="eastAsia" w:ascii="仿宋" w:hAnsi="仿宋" w:eastAsia="仿宋" w:cs="仿宋"/>
          <w:b/>
          <w:bCs/>
          <w:color w:val="auto"/>
          <w:sz w:val="32"/>
          <w:szCs w:val="44"/>
          <w:highlight w:val="none"/>
        </w:rPr>
      </w:pPr>
      <w:bookmarkStart w:id="60" w:name="_Toc27489"/>
      <w:bookmarkStart w:id="61" w:name="_Toc27159"/>
      <w:r>
        <w:rPr>
          <w:rFonts w:hint="eastAsia" w:ascii="仿宋" w:hAnsi="仿宋" w:eastAsia="仿宋" w:cs="仿宋"/>
          <w:b/>
          <w:bCs/>
          <w:color w:val="auto"/>
          <w:sz w:val="32"/>
          <w:szCs w:val="44"/>
          <w:highlight w:val="none"/>
        </w:rPr>
        <w:t>询问函范本</w:t>
      </w:r>
      <w:bookmarkEnd w:id="60"/>
      <w:bookmarkEnd w:id="61"/>
    </w:p>
    <w:p w14:paraId="65B89248">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eastAsia="宋体" w:cs="仿宋"/>
          <w:i/>
          <w:iCs/>
          <w:color w:val="auto"/>
          <w:sz w:val="24"/>
          <w:szCs w:val="24"/>
          <w:highlight w:val="none"/>
        </w:rPr>
        <w:t>（如为对采购文件或采购程序的询问或疑问，请按询问函范本或电子交易系统中网上询问格式附件进行提交）</w:t>
      </w:r>
    </w:p>
    <w:p w14:paraId="6CC37285">
      <w:pPr>
        <w:adjustRightInd w:val="0"/>
        <w:snapToGrid w:val="0"/>
        <w:spacing w:line="360" w:lineRule="auto"/>
        <w:rPr>
          <w:rFonts w:hint="eastAsia" w:ascii="宋体" w:hAnsi="宋体" w:eastAsia="宋体" w:cs="仿宋"/>
          <w:b/>
          <w:bCs/>
          <w:color w:val="auto"/>
          <w:sz w:val="24"/>
          <w:szCs w:val="24"/>
          <w:highlight w:val="none"/>
          <w:u w:val="single"/>
        </w:rPr>
      </w:pPr>
      <w:r>
        <w:rPr>
          <w:rFonts w:hint="eastAsia" w:ascii="宋体" w:hAnsi="宋体" w:eastAsia="宋体" w:cs="仿宋"/>
          <w:b/>
          <w:bCs/>
          <w:color w:val="auto"/>
          <w:sz w:val="24"/>
          <w:szCs w:val="24"/>
          <w:highlight w:val="none"/>
        </w:rPr>
        <w:t>致：采购人</w:t>
      </w:r>
    </w:p>
    <w:p w14:paraId="0256EB0A">
      <w:pPr>
        <w:adjustRightInd w:val="0"/>
        <w:snapToGrid w:val="0"/>
        <w:spacing w:line="36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rPr>
        <w:t xml:space="preserve">           </w:t>
      </w:r>
      <w:r>
        <w:rPr>
          <w:rFonts w:hint="eastAsia" w:ascii="宋体" w:hAnsi="宋体" w:eastAsia="宋体" w:cs="仿宋"/>
          <w:color w:val="auto"/>
          <w:sz w:val="24"/>
          <w:szCs w:val="24"/>
          <w:highlight w:val="none"/>
        </w:rPr>
        <w:t>（</w:t>
      </w:r>
      <w:r>
        <w:rPr>
          <w:rFonts w:hint="eastAsia" w:ascii="宋体" w:hAnsi="宋体" w:eastAsia="宋体" w:cs="仿宋"/>
          <w:i/>
          <w:iCs/>
          <w:color w:val="auto"/>
          <w:sz w:val="24"/>
          <w:szCs w:val="24"/>
          <w:highlight w:val="none"/>
        </w:rPr>
        <w:t>项目名称、编号</w:t>
      </w:r>
      <w:r>
        <w:rPr>
          <w:rFonts w:hint="eastAsia" w:ascii="宋体" w:hAnsi="宋体" w:eastAsia="宋体" w:cs="仿宋"/>
          <w:color w:val="auto"/>
          <w:sz w:val="24"/>
          <w:szCs w:val="24"/>
          <w:highlight w:val="none"/>
        </w:rPr>
        <w:t>）的采购活动，现有以下内容(或条款)存在疑问(或无法理解)，特提出询问。</w:t>
      </w:r>
    </w:p>
    <w:p w14:paraId="1EA8A56D">
      <w:pPr>
        <w:adjustRightInd w:val="0"/>
        <w:snapToGrid w:val="0"/>
        <w:spacing w:line="360" w:lineRule="auto"/>
        <w:ind w:firstLine="480" w:firstLineChars="200"/>
        <w:rPr>
          <w:rFonts w:hint="eastAsia" w:ascii="宋体" w:hAnsi="宋体" w:eastAsia="宋体" w:cs="仿宋"/>
          <w:color w:val="auto"/>
          <w:sz w:val="24"/>
          <w:szCs w:val="24"/>
          <w:highlight w:val="none"/>
        </w:rPr>
      </w:pPr>
      <w:bookmarkStart w:id="62" w:name="_Toc13899"/>
      <w:r>
        <w:rPr>
          <w:rFonts w:hint="eastAsia" w:ascii="宋体" w:hAnsi="宋体" w:eastAsia="宋体" w:cs="仿宋"/>
          <w:color w:val="auto"/>
          <w:sz w:val="24"/>
          <w:szCs w:val="24"/>
          <w:highlight w:val="none"/>
        </w:rPr>
        <w:t>一、(事项一)</w:t>
      </w:r>
      <w:bookmarkEnd w:id="62"/>
    </w:p>
    <w:p w14:paraId="743377ED">
      <w:pPr>
        <w:adjustRightInd w:val="0"/>
        <w:snapToGrid w:val="0"/>
        <w:spacing w:line="36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4A38F5B">
      <w:pPr>
        <w:adjustRightInd w:val="0"/>
        <w:snapToGrid w:val="0"/>
        <w:spacing w:line="36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09B81C4E">
      <w:pPr>
        <w:adjustRightInd w:val="0"/>
        <w:snapToGrid w:val="0"/>
        <w:spacing w:line="36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DE550B9">
      <w:pPr>
        <w:adjustRightInd w:val="0"/>
        <w:snapToGrid w:val="0"/>
        <w:spacing w:line="360" w:lineRule="auto"/>
        <w:ind w:firstLine="480" w:firstLineChars="200"/>
        <w:rPr>
          <w:rFonts w:hint="eastAsia" w:ascii="宋体" w:hAnsi="宋体" w:eastAsia="宋体" w:cs="仿宋"/>
          <w:color w:val="auto"/>
          <w:sz w:val="24"/>
          <w:szCs w:val="24"/>
          <w:highlight w:val="none"/>
        </w:rPr>
      </w:pPr>
      <w:bookmarkStart w:id="63" w:name="_Toc3352"/>
      <w:r>
        <w:rPr>
          <w:rFonts w:hint="eastAsia" w:ascii="宋体" w:hAnsi="宋体" w:eastAsia="宋体" w:cs="仿宋"/>
          <w:color w:val="auto"/>
          <w:sz w:val="24"/>
          <w:szCs w:val="24"/>
          <w:highlight w:val="none"/>
        </w:rPr>
        <w:t>二、(事项二)</w:t>
      </w:r>
      <w:bookmarkEnd w:id="63"/>
    </w:p>
    <w:p w14:paraId="64180E4F">
      <w:pPr>
        <w:adjustRightInd w:val="0"/>
        <w:snapToGrid w:val="0"/>
        <w:spacing w:line="36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20C6D7D3">
      <w:pPr>
        <w:adjustRightInd w:val="0"/>
        <w:snapToGrid w:val="0"/>
        <w:spacing w:line="36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0D33883F">
      <w:pPr>
        <w:spacing w:line="360" w:lineRule="auto"/>
        <w:ind w:firstLine="4228" w:firstLineChars="1762"/>
        <w:rPr>
          <w:rFonts w:hint="eastAsia"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4556F7F9">
      <w:pPr>
        <w:spacing w:line="360" w:lineRule="auto"/>
        <w:ind w:firstLine="4228" w:firstLineChars="1762"/>
        <w:rPr>
          <w:rFonts w:hint="eastAsia"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2C04B59B">
      <w:pPr>
        <w:tabs>
          <w:tab w:val="left" w:pos="630"/>
        </w:tabs>
        <w:spacing w:line="360" w:lineRule="auto"/>
        <w:ind w:firstLine="4228" w:firstLineChars="1762"/>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53F6A0A">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36AD67C">
      <w:pPr>
        <w:jc w:val="center"/>
        <w:outlineLvl w:val="1"/>
        <w:rPr>
          <w:rFonts w:hint="eastAsia" w:ascii="仿宋" w:hAnsi="仿宋" w:eastAsia="仿宋" w:cs="仿宋"/>
          <w:b/>
          <w:bCs/>
          <w:color w:val="auto"/>
          <w:sz w:val="32"/>
          <w:szCs w:val="44"/>
          <w:highlight w:val="none"/>
        </w:rPr>
      </w:pPr>
      <w:bookmarkStart w:id="64" w:name="_Toc3245"/>
      <w:bookmarkStart w:id="65" w:name="_Toc1575"/>
      <w:r>
        <w:rPr>
          <w:rFonts w:hint="eastAsia" w:ascii="仿宋" w:hAnsi="仿宋" w:eastAsia="仿宋" w:cs="仿宋"/>
          <w:b/>
          <w:bCs/>
          <w:color w:val="auto"/>
          <w:sz w:val="32"/>
          <w:szCs w:val="44"/>
          <w:highlight w:val="none"/>
        </w:rPr>
        <w:t>质疑函范本</w:t>
      </w:r>
      <w:bookmarkEnd w:id="64"/>
      <w:bookmarkEnd w:id="65"/>
    </w:p>
    <w:p w14:paraId="72449D9D">
      <w:pPr>
        <w:adjustRightInd w:val="0"/>
        <w:snapToGrid w:val="0"/>
        <w:spacing w:before="312" w:beforeLines="100" w:line="360" w:lineRule="auto"/>
        <w:rPr>
          <w:rFonts w:hint="eastAsia" w:ascii="宋体" w:hAnsi="宋体" w:eastAsia="宋体" w:cs="仿宋"/>
          <w:b/>
          <w:bCs/>
          <w:color w:val="auto"/>
          <w:sz w:val="24"/>
          <w:szCs w:val="24"/>
          <w:highlight w:val="none"/>
        </w:rPr>
      </w:pPr>
      <w:bookmarkStart w:id="66" w:name="_Toc21381"/>
      <w:r>
        <w:rPr>
          <w:rFonts w:hint="eastAsia" w:ascii="宋体" w:hAnsi="宋体" w:eastAsia="宋体" w:cs="仿宋"/>
          <w:b/>
          <w:bCs/>
          <w:color w:val="auto"/>
          <w:sz w:val="24"/>
          <w:szCs w:val="24"/>
          <w:highlight w:val="none"/>
        </w:rPr>
        <w:t>一、质疑供应商基本信息</w:t>
      </w:r>
      <w:bookmarkEnd w:id="66"/>
    </w:p>
    <w:p w14:paraId="3B0C2CBD">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509A1AFB">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5579B02">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5522A02">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3AA62E2E">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8C502B3">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3CB0BAE">
      <w:pPr>
        <w:adjustRightInd w:val="0"/>
        <w:snapToGrid w:val="0"/>
        <w:spacing w:line="360" w:lineRule="auto"/>
        <w:rPr>
          <w:rFonts w:hint="eastAsia" w:ascii="宋体" w:hAnsi="宋体" w:eastAsia="宋体" w:cs="仿宋"/>
          <w:b/>
          <w:bCs/>
          <w:color w:val="auto"/>
          <w:sz w:val="24"/>
          <w:szCs w:val="24"/>
          <w:highlight w:val="none"/>
        </w:rPr>
      </w:pPr>
      <w:bookmarkStart w:id="67" w:name="_Toc28415"/>
      <w:r>
        <w:rPr>
          <w:rFonts w:hint="eastAsia" w:ascii="宋体" w:hAnsi="宋体" w:eastAsia="宋体" w:cs="仿宋"/>
          <w:b/>
          <w:bCs/>
          <w:color w:val="auto"/>
          <w:sz w:val="24"/>
          <w:szCs w:val="24"/>
          <w:highlight w:val="none"/>
        </w:rPr>
        <w:t>二、质疑项目基本情况</w:t>
      </w:r>
      <w:bookmarkEnd w:id="67"/>
    </w:p>
    <w:p w14:paraId="6EF885FD">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118B6FE9">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7C309C86">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5495F25D">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41154BF">
      <w:pPr>
        <w:adjustRightInd w:val="0"/>
        <w:snapToGrid w:val="0"/>
        <w:spacing w:line="360" w:lineRule="auto"/>
        <w:rPr>
          <w:rFonts w:hint="eastAsia" w:ascii="宋体" w:hAnsi="宋体" w:eastAsia="宋体" w:cs="仿宋"/>
          <w:b/>
          <w:bCs/>
          <w:color w:val="auto"/>
          <w:sz w:val="24"/>
          <w:szCs w:val="24"/>
          <w:highlight w:val="none"/>
        </w:rPr>
      </w:pPr>
      <w:bookmarkStart w:id="68" w:name="_Toc19014"/>
      <w:r>
        <w:rPr>
          <w:rFonts w:hint="eastAsia" w:ascii="宋体" w:hAnsi="宋体" w:eastAsia="宋体" w:cs="仿宋"/>
          <w:b/>
          <w:bCs/>
          <w:color w:val="auto"/>
          <w:sz w:val="24"/>
          <w:szCs w:val="24"/>
          <w:highlight w:val="none"/>
        </w:rPr>
        <w:t>三、质疑事项具体内容</w:t>
      </w:r>
      <w:bookmarkEnd w:id="68"/>
    </w:p>
    <w:p w14:paraId="54AB0385">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5E8FA5C1">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72D555BD">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511EE02D">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05F4F625">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7B73D113">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2BCD332A">
      <w:pPr>
        <w:adjustRightInd w:val="0"/>
        <w:snapToGrid w:val="0"/>
        <w:spacing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26CFC310">
      <w:pPr>
        <w:adjustRightInd w:val="0"/>
        <w:snapToGrid w:val="0"/>
        <w:spacing w:line="360" w:lineRule="auto"/>
        <w:rPr>
          <w:rFonts w:hint="eastAsia" w:ascii="宋体" w:hAnsi="宋体" w:eastAsia="宋体" w:cs="仿宋"/>
          <w:b/>
          <w:bCs/>
          <w:color w:val="auto"/>
          <w:sz w:val="24"/>
          <w:szCs w:val="24"/>
          <w:highlight w:val="none"/>
        </w:rPr>
      </w:pPr>
      <w:bookmarkStart w:id="69" w:name="_Toc17919"/>
      <w:r>
        <w:rPr>
          <w:rFonts w:hint="eastAsia" w:ascii="宋体" w:hAnsi="宋体" w:eastAsia="宋体" w:cs="仿宋"/>
          <w:b/>
          <w:bCs/>
          <w:color w:val="auto"/>
          <w:sz w:val="24"/>
          <w:szCs w:val="24"/>
          <w:highlight w:val="none"/>
        </w:rPr>
        <w:t>四、与质疑事项相关的质疑请求</w:t>
      </w:r>
      <w:bookmarkEnd w:id="69"/>
    </w:p>
    <w:p w14:paraId="2C13056D">
      <w:pPr>
        <w:adjustRightInd w:val="0"/>
        <w:snapToGrid w:val="0"/>
        <w:spacing w:line="360" w:lineRule="auto"/>
        <w:rPr>
          <w:rFonts w:hint="eastAsia"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EDACF96">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212C9627">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5A6E954A">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2B5A0DC">
      <w:pPr>
        <w:outlineLvl w:val="0"/>
        <w:rPr>
          <w:rFonts w:hint="eastAsia" w:ascii="宋体" w:hAnsi="宋体" w:eastAsia="宋体"/>
          <w:b/>
          <w:color w:val="auto"/>
          <w:sz w:val="28"/>
          <w:szCs w:val="32"/>
          <w:highlight w:val="none"/>
        </w:rPr>
      </w:pPr>
      <w:bookmarkStart w:id="70" w:name="_Toc9754"/>
      <w:bookmarkStart w:id="71" w:name="_Toc26836"/>
      <w:r>
        <w:rPr>
          <w:rFonts w:hint="eastAsia" w:ascii="宋体" w:hAnsi="宋体" w:eastAsia="宋体"/>
          <w:b/>
          <w:color w:val="auto"/>
          <w:sz w:val="28"/>
          <w:szCs w:val="32"/>
          <w:highlight w:val="none"/>
        </w:rPr>
        <w:t>质疑函制作说明：</w:t>
      </w:r>
      <w:bookmarkEnd w:id="70"/>
      <w:bookmarkEnd w:id="71"/>
    </w:p>
    <w:p w14:paraId="4AA26D1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DD46F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B003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24EC07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2E3211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3C2470A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E2FE">
    <w:pPr>
      <w:pStyle w:val="17"/>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40D54">
    <w:pPr>
      <w:pStyle w:val="1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A7E745">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CA7E745">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A9BF">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D1233B">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CD1233B">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944A">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0EE6">
    <w:pPr>
      <w:pStyle w:val="19"/>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AF7C">
    <w:pPr>
      <w:pStyle w:val="19"/>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939EA"/>
    <w:multiLevelType w:val="singleLevel"/>
    <w:tmpl w:val="8A9939EA"/>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0A646A7"/>
    <w:multiLevelType w:val="multilevel"/>
    <w:tmpl w:val="E0A646A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A57A8FC"/>
    <w:multiLevelType w:val="multilevel"/>
    <w:tmpl w:val="3A57A8FC"/>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D9AD4A"/>
    <w:multiLevelType w:val="singleLevel"/>
    <w:tmpl w:val="44D9AD4A"/>
    <w:lvl w:ilvl="0" w:tentative="0">
      <w:start w:val="1"/>
      <w:numFmt w:val="decimal"/>
      <w:suff w:val="nothing"/>
      <w:lvlText w:val="%1、"/>
      <w:lvlJc w:val="left"/>
    </w:lvl>
  </w:abstractNum>
  <w:abstractNum w:abstractNumId="10">
    <w:nsid w:val="5DE72121"/>
    <w:multiLevelType w:val="multilevel"/>
    <w:tmpl w:val="5DE72121"/>
    <w:lvl w:ilvl="0" w:tentative="0">
      <w:start w:val="1"/>
      <w:numFmt w:val="decimal"/>
      <w:pStyle w:val="84"/>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D308AD"/>
    <w:multiLevelType w:val="multilevel"/>
    <w:tmpl w:val="69D308AD"/>
    <w:lvl w:ilvl="0" w:tentative="0">
      <w:start w:val="4"/>
      <w:numFmt w:val="japaneseCounting"/>
      <w:lvlText w:val="%1、"/>
      <w:lvlJc w:val="left"/>
      <w:pPr>
        <w:ind w:left="450" w:hanging="450"/>
      </w:pPr>
    </w:lvl>
    <w:lvl w:ilvl="1" w:tentative="0">
      <w:start w:val="1"/>
      <w:numFmt w:val="decimal"/>
      <w:lvlText w:val="%2、"/>
      <w:lvlJc w:val="left"/>
      <w:pPr>
        <w:ind w:left="780" w:hanging="360"/>
      </w:pPr>
      <w:rPr>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D2BE622"/>
    <w:multiLevelType w:val="multilevel"/>
    <w:tmpl w:val="6D2BE622"/>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748D0A"/>
    <w:multiLevelType w:val="singleLevel"/>
    <w:tmpl w:val="70748D0A"/>
    <w:lvl w:ilvl="0" w:tentative="0">
      <w:start w:val="2"/>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10"/>
  </w:num>
  <w:num w:numId="2">
    <w:abstractNumId w:val="0"/>
  </w:num>
  <w:num w:numId="3">
    <w:abstractNumId w:val="8"/>
  </w:num>
  <w:num w:numId="4">
    <w:abstractNumId w:val="6"/>
  </w:num>
  <w:num w:numId="5">
    <w:abstractNumId w:val="12"/>
  </w:num>
  <w:num w:numId="6">
    <w:abstractNumId w:val="9"/>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2"/>
  </w:num>
  <w:num w:numId="11">
    <w:abstractNumId w:val="7"/>
  </w:num>
  <w:num w:numId="12">
    <w:abstractNumId w:val="4"/>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WVkNjQ3MTQ1ZmMxZGY1NzMxMzIwNWFiMjM0Y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784"/>
    <w:rsid w:val="00224C4A"/>
    <w:rsid w:val="00224D86"/>
    <w:rsid w:val="002338E2"/>
    <w:rsid w:val="0023407E"/>
    <w:rsid w:val="00240B40"/>
    <w:rsid w:val="002440D8"/>
    <w:rsid w:val="00244182"/>
    <w:rsid w:val="00245F65"/>
    <w:rsid w:val="00246810"/>
    <w:rsid w:val="00260860"/>
    <w:rsid w:val="00260B94"/>
    <w:rsid w:val="002610D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23E"/>
    <w:rsid w:val="00585EB3"/>
    <w:rsid w:val="00591688"/>
    <w:rsid w:val="00592509"/>
    <w:rsid w:val="00594986"/>
    <w:rsid w:val="00597B15"/>
    <w:rsid w:val="005A044C"/>
    <w:rsid w:val="005B5C95"/>
    <w:rsid w:val="005B6740"/>
    <w:rsid w:val="005D0200"/>
    <w:rsid w:val="005D44EF"/>
    <w:rsid w:val="005D4814"/>
    <w:rsid w:val="005D5112"/>
    <w:rsid w:val="005E791B"/>
    <w:rsid w:val="005F03E3"/>
    <w:rsid w:val="005F3914"/>
    <w:rsid w:val="005F3B5A"/>
    <w:rsid w:val="005F6AB4"/>
    <w:rsid w:val="0060362D"/>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0FBE"/>
    <w:rsid w:val="007B1C56"/>
    <w:rsid w:val="007B4996"/>
    <w:rsid w:val="007C3CD5"/>
    <w:rsid w:val="007C61EF"/>
    <w:rsid w:val="007D1C0D"/>
    <w:rsid w:val="007D2D23"/>
    <w:rsid w:val="007D7644"/>
    <w:rsid w:val="007E036C"/>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54712"/>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472D8"/>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B75DB"/>
    <w:rsid w:val="00CC1202"/>
    <w:rsid w:val="00CC4099"/>
    <w:rsid w:val="00CC45C1"/>
    <w:rsid w:val="00CD09E1"/>
    <w:rsid w:val="00CD5078"/>
    <w:rsid w:val="00CD6202"/>
    <w:rsid w:val="00CD6E67"/>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3C55"/>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54D24"/>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68B"/>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E177D"/>
    <w:rsid w:val="012265D8"/>
    <w:rsid w:val="01382DB4"/>
    <w:rsid w:val="016829D9"/>
    <w:rsid w:val="017B1BF9"/>
    <w:rsid w:val="01964270"/>
    <w:rsid w:val="01CF0D89"/>
    <w:rsid w:val="01DC37E8"/>
    <w:rsid w:val="01E93A1B"/>
    <w:rsid w:val="01F23F0C"/>
    <w:rsid w:val="01F304E5"/>
    <w:rsid w:val="0214602E"/>
    <w:rsid w:val="022F42BF"/>
    <w:rsid w:val="024D7265"/>
    <w:rsid w:val="0273010D"/>
    <w:rsid w:val="02757725"/>
    <w:rsid w:val="02757CEB"/>
    <w:rsid w:val="02867E41"/>
    <w:rsid w:val="02915639"/>
    <w:rsid w:val="02C67BDB"/>
    <w:rsid w:val="02D108F4"/>
    <w:rsid w:val="02DA6FE9"/>
    <w:rsid w:val="02DF2DC0"/>
    <w:rsid w:val="02FB2440"/>
    <w:rsid w:val="031A5554"/>
    <w:rsid w:val="031F3DF1"/>
    <w:rsid w:val="03457CFC"/>
    <w:rsid w:val="03486B27"/>
    <w:rsid w:val="036B7036"/>
    <w:rsid w:val="03870314"/>
    <w:rsid w:val="0389560C"/>
    <w:rsid w:val="038E557D"/>
    <w:rsid w:val="039C3694"/>
    <w:rsid w:val="03A64E9B"/>
    <w:rsid w:val="03A763E2"/>
    <w:rsid w:val="03C50E3C"/>
    <w:rsid w:val="03C72C05"/>
    <w:rsid w:val="03DD29A1"/>
    <w:rsid w:val="040556DD"/>
    <w:rsid w:val="040A094E"/>
    <w:rsid w:val="043D4E77"/>
    <w:rsid w:val="043F347F"/>
    <w:rsid w:val="046643CE"/>
    <w:rsid w:val="048E2C65"/>
    <w:rsid w:val="04912ACD"/>
    <w:rsid w:val="049747E0"/>
    <w:rsid w:val="04CB5FDF"/>
    <w:rsid w:val="056E2007"/>
    <w:rsid w:val="056F201D"/>
    <w:rsid w:val="05A80CC5"/>
    <w:rsid w:val="05B178CA"/>
    <w:rsid w:val="05B41169"/>
    <w:rsid w:val="05B664D4"/>
    <w:rsid w:val="060C7EB6"/>
    <w:rsid w:val="064B485A"/>
    <w:rsid w:val="068C65C4"/>
    <w:rsid w:val="06A92350"/>
    <w:rsid w:val="06BA27AF"/>
    <w:rsid w:val="06D27AF8"/>
    <w:rsid w:val="07076C01"/>
    <w:rsid w:val="07117ADC"/>
    <w:rsid w:val="071C12AC"/>
    <w:rsid w:val="07292EE8"/>
    <w:rsid w:val="079608BF"/>
    <w:rsid w:val="07A05617"/>
    <w:rsid w:val="07A934B3"/>
    <w:rsid w:val="07CA2B27"/>
    <w:rsid w:val="07EB55C1"/>
    <w:rsid w:val="07EB6287"/>
    <w:rsid w:val="0806421B"/>
    <w:rsid w:val="081A063F"/>
    <w:rsid w:val="081C4913"/>
    <w:rsid w:val="081F6A2B"/>
    <w:rsid w:val="08335BAA"/>
    <w:rsid w:val="08404F36"/>
    <w:rsid w:val="087A6217"/>
    <w:rsid w:val="087C4E23"/>
    <w:rsid w:val="089018A1"/>
    <w:rsid w:val="08964B56"/>
    <w:rsid w:val="08A72371"/>
    <w:rsid w:val="09061CDB"/>
    <w:rsid w:val="09166F09"/>
    <w:rsid w:val="09204E11"/>
    <w:rsid w:val="092A7093"/>
    <w:rsid w:val="093C6197"/>
    <w:rsid w:val="0980799C"/>
    <w:rsid w:val="098F1CD1"/>
    <w:rsid w:val="09944B8E"/>
    <w:rsid w:val="09A03EDE"/>
    <w:rsid w:val="09B90AFC"/>
    <w:rsid w:val="0A216D3B"/>
    <w:rsid w:val="0A2E299B"/>
    <w:rsid w:val="0A3208AE"/>
    <w:rsid w:val="0A6446C8"/>
    <w:rsid w:val="0A6A18DB"/>
    <w:rsid w:val="0A9357F1"/>
    <w:rsid w:val="0A975339"/>
    <w:rsid w:val="0A975B48"/>
    <w:rsid w:val="0AC171E0"/>
    <w:rsid w:val="0AC679E9"/>
    <w:rsid w:val="0AEF3828"/>
    <w:rsid w:val="0B0418CD"/>
    <w:rsid w:val="0B1701D0"/>
    <w:rsid w:val="0B406381"/>
    <w:rsid w:val="0B6727D9"/>
    <w:rsid w:val="0B7218AA"/>
    <w:rsid w:val="0BB452AA"/>
    <w:rsid w:val="0BBB665B"/>
    <w:rsid w:val="0BF56037"/>
    <w:rsid w:val="0CAE1635"/>
    <w:rsid w:val="0CCA1272"/>
    <w:rsid w:val="0CF640CE"/>
    <w:rsid w:val="0D896A37"/>
    <w:rsid w:val="0DAB3173"/>
    <w:rsid w:val="0DE85E53"/>
    <w:rsid w:val="0E277063"/>
    <w:rsid w:val="0E312337"/>
    <w:rsid w:val="0E477E26"/>
    <w:rsid w:val="0E4F7062"/>
    <w:rsid w:val="0E855450"/>
    <w:rsid w:val="0E8C2C83"/>
    <w:rsid w:val="0EEA6FC1"/>
    <w:rsid w:val="0EEE7499"/>
    <w:rsid w:val="0F222B14"/>
    <w:rsid w:val="0F2334BA"/>
    <w:rsid w:val="0F790928"/>
    <w:rsid w:val="0F8A059C"/>
    <w:rsid w:val="0F9A13CF"/>
    <w:rsid w:val="0FD04EBC"/>
    <w:rsid w:val="0FE97C61"/>
    <w:rsid w:val="1001144E"/>
    <w:rsid w:val="1038043C"/>
    <w:rsid w:val="1039037E"/>
    <w:rsid w:val="1057106E"/>
    <w:rsid w:val="105D02BD"/>
    <w:rsid w:val="106C40D0"/>
    <w:rsid w:val="107415C7"/>
    <w:rsid w:val="10946899"/>
    <w:rsid w:val="10AE725F"/>
    <w:rsid w:val="10CD72BB"/>
    <w:rsid w:val="10D43B15"/>
    <w:rsid w:val="10D61EA4"/>
    <w:rsid w:val="10E14E69"/>
    <w:rsid w:val="10FB40F0"/>
    <w:rsid w:val="110F02D5"/>
    <w:rsid w:val="118714DF"/>
    <w:rsid w:val="119F0BF7"/>
    <w:rsid w:val="11B82180"/>
    <w:rsid w:val="11CC0F45"/>
    <w:rsid w:val="11D93F17"/>
    <w:rsid w:val="12197477"/>
    <w:rsid w:val="122375E8"/>
    <w:rsid w:val="12303925"/>
    <w:rsid w:val="123C676E"/>
    <w:rsid w:val="125E3A8A"/>
    <w:rsid w:val="12614612"/>
    <w:rsid w:val="128D26C1"/>
    <w:rsid w:val="12900868"/>
    <w:rsid w:val="12B11C20"/>
    <w:rsid w:val="12B56F66"/>
    <w:rsid w:val="12C33309"/>
    <w:rsid w:val="12E666D9"/>
    <w:rsid w:val="1312540B"/>
    <w:rsid w:val="13180AEA"/>
    <w:rsid w:val="131B5CD3"/>
    <w:rsid w:val="132521E9"/>
    <w:rsid w:val="13373EE7"/>
    <w:rsid w:val="134578A4"/>
    <w:rsid w:val="13682B89"/>
    <w:rsid w:val="13776448"/>
    <w:rsid w:val="13CB02AB"/>
    <w:rsid w:val="13E764D3"/>
    <w:rsid w:val="140E7208"/>
    <w:rsid w:val="141352AC"/>
    <w:rsid w:val="14157276"/>
    <w:rsid w:val="1424395D"/>
    <w:rsid w:val="14261574"/>
    <w:rsid w:val="142C45C0"/>
    <w:rsid w:val="142C7B79"/>
    <w:rsid w:val="14332B73"/>
    <w:rsid w:val="143B01BD"/>
    <w:rsid w:val="144573F9"/>
    <w:rsid w:val="14627FE2"/>
    <w:rsid w:val="1466407E"/>
    <w:rsid w:val="14794DDB"/>
    <w:rsid w:val="14834E28"/>
    <w:rsid w:val="1487316F"/>
    <w:rsid w:val="148E7D65"/>
    <w:rsid w:val="148F527B"/>
    <w:rsid w:val="149C0CC4"/>
    <w:rsid w:val="14B26AFA"/>
    <w:rsid w:val="14B572C9"/>
    <w:rsid w:val="14D64C58"/>
    <w:rsid w:val="14E7280A"/>
    <w:rsid w:val="14EF3F6B"/>
    <w:rsid w:val="15231BF9"/>
    <w:rsid w:val="154C1139"/>
    <w:rsid w:val="15C27640"/>
    <w:rsid w:val="15C4546D"/>
    <w:rsid w:val="161C0D90"/>
    <w:rsid w:val="163A1216"/>
    <w:rsid w:val="164C7F84"/>
    <w:rsid w:val="16787F37"/>
    <w:rsid w:val="169F72CB"/>
    <w:rsid w:val="16A15E13"/>
    <w:rsid w:val="16B07D64"/>
    <w:rsid w:val="17836BED"/>
    <w:rsid w:val="178D5376"/>
    <w:rsid w:val="17A15A10"/>
    <w:rsid w:val="17A54DB5"/>
    <w:rsid w:val="17AD4997"/>
    <w:rsid w:val="17B2302E"/>
    <w:rsid w:val="17C25FFF"/>
    <w:rsid w:val="18652979"/>
    <w:rsid w:val="18687CA0"/>
    <w:rsid w:val="18823145"/>
    <w:rsid w:val="18842C1C"/>
    <w:rsid w:val="18A6244A"/>
    <w:rsid w:val="18A92CCB"/>
    <w:rsid w:val="18B644E1"/>
    <w:rsid w:val="18BC4DD8"/>
    <w:rsid w:val="18DE057F"/>
    <w:rsid w:val="18FC6C57"/>
    <w:rsid w:val="18FE139B"/>
    <w:rsid w:val="18FF4051"/>
    <w:rsid w:val="190573AE"/>
    <w:rsid w:val="191331C3"/>
    <w:rsid w:val="19143BA9"/>
    <w:rsid w:val="19257F5C"/>
    <w:rsid w:val="195D0247"/>
    <w:rsid w:val="19873C1D"/>
    <w:rsid w:val="19AC242B"/>
    <w:rsid w:val="19DB3B2E"/>
    <w:rsid w:val="19E716B5"/>
    <w:rsid w:val="19F636A6"/>
    <w:rsid w:val="1A064976"/>
    <w:rsid w:val="1A1670E6"/>
    <w:rsid w:val="1A1B4EBB"/>
    <w:rsid w:val="1A2E1848"/>
    <w:rsid w:val="1A3505F7"/>
    <w:rsid w:val="1A3B68AA"/>
    <w:rsid w:val="1A3E1C1E"/>
    <w:rsid w:val="1A4C6BF6"/>
    <w:rsid w:val="1A6F1E95"/>
    <w:rsid w:val="1A8D5661"/>
    <w:rsid w:val="1AA67400"/>
    <w:rsid w:val="1AD2449D"/>
    <w:rsid w:val="1AF649F1"/>
    <w:rsid w:val="1B1D686F"/>
    <w:rsid w:val="1B355E64"/>
    <w:rsid w:val="1B6F4F40"/>
    <w:rsid w:val="1B820314"/>
    <w:rsid w:val="1B88753F"/>
    <w:rsid w:val="1B910DB4"/>
    <w:rsid w:val="1BF16D3F"/>
    <w:rsid w:val="1C141836"/>
    <w:rsid w:val="1C233F1C"/>
    <w:rsid w:val="1C2A60FB"/>
    <w:rsid w:val="1C413DEA"/>
    <w:rsid w:val="1C47643B"/>
    <w:rsid w:val="1C6F4800"/>
    <w:rsid w:val="1C76537D"/>
    <w:rsid w:val="1C827473"/>
    <w:rsid w:val="1C8723AA"/>
    <w:rsid w:val="1C946AFB"/>
    <w:rsid w:val="1CB6166F"/>
    <w:rsid w:val="1CC731B0"/>
    <w:rsid w:val="1CD05BA3"/>
    <w:rsid w:val="1D242622"/>
    <w:rsid w:val="1D2D7E40"/>
    <w:rsid w:val="1D561C18"/>
    <w:rsid w:val="1D70551D"/>
    <w:rsid w:val="1D716B1D"/>
    <w:rsid w:val="1D756FD8"/>
    <w:rsid w:val="1DBE4F63"/>
    <w:rsid w:val="1DD65CC8"/>
    <w:rsid w:val="1E301693"/>
    <w:rsid w:val="1E6B6A14"/>
    <w:rsid w:val="1E7E1F44"/>
    <w:rsid w:val="1E845CFB"/>
    <w:rsid w:val="1E975F3A"/>
    <w:rsid w:val="1EA40706"/>
    <w:rsid w:val="1EAC6A29"/>
    <w:rsid w:val="1EAF6816"/>
    <w:rsid w:val="1EB01E85"/>
    <w:rsid w:val="1ECE0D3B"/>
    <w:rsid w:val="1F01268F"/>
    <w:rsid w:val="1F480DDB"/>
    <w:rsid w:val="1F80567A"/>
    <w:rsid w:val="1F8B1E41"/>
    <w:rsid w:val="1FCF0C21"/>
    <w:rsid w:val="1FCF3053"/>
    <w:rsid w:val="1FD46237"/>
    <w:rsid w:val="1FE741BD"/>
    <w:rsid w:val="1FF40688"/>
    <w:rsid w:val="20052895"/>
    <w:rsid w:val="202A40A9"/>
    <w:rsid w:val="20471A9B"/>
    <w:rsid w:val="20482782"/>
    <w:rsid w:val="20550D9A"/>
    <w:rsid w:val="20564928"/>
    <w:rsid w:val="207F5771"/>
    <w:rsid w:val="2096340D"/>
    <w:rsid w:val="20994D8B"/>
    <w:rsid w:val="209C7C34"/>
    <w:rsid w:val="20BD3E04"/>
    <w:rsid w:val="20BE6C95"/>
    <w:rsid w:val="20C64363"/>
    <w:rsid w:val="21073B7C"/>
    <w:rsid w:val="21143936"/>
    <w:rsid w:val="212C79CD"/>
    <w:rsid w:val="213E20BD"/>
    <w:rsid w:val="214F69F1"/>
    <w:rsid w:val="21611D4D"/>
    <w:rsid w:val="218E2416"/>
    <w:rsid w:val="21DA4531"/>
    <w:rsid w:val="22196184"/>
    <w:rsid w:val="221A1EFC"/>
    <w:rsid w:val="221C55F6"/>
    <w:rsid w:val="22370D00"/>
    <w:rsid w:val="224114F2"/>
    <w:rsid w:val="22532A53"/>
    <w:rsid w:val="22635651"/>
    <w:rsid w:val="226915FE"/>
    <w:rsid w:val="226C7E19"/>
    <w:rsid w:val="22737F8A"/>
    <w:rsid w:val="229D27C9"/>
    <w:rsid w:val="22B77DA3"/>
    <w:rsid w:val="22C87710"/>
    <w:rsid w:val="22DC376E"/>
    <w:rsid w:val="22DE5886"/>
    <w:rsid w:val="232D0759"/>
    <w:rsid w:val="236276FB"/>
    <w:rsid w:val="23634327"/>
    <w:rsid w:val="23A00635"/>
    <w:rsid w:val="241804A5"/>
    <w:rsid w:val="242C4775"/>
    <w:rsid w:val="243B497F"/>
    <w:rsid w:val="244B09BD"/>
    <w:rsid w:val="245711E5"/>
    <w:rsid w:val="248D3813"/>
    <w:rsid w:val="24B623B0"/>
    <w:rsid w:val="24B97929"/>
    <w:rsid w:val="24CF521F"/>
    <w:rsid w:val="24D632D7"/>
    <w:rsid w:val="24E0742D"/>
    <w:rsid w:val="24F95D44"/>
    <w:rsid w:val="255C2C0B"/>
    <w:rsid w:val="257E3AA7"/>
    <w:rsid w:val="25C41910"/>
    <w:rsid w:val="25D725DE"/>
    <w:rsid w:val="25EA6A1D"/>
    <w:rsid w:val="260D24A3"/>
    <w:rsid w:val="26171271"/>
    <w:rsid w:val="26192BF6"/>
    <w:rsid w:val="26350999"/>
    <w:rsid w:val="26405A11"/>
    <w:rsid w:val="26597A5E"/>
    <w:rsid w:val="26B07137"/>
    <w:rsid w:val="26FE247D"/>
    <w:rsid w:val="27247AA4"/>
    <w:rsid w:val="274E4B21"/>
    <w:rsid w:val="27A02EA3"/>
    <w:rsid w:val="27D65DBA"/>
    <w:rsid w:val="27EF1A84"/>
    <w:rsid w:val="27F136FF"/>
    <w:rsid w:val="28355CE1"/>
    <w:rsid w:val="28407FF3"/>
    <w:rsid w:val="28545F03"/>
    <w:rsid w:val="285D0AB8"/>
    <w:rsid w:val="285F40CA"/>
    <w:rsid w:val="28701B39"/>
    <w:rsid w:val="288775CB"/>
    <w:rsid w:val="288B2282"/>
    <w:rsid w:val="289E1AF0"/>
    <w:rsid w:val="28AB38E2"/>
    <w:rsid w:val="28BE4A1C"/>
    <w:rsid w:val="28C01ECB"/>
    <w:rsid w:val="28CD76CA"/>
    <w:rsid w:val="28D43150"/>
    <w:rsid w:val="28E85A45"/>
    <w:rsid w:val="291E7FFD"/>
    <w:rsid w:val="292623BC"/>
    <w:rsid w:val="29336A3F"/>
    <w:rsid w:val="29583A35"/>
    <w:rsid w:val="296543A4"/>
    <w:rsid w:val="298E0913"/>
    <w:rsid w:val="299802D6"/>
    <w:rsid w:val="29BF71E3"/>
    <w:rsid w:val="29D6387F"/>
    <w:rsid w:val="2A0113E2"/>
    <w:rsid w:val="2A127B63"/>
    <w:rsid w:val="2A1534FC"/>
    <w:rsid w:val="2A3C5105"/>
    <w:rsid w:val="2A451A6C"/>
    <w:rsid w:val="2A4634BC"/>
    <w:rsid w:val="2A9136E8"/>
    <w:rsid w:val="2A993030"/>
    <w:rsid w:val="2AAA4765"/>
    <w:rsid w:val="2AB52F60"/>
    <w:rsid w:val="2AC21606"/>
    <w:rsid w:val="2AE90244"/>
    <w:rsid w:val="2AFA13BE"/>
    <w:rsid w:val="2B086ABE"/>
    <w:rsid w:val="2B211B2D"/>
    <w:rsid w:val="2B700544"/>
    <w:rsid w:val="2B7E7608"/>
    <w:rsid w:val="2B7F04E9"/>
    <w:rsid w:val="2B896186"/>
    <w:rsid w:val="2B8B554A"/>
    <w:rsid w:val="2B8C1006"/>
    <w:rsid w:val="2BA45ACA"/>
    <w:rsid w:val="2BA62462"/>
    <w:rsid w:val="2BAE2033"/>
    <w:rsid w:val="2BB1567F"/>
    <w:rsid w:val="2BD27A22"/>
    <w:rsid w:val="2BE041B6"/>
    <w:rsid w:val="2BE42462"/>
    <w:rsid w:val="2BEC66B7"/>
    <w:rsid w:val="2C0C0B07"/>
    <w:rsid w:val="2C0D5C62"/>
    <w:rsid w:val="2C2F07C7"/>
    <w:rsid w:val="2C4D0C0B"/>
    <w:rsid w:val="2C583D4C"/>
    <w:rsid w:val="2C866B0B"/>
    <w:rsid w:val="2CB71FF6"/>
    <w:rsid w:val="2CD77367"/>
    <w:rsid w:val="2CDB3B0B"/>
    <w:rsid w:val="2CDC08C3"/>
    <w:rsid w:val="2D0D4B37"/>
    <w:rsid w:val="2D496D68"/>
    <w:rsid w:val="2D7D05E4"/>
    <w:rsid w:val="2DB81892"/>
    <w:rsid w:val="2DB93D3A"/>
    <w:rsid w:val="2DC0604D"/>
    <w:rsid w:val="2DD22AD3"/>
    <w:rsid w:val="2E290AD3"/>
    <w:rsid w:val="2E443666"/>
    <w:rsid w:val="2E7A48DE"/>
    <w:rsid w:val="2E807B15"/>
    <w:rsid w:val="2E813A2E"/>
    <w:rsid w:val="2E9215C0"/>
    <w:rsid w:val="2EB7753B"/>
    <w:rsid w:val="2EBA5177"/>
    <w:rsid w:val="2ED973C6"/>
    <w:rsid w:val="2EDC3ED8"/>
    <w:rsid w:val="2EDF0755"/>
    <w:rsid w:val="2EE63891"/>
    <w:rsid w:val="2F104B00"/>
    <w:rsid w:val="2F125CDF"/>
    <w:rsid w:val="2F350375"/>
    <w:rsid w:val="2F6351B4"/>
    <w:rsid w:val="2F7E7F6E"/>
    <w:rsid w:val="2FAD0BBB"/>
    <w:rsid w:val="2FC86126"/>
    <w:rsid w:val="2FCF199E"/>
    <w:rsid w:val="2FE1071D"/>
    <w:rsid w:val="2FE75B13"/>
    <w:rsid w:val="3031431F"/>
    <w:rsid w:val="303F76FD"/>
    <w:rsid w:val="30403120"/>
    <w:rsid w:val="30483E83"/>
    <w:rsid w:val="30575B32"/>
    <w:rsid w:val="307F2116"/>
    <w:rsid w:val="3082649B"/>
    <w:rsid w:val="30943775"/>
    <w:rsid w:val="30BF3991"/>
    <w:rsid w:val="30C96FC7"/>
    <w:rsid w:val="30F42C13"/>
    <w:rsid w:val="30F93D50"/>
    <w:rsid w:val="3111619A"/>
    <w:rsid w:val="311A5A74"/>
    <w:rsid w:val="312C7527"/>
    <w:rsid w:val="316E7B6E"/>
    <w:rsid w:val="316F5DC0"/>
    <w:rsid w:val="319121DA"/>
    <w:rsid w:val="31931D67"/>
    <w:rsid w:val="31B139DC"/>
    <w:rsid w:val="31D178DC"/>
    <w:rsid w:val="31EC5663"/>
    <w:rsid w:val="32317519"/>
    <w:rsid w:val="32497AF3"/>
    <w:rsid w:val="324B1189"/>
    <w:rsid w:val="324B1B69"/>
    <w:rsid w:val="328638C0"/>
    <w:rsid w:val="32963172"/>
    <w:rsid w:val="32A66287"/>
    <w:rsid w:val="32FF6777"/>
    <w:rsid w:val="330E7A77"/>
    <w:rsid w:val="33292500"/>
    <w:rsid w:val="33353039"/>
    <w:rsid w:val="335F4F75"/>
    <w:rsid w:val="338C30AF"/>
    <w:rsid w:val="33AB50A9"/>
    <w:rsid w:val="33CF0D98"/>
    <w:rsid w:val="33F1792A"/>
    <w:rsid w:val="341C213D"/>
    <w:rsid w:val="341E6FEF"/>
    <w:rsid w:val="343C0775"/>
    <w:rsid w:val="3466053C"/>
    <w:rsid w:val="347436ED"/>
    <w:rsid w:val="34993154"/>
    <w:rsid w:val="34A53FEB"/>
    <w:rsid w:val="34E02B31"/>
    <w:rsid w:val="35140442"/>
    <w:rsid w:val="35444C60"/>
    <w:rsid w:val="354B4447"/>
    <w:rsid w:val="354F739A"/>
    <w:rsid w:val="356C50EC"/>
    <w:rsid w:val="356E45E1"/>
    <w:rsid w:val="3579793F"/>
    <w:rsid w:val="35CD57AB"/>
    <w:rsid w:val="35D22DC1"/>
    <w:rsid w:val="36015455"/>
    <w:rsid w:val="36137E45"/>
    <w:rsid w:val="362D1DA6"/>
    <w:rsid w:val="36376E0A"/>
    <w:rsid w:val="363F11E1"/>
    <w:rsid w:val="368D0711"/>
    <w:rsid w:val="36CC15BF"/>
    <w:rsid w:val="36E27AE8"/>
    <w:rsid w:val="36E978E9"/>
    <w:rsid w:val="36EA7C97"/>
    <w:rsid w:val="3700166C"/>
    <w:rsid w:val="370E31D3"/>
    <w:rsid w:val="371C44B5"/>
    <w:rsid w:val="371F72C3"/>
    <w:rsid w:val="37887BDC"/>
    <w:rsid w:val="378F142A"/>
    <w:rsid w:val="379A1012"/>
    <w:rsid w:val="37A367C3"/>
    <w:rsid w:val="37CE2664"/>
    <w:rsid w:val="37FE7E9E"/>
    <w:rsid w:val="381A1DB4"/>
    <w:rsid w:val="38694EE9"/>
    <w:rsid w:val="38701C5D"/>
    <w:rsid w:val="3870241E"/>
    <w:rsid w:val="38AB7897"/>
    <w:rsid w:val="38B21A10"/>
    <w:rsid w:val="38C44509"/>
    <w:rsid w:val="38C92B50"/>
    <w:rsid w:val="38D66725"/>
    <w:rsid w:val="38F6310D"/>
    <w:rsid w:val="38F848ED"/>
    <w:rsid w:val="39037E27"/>
    <w:rsid w:val="391E2591"/>
    <w:rsid w:val="39355B41"/>
    <w:rsid w:val="394E6A33"/>
    <w:rsid w:val="39643B0E"/>
    <w:rsid w:val="39755578"/>
    <w:rsid w:val="397E7B9C"/>
    <w:rsid w:val="39CA3549"/>
    <w:rsid w:val="39DA3FF3"/>
    <w:rsid w:val="3A2A6ADD"/>
    <w:rsid w:val="3A2B0CF2"/>
    <w:rsid w:val="3A4D14B3"/>
    <w:rsid w:val="3A6818FA"/>
    <w:rsid w:val="3A72247D"/>
    <w:rsid w:val="3A7652B3"/>
    <w:rsid w:val="3A7C5988"/>
    <w:rsid w:val="3A8C21FC"/>
    <w:rsid w:val="3A935D4C"/>
    <w:rsid w:val="3B004F09"/>
    <w:rsid w:val="3B021500"/>
    <w:rsid w:val="3B0F12A5"/>
    <w:rsid w:val="3B365CC9"/>
    <w:rsid w:val="3B6834A4"/>
    <w:rsid w:val="3B9A7B88"/>
    <w:rsid w:val="3BD827B4"/>
    <w:rsid w:val="3C035D55"/>
    <w:rsid w:val="3C0454EB"/>
    <w:rsid w:val="3C095DE7"/>
    <w:rsid w:val="3C0C59EA"/>
    <w:rsid w:val="3C1B7B8B"/>
    <w:rsid w:val="3C1C23A7"/>
    <w:rsid w:val="3C1E28BD"/>
    <w:rsid w:val="3C292100"/>
    <w:rsid w:val="3C853325"/>
    <w:rsid w:val="3C90308E"/>
    <w:rsid w:val="3C9A71D4"/>
    <w:rsid w:val="3C9E1C4F"/>
    <w:rsid w:val="3CBE7BFC"/>
    <w:rsid w:val="3CCE67A9"/>
    <w:rsid w:val="3CF4361D"/>
    <w:rsid w:val="3CFC5E34"/>
    <w:rsid w:val="3D167A38"/>
    <w:rsid w:val="3D2C7AC8"/>
    <w:rsid w:val="3D324146"/>
    <w:rsid w:val="3D855D12"/>
    <w:rsid w:val="3D8B42FF"/>
    <w:rsid w:val="3DB74195"/>
    <w:rsid w:val="3DD50111"/>
    <w:rsid w:val="3DD92421"/>
    <w:rsid w:val="3DDE02FB"/>
    <w:rsid w:val="3DE86C4C"/>
    <w:rsid w:val="3DF13E82"/>
    <w:rsid w:val="3DF36A6E"/>
    <w:rsid w:val="3DF8048B"/>
    <w:rsid w:val="3DFD29A6"/>
    <w:rsid w:val="3E0B0DE3"/>
    <w:rsid w:val="3E565D4A"/>
    <w:rsid w:val="3E597A83"/>
    <w:rsid w:val="3E7964D0"/>
    <w:rsid w:val="3E7F160D"/>
    <w:rsid w:val="3E822812"/>
    <w:rsid w:val="3EBA1EE9"/>
    <w:rsid w:val="3ECE3ED7"/>
    <w:rsid w:val="3F0D5CFD"/>
    <w:rsid w:val="3F6530F9"/>
    <w:rsid w:val="3F6C7DE3"/>
    <w:rsid w:val="3F6E6406"/>
    <w:rsid w:val="3F792F1E"/>
    <w:rsid w:val="3F8B5C0A"/>
    <w:rsid w:val="3F996157"/>
    <w:rsid w:val="3FA62141"/>
    <w:rsid w:val="3FD06D52"/>
    <w:rsid w:val="401B0661"/>
    <w:rsid w:val="40496022"/>
    <w:rsid w:val="405F34A4"/>
    <w:rsid w:val="40786313"/>
    <w:rsid w:val="40824826"/>
    <w:rsid w:val="40833567"/>
    <w:rsid w:val="40870703"/>
    <w:rsid w:val="40956EC5"/>
    <w:rsid w:val="40B3559D"/>
    <w:rsid w:val="40E63923"/>
    <w:rsid w:val="40FC1256"/>
    <w:rsid w:val="411B5B95"/>
    <w:rsid w:val="411E5666"/>
    <w:rsid w:val="412479F7"/>
    <w:rsid w:val="41406E31"/>
    <w:rsid w:val="414D3CCC"/>
    <w:rsid w:val="41566655"/>
    <w:rsid w:val="41792E05"/>
    <w:rsid w:val="41814752"/>
    <w:rsid w:val="41BA21D5"/>
    <w:rsid w:val="41D41C6F"/>
    <w:rsid w:val="41F1637D"/>
    <w:rsid w:val="425F27EB"/>
    <w:rsid w:val="425F4A35"/>
    <w:rsid w:val="429F0E23"/>
    <w:rsid w:val="42A96C58"/>
    <w:rsid w:val="42BE6BA7"/>
    <w:rsid w:val="42DA1507"/>
    <w:rsid w:val="42E47C90"/>
    <w:rsid w:val="432076E6"/>
    <w:rsid w:val="43342250"/>
    <w:rsid w:val="433C1574"/>
    <w:rsid w:val="43882D11"/>
    <w:rsid w:val="43A91E5B"/>
    <w:rsid w:val="43AA1A57"/>
    <w:rsid w:val="43AF0A03"/>
    <w:rsid w:val="43FB1735"/>
    <w:rsid w:val="44055F4E"/>
    <w:rsid w:val="44103433"/>
    <w:rsid w:val="443773EC"/>
    <w:rsid w:val="445F4788"/>
    <w:rsid w:val="447846A6"/>
    <w:rsid w:val="449961D7"/>
    <w:rsid w:val="449D459A"/>
    <w:rsid w:val="449E0D39"/>
    <w:rsid w:val="44A7510F"/>
    <w:rsid w:val="44D10724"/>
    <w:rsid w:val="44D82665"/>
    <w:rsid w:val="44F85C75"/>
    <w:rsid w:val="45063498"/>
    <w:rsid w:val="45132AAF"/>
    <w:rsid w:val="451F76A5"/>
    <w:rsid w:val="45343151"/>
    <w:rsid w:val="45551C28"/>
    <w:rsid w:val="458C5F73"/>
    <w:rsid w:val="459A2FF4"/>
    <w:rsid w:val="45BB117C"/>
    <w:rsid w:val="45D264C6"/>
    <w:rsid w:val="45E32B26"/>
    <w:rsid w:val="45E80675"/>
    <w:rsid w:val="462431C5"/>
    <w:rsid w:val="46287A7D"/>
    <w:rsid w:val="462E3085"/>
    <w:rsid w:val="462E5B03"/>
    <w:rsid w:val="463A3650"/>
    <w:rsid w:val="46461627"/>
    <w:rsid w:val="46853538"/>
    <w:rsid w:val="469F0116"/>
    <w:rsid w:val="46D15FD2"/>
    <w:rsid w:val="46D5060B"/>
    <w:rsid w:val="47116C31"/>
    <w:rsid w:val="47281811"/>
    <w:rsid w:val="475259B7"/>
    <w:rsid w:val="475C0B72"/>
    <w:rsid w:val="47AF788E"/>
    <w:rsid w:val="47C17F0C"/>
    <w:rsid w:val="485A499E"/>
    <w:rsid w:val="48611D38"/>
    <w:rsid w:val="487B2E3B"/>
    <w:rsid w:val="488302AE"/>
    <w:rsid w:val="48831CF9"/>
    <w:rsid w:val="48995492"/>
    <w:rsid w:val="48BD096B"/>
    <w:rsid w:val="49024C9C"/>
    <w:rsid w:val="49380D36"/>
    <w:rsid w:val="496B76CF"/>
    <w:rsid w:val="497955D6"/>
    <w:rsid w:val="49A56E1B"/>
    <w:rsid w:val="49B1408D"/>
    <w:rsid w:val="49BB05B4"/>
    <w:rsid w:val="4A186FF4"/>
    <w:rsid w:val="4A1B48DF"/>
    <w:rsid w:val="4A3F67C0"/>
    <w:rsid w:val="4A4863E2"/>
    <w:rsid w:val="4A613079"/>
    <w:rsid w:val="4A677071"/>
    <w:rsid w:val="4A7D4FD2"/>
    <w:rsid w:val="4A802994"/>
    <w:rsid w:val="4A8626B0"/>
    <w:rsid w:val="4A913C9A"/>
    <w:rsid w:val="4AB80380"/>
    <w:rsid w:val="4AC72FF8"/>
    <w:rsid w:val="4AD55620"/>
    <w:rsid w:val="4B0435C5"/>
    <w:rsid w:val="4B1E6BAC"/>
    <w:rsid w:val="4B1F70AC"/>
    <w:rsid w:val="4B240F94"/>
    <w:rsid w:val="4B272E10"/>
    <w:rsid w:val="4B2B0B52"/>
    <w:rsid w:val="4B413ED2"/>
    <w:rsid w:val="4B5529CC"/>
    <w:rsid w:val="4B661B8A"/>
    <w:rsid w:val="4B803312"/>
    <w:rsid w:val="4B807A40"/>
    <w:rsid w:val="4B8A33E0"/>
    <w:rsid w:val="4BB767A7"/>
    <w:rsid w:val="4BC6087B"/>
    <w:rsid w:val="4BCC4361"/>
    <w:rsid w:val="4BE87E41"/>
    <w:rsid w:val="4C0832E5"/>
    <w:rsid w:val="4C3C565C"/>
    <w:rsid w:val="4C3F5B70"/>
    <w:rsid w:val="4C5256D4"/>
    <w:rsid w:val="4C793B3F"/>
    <w:rsid w:val="4CCC79C7"/>
    <w:rsid w:val="4CEB6BD1"/>
    <w:rsid w:val="4D7555C7"/>
    <w:rsid w:val="4D7E765F"/>
    <w:rsid w:val="4DA67CFD"/>
    <w:rsid w:val="4DAE39CA"/>
    <w:rsid w:val="4E4767DD"/>
    <w:rsid w:val="4E5403C0"/>
    <w:rsid w:val="4E7520E4"/>
    <w:rsid w:val="4EAE6DA0"/>
    <w:rsid w:val="4EB038C3"/>
    <w:rsid w:val="4EC70B92"/>
    <w:rsid w:val="4ECC264C"/>
    <w:rsid w:val="4EDE7C89"/>
    <w:rsid w:val="4F493C9D"/>
    <w:rsid w:val="4F5B13C7"/>
    <w:rsid w:val="4F69540C"/>
    <w:rsid w:val="4F710AFD"/>
    <w:rsid w:val="4F7A5C04"/>
    <w:rsid w:val="4F855408"/>
    <w:rsid w:val="4F8922EB"/>
    <w:rsid w:val="4F9F296A"/>
    <w:rsid w:val="4FA40ED3"/>
    <w:rsid w:val="4FE37C4D"/>
    <w:rsid w:val="4FE47521"/>
    <w:rsid w:val="4FE617D9"/>
    <w:rsid w:val="4FF45451"/>
    <w:rsid w:val="5016514B"/>
    <w:rsid w:val="50241520"/>
    <w:rsid w:val="503E1327"/>
    <w:rsid w:val="504F1F09"/>
    <w:rsid w:val="50715259"/>
    <w:rsid w:val="50854F5A"/>
    <w:rsid w:val="50BD4DF3"/>
    <w:rsid w:val="50CC6D33"/>
    <w:rsid w:val="50D3357B"/>
    <w:rsid w:val="50FC1A26"/>
    <w:rsid w:val="51010497"/>
    <w:rsid w:val="512521C6"/>
    <w:rsid w:val="5125610B"/>
    <w:rsid w:val="51496818"/>
    <w:rsid w:val="515F79A9"/>
    <w:rsid w:val="51723664"/>
    <w:rsid w:val="518714DD"/>
    <w:rsid w:val="518B234A"/>
    <w:rsid w:val="518E552F"/>
    <w:rsid w:val="519531C9"/>
    <w:rsid w:val="51B64EEE"/>
    <w:rsid w:val="51CB1C78"/>
    <w:rsid w:val="51D53D43"/>
    <w:rsid w:val="51D74AD4"/>
    <w:rsid w:val="51D94DEA"/>
    <w:rsid w:val="51F30DEF"/>
    <w:rsid w:val="51FD6A51"/>
    <w:rsid w:val="522469E0"/>
    <w:rsid w:val="522E6293"/>
    <w:rsid w:val="526B680A"/>
    <w:rsid w:val="526C3842"/>
    <w:rsid w:val="527326DA"/>
    <w:rsid w:val="52836F71"/>
    <w:rsid w:val="52884ADC"/>
    <w:rsid w:val="52B458D1"/>
    <w:rsid w:val="52BC78D9"/>
    <w:rsid w:val="52C11D9C"/>
    <w:rsid w:val="52CE57B0"/>
    <w:rsid w:val="52D26B02"/>
    <w:rsid w:val="52F1442F"/>
    <w:rsid w:val="52F5184E"/>
    <w:rsid w:val="532A395D"/>
    <w:rsid w:val="532D1275"/>
    <w:rsid w:val="533A0528"/>
    <w:rsid w:val="53462E30"/>
    <w:rsid w:val="53727A0C"/>
    <w:rsid w:val="53AE4F68"/>
    <w:rsid w:val="53E04BF9"/>
    <w:rsid w:val="53EE55E7"/>
    <w:rsid w:val="540D34EB"/>
    <w:rsid w:val="541A5D30"/>
    <w:rsid w:val="54363BA0"/>
    <w:rsid w:val="54487F8F"/>
    <w:rsid w:val="5463583A"/>
    <w:rsid w:val="54703A7A"/>
    <w:rsid w:val="54B418FE"/>
    <w:rsid w:val="54E84FB3"/>
    <w:rsid w:val="54F47E52"/>
    <w:rsid w:val="54FA6A32"/>
    <w:rsid w:val="55106C26"/>
    <w:rsid w:val="5524049C"/>
    <w:rsid w:val="553C395C"/>
    <w:rsid w:val="555A0F92"/>
    <w:rsid w:val="556A671B"/>
    <w:rsid w:val="55805F3E"/>
    <w:rsid w:val="55B13B21"/>
    <w:rsid w:val="55C1559C"/>
    <w:rsid w:val="55E012E9"/>
    <w:rsid w:val="55F068CD"/>
    <w:rsid w:val="56220DA3"/>
    <w:rsid w:val="566556BF"/>
    <w:rsid w:val="566C3136"/>
    <w:rsid w:val="568D04F2"/>
    <w:rsid w:val="56913372"/>
    <w:rsid w:val="572813E4"/>
    <w:rsid w:val="573B467E"/>
    <w:rsid w:val="575C534A"/>
    <w:rsid w:val="576902D7"/>
    <w:rsid w:val="578D788D"/>
    <w:rsid w:val="57E9601D"/>
    <w:rsid w:val="57F10E64"/>
    <w:rsid w:val="5806097D"/>
    <w:rsid w:val="582C70D8"/>
    <w:rsid w:val="5830454C"/>
    <w:rsid w:val="58373B8E"/>
    <w:rsid w:val="58AE289F"/>
    <w:rsid w:val="58CC1B01"/>
    <w:rsid w:val="58D00315"/>
    <w:rsid w:val="58D04AE7"/>
    <w:rsid w:val="59012EF2"/>
    <w:rsid w:val="59174B6F"/>
    <w:rsid w:val="59266B6D"/>
    <w:rsid w:val="592A2449"/>
    <w:rsid w:val="593D6EE9"/>
    <w:rsid w:val="59417793"/>
    <w:rsid w:val="595D74D6"/>
    <w:rsid w:val="59A43D8B"/>
    <w:rsid w:val="59D97ACC"/>
    <w:rsid w:val="59FC7866"/>
    <w:rsid w:val="5A413A7D"/>
    <w:rsid w:val="5A526582"/>
    <w:rsid w:val="5A584D94"/>
    <w:rsid w:val="5A5F5C77"/>
    <w:rsid w:val="5A711A0D"/>
    <w:rsid w:val="5A7725B2"/>
    <w:rsid w:val="5A8B33BB"/>
    <w:rsid w:val="5A9051BF"/>
    <w:rsid w:val="5AA219DE"/>
    <w:rsid w:val="5AA63D51"/>
    <w:rsid w:val="5AB436FB"/>
    <w:rsid w:val="5AC02939"/>
    <w:rsid w:val="5AEA477D"/>
    <w:rsid w:val="5B1613E4"/>
    <w:rsid w:val="5B4D3559"/>
    <w:rsid w:val="5B78003B"/>
    <w:rsid w:val="5B887691"/>
    <w:rsid w:val="5B8F37CB"/>
    <w:rsid w:val="5BA9396F"/>
    <w:rsid w:val="5BC11A60"/>
    <w:rsid w:val="5BCE5E90"/>
    <w:rsid w:val="5BCF1086"/>
    <w:rsid w:val="5BD40D92"/>
    <w:rsid w:val="5BE332E9"/>
    <w:rsid w:val="5BF5648C"/>
    <w:rsid w:val="5C044ACF"/>
    <w:rsid w:val="5C1B126D"/>
    <w:rsid w:val="5C6D26A8"/>
    <w:rsid w:val="5C7A4D54"/>
    <w:rsid w:val="5C871960"/>
    <w:rsid w:val="5C872A07"/>
    <w:rsid w:val="5CC17396"/>
    <w:rsid w:val="5CD23B73"/>
    <w:rsid w:val="5D4606A7"/>
    <w:rsid w:val="5D4A2A18"/>
    <w:rsid w:val="5D6C63B9"/>
    <w:rsid w:val="5D9A10CF"/>
    <w:rsid w:val="5DD21301"/>
    <w:rsid w:val="5DD47834"/>
    <w:rsid w:val="5DF06C82"/>
    <w:rsid w:val="5E096AA5"/>
    <w:rsid w:val="5E2960AF"/>
    <w:rsid w:val="5E385608"/>
    <w:rsid w:val="5E6006BB"/>
    <w:rsid w:val="5E6C52B2"/>
    <w:rsid w:val="5E7B3747"/>
    <w:rsid w:val="5E960842"/>
    <w:rsid w:val="5E9D7F2A"/>
    <w:rsid w:val="5EAF519E"/>
    <w:rsid w:val="5EFA466C"/>
    <w:rsid w:val="5F127819"/>
    <w:rsid w:val="5F2A6503"/>
    <w:rsid w:val="5F7B3C2B"/>
    <w:rsid w:val="5FEB66AA"/>
    <w:rsid w:val="60350ED3"/>
    <w:rsid w:val="60475C45"/>
    <w:rsid w:val="60607066"/>
    <w:rsid w:val="60681AA9"/>
    <w:rsid w:val="60B72AEE"/>
    <w:rsid w:val="60FC2464"/>
    <w:rsid w:val="61025188"/>
    <w:rsid w:val="61057D5F"/>
    <w:rsid w:val="61354081"/>
    <w:rsid w:val="614D4977"/>
    <w:rsid w:val="618476F8"/>
    <w:rsid w:val="618741B1"/>
    <w:rsid w:val="61A62889"/>
    <w:rsid w:val="620F25B2"/>
    <w:rsid w:val="622540F5"/>
    <w:rsid w:val="623054B0"/>
    <w:rsid w:val="62362A61"/>
    <w:rsid w:val="62377985"/>
    <w:rsid w:val="625B7B17"/>
    <w:rsid w:val="62C250A2"/>
    <w:rsid w:val="62CC631F"/>
    <w:rsid w:val="630D37FA"/>
    <w:rsid w:val="63273568"/>
    <w:rsid w:val="635F53E5"/>
    <w:rsid w:val="63746CCD"/>
    <w:rsid w:val="63984453"/>
    <w:rsid w:val="639A2453"/>
    <w:rsid w:val="63A46EF2"/>
    <w:rsid w:val="63C60FC0"/>
    <w:rsid w:val="63F52BD2"/>
    <w:rsid w:val="64055EC3"/>
    <w:rsid w:val="640E2AC9"/>
    <w:rsid w:val="642106C5"/>
    <w:rsid w:val="64351345"/>
    <w:rsid w:val="64393D7D"/>
    <w:rsid w:val="64711BB5"/>
    <w:rsid w:val="647B32BF"/>
    <w:rsid w:val="64801AB7"/>
    <w:rsid w:val="6497091C"/>
    <w:rsid w:val="64A81A58"/>
    <w:rsid w:val="64AA6F5E"/>
    <w:rsid w:val="64B47FC7"/>
    <w:rsid w:val="64BA3D7A"/>
    <w:rsid w:val="64BD0930"/>
    <w:rsid w:val="64D92F75"/>
    <w:rsid w:val="64F13D73"/>
    <w:rsid w:val="64F179BC"/>
    <w:rsid w:val="650531F2"/>
    <w:rsid w:val="65141AD3"/>
    <w:rsid w:val="65600071"/>
    <w:rsid w:val="656314F5"/>
    <w:rsid w:val="656F2024"/>
    <w:rsid w:val="65B6475E"/>
    <w:rsid w:val="65C122DE"/>
    <w:rsid w:val="65DF1CC1"/>
    <w:rsid w:val="65ED4F2A"/>
    <w:rsid w:val="66154481"/>
    <w:rsid w:val="662C66AE"/>
    <w:rsid w:val="664D3D7E"/>
    <w:rsid w:val="665704D3"/>
    <w:rsid w:val="66903B07"/>
    <w:rsid w:val="66A21EB0"/>
    <w:rsid w:val="66BE2423"/>
    <w:rsid w:val="67220595"/>
    <w:rsid w:val="67231596"/>
    <w:rsid w:val="67535261"/>
    <w:rsid w:val="67784CC7"/>
    <w:rsid w:val="67920993"/>
    <w:rsid w:val="67A05409"/>
    <w:rsid w:val="67C065A4"/>
    <w:rsid w:val="67CA0521"/>
    <w:rsid w:val="67D359C9"/>
    <w:rsid w:val="67ED1853"/>
    <w:rsid w:val="68042537"/>
    <w:rsid w:val="685F3791"/>
    <w:rsid w:val="68C667CC"/>
    <w:rsid w:val="68CB7079"/>
    <w:rsid w:val="68E346FA"/>
    <w:rsid w:val="68EC771B"/>
    <w:rsid w:val="68FE36DD"/>
    <w:rsid w:val="694E60FC"/>
    <w:rsid w:val="69685470"/>
    <w:rsid w:val="69BD2E65"/>
    <w:rsid w:val="69CE52E6"/>
    <w:rsid w:val="6A154A4F"/>
    <w:rsid w:val="6A256904"/>
    <w:rsid w:val="6A2C3B47"/>
    <w:rsid w:val="6A46077C"/>
    <w:rsid w:val="6A647785"/>
    <w:rsid w:val="6A654AAA"/>
    <w:rsid w:val="6A907960"/>
    <w:rsid w:val="6A9C7080"/>
    <w:rsid w:val="6AC56093"/>
    <w:rsid w:val="6AD466B8"/>
    <w:rsid w:val="6B2457CA"/>
    <w:rsid w:val="6B3D24B0"/>
    <w:rsid w:val="6B43739A"/>
    <w:rsid w:val="6B4458C9"/>
    <w:rsid w:val="6B656832"/>
    <w:rsid w:val="6B9D187D"/>
    <w:rsid w:val="6BA71B66"/>
    <w:rsid w:val="6BAB7EA3"/>
    <w:rsid w:val="6BBD539F"/>
    <w:rsid w:val="6BFD1C3F"/>
    <w:rsid w:val="6C0F0DFC"/>
    <w:rsid w:val="6C4758A0"/>
    <w:rsid w:val="6C675CE6"/>
    <w:rsid w:val="6C747DD0"/>
    <w:rsid w:val="6C8934D3"/>
    <w:rsid w:val="6CD15DD8"/>
    <w:rsid w:val="6CE26D5D"/>
    <w:rsid w:val="6CED1CB3"/>
    <w:rsid w:val="6D087F43"/>
    <w:rsid w:val="6D223EDD"/>
    <w:rsid w:val="6D233CCC"/>
    <w:rsid w:val="6D325F39"/>
    <w:rsid w:val="6D465410"/>
    <w:rsid w:val="6D4D113F"/>
    <w:rsid w:val="6D4F2EDA"/>
    <w:rsid w:val="6D4F4321"/>
    <w:rsid w:val="6D590B37"/>
    <w:rsid w:val="6D6830E8"/>
    <w:rsid w:val="6D885538"/>
    <w:rsid w:val="6DB97DE8"/>
    <w:rsid w:val="6DBB76BC"/>
    <w:rsid w:val="6DDD523A"/>
    <w:rsid w:val="6DF110EA"/>
    <w:rsid w:val="6DF41B82"/>
    <w:rsid w:val="6DF708F5"/>
    <w:rsid w:val="6DF80F7B"/>
    <w:rsid w:val="6DFF7360"/>
    <w:rsid w:val="6E6021A9"/>
    <w:rsid w:val="6E755ABD"/>
    <w:rsid w:val="6E7A5F73"/>
    <w:rsid w:val="6E963C85"/>
    <w:rsid w:val="6EBD1212"/>
    <w:rsid w:val="6ECC19D7"/>
    <w:rsid w:val="6EE778C4"/>
    <w:rsid w:val="6EE90F9D"/>
    <w:rsid w:val="6F49551F"/>
    <w:rsid w:val="6F624C36"/>
    <w:rsid w:val="6F765F90"/>
    <w:rsid w:val="6FD1581C"/>
    <w:rsid w:val="6FD74228"/>
    <w:rsid w:val="6FDC62BB"/>
    <w:rsid w:val="6FE70C3C"/>
    <w:rsid w:val="6FEA2C74"/>
    <w:rsid w:val="6FEE2E3B"/>
    <w:rsid w:val="701B08E6"/>
    <w:rsid w:val="701D465E"/>
    <w:rsid w:val="7021106F"/>
    <w:rsid w:val="702971F7"/>
    <w:rsid w:val="70455963"/>
    <w:rsid w:val="7061061C"/>
    <w:rsid w:val="706510B7"/>
    <w:rsid w:val="706E7173"/>
    <w:rsid w:val="70A26911"/>
    <w:rsid w:val="70F23777"/>
    <w:rsid w:val="70F4004C"/>
    <w:rsid w:val="71075032"/>
    <w:rsid w:val="7113776B"/>
    <w:rsid w:val="71633091"/>
    <w:rsid w:val="71705FB1"/>
    <w:rsid w:val="71866233"/>
    <w:rsid w:val="719B1620"/>
    <w:rsid w:val="71B22914"/>
    <w:rsid w:val="71EA67C2"/>
    <w:rsid w:val="724F0D1A"/>
    <w:rsid w:val="727A7B45"/>
    <w:rsid w:val="728D2BFB"/>
    <w:rsid w:val="729606F7"/>
    <w:rsid w:val="72D45379"/>
    <w:rsid w:val="73081CA5"/>
    <w:rsid w:val="730B2E93"/>
    <w:rsid w:val="731A6156"/>
    <w:rsid w:val="731C0BFD"/>
    <w:rsid w:val="73256EFA"/>
    <w:rsid w:val="73282033"/>
    <w:rsid w:val="7372081D"/>
    <w:rsid w:val="73941822"/>
    <w:rsid w:val="73CA2FEA"/>
    <w:rsid w:val="73EA4C33"/>
    <w:rsid w:val="73F27BAF"/>
    <w:rsid w:val="740718AD"/>
    <w:rsid w:val="74201F7D"/>
    <w:rsid w:val="74463314"/>
    <w:rsid w:val="74835E86"/>
    <w:rsid w:val="7487762D"/>
    <w:rsid w:val="74896327"/>
    <w:rsid w:val="74C33AA4"/>
    <w:rsid w:val="74E76FE8"/>
    <w:rsid w:val="750000AA"/>
    <w:rsid w:val="750A65D3"/>
    <w:rsid w:val="75151DA7"/>
    <w:rsid w:val="75210D7A"/>
    <w:rsid w:val="75232716"/>
    <w:rsid w:val="753417B5"/>
    <w:rsid w:val="75385498"/>
    <w:rsid w:val="755D72AA"/>
    <w:rsid w:val="75986535"/>
    <w:rsid w:val="75F37776"/>
    <w:rsid w:val="760D54E2"/>
    <w:rsid w:val="763D575F"/>
    <w:rsid w:val="76435882"/>
    <w:rsid w:val="764F60FB"/>
    <w:rsid w:val="76796366"/>
    <w:rsid w:val="768071FE"/>
    <w:rsid w:val="769211D6"/>
    <w:rsid w:val="76A431DF"/>
    <w:rsid w:val="76B25658"/>
    <w:rsid w:val="76BC207F"/>
    <w:rsid w:val="76EB4904"/>
    <w:rsid w:val="76EF0FD2"/>
    <w:rsid w:val="76F36118"/>
    <w:rsid w:val="7703613C"/>
    <w:rsid w:val="77057F48"/>
    <w:rsid w:val="772265F9"/>
    <w:rsid w:val="772543D1"/>
    <w:rsid w:val="77400C32"/>
    <w:rsid w:val="775748F9"/>
    <w:rsid w:val="77645DCD"/>
    <w:rsid w:val="776879ED"/>
    <w:rsid w:val="777378F5"/>
    <w:rsid w:val="777A2D3C"/>
    <w:rsid w:val="777B1796"/>
    <w:rsid w:val="777C7EBC"/>
    <w:rsid w:val="77C1482C"/>
    <w:rsid w:val="7802241A"/>
    <w:rsid w:val="78194573"/>
    <w:rsid w:val="784E34B8"/>
    <w:rsid w:val="785F5B8F"/>
    <w:rsid w:val="78683402"/>
    <w:rsid w:val="78D86D89"/>
    <w:rsid w:val="78F00B8F"/>
    <w:rsid w:val="78F13953"/>
    <w:rsid w:val="79002EBE"/>
    <w:rsid w:val="79074B81"/>
    <w:rsid w:val="79231B0D"/>
    <w:rsid w:val="79297BCF"/>
    <w:rsid w:val="79426EE3"/>
    <w:rsid w:val="794F0939"/>
    <w:rsid w:val="79824016"/>
    <w:rsid w:val="79AF0FCA"/>
    <w:rsid w:val="79D8521D"/>
    <w:rsid w:val="79E17320"/>
    <w:rsid w:val="79E81839"/>
    <w:rsid w:val="79F01948"/>
    <w:rsid w:val="7A1F0FD2"/>
    <w:rsid w:val="7A287E87"/>
    <w:rsid w:val="7A2B1F18"/>
    <w:rsid w:val="7A326F58"/>
    <w:rsid w:val="7A377513"/>
    <w:rsid w:val="7A5A18D6"/>
    <w:rsid w:val="7A63380E"/>
    <w:rsid w:val="7AA008BF"/>
    <w:rsid w:val="7AA75440"/>
    <w:rsid w:val="7ABE471B"/>
    <w:rsid w:val="7ADD450F"/>
    <w:rsid w:val="7AEE7323"/>
    <w:rsid w:val="7AF9279C"/>
    <w:rsid w:val="7B275B4B"/>
    <w:rsid w:val="7B4F7695"/>
    <w:rsid w:val="7BA94FF8"/>
    <w:rsid w:val="7BB04C77"/>
    <w:rsid w:val="7BBD0CCF"/>
    <w:rsid w:val="7BC80F82"/>
    <w:rsid w:val="7BD345A9"/>
    <w:rsid w:val="7BEC6535"/>
    <w:rsid w:val="7C077F70"/>
    <w:rsid w:val="7C15177B"/>
    <w:rsid w:val="7C1A3A23"/>
    <w:rsid w:val="7C3A4879"/>
    <w:rsid w:val="7C623E0B"/>
    <w:rsid w:val="7C6D627C"/>
    <w:rsid w:val="7C9D1B23"/>
    <w:rsid w:val="7CAD0B17"/>
    <w:rsid w:val="7CAE07A6"/>
    <w:rsid w:val="7CB42429"/>
    <w:rsid w:val="7CC51958"/>
    <w:rsid w:val="7CC6647D"/>
    <w:rsid w:val="7CC96E10"/>
    <w:rsid w:val="7CD53DF9"/>
    <w:rsid w:val="7CEA684B"/>
    <w:rsid w:val="7CF87F76"/>
    <w:rsid w:val="7D097C86"/>
    <w:rsid w:val="7D2D3A06"/>
    <w:rsid w:val="7D393F80"/>
    <w:rsid w:val="7D995BB2"/>
    <w:rsid w:val="7DA57A41"/>
    <w:rsid w:val="7DB75CAC"/>
    <w:rsid w:val="7DC07A2C"/>
    <w:rsid w:val="7E014D45"/>
    <w:rsid w:val="7E076B0E"/>
    <w:rsid w:val="7E282B4B"/>
    <w:rsid w:val="7E2936C3"/>
    <w:rsid w:val="7E3420E2"/>
    <w:rsid w:val="7E6411B9"/>
    <w:rsid w:val="7E9755DB"/>
    <w:rsid w:val="7E9D4019"/>
    <w:rsid w:val="7EA45F4A"/>
    <w:rsid w:val="7EAA7A04"/>
    <w:rsid w:val="7EB97C47"/>
    <w:rsid w:val="7EF667A6"/>
    <w:rsid w:val="7F132C5D"/>
    <w:rsid w:val="7F3823EB"/>
    <w:rsid w:val="7F8A2E8B"/>
    <w:rsid w:val="7FC979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5"/>
    <w:qFormat/>
    <w:uiPriority w:val="0"/>
    <w:pPr>
      <w:jc w:val="left"/>
    </w:pPr>
    <w:rPr>
      <w:rFonts w:ascii="Arial" w:hAnsi="Arial" w:eastAsia="黑体" w:cs="Arial"/>
    </w:rPr>
  </w:style>
  <w:style w:type="paragraph" w:styleId="9">
    <w:name w:val="Body Text"/>
    <w:basedOn w:val="1"/>
    <w:next w:val="10"/>
    <w:qFormat/>
    <w:uiPriority w:val="0"/>
    <w:pPr>
      <w:spacing w:after="120"/>
    </w:pPr>
    <w:rPr>
      <w:rFonts w:ascii="@微软简标宋" w:hAnsi="@微软简标宋" w:eastAsia="@微软简标宋" w:cs="@微软简标宋"/>
      <w:szCs w:val="24"/>
      <w:lang w:val="zh-CN"/>
    </w:rPr>
  </w:style>
  <w:style w:type="paragraph" w:styleId="10">
    <w:name w:val="Body Text First Indent"/>
    <w:basedOn w:val="9"/>
    <w:next w:val="11"/>
    <w:unhideWhenUsed/>
    <w:qFormat/>
    <w:uiPriority w:val="99"/>
    <w:pPr>
      <w:ind w:firstLine="420" w:firstLineChars="100"/>
    </w:pPr>
  </w:style>
  <w:style w:type="paragraph" w:styleId="11">
    <w:name w:val="toc 6"/>
    <w:basedOn w:val="1"/>
    <w:next w:val="1"/>
    <w:qFormat/>
    <w:uiPriority w:val="0"/>
    <w:pPr>
      <w:ind w:left="1050"/>
      <w:jc w:val="left"/>
    </w:pPr>
    <w:rPr>
      <w:rFonts w:ascii="Century Gothic" w:hAnsi="Century Gothic"/>
      <w:sz w:val="18"/>
      <w:szCs w:val="18"/>
    </w:rPr>
  </w:style>
  <w:style w:type="paragraph" w:styleId="12">
    <w:name w:val="Body Text Indent"/>
    <w:basedOn w:val="1"/>
    <w:qFormat/>
    <w:uiPriority w:val="0"/>
    <w:pPr>
      <w:spacing w:after="120"/>
      <w:ind w:left="420" w:leftChars="200"/>
    </w:pPr>
  </w:style>
  <w:style w:type="paragraph" w:styleId="13">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link w:val="46"/>
    <w:qFormat/>
    <w:uiPriority w:val="99"/>
    <w:rPr>
      <w:rFonts w:ascii="宋体" w:hAnsi="Courier New" w:eastAsia="宋体" w:cs="Times New Roman"/>
      <w:szCs w:val="22"/>
    </w:rPr>
  </w:style>
  <w:style w:type="paragraph" w:styleId="15">
    <w:name w:val="Date"/>
    <w:basedOn w:val="1"/>
    <w:next w:val="1"/>
    <w:link w:val="47"/>
    <w:qFormat/>
    <w:uiPriority w:val="0"/>
    <w:rPr>
      <w:rFonts w:ascii="Arial" w:hAnsi="Arial" w:eastAsia="宋体" w:cs="Arial"/>
      <w:b/>
      <w:sz w:val="28"/>
    </w:rPr>
  </w:style>
  <w:style w:type="paragraph" w:styleId="16">
    <w:name w:val="Balloon Text"/>
    <w:basedOn w:val="1"/>
    <w:link w:val="48"/>
    <w:unhideWhenUsed/>
    <w:qFormat/>
    <w:uiPriority w:val="99"/>
    <w:rPr>
      <w:sz w:val="18"/>
      <w:szCs w:val="18"/>
    </w:rPr>
  </w:style>
  <w:style w:type="paragraph" w:styleId="17">
    <w:name w:val="footer"/>
    <w:basedOn w:val="1"/>
    <w:link w:val="49"/>
    <w:unhideWhenUsed/>
    <w:qFormat/>
    <w:uiPriority w:val="99"/>
    <w:pPr>
      <w:tabs>
        <w:tab w:val="center" w:pos="4153"/>
        <w:tab w:val="right" w:pos="8306"/>
      </w:tabs>
      <w:snapToGrid w:val="0"/>
      <w:jc w:val="left"/>
    </w:pPr>
    <w:rPr>
      <w:sz w:val="18"/>
      <w:szCs w:val="18"/>
    </w:rPr>
  </w:style>
  <w:style w:type="paragraph" w:styleId="18">
    <w:name w:val="envelope return"/>
    <w:basedOn w:val="1"/>
    <w:next w:val="6"/>
    <w:qFormat/>
    <w:uiPriority w:val="0"/>
    <w:pPr>
      <w:snapToGrid w:val="0"/>
    </w:pPr>
    <w:rPr>
      <w:rFonts w:ascii="Arial" w:hAnsi="Arial"/>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21">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8"/>
    <w:next w:val="8"/>
    <w:link w:val="51"/>
    <w:unhideWhenUsed/>
    <w:qFormat/>
    <w:uiPriority w:val="99"/>
    <w:rPr>
      <w:rFonts w:ascii="@仿宋_GB2312" w:hAnsi="@仿宋_GB2312" w:eastAsia="@仿宋_GB2312" w:cs="@仿宋_GB2312"/>
      <w:b/>
      <w:bCs/>
    </w:rPr>
  </w:style>
  <w:style w:type="paragraph" w:styleId="25">
    <w:name w:val="Body Text First Indent 2"/>
    <w:basedOn w:val="12"/>
    <w:unhideWhenUsed/>
    <w:qFormat/>
    <w:uiPriority w:val="99"/>
    <w:pPr>
      <w:ind w:firstLine="420" w:firstLineChars="200"/>
    </w:pPr>
    <w:rPr>
      <w:rFonts w:ascii="Times New Roman" w:hAnsi="Times New Roman" w:cs="Times New Roman"/>
      <w:szCs w:val="21"/>
    </w:r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basedOn w:val="28"/>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unhideWhenUsed/>
    <w:qFormat/>
    <w:uiPriority w:val="99"/>
  </w:style>
  <w:style w:type="character" w:styleId="33">
    <w:name w:val="HTML Typewriter"/>
    <w:basedOn w:val="28"/>
    <w:unhideWhenUsed/>
    <w:qFormat/>
    <w:uiPriority w:val="99"/>
    <w:rPr>
      <w:rFonts w:hint="default" w:ascii="monospace" w:hAnsi="monospace" w:eastAsia="monospace" w:cs="monospace"/>
      <w:sz w:val="20"/>
    </w:rPr>
  </w:style>
  <w:style w:type="character" w:styleId="34">
    <w:name w:val="HTML Acronym"/>
    <w:basedOn w:val="28"/>
    <w:unhideWhenUsed/>
    <w:qFormat/>
    <w:uiPriority w:val="99"/>
    <w:rPr>
      <w:bdr w:val="single" w:color="D6D6D6" w:sz="2" w:space="0"/>
      <w:shd w:val="clear" w:fill="FFFFFF"/>
    </w:rPr>
  </w:style>
  <w:style w:type="character" w:styleId="35">
    <w:name w:val="HTML Variable"/>
    <w:basedOn w:val="28"/>
    <w:unhideWhenUsed/>
    <w:qFormat/>
    <w:uiPriority w:val="99"/>
  </w:style>
  <w:style w:type="character" w:styleId="36">
    <w:name w:val="Hyperlink"/>
    <w:basedOn w:val="28"/>
    <w:unhideWhenUsed/>
    <w:qFormat/>
    <w:uiPriority w:val="99"/>
    <w:rPr>
      <w:color w:val="0000FF"/>
      <w:u w:val="single"/>
    </w:rPr>
  </w:style>
  <w:style w:type="character" w:styleId="37">
    <w:name w:val="HTML Code"/>
    <w:basedOn w:val="28"/>
    <w:unhideWhenUsed/>
    <w:qFormat/>
    <w:uiPriority w:val="99"/>
    <w:rPr>
      <w:rFonts w:hint="default" w:ascii="monospace" w:hAnsi="monospace" w:eastAsia="monospace" w:cs="monospace"/>
      <w:sz w:val="20"/>
    </w:rPr>
  </w:style>
  <w:style w:type="character" w:styleId="38">
    <w:name w:val="annotation reference"/>
    <w:basedOn w:val="28"/>
    <w:unhideWhenUsed/>
    <w:qFormat/>
    <w:uiPriority w:val="99"/>
    <w:rPr>
      <w:sz w:val="21"/>
      <w:szCs w:val="21"/>
    </w:rPr>
  </w:style>
  <w:style w:type="character" w:styleId="39">
    <w:name w:val="HTML Cite"/>
    <w:basedOn w:val="28"/>
    <w:unhideWhenUsed/>
    <w:qFormat/>
    <w:uiPriority w:val="99"/>
  </w:style>
  <w:style w:type="character" w:styleId="40">
    <w:name w:val="HTML Keyboard"/>
    <w:basedOn w:val="28"/>
    <w:unhideWhenUsed/>
    <w:qFormat/>
    <w:uiPriority w:val="99"/>
    <w:rPr>
      <w:rFonts w:ascii="monospace" w:hAnsi="monospace" w:eastAsia="monospace" w:cs="monospace"/>
      <w:sz w:val="20"/>
    </w:rPr>
  </w:style>
  <w:style w:type="character" w:styleId="41">
    <w:name w:val="HTML Sample"/>
    <w:basedOn w:val="28"/>
    <w:unhideWhenUsed/>
    <w:qFormat/>
    <w:uiPriority w:val="99"/>
    <w:rPr>
      <w:rFonts w:hint="default" w:ascii="monospace" w:hAnsi="monospace" w:eastAsia="monospace" w:cs="monospace"/>
    </w:rPr>
  </w:style>
  <w:style w:type="character" w:customStyle="1" w:styleId="42">
    <w:name w:val="标题 1 字符"/>
    <w:basedOn w:val="28"/>
    <w:link w:val="2"/>
    <w:qFormat/>
    <w:uiPriority w:val="9"/>
    <w:rPr>
      <w:rFonts w:ascii="@仿宋_GB2312" w:hAnsi="@仿宋_GB2312" w:eastAsia="@仿宋_GB2312" w:cs="@仿宋_GB2312"/>
      <w:b/>
      <w:bCs/>
      <w:kern w:val="44"/>
      <w:sz w:val="44"/>
      <w:szCs w:val="44"/>
    </w:rPr>
  </w:style>
  <w:style w:type="character" w:customStyle="1" w:styleId="43">
    <w:name w:val="标题 3 字符"/>
    <w:basedOn w:val="28"/>
    <w:link w:val="4"/>
    <w:semiHidden/>
    <w:qFormat/>
    <w:uiPriority w:val="9"/>
    <w:rPr>
      <w:rFonts w:ascii="@仿宋_GB2312" w:hAnsi="@仿宋_GB2312" w:eastAsia="@仿宋_GB2312" w:cs="@仿宋_GB2312"/>
      <w:b/>
      <w:bCs/>
      <w:sz w:val="32"/>
      <w:szCs w:val="32"/>
    </w:rPr>
  </w:style>
  <w:style w:type="character" w:customStyle="1" w:styleId="44">
    <w:name w:val="标题 4 字符1"/>
    <w:link w:val="5"/>
    <w:qFormat/>
    <w:uiPriority w:val="0"/>
    <w:rPr>
      <w:rFonts w:ascii="@仿宋_GB2312" w:hAnsi="@仿宋_GB2312" w:eastAsia="@仿宋_GB2312" w:cs="@仿宋_GB2312"/>
      <w:b/>
      <w:bCs/>
      <w:sz w:val="28"/>
      <w:szCs w:val="28"/>
    </w:rPr>
  </w:style>
  <w:style w:type="character" w:customStyle="1" w:styleId="45">
    <w:name w:val="批注文字 字符"/>
    <w:link w:val="8"/>
    <w:qFormat/>
    <w:uiPriority w:val="0"/>
    <w:rPr>
      <w:rFonts w:ascii="Arial" w:hAnsi="Arial" w:eastAsia="黑体" w:cs="Arial"/>
      <w:szCs w:val="20"/>
    </w:rPr>
  </w:style>
  <w:style w:type="character" w:customStyle="1" w:styleId="46">
    <w:name w:val="纯文本 字符"/>
    <w:link w:val="14"/>
    <w:qFormat/>
    <w:uiPriority w:val="0"/>
    <w:rPr>
      <w:rFonts w:ascii="宋体" w:hAnsi="Courier New"/>
    </w:rPr>
  </w:style>
  <w:style w:type="character" w:customStyle="1" w:styleId="47">
    <w:name w:val="日期 字符1"/>
    <w:link w:val="15"/>
    <w:qFormat/>
    <w:uiPriority w:val="0"/>
    <w:rPr>
      <w:rFonts w:ascii="Arial" w:hAnsi="Arial" w:eastAsia="宋体" w:cs="Arial"/>
      <w:b/>
      <w:sz w:val="28"/>
      <w:szCs w:val="20"/>
    </w:rPr>
  </w:style>
  <w:style w:type="character" w:customStyle="1" w:styleId="48">
    <w:name w:val="批注框文本 字符"/>
    <w:basedOn w:val="28"/>
    <w:link w:val="16"/>
    <w:semiHidden/>
    <w:qFormat/>
    <w:uiPriority w:val="99"/>
    <w:rPr>
      <w:rFonts w:ascii="@仿宋_GB2312" w:hAnsi="@仿宋_GB2312" w:eastAsia="@仿宋_GB2312" w:cs="@仿宋_GB2312"/>
      <w:sz w:val="18"/>
      <w:szCs w:val="18"/>
    </w:rPr>
  </w:style>
  <w:style w:type="character" w:customStyle="1" w:styleId="49">
    <w:name w:val="页脚 字符"/>
    <w:basedOn w:val="28"/>
    <w:link w:val="17"/>
    <w:qFormat/>
    <w:uiPriority w:val="99"/>
    <w:rPr>
      <w:rFonts w:ascii="@仿宋_GB2312" w:hAnsi="@仿宋_GB2312" w:eastAsia="@仿宋_GB2312" w:cs="@仿宋_GB2312"/>
      <w:sz w:val="18"/>
      <w:szCs w:val="18"/>
    </w:rPr>
  </w:style>
  <w:style w:type="character" w:customStyle="1" w:styleId="50">
    <w:name w:val="页眉 字符"/>
    <w:basedOn w:val="28"/>
    <w:link w:val="19"/>
    <w:qFormat/>
    <w:uiPriority w:val="99"/>
    <w:rPr>
      <w:rFonts w:ascii="@仿宋_GB2312" w:hAnsi="@仿宋_GB2312" w:eastAsia="@仿宋_GB2312" w:cs="@仿宋_GB2312"/>
      <w:sz w:val="18"/>
      <w:szCs w:val="18"/>
    </w:rPr>
  </w:style>
  <w:style w:type="character" w:customStyle="1" w:styleId="51">
    <w:name w:val="批注主题 字符"/>
    <w:basedOn w:val="45"/>
    <w:link w:val="24"/>
    <w:semiHidden/>
    <w:qFormat/>
    <w:uiPriority w:val="99"/>
    <w:rPr>
      <w:rFonts w:ascii="@仿宋_GB2312" w:hAnsi="@仿宋_GB2312" w:eastAsia="@仿宋_GB2312" w:cs="@仿宋_GB2312"/>
      <w:b/>
      <w:bCs/>
      <w:szCs w:val="20"/>
    </w:rPr>
  </w:style>
  <w:style w:type="paragraph" w:customStyle="1" w:styleId="52">
    <w:name w:val="正文（缩进）"/>
    <w:basedOn w:val="1"/>
    <w:qFormat/>
    <w:uiPriority w:val="0"/>
    <w:pPr>
      <w:widowControl/>
      <w:spacing w:before="156" w:after="156"/>
      <w:ind w:firstLine="480" w:firstLineChars="200"/>
      <w:jc w:val="left"/>
    </w:pPr>
    <w:rPr>
      <w:kern w:val="0"/>
      <w:sz w:val="24"/>
      <w:szCs w:val="24"/>
    </w:rPr>
  </w:style>
  <w:style w:type="paragraph" w:customStyle="1" w:styleId="53">
    <w:name w:val="xl31"/>
    <w:basedOn w:val="1"/>
    <w:qFormat/>
    <w:uiPriority w:val="0"/>
    <w:pPr>
      <w:widowControl/>
      <w:spacing w:before="100" w:beforeAutospacing="1" w:after="100" w:afterAutospacing="1"/>
      <w:jc w:val="center"/>
    </w:pPr>
    <w:rPr>
      <w:b/>
      <w:bCs/>
      <w:kern w:val="0"/>
      <w:sz w:val="28"/>
      <w:szCs w:val="28"/>
    </w:rPr>
  </w:style>
  <w:style w:type="paragraph" w:customStyle="1" w:styleId="54">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5">
    <w:name w:val="纯文本 字符1"/>
    <w:basedOn w:val="28"/>
    <w:semiHidden/>
    <w:qFormat/>
    <w:uiPriority w:val="99"/>
    <w:rPr>
      <w:rFonts w:ascii="宋体" w:hAnsi="Courier New" w:cs="Courier New"/>
      <w:szCs w:val="20"/>
    </w:rPr>
  </w:style>
  <w:style w:type="character" w:customStyle="1" w:styleId="56">
    <w:name w:val="未处理的提及1"/>
    <w:basedOn w:val="28"/>
    <w:unhideWhenUsed/>
    <w:qFormat/>
    <w:uiPriority w:val="99"/>
    <w:rPr>
      <w:color w:val="605E5C"/>
      <w:shd w:val="clear" w:color="auto" w:fill="E1DFDD"/>
    </w:rPr>
  </w:style>
  <w:style w:type="paragraph" w:styleId="57">
    <w:name w:val="List Paragraph"/>
    <w:basedOn w:val="1"/>
    <w:qFormat/>
    <w:uiPriority w:val="34"/>
    <w:pPr>
      <w:ind w:firstLine="420" w:firstLineChars="200"/>
    </w:pPr>
  </w:style>
  <w:style w:type="paragraph" w:customStyle="1" w:styleId="58">
    <w:name w:val="Char Char Char Char Char Char Char1 Char"/>
    <w:basedOn w:val="1"/>
    <w:qFormat/>
    <w:uiPriority w:val="0"/>
    <w:rPr>
      <w:rFonts w:ascii="Arial" w:hAnsi="Arial" w:eastAsia="宋体" w:cs="Arial"/>
      <w:sz w:val="24"/>
    </w:rPr>
  </w:style>
  <w:style w:type="table" w:customStyle="1" w:styleId="59">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60">
    <w:name w:val="日期 字符"/>
    <w:basedOn w:val="28"/>
    <w:semiHidden/>
    <w:qFormat/>
    <w:uiPriority w:val="99"/>
    <w:rPr>
      <w:rFonts w:ascii="@仿宋_GB2312" w:hAnsi="@仿宋_GB2312" w:eastAsia="@仿宋_GB2312" w:cs="@仿宋_GB2312"/>
      <w:szCs w:val="20"/>
    </w:rPr>
  </w:style>
  <w:style w:type="character" w:customStyle="1" w:styleId="61">
    <w:name w:val="纯文本 Char1"/>
    <w:qFormat/>
    <w:locked/>
    <w:uiPriority w:val="99"/>
    <w:rPr>
      <w:rFonts w:ascii="Arial" w:hAnsi="Arial" w:eastAsia="Arial"/>
      <w:kern w:val="2"/>
      <w:sz w:val="21"/>
      <w:lang w:val="en-US" w:eastAsia="zh-CN" w:bidi="ar-SA"/>
    </w:rPr>
  </w:style>
  <w:style w:type="character" w:customStyle="1" w:styleId="62">
    <w:name w:val="批注文字 Char"/>
    <w:basedOn w:val="28"/>
    <w:semiHidden/>
    <w:qFormat/>
    <w:uiPriority w:val="99"/>
    <w:rPr>
      <w:rFonts w:ascii="@仿宋_GB2312" w:hAnsi="@仿宋_GB2312" w:eastAsia="@仿宋_GB2312" w:cs="@仿宋_GB2312"/>
      <w:szCs w:val="20"/>
    </w:rPr>
  </w:style>
  <w:style w:type="paragraph" w:customStyle="1" w:styleId="63">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64">
    <w:name w:val="fontstyle01"/>
    <w:basedOn w:val="28"/>
    <w:qFormat/>
    <w:uiPriority w:val="0"/>
    <w:rPr>
      <w:rFonts w:hint="eastAsia" w:ascii="宋体" w:hAnsi="宋体" w:eastAsia="宋体"/>
      <w:color w:val="000000"/>
      <w:sz w:val="22"/>
      <w:szCs w:val="22"/>
    </w:rPr>
  </w:style>
  <w:style w:type="character" w:customStyle="1" w:styleId="65">
    <w:name w:val="fontstyle21"/>
    <w:basedOn w:val="28"/>
    <w:qFormat/>
    <w:uiPriority w:val="0"/>
    <w:rPr>
      <w:rFonts w:hint="default" w:ascii="TimesNewRomanPSMT" w:hAnsi="TimesNewRomanPSMT"/>
      <w:color w:val="000000"/>
      <w:sz w:val="22"/>
      <w:szCs w:val="22"/>
    </w:rPr>
  </w:style>
  <w:style w:type="character" w:customStyle="1" w:styleId="6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28"/>
    <w:semiHidden/>
    <w:qFormat/>
    <w:uiPriority w:val="9"/>
    <w:rPr>
      <w:rFonts w:ascii="Cambria" w:hAnsi="Cambria" w:eastAsia="宋体" w:cs="Times New Roman"/>
      <w:b/>
      <w:bCs/>
      <w:sz w:val="28"/>
      <w:szCs w:val="28"/>
    </w:rPr>
  </w:style>
  <w:style w:type="character" w:customStyle="1" w:styleId="68">
    <w:name w:val="标题 4 Char"/>
    <w:qFormat/>
    <w:uiPriority w:val="0"/>
    <w:rPr>
      <w:rFonts w:ascii="Arial" w:hAnsi="Arial" w:eastAsia="Arial"/>
      <w:b/>
      <w:bCs/>
      <w:kern w:val="2"/>
      <w:sz w:val="28"/>
      <w:szCs w:val="28"/>
      <w:lang w:val="en-US" w:eastAsia="zh-CN" w:bidi="ar-SA"/>
    </w:rPr>
  </w:style>
  <w:style w:type="table" w:customStyle="1" w:styleId="6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Table Normal"/>
    <w:basedOn w:val="26"/>
    <w:unhideWhenUsed/>
    <w:qFormat/>
    <w:uiPriority w:val="0"/>
    <w:tblPr>
      <w:tblCellMar>
        <w:left w:w="0" w:type="dxa"/>
        <w:right w:w="0" w:type="dxa"/>
      </w:tblCellMar>
    </w:tblPr>
  </w:style>
  <w:style w:type="paragraph" w:customStyle="1" w:styleId="71">
    <w:name w:val="Table Text"/>
    <w:basedOn w:val="1"/>
    <w:semiHidden/>
    <w:qFormat/>
    <w:uiPriority w:val="0"/>
    <w:rPr>
      <w:rFonts w:ascii="Arial" w:hAnsi="Arial" w:eastAsia="Arial" w:cs="Arial"/>
      <w:szCs w:val="21"/>
      <w:lang w:eastAsia="en-US"/>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qFormat/>
    <w:uiPriority w:val="0"/>
    <w:pPr>
      <w:ind w:firstLine="420" w:firstLineChars="200"/>
    </w:pPr>
    <w:rPr>
      <w:szCs w:val="21"/>
    </w:rPr>
  </w:style>
  <w:style w:type="character" w:customStyle="1" w:styleId="74">
    <w:name w:val="17"/>
    <w:basedOn w:val="28"/>
    <w:qFormat/>
    <w:uiPriority w:val="0"/>
    <w:rPr>
      <w:rFonts w:hint="eastAsia" w:ascii="宋体" w:hAnsi="宋体" w:eastAsia="宋体" w:cs="宋体"/>
      <w:color w:val="000000"/>
      <w:sz w:val="18"/>
      <w:szCs w:val="18"/>
    </w:rPr>
  </w:style>
  <w:style w:type="character" w:customStyle="1" w:styleId="75">
    <w:name w:val="16"/>
    <w:basedOn w:val="28"/>
    <w:qFormat/>
    <w:uiPriority w:val="0"/>
    <w:rPr>
      <w:rFonts w:hint="eastAsia" w:ascii="宋体" w:hAnsi="宋体" w:eastAsia="宋体" w:cs="宋体"/>
      <w:b/>
      <w:color w:val="000000"/>
      <w:sz w:val="18"/>
      <w:szCs w:val="18"/>
    </w:rPr>
  </w:style>
  <w:style w:type="character" w:customStyle="1" w:styleId="76">
    <w:name w:val="15"/>
    <w:basedOn w:val="28"/>
    <w:qFormat/>
    <w:uiPriority w:val="0"/>
    <w:rPr>
      <w:rFonts w:hint="eastAsia" w:ascii="宋体" w:hAnsi="宋体" w:eastAsia="宋体" w:cs="宋体"/>
      <w:color w:val="FF0000"/>
      <w:sz w:val="18"/>
      <w:szCs w:val="18"/>
    </w:rPr>
  </w:style>
  <w:style w:type="character" w:customStyle="1" w:styleId="77">
    <w:name w:val="hover"/>
    <w:basedOn w:val="28"/>
    <w:qFormat/>
    <w:uiPriority w:val="0"/>
    <w:rPr>
      <w:color w:val="2590EB"/>
    </w:rPr>
  </w:style>
  <w:style w:type="character" w:customStyle="1" w:styleId="78">
    <w:name w:val="hover1"/>
    <w:basedOn w:val="28"/>
    <w:qFormat/>
    <w:uiPriority w:val="0"/>
  </w:style>
  <w:style w:type="character" w:customStyle="1" w:styleId="79">
    <w:name w:val="hover2"/>
    <w:basedOn w:val="28"/>
    <w:qFormat/>
    <w:uiPriority w:val="0"/>
    <w:rPr>
      <w:color w:val="2590EB"/>
      <w:shd w:val="clear" w:color="auto" w:fill="E9F4FD"/>
    </w:rPr>
  </w:style>
  <w:style w:type="character" w:customStyle="1" w:styleId="80">
    <w:name w:val="hover3"/>
    <w:basedOn w:val="28"/>
    <w:qFormat/>
    <w:uiPriority w:val="0"/>
    <w:rPr>
      <w:color w:val="2590EB"/>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2">
    <w:name w:val="layui-this"/>
    <w:basedOn w:val="28"/>
    <w:qFormat/>
    <w:uiPriority w:val="0"/>
    <w:rPr>
      <w:bdr w:val="single" w:color="EEEEEE" w:sz="6" w:space="0"/>
      <w:shd w:val="clear" w:color="auto" w:fill="FFFFFF"/>
    </w:rPr>
  </w:style>
  <w:style w:type="character" w:customStyle="1" w:styleId="83">
    <w:name w:val="first-child"/>
    <w:basedOn w:val="28"/>
    <w:qFormat/>
    <w:uiPriority w:val="0"/>
  </w:style>
  <w:style w:type="paragraph" w:customStyle="1" w:styleId="84">
    <w:name w:val="List Paragraph1"/>
    <w:basedOn w:val="1"/>
    <w:autoRedefine/>
    <w:qFormat/>
    <w:uiPriority w:val="0"/>
    <w:pPr>
      <w:numPr>
        <w:ilvl w:val="0"/>
        <w:numId w:val="1"/>
      </w:numPr>
    </w:pPr>
    <w:rPr>
      <w:szCs w:val="24"/>
    </w:rPr>
  </w:style>
  <w:style w:type="character" w:customStyle="1" w:styleId="85">
    <w:name w:val="hover4"/>
    <w:basedOn w:val="28"/>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114</Pages>
  <Words>2467</Words>
  <Characters>2862</Characters>
  <Lines>1</Lines>
  <Paragraphs>1</Paragraphs>
  <TotalTime>27</TotalTime>
  <ScaleCrop>false</ScaleCrop>
  <LinksUpToDate>false</LinksUpToDate>
  <CharactersWithSpaces>2960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2025-05-07T09:36:00Z</dcterms:created>
  <dc:creator>Anakin</dc:creator>
  <cp:lastModifiedBy>朱启</cp:lastModifiedBy>
  <cp:lastPrinted>2025-08-15T00:36:00Z</cp:lastPrinted>
  <dcterms:modified xsi:type="dcterms:W3CDTF">2025-10-10T07:10:52Z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ACAC503E4D3A4A4CB5DA7BC3F85BC700_13</vt:lpwstr>
  </property>
  <property fmtid="{D5CDD505-2E9C-101B-9397-08002B2CF9AE}" pid="4" name="KSOTemplateDocerSaveRecord">
    <vt:lpwstr>eyJoZGlkIjoiZTQ4OTM2MTIyODI3Njc5MTE5MDBiNjA4NzIzYTUzZmEiLCJ1c2VySWQiOiI3MDAwNjg2OTUifQ==</vt:lpwstr>
  </property>
</Properties>
</file>