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7460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5D45C59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58B93BC4">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5536C43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31124F0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266F236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10ADE80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7AAC3F6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D09E00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EE39B8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CD31623">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rPr>
      </w:pPr>
    </w:p>
    <w:p w14:paraId="0905131C">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项目名称：</w:t>
      </w:r>
      <w:r>
        <w:rPr>
          <w:rFonts w:hint="eastAsia" w:ascii="宋体" w:hAnsi="宋体" w:eastAsia="宋体"/>
          <w:b/>
          <w:color w:val="auto"/>
          <w:kern w:val="0"/>
          <w:sz w:val="32"/>
          <w:szCs w:val="32"/>
          <w:highlight w:val="none"/>
          <w:u w:val="single"/>
          <w:lang w:eastAsia="zh-CN"/>
        </w:rPr>
        <w:t>滁州职业技术学院智能制造中心续建项目（二次）</w:t>
      </w:r>
    </w:p>
    <w:p w14:paraId="22BADD35">
      <w:pPr>
        <w:tabs>
          <w:tab w:val="left" w:pos="2410"/>
        </w:tabs>
        <w:autoSpaceDE w:val="0"/>
        <w:autoSpaceDN w:val="0"/>
        <w:adjustRightInd w:val="0"/>
        <w:snapToGrid w:val="0"/>
        <w:spacing w:line="360" w:lineRule="auto"/>
        <w:ind w:firstLine="643" w:firstLineChars="200"/>
        <w:rPr>
          <w:rFonts w:hint="default" w:ascii="宋体" w:hAnsi="宋体" w:eastAsia="宋体"/>
          <w:b/>
          <w:color w:val="auto"/>
          <w:kern w:val="0"/>
          <w:sz w:val="32"/>
          <w:szCs w:val="32"/>
          <w:highlight w:val="none"/>
          <w:lang w:val="en-US" w:eastAsia="zh-CN"/>
        </w:rPr>
      </w:pPr>
      <w:r>
        <w:rPr>
          <w:rFonts w:hint="eastAsia" w:ascii="宋体" w:hAnsi="宋体" w:eastAsia="宋体"/>
          <w:b/>
          <w:color w:val="auto"/>
          <w:kern w:val="0"/>
          <w:sz w:val="32"/>
          <w:szCs w:val="32"/>
          <w:highlight w:val="none"/>
        </w:rPr>
        <w:t>项目编号：</w:t>
      </w:r>
      <w:bookmarkStart w:id="59" w:name="_GoBack"/>
      <w:bookmarkEnd w:id="59"/>
      <w:r>
        <w:rPr>
          <w:rFonts w:hint="eastAsia" w:ascii="宋体" w:hAnsi="宋体" w:eastAsia="宋体"/>
          <w:b/>
          <w:color w:val="auto"/>
          <w:kern w:val="0"/>
          <w:sz w:val="32"/>
          <w:szCs w:val="32"/>
          <w:highlight w:val="none"/>
          <w:u w:val="single"/>
          <w:lang w:val="en-US" w:eastAsia="zh-CN"/>
        </w:rPr>
        <w:t>czsjcg202508-010</w:t>
      </w:r>
    </w:p>
    <w:p w14:paraId="75C51164">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采 购 人：</w:t>
      </w:r>
      <w:r>
        <w:rPr>
          <w:rFonts w:hint="eastAsia" w:ascii="宋体" w:hAnsi="宋体" w:eastAsia="宋体"/>
          <w:b/>
          <w:color w:val="auto"/>
          <w:kern w:val="0"/>
          <w:sz w:val="32"/>
          <w:szCs w:val="32"/>
          <w:highlight w:val="none"/>
          <w:u w:val="single"/>
          <w:lang w:eastAsia="zh-CN"/>
        </w:rPr>
        <w:t>滁州职业技术学院</w:t>
      </w:r>
    </w:p>
    <w:p w14:paraId="2439330C">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kern w:val="0"/>
          <w:sz w:val="32"/>
          <w:szCs w:val="32"/>
          <w:highlight w:val="none"/>
        </w:rPr>
        <w:t>采购代理机构：</w:t>
      </w:r>
      <w:r>
        <w:rPr>
          <w:rFonts w:hint="eastAsia" w:ascii="宋体" w:hAnsi="宋体" w:eastAsia="宋体"/>
          <w:b/>
          <w:color w:val="auto"/>
          <w:kern w:val="0"/>
          <w:sz w:val="32"/>
          <w:szCs w:val="32"/>
          <w:highlight w:val="none"/>
          <w:u w:val="single"/>
        </w:rPr>
        <w:t>滁州市城投工程咨询管理有限公司</w:t>
      </w:r>
    </w:p>
    <w:p w14:paraId="416827CE">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rPr>
      </w:pPr>
    </w:p>
    <w:p w14:paraId="53CBD882">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36"/>
          <w:highlight w:val="none"/>
          <w:u w:val="single"/>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8</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4E3DE8CA">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381866FF">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"1-2" \h \z \u </w:instrText>
      </w:r>
      <w:r>
        <w:rPr>
          <w:rFonts w:hint="eastAsia" w:ascii="宋体" w:hAnsi="宋体" w:eastAsia="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3427C5">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AE66FF5">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561D71B">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585FD21">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04C980F">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722C5A">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81C3550">
      <w:pPr>
        <w:spacing w:line="360" w:lineRule="auto"/>
        <w:rPr>
          <w:rFonts w:hint="eastAsia"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4D36243F">
      <w:pPr>
        <w:pStyle w:val="9"/>
        <w:rPr>
          <w:rFonts w:hint="eastAsia"/>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1195D4E">
      <w:pPr>
        <w:spacing w:line="360" w:lineRule="auto"/>
        <w:jc w:val="center"/>
        <w:outlineLvl w:val="0"/>
        <w:rPr>
          <w:rFonts w:hint="eastAsia" w:asciiTheme="minorEastAsia" w:hAnsiTheme="minorEastAsia" w:eastAsiaTheme="minorEastAsia"/>
          <w:b/>
          <w:color w:val="auto"/>
          <w:sz w:val="28"/>
          <w:highlight w:val="none"/>
        </w:rPr>
      </w:pPr>
      <w:bookmarkStart w:id="1" w:name="_Toc2344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351D39B3">
      <w:pPr>
        <w:keepNext/>
        <w:keepLine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项目概况</w:t>
      </w:r>
    </w:p>
    <w:p w14:paraId="3D3B62FE">
      <w:pPr>
        <w:keepNext/>
        <w:keepLines/>
        <w:wordWrap w:val="0"/>
        <w:ind w:firstLine="560" w:firstLineChars="200"/>
        <w:rPr>
          <w:rFonts w:hint="eastAsia" w:ascii="黑体" w:hAnsi="宋体" w:eastAsia="宋体" w:cs="宋体"/>
          <w:color w:val="auto"/>
          <w:sz w:val="28"/>
          <w:szCs w:val="28"/>
          <w:highlight w:val="none"/>
        </w:rPr>
      </w:pPr>
      <w:r>
        <w:rPr>
          <w:rFonts w:hint="eastAsia" w:ascii="仿宋" w:hAnsi="仿宋" w:eastAsia="仿宋" w:cs="仿宋"/>
          <w:color w:val="auto"/>
          <w:sz w:val="28"/>
          <w:szCs w:val="28"/>
          <w:highlight w:val="none"/>
          <w:u w:val="single"/>
          <w:lang w:eastAsia="zh-CN" w:bidi="ar"/>
        </w:rPr>
        <w:t>滁州职业技术学院智能制造中心续建项目（二次）</w:t>
      </w:r>
      <w:r>
        <w:rPr>
          <w:rFonts w:hint="eastAsia" w:ascii="仿宋" w:hAnsi="仿宋" w:eastAsia="仿宋" w:cs="仿宋"/>
          <w:color w:val="auto"/>
          <w:sz w:val="28"/>
          <w:szCs w:val="28"/>
          <w:highlight w:val="none"/>
          <w:lang w:bidi="ar"/>
        </w:rPr>
        <w:t>的潜在投标人应在</w:t>
      </w:r>
      <w:r>
        <w:rPr>
          <w:rFonts w:hint="eastAsia" w:ascii="仿宋" w:hAnsi="仿宋" w:eastAsia="仿宋" w:cs="仿宋"/>
          <w:color w:val="auto"/>
          <w:sz w:val="28"/>
          <w:szCs w:val="28"/>
          <w:highlight w:val="none"/>
          <w:u w:val="single"/>
          <w:lang w:bidi="ar"/>
        </w:rPr>
        <w:t>滁州市公共资源交易中心网（http：//ggzy.chuzhou.gov.cn/）</w:t>
      </w:r>
      <w:r>
        <w:rPr>
          <w:rFonts w:hint="eastAsia" w:ascii="仿宋" w:hAnsi="仿宋" w:eastAsia="仿宋" w:cs="仿宋"/>
          <w:color w:val="auto"/>
          <w:sz w:val="28"/>
          <w:szCs w:val="28"/>
          <w:highlight w:val="none"/>
          <w:lang w:bidi="ar"/>
        </w:rPr>
        <w:t>获取招标文件，并于</w:t>
      </w:r>
      <w:r>
        <w:rPr>
          <w:rFonts w:hint="eastAsia" w:ascii="仿宋" w:hAnsi="仿宋" w:eastAsia="仿宋" w:cs="仿宋"/>
          <w:color w:val="auto"/>
          <w:sz w:val="28"/>
          <w:szCs w:val="28"/>
          <w:highlight w:val="none"/>
          <w:u w:val="single"/>
          <w:lang w:bidi="ar"/>
        </w:rPr>
        <w:t xml:space="preserve"> 2025年</w:t>
      </w:r>
      <w:r>
        <w:rPr>
          <w:rFonts w:hint="eastAsia" w:ascii="仿宋" w:hAnsi="仿宋" w:eastAsia="仿宋" w:cs="仿宋"/>
          <w:color w:val="auto"/>
          <w:sz w:val="28"/>
          <w:szCs w:val="28"/>
          <w:highlight w:val="none"/>
          <w:u w:val="single"/>
          <w:lang w:val="en-US" w:eastAsia="zh-CN" w:bidi="ar"/>
        </w:rPr>
        <w:t>8</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27</w:t>
      </w:r>
      <w:r>
        <w:rPr>
          <w:rFonts w:hint="eastAsia" w:ascii="仿宋" w:hAnsi="仿宋" w:eastAsia="仿宋" w:cs="仿宋"/>
          <w:color w:val="auto"/>
          <w:sz w:val="28"/>
          <w:szCs w:val="28"/>
          <w:highlight w:val="none"/>
          <w:u w:val="single"/>
          <w:lang w:bidi="ar"/>
        </w:rPr>
        <w:t>日8点00分</w:t>
      </w:r>
      <w:r>
        <w:rPr>
          <w:rFonts w:hint="eastAsia" w:ascii="仿宋" w:hAnsi="仿宋" w:eastAsia="仿宋" w:cs="仿宋"/>
          <w:color w:val="auto"/>
          <w:sz w:val="28"/>
          <w:szCs w:val="28"/>
          <w:highlight w:val="none"/>
          <w:lang w:bidi="ar"/>
        </w:rPr>
        <w:t>（北京时间）前递交投标文件。</w:t>
      </w:r>
    </w:p>
    <w:p w14:paraId="2A517162">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一、项目基本情况</w:t>
      </w:r>
    </w:p>
    <w:p w14:paraId="11777E8B">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项目编号：</w:t>
      </w:r>
      <w:r>
        <w:rPr>
          <w:rFonts w:hint="eastAsia" w:ascii="仿宋" w:hAnsi="仿宋" w:eastAsia="仿宋" w:cs="仿宋"/>
          <w:color w:val="auto"/>
          <w:sz w:val="28"/>
          <w:szCs w:val="28"/>
          <w:highlight w:val="none"/>
          <w:lang w:eastAsia="zh-CN" w:bidi="ar"/>
        </w:rPr>
        <w:t>czsjcg202508-010</w:t>
      </w:r>
    </w:p>
    <w:p w14:paraId="303E47FB">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项目名称：</w:t>
      </w:r>
      <w:r>
        <w:rPr>
          <w:rFonts w:hint="eastAsia" w:ascii="仿宋" w:hAnsi="仿宋" w:eastAsia="仿宋" w:cs="仿宋"/>
          <w:color w:val="auto"/>
          <w:sz w:val="28"/>
          <w:szCs w:val="28"/>
          <w:highlight w:val="none"/>
          <w:lang w:eastAsia="zh-CN" w:bidi="ar"/>
        </w:rPr>
        <w:t>滁州职业技术学院智能制造中心续建项目（二次）</w:t>
      </w:r>
    </w:p>
    <w:p w14:paraId="605C257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预算金额：50</w:t>
      </w:r>
      <w:r>
        <w:rPr>
          <w:rFonts w:hint="eastAsia" w:ascii="仿宋" w:hAnsi="仿宋" w:eastAsia="仿宋" w:cs="仿宋"/>
          <w:color w:val="auto"/>
          <w:sz w:val="28"/>
          <w:szCs w:val="28"/>
          <w:highlight w:val="none"/>
          <w:lang w:val="en-US" w:eastAsia="zh-CN" w:bidi="ar"/>
        </w:rPr>
        <w:t>0</w:t>
      </w:r>
      <w:r>
        <w:rPr>
          <w:rFonts w:hint="eastAsia" w:ascii="仿宋" w:hAnsi="仿宋" w:eastAsia="仿宋" w:cs="仿宋"/>
          <w:color w:val="auto"/>
          <w:sz w:val="28"/>
          <w:szCs w:val="28"/>
          <w:highlight w:val="none"/>
          <w:lang w:bidi="ar"/>
        </w:rPr>
        <w:t>000元</w:t>
      </w:r>
    </w:p>
    <w:p w14:paraId="4A16832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最高限价：</w:t>
      </w:r>
      <w:r>
        <w:rPr>
          <w:rFonts w:hint="eastAsia" w:ascii="仿宋" w:hAnsi="仿宋" w:eastAsia="仿宋" w:cs="仿宋"/>
          <w:color w:val="auto"/>
          <w:sz w:val="28"/>
          <w:szCs w:val="28"/>
          <w:highlight w:val="none"/>
          <w:lang w:val="en-US" w:eastAsia="zh-CN" w:bidi="ar"/>
        </w:rPr>
        <w:t>495</w:t>
      </w:r>
      <w:r>
        <w:rPr>
          <w:rFonts w:hint="eastAsia" w:ascii="仿宋" w:hAnsi="仿宋" w:eastAsia="仿宋" w:cs="仿宋"/>
          <w:color w:val="auto"/>
          <w:sz w:val="28"/>
          <w:szCs w:val="28"/>
          <w:highlight w:val="none"/>
          <w:lang w:bidi="ar"/>
        </w:rPr>
        <w:t>0</w:t>
      </w:r>
      <w:r>
        <w:rPr>
          <w:rFonts w:hint="eastAsia" w:ascii="仿宋" w:hAnsi="仿宋" w:eastAsia="仿宋" w:cs="仿宋"/>
          <w:color w:val="auto"/>
          <w:sz w:val="28"/>
          <w:szCs w:val="28"/>
          <w:highlight w:val="none"/>
          <w:lang w:val="en-US" w:eastAsia="zh-CN" w:bidi="ar"/>
        </w:rPr>
        <w:t>0</w:t>
      </w:r>
      <w:r>
        <w:rPr>
          <w:rFonts w:hint="eastAsia" w:ascii="仿宋" w:hAnsi="仿宋" w:eastAsia="仿宋" w:cs="仿宋"/>
          <w:color w:val="auto"/>
          <w:sz w:val="28"/>
          <w:szCs w:val="28"/>
          <w:highlight w:val="none"/>
          <w:lang w:bidi="ar"/>
        </w:rPr>
        <w:t>0元，投标报价高于最高限价的，其投标文件按无效标处理。</w:t>
      </w:r>
    </w:p>
    <w:p w14:paraId="5CB1393E">
      <w:pPr>
        <w:spacing w:line="360" w:lineRule="auto"/>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采购需求：</w:t>
      </w:r>
      <w:r>
        <w:rPr>
          <w:rFonts w:hint="eastAsia" w:ascii="仿宋" w:hAnsi="仿宋" w:eastAsia="仿宋" w:cs="仿宋"/>
          <w:color w:val="auto"/>
          <w:sz w:val="28"/>
          <w:szCs w:val="28"/>
          <w:highlight w:val="none"/>
          <w:lang w:val="en-US" w:eastAsia="zh-CN" w:bidi="ar"/>
        </w:rPr>
        <w:t>主要采购AGV小车、协作机器人、仓储装置、视觉检测装置、计算机系统管理软件和MES系统；同时，对中心现有的设备进行功能升级</w:t>
      </w:r>
      <w:r>
        <w:rPr>
          <w:rFonts w:hint="eastAsia" w:ascii="仿宋" w:hAnsi="仿宋" w:eastAsia="仿宋" w:cs="仿宋"/>
          <w:color w:val="auto"/>
          <w:sz w:val="28"/>
          <w:szCs w:val="28"/>
          <w:highlight w:val="none"/>
          <w:lang w:bidi="ar"/>
        </w:rPr>
        <w:t>。</w:t>
      </w:r>
    </w:p>
    <w:p w14:paraId="15EDD877">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合同履行期限：自合同签订之日起60个日历天完成全部货物的供货、安装、调试、运行和培训工作。</w:t>
      </w:r>
    </w:p>
    <w:p w14:paraId="6096180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本项目不接受联合体投标。</w:t>
      </w:r>
    </w:p>
    <w:p w14:paraId="7923E934">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二、申请人的资格要求</w:t>
      </w:r>
    </w:p>
    <w:p w14:paraId="71B65FF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1.满足《中华人民共和国政府采购法》第二十二条规定；</w:t>
      </w:r>
    </w:p>
    <w:p w14:paraId="7C8D1631">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2.落实政府采购政策需满足的资格要求：</w:t>
      </w:r>
      <w:r>
        <w:rPr>
          <w:rFonts w:hint="eastAsia" w:ascii="仿宋" w:hAnsi="仿宋" w:eastAsia="仿宋" w:cs="仿宋"/>
          <w:color w:val="auto"/>
          <w:sz w:val="28"/>
          <w:szCs w:val="28"/>
          <w:highlight w:val="none"/>
          <w:u w:val="single"/>
          <w:lang w:bidi="ar"/>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4B99594D">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3.本项目的特定资格要求：无；</w:t>
      </w:r>
    </w:p>
    <w:p w14:paraId="5503B06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4.信誉要求：投标人不得存在以下情形：</w:t>
      </w:r>
    </w:p>
    <w:p w14:paraId="0993E3B9">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①被列入“信用中国”网站“失信被执行人”的；</w:t>
      </w:r>
    </w:p>
    <w:p w14:paraId="0993E470">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②被列入“信用中国”网站“重大税收违法失信主体”的；</w:t>
      </w:r>
    </w:p>
    <w:p w14:paraId="09AF40F5">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③被列入“信用中国”网站 “严重失信主体名单”的；</w:t>
      </w:r>
    </w:p>
    <w:p w14:paraId="235BA72F">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④在</w:t>
      </w:r>
      <w:bookmarkStart w:id="2" w:name="OLE_LINK129"/>
      <w:bookmarkStart w:id="3" w:name="OLE_LINK127"/>
      <w:bookmarkStart w:id="4" w:name="OLE_LINK128"/>
      <w:r>
        <w:rPr>
          <w:rFonts w:hint="eastAsia" w:ascii="仿宋" w:hAnsi="仿宋" w:eastAsia="仿宋" w:cs="仿宋"/>
          <w:color w:val="auto"/>
          <w:sz w:val="28"/>
          <w:szCs w:val="28"/>
          <w:highlight w:val="none"/>
          <w:lang w:bidi="ar"/>
        </w:rPr>
        <w:t>“信用中国”网站</w:t>
      </w:r>
      <w:bookmarkEnd w:id="2"/>
      <w:bookmarkEnd w:id="3"/>
      <w:bookmarkEnd w:id="4"/>
      <w:r>
        <w:rPr>
          <w:rFonts w:hint="eastAsia" w:ascii="仿宋" w:hAnsi="仿宋" w:eastAsia="仿宋" w:cs="仿宋"/>
          <w:color w:val="auto"/>
          <w:sz w:val="28"/>
          <w:szCs w:val="28"/>
          <w:highlight w:val="none"/>
          <w:lang w:bidi="ar"/>
        </w:rPr>
        <w:t>上披露的仍在公示期的严重失信行为(具体行为类别及判定依据见“信用中国”查询的严重失信行为类别及判定依据)的。</w:t>
      </w:r>
    </w:p>
    <w:p w14:paraId="0E29880D">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⑤被列入国家企业信用信息公示系统网站“经营异常名录”或者“严重违法失信名单”的。</w:t>
      </w:r>
    </w:p>
    <w:p w14:paraId="6A550342">
      <w:pPr>
        <w:ind w:firstLine="560" w:firstLineChars="200"/>
        <w:rPr>
          <w:rFonts w:hint="eastAsia" w:ascii="仿宋" w:hAnsi="仿宋" w:eastAsia="仿宋" w:cs="仿宋"/>
          <w:color w:val="auto"/>
          <w:sz w:val="28"/>
          <w:szCs w:val="28"/>
          <w:highlight w:val="none"/>
          <w:lang w:bidi="ar"/>
        </w:rPr>
      </w:pPr>
      <w:bookmarkStart w:id="5" w:name="OLE_LINK113"/>
      <w:bookmarkStart w:id="6" w:name="OLE_LINK114"/>
      <w:r>
        <w:rPr>
          <w:rFonts w:hint="eastAsia" w:ascii="仿宋" w:hAnsi="仿宋" w:eastAsia="仿宋" w:cs="仿宋"/>
          <w:color w:val="auto"/>
          <w:sz w:val="28"/>
          <w:szCs w:val="28"/>
          <w:highlight w:val="none"/>
          <w:lang w:bidi="ar"/>
        </w:rPr>
        <w:t>⑥</w:t>
      </w:r>
      <w:bookmarkEnd w:id="5"/>
      <w:bookmarkEnd w:id="6"/>
      <w:r>
        <w:rPr>
          <w:rFonts w:hint="eastAsia" w:ascii="仿宋" w:hAnsi="仿宋" w:eastAsia="仿宋" w:cs="仿宋"/>
          <w:color w:val="auto"/>
          <w:sz w:val="28"/>
          <w:szCs w:val="28"/>
          <w:highlight w:val="none"/>
          <w:lang w:bidi="ar"/>
        </w:rPr>
        <w:t>被列入中国政府采购网站“政府采购严重违法失信行为信息记录”的。</w:t>
      </w:r>
    </w:p>
    <w:p w14:paraId="5A6ADF14">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⑦前三年有行贿犯罪行为的单位和个人。</w:t>
      </w:r>
    </w:p>
    <w:p w14:paraId="50FCF5E1">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5.投标人所属分公司、办事处等分支机构存在第4款信誉要求①-⑦项情形之一的，接受投标人参加本项目。</w:t>
      </w:r>
    </w:p>
    <w:p w14:paraId="13719CFF">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备注：第4、5条按照“关于联合惩戒失信行为加强信用查询管理的通知”查询或承诺。</w:t>
      </w:r>
    </w:p>
    <w:p w14:paraId="08A09777">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三、获取招标文件</w:t>
      </w:r>
    </w:p>
    <w:p w14:paraId="13DF65E2">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时间：</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8</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6</w:t>
      </w:r>
      <w:r>
        <w:rPr>
          <w:rFonts w:hint="eastAsia" w:ascii="仿宋" w:hAnsi="仿宋" w:eastAsia="仿宋" w:cs="仿宋"/>
          <w:color w:val="auto"/>
          <w:sz w:val="28"/>
          <w:szCs w:val="28"/>
          <w:highlight w:val="none"/>
          <w:u w:val="single"/>
          <w:lang w:bidi="ar"/>
        </w:rPr>
        <w:t>日</w:t>
      </w:r>
      <w:r>
        <w:rPr>
          <w:rFonts w:hint="eastAsia" w:ascii="仿宋" w:hAnsi="仿宋" w:eastAsia="仿宋" w:cs="仿宋"/>
          <w:color w:val="auto"/>
          <w:sz w:val="28"/>
          <w:szCs w:val="28"/>
          <w:highlight w:val="none"/>
          <w:lang w:bidi="ar"/>
        </w:rPr>
        <w:t>至</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8</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27</w:t>
      </w:r>
      <w:r>
        <w:rPr>
          <w:rFonts w:hint="eastAsia" w:ascii="仿宋" w:hAnsi="仿宋" w:eastAsia="仿宋" w:cs="仿宋"/>
          <w:color w:val="auto"/>
          <w:sz w:val="28"/>
          <w:szCs w:val="28"/>
          <w:highlight w:val="none"/>
          <w:u w:val="single"/>
          <w:lang w:bidi="ar"/>
        </w:rPr>
        <w:t>日</w:t>
      </w:r>
    </w:p>
    <w:p w14:paraId="7C5444AC">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地点：滁州市公共资源交易中心网</w:t>
      </w:r>
    </w:p>
    <w:p w14:paraId="47DB75D1">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方式：网上下载</w:t>
      </w:r>
    </w:p>
    <w:p w14:paraId="4943AC2A">
      <w:pPr>
        <w:ind w:firstLine="540"/>
        <w:rPr>
          <w:rFonts w:hint="eastAsia" w:ascii="仿宋" w:hAnsi="仿宋" w:eastAsia="仿宋" w:cs="宋体"/>
          <w:color w:val="auto"/>
          <w:sz w:val="28"/>
          <w:szCs w:val="28"/>
          <w:highlight w:val="none"/>
        </w:rPr>
      </w:pPr>
      <w:r>
        <w:rPr>
          <w:rFonts w:hint="eastAsia" w:ascii="仿宋" w:hAnsi="仿宋" w:eastAsia="仿宋" w:cs="仿宋"/>
          <w:color w:val="auto"/>
          <w:sz w:val="28"/>
          <w:szCs w:val="28"/>
          <w:highlight w:val="none"/>
          <w:lang w:bidi="ar"/>
        </w:rPr>
        <w:t>售价：0元</w:t>
      </w:r>
    </w:p>
    <w:p w14:paraId="4430ADE9">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四、提交投标文件截止时间、开标时间和地点</w:t>
      </w:r>
    </w:p>
    <w:p w14:paraId="1A8C97A4">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u w:val="single"/>
          <w:lang w:bidi="ar"/>
        </w:rPr>
        <w:t>2025年</w:t>
      </w:r>
      <w:r>
        <w:rPr>
          <w:rFonts w:hint="eastAsia" w:ascii="仿宋" w:hAnsi="仿宋" w:eastAsia="仿宋" w:cs="仿宋"/>
          <w:color w:val="auto"/>
          <w:kern w:val="0"/>
          <w:sz w:val="28"/>
          <w:szCs w:val="28"/>
          <w:highlight w:val="none"/>
          <w:u w:val="single"/>
          <w:lang w:val="en-US" w:eastAsia="zh-CN" w:bidi="ar"/>
        </w:rPr>
        <w:t>8</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27</w:t>
      </w:r>
      <w:r>
        <w:rPr>
          <w:rFonts w:hint="eastAsia" w:ascii="仿宋" w:hAnsi="仿宋" w:eastAsia="仿宋" w:cs="仿宋"/>
          <w:color w:val="auto"/>
          <w:kern w:val="0"/>
          <w:sz w:val="28"/>
          <w:szCs w:val="28"/>
          <w:highlight w:val="none"/>
          <w:u w:val="single"/>
          <w:lang w:bidi="ar"/>
        </w:rPr>
        <w:t>日8点00分</w:t>
      </w:r>
      <w:r>
        <w:rPr>
          <w:rFonts w:hint="eastAsia" w:ascii="仿宋" w:hAnsi="仿宋" w:eastAsia="仿宋" w:cs="仿宋"/>
          <w:color w:val="auto"/>
          <w:kern w:val="0"/>
          <w:sz w:val="28"/>
          <w:szCs w:val="28"/>
          <w:highlight w:val="none"/>
          <w:lang w:bidi="ar"/>
        </w:rPr>
        <w:t>（北京时间）</w:t>
      </w:r>
    </w:p>
    <w:p w14:paraId="1EA239CF">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地点：</w:t>
      </w:r>
      <w:r>
        <w:rPr>
          <w:rFonts w:hint="eastAsia" w:ascii="仿宋" w:hAnsi="仿宋" w:eastAsia="仿宋" w:cs="仿宋"/>
          <w:color w:val="auto"/>
          <w:sz w:val="28"/>
          <w:szCs w:val="28"/>
          <w:highlight w:val="none"/>
          <w:lang w:bidi="ar"/>
        </w:rPr>
        <w:t>滁州市公共资源交易平台电子交易系统</w:t>
      </w:r>
    </w:p>
    <w:p w14:paraId="50907BC3">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五、公告期限</w:t>
      </w:r>
    </w:p>
    <w:p w14:paraId="51E8BF35">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自本公告发布之日起5个工作日。</w:t>
      </w:r>
    </w:p>
    <w:p w14:paraId="68FC2626">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六、其他补充事宜</w:t>
      </w:r>
    </w:p>
    <w:p w14:paraId="2C506E1A">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49C9D4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2.请投标人登录滁州市公共资源交易中心网站查看参加本项目的程序。（具体操作步骤和程序请参见服务指南&gt;交易须知&gt;投标人填写投标信息、下载文件及网上提问操作手册）。</w:t>
      </w:r>
    </w:p>
    <w:p w14:paraId="274BAC94">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1D286B2E">
      <w:pPr>
        <w:autoSpaceDE w:val="0"/>
        <w:ind w:firstLine="560" w:firstLineChars="200"/>
        <w:rPr>
          <w:rFonts w:hint="eastAsia" w:ascii="宋体" w:hAnsi="宋体" w:eastAsia="宋体"/>
          <w:color w:val="auto"/>
          <w:sz w:val="24"/>
          <w:szCs w:val="24"/>
          <w:highlight w:val="none"/>
        </w:rPr>
      </w:pPr>
      <w:r>
        <w:rPr>
          <w:rFonts w:hint="eastAsia" w:ascii="仿宋" w:hAnsi="仿宋" w:eastAsia="仿宋" w:cs="仿宋"/>
          <w:color w:val="auto"/>
          <w:sz w:val="28"/>
          <w:szCs w:val="28"/>
          <w:highlight w:val="none"/>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r>
        <w:rPr>
          <w:rFonts w:hint="eastAsia" w:ascii="宋体" w:hAnsi="宋体" w:eastAsia="宋体" w:cs="宋体"/>
          <w:color w:val="auto"/>
          <w:sz w:val="24"/>
          <w:szCs w:val="24"/>
          <w:highlight w:val="none"/>
          <w:lang w:bidi="ar"/>
        </w:rPr>
        <w:t>。</w:t>
      </w:r>
    </w:p>
    <w:p w14:paraId="32A48D24">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七、对本次招标提出询问，请按以下方式联系</w:t>
      </w:r>
    </w:p>
    <w:p w14:paraId="6DC77837">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1.采购人信息</w:t>
      </w:r>
    </w:p>
    <w:p w14:paraId="185BC387">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eastAsia="zh-CN" w:bidi="ar"/>
        </w:rPr>
        <w:t>滁州职业技术学院</w:t>
      </w:r>
    </w:p>
    <w:p w14:paraId="1368DB1A">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eastAsia="zh-CN" w:bidi="ar"/>
        </w:rPr>
        <w:t>安徽省滁州市丰乐大道2188号</w:t>
      </w:r>
    </w:p>
    <w:p w14:paraId="38AA2BBE">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eastAsia="zh-CN" w:bidi="ar"/>
        </w:rPr>
        <w:t>陈老师、李老师</w:t>
      </w:r>
    </w:p>
    <w:p w14:paraId="735CF3CF">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eastAsia="zh-CN" w:bidi="ar"/>
        </w:rPr>
        <w:t>0550-3854662</w:t>
      </w:r>
    </w:p>
    <w:p w14:paraId="50023998">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2.采购代理机构信息</w:t>
      </w:r>
    </w:p>
    <w:p w14:paraId="00685D8E">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滁州市城投工程咨询管理有限公司</w:t>
      </w:r>
    </w:p>
    <w:p w14:paraId="3ED9C230">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滁州市龙蟠大道109号房产商务大厦6楼</w:t>
      </w:r>
    </w:p>
    <w:p w14:paraId="42FB8EB8">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bidi="ar"/>
        </w:rPr>
        <w:t>胡国庆</w:t>
      </w:r>
    </w:p>
    <w:p w14:paraId="479F048E">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0550-3519517、18005500950</w:t>
      </w:r>
    </w:p>
    <w:p w14:paraId="3A7EA203">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3.政府采购监督管理部门信息</w:t>
      </w:r>
    </w:p>
    <w:p w14:paraId="271A328B">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滁州市公共资源交易监督管理局</w:t>
      </w:r>
    </w:p>
    <w:p w14:paraId="3311D617">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滁州市龙蟠大道109号房产大厦三楼</w:t>
      </w:r>
    </w:p>
    <w:p w14:paraId="4E4EF0CB">
      <w:pPr>
        <w:autoSpaceDE w:val="0"/>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0550-3801601</w:t>
      </w:r>
    </w:p>
    <w:p w14:paraId="45787DAD">
      <w:pPr>
        <w:spacing w:line="360" w:lineRule="auto"/>
        <w:ind w:firstLine="435"/>
        <w:rPr>
          <w:rFonts w:hint="eastAsia" w:ascii="宋体" w:hAnsi="宋体" w:eastAsia="宋体"/>
          <w:color w:val="auto"/>
          <w:sz w:val="24"/>
          <w:szCs w:val="18"/>
          <w:highlight w:val="none"/>
          <w:u w:val="single"/>
        </w:rPr>
      </w:pPr>
    </w:p>
    <w:p w14:paraId="3A7A3F33">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7ED749D6">
      <w:pPr>
        <w:spacing w:line="360" w:lineRule="auto"/>
        <w:jc w:val="center"/>
        <w:outlineLvl w:val="0"/>
        <w:rPr>
          <w:rFonts w:hint="eastAsia" w:asciiTheme="minorEastAsia" w:hAnsiTheme="minorEastAsia" w:eastAsiaTheme="minorEastAsia"/>
          <w:b/>
          <w:color w:val="auto"/>
          <w:sz w:val="28"/>
          <w:highlight w:val="none"/>
        </w:rPr>
      </w:pPr>
      <w:bookmarkStart w:id="7"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7"/>
    </w:p>
    <w:p w14:paraId="24388D6E">
      <w:pPr>
        <w:spacing w:line="360" w:lineRule="auto"/>
        <w:jc w:val="center"/>
        <w:outlineLvl w:val="1"/>
        <w:rPr>
          <w:rFonts w:hint="eastAsia" w:asciiTheme="minorEastAsia" w:hAnsiTheme="minorEastAsia" w:eastAsiaTheme="minorEastAsia"/>
          <w:b/>
          <w:color w:val="auto"/>
          <w:sz w:val="24"/>
          <w:highlight w:val="none"/>
        </w:rPr>
      </w:pPr>
      <w:bookmarkStart w:id="8" w:name="_Toc3114"/>
      <w:bookmarkStart w:id="9"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8"/>
      <w:bookmarkEnd w:id="9"/>
    </w:p>
    <w:p w14:paraId="28968403">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145A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15332C5">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5FCF7493">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34B81068">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68CA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6D124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47627406">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vAlign w:val="center"/>
          </w:tcPr>
          <w:p w14:paraId="2709E24C">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default" w:ascii="Segoe UI Symbol" w:hAnsi="Segoe UI Symbol" w:eastAsia="宋体" w:cs="Segoe UI Symbol"/>
                <w:bCs/>
                <w:color w:val="auto"/>
                <w:sz w:val="24"/>
                <w:szCs w:val="24"/>
                <w:highlight w:val="none"/>
              </w:rPr>
              <w:t>☑</w:t>
            </w:r>
            <w:r>
              <w:rPr>
                <w:rFonts w:hint="eastAsia" w:ascii="宋体" w:hAnsi="宋体" w:eastAsia="宋体"/>
                <w:color w:val="auto"/>
                <w:sz w:val="24"/>
                <w:szCs w:val="20"/>
                <w:highlight w:val="none"/>
              </w:rPr>
              <w:t>不组织或不召开</w:t>
            </w:r>
          </w:p>
          <w:p w14:paraId="413B4877">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统一组织或统一召开</w:t>
            </w:r>
          </w:p>
          <w:p w14:paraId="1A57C251">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33C66309">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p>
          <w:p w14:paraId="5CD2204B">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魏老师、18155148042</w:t>
            </w:r>
            <w:r>
              <w:rPr>
                <w:rFonts w:hint="default" w:ascii="宋体" w:hAnsi="宋体" w:eastAsia="宋体"/>
                <w:bCs/>
                <w:color w:val="auto"/>
                <w:sz w:val="24"/>
                <w:szCs w:val="20"/>
                <w:highlight w:val="none"/>
                <w:u w:val="single"/>
              </w:rPr>
              <w:t xml:space="preserve">  </w:t>
            </w:r>
          </w:p>
          <w:p w14:paraId="042DB6C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337D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C34E39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hint="default" w:ascii="宋体" w:hAnsi="宋体" w:eastAsia="宋体"/>
                <w:bCs/>
                <w:color w:val="auto"/>
                <w:kern w:val="2"/>
                <w:highlight w:val="none"/>
              </w:rPr>
              <w:t>.1</w:t>
            </w:r>
          </w:p>
        </w:tc>
        <w:tc>
          <w:tcPr>
            <w:tcW w:w="1174" w:type="pct"/>
            <w:vAlign w:val="center"/>
          </w:tcPr>
          <w:p w14:paraId="040BBE39">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518D442F">
            <w:pPr>
              <w:pStyle w:val="4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2025</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年</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8</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月</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13</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日</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时</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30</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4A6F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326C8C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hint="default" w:ascii="宋体" w:hAnsi="宋体" w:eastAsia="宋体"/>
                <w:bCs/>
                <w:color w:val="auto"/>
                <w:kern w:val="2"/>
                <w:highlight w:val="none"/>
              </w:rPr>
              <w:t>.1</w:t>
            </w:r>
          </w:p>
        </w:tc>
        <w:tc>
          <w:tcPr>
            <w:tcW w:w="1174" w:type="pct"/>
            <w:vAlign w:val="center"/>
          </w:tcPr>
          <w:p w14:paraId="31F14885">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1077E21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default" w:ascii="宋体" w:hAnsi="宋体" w:eastAsia="宋体"/>
                <w:b w:val="0"/>
                <w:color w:val="auto"/>
                <w:sz w:val="24"/>
                <w:highlight w:val="none"/>
              </w:rPr>
              <w:t>不分包     □分为</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个包</w:t>
            </w:r>
          </w:p>
          <w:p w14:paraId="62289884">
            <w:pPr>
              <w:pStyle w:val="4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hint="default"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hint="default"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hint="default" w:ascii="宋体" w:hAnsi="宋体" w:eastAsia="宋体"/>
                <w:b w:val="0"/>
                <w:bCs w:val="0"/>
                <w:color w:val="auto"/>
                <w:sz w:val="24"/>
                <w:szCs w:val="18"/>
                <w:highlight w:val="none"/>
                <w:u w:val="single"/>
              </w:rPr>
              <w:t xml:space="preserve">    </w:t>
            </w:r>
          </w:p>
        </w:tc>
      </w:tr>
      <w:tr w14:paraId="7C34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4111464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hint="default" w:ascii="宋体" w:hAnsi="宋体" w:eastAsia="宋体"/>
                <w:bCs/>
                <w:color w:val="auto"/>
                <w:kern w:val="2"/>
                <w:highlight w:val="none"/>
              </w:rPr>
              <w:t>.1</w:t>
            </w:r>
          </w:p>
        </w:tc>
        <w:tc>
          <w:tcPr>
            <w:tcW w:w="1174" w:type="pct"/>
            <w:vAlign w:val="center"/>
          </w:tcPr>
          <w:p w14:paraId="4EC14DFB">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68D9879F">
            <w:pPr>
              <w:keepNext w:val="0"/>
              <w:keepLines w:val="0"/>
              <w:suppressLineNumbers w:val="0"/>
              <w:spacing w:before="0" w:beforeAutospacing="0" w:after="0" w:afterAutospacing="0" w:line="360" w:lineRule="auto"/>
              <w:ind w:left="0" w:right="0"/>
              <w:rPr>
                <w:rFonts w:hint="eastAsia"/>
                <w:color w:val="auto"/>
                <w:szCs w:val="20"/>
                <w:highlight w:val="none"/>
              </w:rPr>
            </w:pPr>
            <w:r>
              <w:rPr>
                <w:rFonts w:hint="eastAsia" w:ascii="宋体" w:hAnsi="宋体" w:eastAsia="宋体"/>
                <w:bCs/>
                <w:color w:val="auto"/>
                <w:kern w:val="0"/>
                <w:sz w:val="24"/>
                <w:szCs w:val="28"/>
                <w:highlight w:val="none"/>
              </w:rPr>
              <w:t>不收取</w:t>
            </w:r>
          </w:p>
        </w:tc>
      </w:tr>
      <w:tr w14:paraId="5CD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603B2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hint="default" w:ascii="宋体" w:hAnsi="宋体" w:eastAsia="宋体"/>
                <w:bCs/>
                <w:color w:val="auto"/>
                <w:kern w:val="2"/>
                <w:highlight w:val="none"/>
              </w:rPr>
              <w:t>.1</w:t>
            </w:r>
          </w:p>
        </w:tc>
        <w:tc>
          <w:tcPr>
            <w:tcW w:w="1174" w:type="pct"/>
            <w:vAlign w:val="center"/>
          </w:tcPr>
          <w:p w14:paraId="6DC9CB9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71942ED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5592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1C0094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13</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3F31B25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709314C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w:t>
            </w:r>
          </w:p>
        </w:tc>
      </w:tr>
      <w:tr w14:paraId="2A25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C649C9">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vAlign w:val="center"/>
          </w:tcPr>
          <w:p w14:paraId="3D0984A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3133C6D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bCs w:val="0"/>
                <w:color w:val="auto"/>
                <w:sz w:val="24"/>
                <w:highlight w:val="none"/>
              </w:rPr>
              <w:t>采购人审查</w:t>
            </w:r>
          </w:p>
          <w:p w14:paraId="2A5F6EA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default"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4FFF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B6421E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.2</w:t>
            </w:r>
          </w:p>
        </w:tc>
        <w:tc>
          <w:tcPr>
            <w:tcW w:w="1174" w:type="pct"/>
            <w:vAlign w:val="center"/>
          </w:tcPr>
          <w:p w14:paraId="7B74D22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4BAF60D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2223BC6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color w:val="auto"/>
                <w:sz w:val="24"/>
                <w:highlight w:val="none"/>
              </w:rPr>
              <w:t>综合评分法</w:t>
            </w:r>
          </w:p>
        </w:tc>
      </w:tr>
      <w:tr w14:paraId="2835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8A3D27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.3</w:t>
            </w:r>
          </w:p>
        </w:tc>
        <w:tc>
          <w:tcPr>
            <w:tcW w:w="1174" w:type="pct"/>
            <w:vAlign w:val="center"/>
          </w:tcPr>
          <w:p w14:paraId="5FCD893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报价扣除</w:t>
            </w:r>
          </w:p>
          <w:p w14:paraId="2D35D73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p>
        </w:tc>
        <w:tc>
          <w:tcPr>
            <w:tcW w:w="3244" w:type="pct"/>
            <w:vAlign w:val="center"/>
          </w:tcPr>
          <w:p w14:paraId="058F6A3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对小型和微型企业产品的价格给予10%的扣除后参与评审；其评审价=投标报价*90%</w:t>
            </w:r>
            <w:r>
              <w:rPr>
                <w:rFonts w:hint="eastAsia" w:ascii="宋体" w:hAnsi="宋体" w:eastAsia="宋体"/>
                <w:b w:val="0"/>
                <w:color w:val="auto"/>
                <w:sz w:val="24"/>
                <w:highlight w:val="none"/>
              </w:rPr>
              <w:t>。</w:t>
            </w:r>
          </w:p>
          <w:p w14:paraId="69EADA7B">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71CC8F5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4FA4546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联合体投标的，小型、微型企业的协议合同金额占联合体协议合同总金额30%以上的，价格给予联合体4%的扣除后参与评审；其评审价=投标报价*96%；联合体各方均为小型、微型企业的，联合体视同为小型、微型企业，其评审价按（1）款执行</w:t>
            </w:r>
            <w:r>
              <w:rPr>
                <w:rFonts w:hint="eastAsia" w:ascii="宋体" w:hAnsi="宋体" w:eastAsia="宋体"/>
                <w:b w:val="0"/>
                <w:color w:val="auto"/>
                <w:sz w:val="24"/>
                <w:highlight w:val="none"/>
              </w:rPr>
              <w:t>。</w:t>
            </w:r>
          </w:p>
          <w:p w14:paraId="6E46ABB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允许大中型企业向一家或者多家小微企业分包的，对于分包意向协议约定小微企业的合同份额占到合同总金额30%以上的，给予大中型企业的投标报价按照4%标准扣除后的价格参与评审；其评审价=投标报价*96%</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0C23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3FA20D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4DCA32C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244" w:type="pct"/>
            <w:vAlign w:val="center"/>
          </w:tcPr>
          <w:p w14:paraId="610B5E0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推荐3名中标候选人</w:t>
            </w:r>
          </w:p>
        </w:tc>
      </w:tr>
      <w:tr w14:paraId="7091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BBE1D3B">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27744A1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334AE5D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□采购人委托评标委员会确定</w:t>
            </w:r>
          </w:p>
          <w:p w14:paraId="5B5F42C3">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采购人确定</w:t>
            </w:r>
          </w:p>
        </w:tc>
      </w:tr>
      <w:tr w14:paraId="7CB6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BFB8EB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rPr>
              <w:t>3</w:t>
            </w:r>
            <w:r>
              <w:rPr>
                <w:rFonts w:hint="default" w:ascii="宋体" w:hAnsi="宋体" w:eastAsia="宋体"/>
                <w:bCs/>
                <w:color w:val="auto"/>
                <w:kern w:val="2"/>
                <w:highlight w:val="none"/>
              </w:rPr>
              <w:t>.3</w:t>
            </w:r>
          </w:p>
        </w:tc>
        <w:tc>
          <w:tcPr>
            <w:tcW w:w="1174" w:type="pct"/>
            <w:vAlign w:val="center"/>
          </w:tcPr>
          <w:p w14:paraId="4C9E7538">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随中标结果公告同时公告的内容</w:t>
            </w:r>
          </w:p>
        </w:tc>
        <w:tc>
          <w:tcPr>
            <w:tcW w:w="3244" w:type="pct"/>
            <w:vAlign w:val="center"/>
          </w:tcPr>
          <w:p w14:paraId="7603B96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（1）中小企业声明函；</w:t>
            </w:r>
            <w:r>
              <w:rPr>
                <w:rFonts w:hint="eastAsia" w:ascii="宋体" w:hAnsi="宋体" w:eastAsia="宋体"/>
                <w:b w:val="0"/>
                <w:i/>
                <w:iCs/>
                <w:color w:val="auto"/>
                <w:sz w:val="24"/>
                <w:highlight w:val="none"/>
              </w:rPr>
              <w:t>（如有）</w:t>
            </w:r>
          </w:p>
          <w:p w14:paraId="07ECE9B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（2）残疾人福利性单位声明函；</w:t>
            </w:r>
            <w:r>
              <w:rPr>
                <w:rFonts w:hint="eastAsia" w:ascii="宋体" w:hAnsi="宋体" w:eastAsia="宋体"/>
                <w:b w:val="0"/>
                <w:i/>
                <w:iCs/>
                <w:color w:val="auto"/>
                <w:sz w:val="24"/>
                <w:highlight w:val="none"/>
              </w:rPr>
              <w:t>（如有）</w:t>
            </w:r>
          </w:p>
          <w:p w14:paraId="5B686FC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iCs/>
                <w:color w:val="auto"/>
                <w:sz w:val="24"/>
                <w:highlight w:val="none"/>
                <w:lang w:eastAsia="zh-CN"/>
              </w:rPr>
            </w:pPr>
            <w:r>
              <w:rPr>
                <w:rFonts w:hint="eastAsia" w:ascii="宋体" w:hAnsi="宋体" w:eastAsia="宋体"/>
                <w:b w:val="0"/>
                <w:color w:val="auto"/>
                <w:sz w:val="24"/>
                <w:highlight w:val="none"/>
              </w:rPr>
              <w:t>（3）中标（成交）供应商的评审总得分</w:t>
            </w:r>
            <w:r>
              <w:rPr>
                <w:rFonts w:hint="eastAsia" w:ascii="宋体" w:hAnsi="宋体" w:eastAsia="宋体"/>
                <w:b w:val="0"/>
                <w:color w:val="auto"/>
                <w:sz w:val="24"/>
                <w:highlight w:val="none"/>
                <w:lang w:eastAsia="zh-CN"/>
              </w:rPr>
              <w:t>；</w:t>
            </w:r>
          </w:p>
          <w:p w14:paraId="5094EF8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中标（成交）供应商的</w:t>
            </w:r>
            <w:r>
              <w:rPr>
                <w:rFonts w:hint="eastAsia" w:ascii="宋体" w:hAnsi="宋体" w:eastAsia="宋体"/>
                <w:b w:val="0"/>
                <w:color w:val="auto"/>
                <w:sz w:val="24"/>
                <w:highlight w:val="none"/>
                <w:u w:val="single"/>
              </w:rPr>
              <w:t>投标分项报价表。</w:t>
            </w:r>
            <w:r>
              <w:rPr>
                <w:rFonts w:hint="eastAsia" w:ascii="宋体" w:hAnsi="宋体" w:eastAsia="宋体"/>
                <w:b w:val="0"/>
                <w:i/>
                <w:iCs/>
                <w:color w:val="auto"/>
                <w:sz w:val="24"/>
                <w:highlight w:val="none"/>
              </w:rPr>
              <w:t>（如有）</w:t>
            </w:r>
          </w:p>
        </w:tc>
      </w:tr>
      <w:tr w14:paraId="08F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654EF51">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hint="default" w:ascii="宋体" w:hAnsi="宋体" w:eastAsia="宋体"/>
                <w:bCs/>
                <w:color w:val="auto"/>
                <w:kern w:val="2"/>
                <w:highlight w:val="none"/>
              </w:rPr>
              <w:t>.1</w:t>
            </w:r>
          </w:p>
        </w:tc>
        <w:tc>
          <w:tcPr>
            <w:tcW w:w="1174" w:type="pct"/>
            <w:vAlign w:val="center"/>
          </w:tcPr>
          <w:p w14:paraId="036D9D2B">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1F332A9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hint="default"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1374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0C5C2A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hint="default" w:ascii="宋体" w:hAnsi="宋体" w:eastAsia="宋体"/>
                <w:bCs/>
                <w:color w:val="auto"/>
                <w:kern w:val="2"/>
                <w:highlight w:val="none"/>
              </w:rPr>
              <w:t>.1</w:t>
            </w:r>
          </w:p>
        </w:tc>
        <w:tc>
          <w:tcPr>
            <w:tcW w:w="1174" w:type="pct"/>
            <w:vAlign w:val="center"/>
          </w:tcPr>
          <w:p w14:paraId="7DC8F08E">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20C175C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Theme="minorEastAsia" w:hAnsiTheme="minorEastAsia" w:eastAsiaTheme="minorEastAsia"/>
                <w:color w:val="auto"/>
                <w:kern w:val="0"/>
                <w:sz w:val="24"/>
                <w:szCs w:val="24"/>
                <w:highlight w:val="none"/>
              </w:rPr>
              <w:t>系统查看</w:t>
            </w:r>
          </w:p>
          <w:p w14:paraId="38CFB58C">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bCs w:val="0"/>
                <w:color w:val="auto"/>
                <w:kern w:val="2"/>
                <w:sz w:val="24"/>
                <w:szCs w:val="24"/>
                <w:highlight w:val="none"/>
              </w:rPr>
            </w:pPr>
            <w:r>
              <w:rPr>
                <w:rFonts w:hint="eastAsia" w:asciiTheme="minorEastAsia" w:hAnsiTheme="minorEastAsia" w:eastAsiaTheme="minorEastAsia"/>
                <w:b w:val="0"/>
                <w:bCs w:val="0"/>
                <w:color w:val="auto"/>
                <w:kern w:val="2"/>
                <w:sz w:val="24"/>
                <w:szCs w:val="24"/>
                <w:highlight w:val="none"/>
              </w:rPr>
              <w:t>□评标现场告知</w:t>
            </w:r>
          </w:p>
        </w:tc>
      </w:tr>
      <w:tr w14:paraId="0F70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79FBED11">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hint="default" w:ascii="宋体" w:hAnsi="宋体" w:eastAsia="宋体"/>
                <w:bCs/>
                <w:color w:val="auto"/>
                <w:kern w:val="2"/>
                <w:highlight w:val="none"/>
              </w:rPr>
              <w:t>.1</w:t>
            </w:r>
          </w:p>
        </w:tc>
        <w:tc>
          <w:tcPr>
            <w:tcW w:w="1174" w:type="pct"/>
            <w:vAlign w:val="center"/>
          </w:tcPr>
          <w:p w14:paraId="50C2A9A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56F3248A">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48CD96CD">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121F1A0E">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Segoe UI Symbol" w:hAnsi="Segoe UI Symbol" w:eastAsia="宋体" w:cs="Segoe UI Symbol"/>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hint="default"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2.5</w:t>
            </w:r>
            <w:r>
              <w:rPr>
                <w:rFonts w:hint="default" w:ascii="宋体" w:hAnsi="宋体" w:eastAsia="宋体"/>
                <w:bCs/>
                <w:color w:val="auto"/>
                <w:kern w:val="0"/>
                <w:sz w:val="24"/>
                <w:szCs w:val="28"/>
                <w:highlight w:val="none"/>
                <w:u w:val="single"/>
              </w:rPr>
              <w:t xml:space="preserve"> </w:t>
            </w:r>
            <w:r>
              <w:rPr>
                <w:rFonts w:hint="default" w:ascii="宋体" w:hAnsi="宋体" w:eastAsia="宋体"/>
                <w:bCs/>
                <w:color w:val="auto"/>
                <w:kern w:val="0"/>
                <w:sz w:val="24"/>
                <w:szCs w:val="28"/>
                <w:highlight w:val="none"/>
              </w:rPr>
              <w:t>%</w:t>
            </w:r>
          </w:p>
          <w:p w14:paraId="4E374DEC">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3AB53179">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437C785">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hint="default" w:ascii="宋体" w:hAnsi="宋体" w:eastAsia="宋体"/>
                <w:bCs/>
                <w:color w:val="auto"/>
                <w:kern w:val="0"/>
                <w:sz w:val="24"/>
                <w:szCs w:val="28"/>
                <w:highlight w:val="none"/>
              </w:rPr>
              <w:t>函</w:t>
            </w:r>
          </w:p>
          <w:p w14:paraId="7AEE2DFA">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另行通知   </w:t>
            </w:r>
            <w:r>
              <w:rPr>
                <w:rFonts w:hint="eastAsia" w:ascii="宋体" w:hAnsi="宋体" w:eastAsia="宋体"/>
                <w:bCs/>
                <w:color w:val="auto"/>
                <w:kern w:val="0"/>
                <w:sz w:val="24"/>
                <w:szCs w:val="28"/>
                <w:highlight w:val="none"/>
              </w:rPr>
              <w:t xml:space="preserve">              </w:t>
            </w:r>
          </w:p>
          <w:p w14:paraId="1E66C8E8">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另行通知   </w:t>
            </w:r>
          </w:p>
          <w:p w14:paraId="68363423">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szCs w:val="20"/>
                <w:highlight w:val="none"/>
              </w:rPr>
              <w:t>退还时间：</w:t>
            </w:r>
            <w:r>
              <w:rPr>
                <w:rFonts w:hint="eastAsia" w:ascii="宋体" w:hAnsi="宋体" w:eastAsia="宋体"/>
                <w:bCs/>
                <w:color w:val="auto"/>
                <w:kern w:val="0"/>
                <w:sz w:val="24"/>
                <w:szCs w:val="28"/>
                <w:highlight w:val="none"/>
                <w:u w:val="single"/>
              </w:rPr>
              <w:t>①采用银行转账方式：政府采购验收合格后，一次性退还；②采用支票、汇票、本票、保函等方式：有效期为自合同签订之日起至供货期满后止。</w:t>
            </w:r>
          </w:p>
          <w:p w14:paraId="027B03FA">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4543874">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E06A18B">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0DAD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5EBF629A">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hint="default" w:ascii="宋体" w:hAnsi="宋体" w:eastAsia="宋体"/>
                <w:bCs/>
                <w:color w:val="auto"/>
                <w:kern w:val="2"/>
                <w:highlight w:val="none"/>
              </w:rPr>
              <w:t>.1</w:t>
            </w:r>
          </w:p>
        </w:tc>
        <w:tc>
          <w:tcPr>
            <w:tcW w:w="1174" w:type="pct"/>
            <w:vAlign w:val="center"/>
          </w:tcPr>
          <w:p w14:paraId="6F36A86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tcPr>
          <w:p w14:paraId="1EE66370">
            <w:pPr>
              <w:pStyle w:val="20"/>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（1）采购人与中标人应当自发出中标通知书之日起7个工作日内签订合同，采购合同签订之日起2个工作日内完成政府采购合同公开。</w:t>
            </w:r>
          </w:p>
          <w:p w14:paraId="07817D35">
            <w:pPr>
              <w:pStyle w:val="20"/>
              <w:keepNext w:val="0"/>
              <w:keepLines w:val="0"/>
              <w:widowControl/>
              <w:suppressLineNumbers w:val="0"/>
              <w:spacing w:before="0" w:beforeAutospacing="0" w:after="0" w:afterAutospacing="0" w:line="360" w:lineRule="auto"/>
              <w:ind w:left="0" w:right="0"/>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hint="default" w:ascii="宋体" w:hAnsi="宋体" w:eastAsia="宋体" w:cs="宋体"/>
                <w:color w:val="auto"/>
                <w:szCs w:val="24"/>
                <w:highlight w:val="none"/>
              </w:rPr>
              <w:t>不得擅自变更合同，依照政府采购法确需变更政府采购合同内容的，采购人应当自合同变更之日起2个工作日内</w:t>
            </w:r>
            <w:r>
              <w:rPr>
                <w:rFonts w:hint="eastAsia" w:ascii="宋体" w:hAnsi="宋体" w:eastAsia="宋体" w:cs="宋体"/>
                <w:color w:val="auto"/>
                <w:szCs w:val="24"/>
                <w:highlight w:val="none"/>
              </w:rPr>
              <w:t>在安徽省政府采购网和滁州市公共资源交易中心网</w:t>
            </w:r>
            <w:r>
              <w:rPr>
                <w:rFonts w:hint="default" w:ascii="宋体" w:hAnsi="宋体" w:eastAsia="宋体" w:cs="宋体"/>
                <w:color w:val="auto"/>
                <w:szCs w:val="24"/>
                <w:highlight w:val="none"/>
              </w:rPr>
              <w:t>发布政府采购合同变更公告</w:t>
            </w:r>
            <w:r>
              <w:rPr>
                <w:rFonts w:hint="eastAsia" w:ascii="宋体" w:hAnsi="宋体" w:eastAsia="宋体" w:cs="宋体"/>
                <w:color w:val="auto"/>
                <w:szCs w:val="24"/>
                <w:highlight w:val="none"/>
              </w:rPr>
              <w:t>，</w:t>
            </w:r>
            <w:r>
              <w:rPr>
                <w:rFonts w:hint="default" w:ascii="宋体" w:hAnsi="宋体" w:eastAsia="宋体" w:cs="宋体"/>
                <w:color w:val="auto"/>
                <w:szCs w:val="24"/>
                <w:highlight w:val="none"/>
              </w:rPr>
              <w:t>但涉及国家秘密、商业秘密的信息和其他依法不得公开的信息除外。</w:t>
            </w:r>
          </w:p>
        </w:tc>
      </w:tr>
      <w:tr w14:paraId="034D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3AF683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hint="default" w:ascii="宋体" w:hAnsi="宋体" w:eastAsia="宋体"/>
                <w:bCs/>
                <w:color w:val="auto"/>
                <w:kern w:val="2"/>
                <w:highlight w:val="none"/>
              </w:rPr>
              <w:t>.1</w:t>
            </w:r>
          </w:p>
        </w:tc>
        <w:tc>
          <w:tcPr>
            <w:tcW w:w="1174" w:type="pct"/>
            <w:vAlign w:val="center"/>
          </w:tcPr>
          <w:p w14:paraId="3B3D469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44" w:type="pct"/>
            <w:vAlign w:val="center"/>
          </w:tcPr>
          <w:p w14:paraId="38C9F56F">
            <w:pPr>
              <w:keepNext w:val="0"/>
              <w:keepLines w:val="0"/>
              <w:suppressLineNumbers w:val="0"/>
              <w:spacing w:before="39"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cs="宋体"/>
                <w:color w:val="auto"/>
                <w:spacing w:val="14"/>
                <w:sz w:val="24"/>
                <w:szCs w:val="24"/>
                <w:highlight w:val="none"/>
              </w:rPr>
              <w:t>中标人</w:t>
            </w:r>
          </w:p>
          <w:p w14:paraId="36D9705A">
            <w:pPr>
              <w:keepNext w:val="0"/>
              <w:keepLines w:val="0"/>
              <w:suppressLineNumbers w:val="0"/>
              <w:spacing w:before="24"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中标单位在获取中标通知书时一次性支付给代理机构。</w:t>
            </w:r>
          </w:p>
          <w:p w14:paraId="4EB7FC0B">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hint="default" w:ascii="宋体" w:hAnsi="宋体" w:eastAsia="宋体"/>
                <w:b w:val="0"/>
                <w:color w:val="auto"/>
                <w:sz w:val="24"/>
                <w:highlight w:val="none"/>
              </w:rPr>
              <w:t>收费标准：</w:t>
            </w:r>
            <w:r>
              <w:rPr>
                <w:rFonts w:hint="eastAsia" w:ascii="宋体" w:hAnsi="宋体" w:eastAsia="宋体" w:cs="宋体"/>
                <w:b w:val="0"/>
                <w:bCs w:val="0"/>
                <w:color w:val="auto"/>
                <w:kern w:val="2"/>
                <w:sz w:val="24"/>
                <w:szCs w:val="24"/>
                <w:highlight w:val="none"/>
                <w:u w:val="single"/>
              </w:rPr>
              <w:t>3</w:t>
            </w:r>
            <w:r>
              <w:rPr>
                <w:rFonts w:hint="eastAsia" w:ascii="宋体" w:hAnsi="宋体" w:eastAsia="宋体" w:cs="宋体"/>
                <w:b w:val="0"/>
                <w:bCs w:val="0"/>
                <w:color w:val="auto"/>
                <w:kern w:val="2"/>
                <w:sz w:val="24"/>
                <w:szCs w:val="24"/>
                <w:highlight w:val="none"/>
                <w:u w:val="single"/>
                <w:lang w:val="en-US" w:eastAsia="zh-CN"/>
              </w:rPr>
              <w:t>750</w:t>
            </w:r>
            <w:r>
              <w:rPr>
                <w:rFonts w:hint="eastAsia" w:ascii="宋体" w:hAnsi="宋体" w:eastAsia="宋体" w:cs="宋体"/>
                <w:b w:val="0"/>
                <w:bCs w:val="0"/>
                <w:color w:val="auto"/>
                <w:kern w:val="2"/>
                <w:sz w:val="24"/>
                <w:szCs w:val="24"/>
                <w:highlight w:val="none"/>
                <w:u w:val="single"/>
              </w:rPr>
              <w:t>元，</w:t>
            </w:r>
            <w:r>
              <w:rPr>
                <w:rFonts w:hint="eastAsia" w:ascii="宋体" w:hAnsi="宋体" w:eastAsia="宋体" w:cs="宋体"/>
                <w:b w:val="0"/>
                <w:bCs w:val="0"/>
                <w:color w:val="auto"/>
                <w:kern w:val="2"/>
                <w:sz w:val="24"/>
                <w:szCs w:val="24"/>
                <w:highlight w:val="none"/>
                <w:u w:val="single"/>
                <w:lang w:val="en-US" w:eastAsia="zh-CN"/>
              </w:rPr>
              <w:t>参考</w:t>
            </w:r>
            <w:r>
              <w:rPr>
                <w:rFonts w:hint="eastAsia" w:ascii="宋体" w:hAnsi="宋体" w:eastAsia="宋体" w:cs="宋体"/>
                <w:b w:val="0"/>
                <w:bCs w:val="0"/>
                <w:color w:val="auto"/>
                <w:kern w:val="2"/>
                <w:sz w:val="24"/>
                <w:szCs w:val="24"/>
                <w:highlight w:val="none"/>
                <w:u w:val="single"/>
              </w:rPr>
              <w:t>《滁州市公共资源交易代理机构及从业人员管理办法》(滁公管〔2025〕1 号)</w:t>
            </w:r>
            <w:r>
              <w:rPr>
                <w:rFonts w:hint="eastAsia" w:ascii="宋体" w:hAnsi="宋体" w:eastAsia="宋体" w:cs="宋体"/>
                <w:b w:val="0"/>
                <w:bCs w:val="0"/>
                <w:color w:val="auto"/>
                <w:kern w:val="2"/>
                <w:sz w:val="24"/>
                <w:szCs w:val="24"/>
                <w:highlight w:val="none"/>
                <w:u w:val="single"/>
                <w:lang w:val="en-US" w:eastAsia="zh-CN"/>
              </w:rPr>
              <w:t>以及《关于进一步明确代理费计取标准的通知》（滁公管综〔2023〕19号）文件</w:t>
            </w:r>
            <w:r>
              <w:rPr>
                <w:rFonts w:hint="eastAsia" w:ascii="宋体" w:hAnsi="宋体" w:eastAsia="宋体" w:cs="宋体"/>
                <w:b w:val="0"/>
                <w:bCs w:val="0"/>
                <w:color w:val="auto"/>
                <w:kern w:val="2"/>
                <w:sz w:val="24"/>
                <w:szCs w:val="24"/>
                <w:highlight w:val="none"/>
                <w:u w:val="single"/>
                <w:lang w:eastAsia="zh-CN"/>
              </w:rPr>
              <w:t>，</w:t>
            </w:r>
            <w:r>
              <w:rPr>
                <w:rFonts w:hint="eastAsia" w:ascii="宋体" w:hAnsi="宋体" w:eastAsia="宋体" w:cs="宋体"/>
                <w:b w:val="0"/>
                <w:bCs w:val="0"/>
                <w:color w:val="auto"/>
                <w:kern w:val="2"/>
                <w:sz w:val="24"/>
                <w:szCs w:val="24"/>
                <w:highlight w:val="none"/>
                <w:u w:val="single"/>
                <w:lang w:val="en-US" w:eastAsia="zh-CN"/>
              </w:rPr>
              <w:t>以最高限价（控制价）计算</w:t>
            </w:r>
            <w:r>
              <w:rPr>
                <w:rFonts w:hint="eastAsia" w:ascii="宋体" w:hAnsi="宋体" w:eastAsia="宋体" w:cs="宋体"/>
                <w:b w:val="0"/>
                <w:bCs w:val="0"/>
                <w:color w:val="auto"/>
                <w:kern w:val="2"/>
                <w:sz w:val="24"/>
                <w:szCs w:val="24"/>
                <w:highlight w:val="none"/>
                <w:u w:val="single"/>
              </w:rPr>
              <w:t>。</w:t>
            </w:r>
          </w:p>
        </w:tc>
      </w:tr>
      <w:tr w14:paraId="3200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D9EABF">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hint="default"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vAlign w:val="center"/>
          </w:tcPr>
          <w:p w14:paraId="260F87E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3CDD12E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olor w:val="auto"/>
                <w:sz w:val="24"/>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082A7F3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color w:val="auto"/>
                <w:sz w:val="24"/>
                <w:highlight w:val="none"/>
                <w:u w:val="single"/>
                <w:lang w:eastAsia="zh-CN"/>
              </w:rPr>
              <w:t>滁州职业技术学院</w:t>
            </w:r>
            <w:r>
              <w:rPr>
                <w:rFonts w:hint="eastAsia" w:ascii="宋体" w:hAnsi="宋体" w:eastAsia="宋体"/>
                <w:color w:val="auto"/>
                <w:sz w:val="24"/>
                <w:highlight w:val="none"/>
                <w:u w:val="single"/>
              </w:rPr>
              <w:t>、滁州市城投工程咨询管理有限公司；</w:t>
            </w:r>
          </w:p>
          <w:p w14:paraId="615FE26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default" w:ascii="宋体" w:hAnsi="宋体" w:eastAsia="宋体"/>
                <w:b w:val="0"/>
                <w:color w:val="auto"/>
                <w:sz w:val="24"/>
                <w:highlight w:val="none"/>
              </w:rPr>
              <w:t>联系电话：</w:t>
            </w:r>
            <w:r>
              <w:rPr>
                <w:rFonts w:hint="eastAsia" w:ascii="宋体" w:hAnsi="宋体" w:eastAsia="宋体"/>
                <w:color w:val="auto"/>
                <w:sz w:val="24"/>
                <w:highlight w:val="none"/>
                <w:u w:val="single"/>
                <w:lang w:eastAsia="zh-CN"/>
              </w:rPr>
              <w:t>0550-3854662</w:t>
            </w:r>
            <w:r>
              <w:rPr>
                <w:rFonts w:hint="eastAsia" w:ascii="宋体" w:hAnsi="宋体" w:eastAsia="宋体"/>
                <w:color w:val="auto"/>
                <w:sz w:val="24"/>
                <w:highlight w:val="none"/>
                <w:u w:val="single"/>
              </w:rPr>
              <w:t>、0550-3519517；</w:t>
            </w:r>
          </w:p>
          <w:p w14:paraId="367E9AA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color w:val="auto"/>
                <w:sz w:val="24"/>
                <w:highlight w:val="none"/>
                <w:u w:val="single"/>
                <w:lang w:eastAsia="zh-CN"/>
              </w:rPr>
              <w:t>安徽省滁州市丰乐大道2188号</w:t>
            </w:r>
            <w:r>
              <w:rPr>
                <w:rFonts w:hint="eastAsia" w:ascii="宋体" w:hAnsi="宋体" w:eastAsia="宋体"/>
                <w:color w:val="auto"/>
                <w:sz w:val="24"/>
                <w:highlight w:val="none"/>
                <w:u w:val="single"/>
              </w:rPr>
              <w:t>、滁州市龙蟠大道109号房产商务大厦6楼605室。</w:t>
            </w:r>
          </w:p>
        </w:tc>
      </w:tr>
      <w:tr w14:paraId="3D27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7EC474A">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vAlign w:val="center"/>
          </w:tcPr>
          <w:p w14:paraId="4E77C69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vAlign w:val="center"/>
          </w:tcPr>
          <w:p w14:paraId="640A472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7957804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2CE0DB9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4955FC5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02BD609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362EED9A">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w:t>
            </w:r>
            <w:r>
              <w:rPr>
                <w:rFonts w:hint="default" w:asciiTheme="minorEastAsia" w:hAnsiTheme="minorEastAsia" w:eastAsiaTheme="minorEastAsia"/>
                <w:b w:val="0"/>
                <w:color w:val="auto"/>
                <w:kern w:val="2"/>
                <w:sz w:val="24"/>
                <w:szCs w:val="24"/>
                <w:highlight w:val="none"/>
              </w:rPr>
              <w:t>按本款前述规定仍不能形成结论的，由</w:t>
            </w:r>
            <w:r>
              <w:rPr>
                <w:rFonts w:hint="eastAsia" w:asciiTheme="minorEastAsia" w:hAnsiTheme="minorEastAsia" w:eastAsiaTheme="minorEastAsia"/>
                <w:b w:val="0"/>
                <w:color w:val="auto"/>
                <w:kern w:val="2"/>
                <w:sz w:val="24"/>
                <w:szCs w:val="24"/>
                <w:highlight w:val="none"/>
              </w:rPr>
              <w:t>采购</w:t>
            </w:r>
            <w:r>
              <w:rPr>
                <w:rFonts w:hint="default" w:asciiTheme="minorEastAsia" w:hAnsiTheme="minorEastAsia" w:eastAsiaTheme="minorEastAsia"/>
                <w:b w:val="0"/>
                <w:color w:val="auto"/>
                <w:kern w:val="2"/>
                <w:sz w:val="24"/>
                <w:szCs w:val="24"/>
                <w:highlight w:val="none"/>
              </w:rPr>
              <w:t>人负责解释。</w:t>
            </w:r>
          </w:p>
          <w:p w14:paraId="415DECA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2.“政采贷”融资指引：有融资需求的</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4B4C02D4">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3.电子保函指引：中标人可访问安徽省政府采购网“融资/保函”栏目，申请办理电子保函（包括：履约保函、预付款保函）。</w:t>
            </w:r>
          </w:p>
          <w:p w14:paraId="3E15622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4.部分可提供线下政采贷的金融机构：</w:t>
            </w:r>
          </w:p>
          <w:p w14:paraId="55630B3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市本级</w:t>
            </w:r>
          </w:p>
          <w:p w14:paraId="53B14A44">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金融机构名称：兴业银行滁州分行</w:t>
            </w:r>
          </w:p>
          <w:p w14:paraId="537AE90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安徽省滁州市琅琊区丰乐大道1090号</w:t>
            </w:r>
          </w:p>
          <w:p w14:paraId="2D4A483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伏庚：17755080811。</w:t>
            </w:r>
          </w:p>
          <w:p w14:paraId="15C2742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5.特别提示：</w:t>
            </w:r>
          </w:p>
          <w:p w14:paraId="5FEEB8C9">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（1）投标人应填写投标信息并下载招标文件，否则无法上传投标文件。</w:t>
            </w:r>
          </w:p>
          <w:p w14:paraId="6433CED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注：投标人如为联合体的，牵头人必须完善投标人信息，并在上传投标文件环节添加联合体投标信息。</w:t>
            </w:r>
          </w:p>
          <w:p w14:paraId="3292BD1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426CCA8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（3）如果过程中出现招标文件更改，应以最后发布的招标答疑澄清文件中的模板制作本项目最新投标文件。</w:t>
            </w:r>
          </w:p>
          <w:p w14:paraId="62A3BA6C">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 xml:space="preserve">（4）投标人应当用本单位CA数字证书制作投标文件，制作成功后进行投标文件上传。 </w:t>
            </w:r>
          </w:p>
          <w:p w14:paraId="3E339F58">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5D74D23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（6）请投标人注意加密投标文件CA数字证书的有效期，不在有效期的CA数字证书无法解密投标文件。</w:t>
            </w:r>
          </w:p>
          <w:p w14:paraId="65B0E98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（7）投标人投标MAC地址或投标人联系人或联系电话相同的，由评标委员会否决其投标，并报告监管部门作不良行为处理和进一步调查。</w:t>
            </w:r>
          </w:p>
          <w:p w14:paraId="4EFCF68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（8）投标人单方面出现其他投标人材料的，由评标委员会否决其投标。</w:t>
            </w:r>
          </w:p>
          <w:p w14:paraId="598A823E">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1B35F4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495A65E8">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6.评标过程中的澄清、说明或补正：</w:t>
            </w:r>
          </w:p>
          <w:p w14:paraId="2C04439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3AA17DDA">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6065DC0D">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7.同义词语：</w:t>
            </w:r>
          </w:p>
          <w:p w14:paraId="3EB7BFFB">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招标文件第六章  投标文件格式、附件1“关于联合惩戒失信行为 加强信用查询管理的通知”等章节中 “招标人”、“供应商”，等同于“采购人”、“投标人”。</w:t>
            </w:r>
          </w:p>
          <w:p w14:paraId="2A4CD12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8.落实政府采购支持节能产品、环境标志产品政策。</w:t>
            </w:r>
          </w:p>
          <w:p w14:paraId="6001B91C">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9.系统中提供的表格与采购文件中不一致时，以采购文件中提供的表格格式为准。</w:t>
            </w:r>
          </w:p>
        </w:tc>
      </w:tr>
    </w:tbl>
    <w:p w14:paraId="29C735CB">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10" w:name="_Toc24882"/>
      <w:bookmarkStart w:id="11"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10"/>
      <w:bookmarkEnd w:id="11"/>
    </w:p>
    <w:p w14:paraId="5A67720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1.采购人、采购代理机构及投标人</w:t>
      </w:r>
    </w:p>
    <w:p w14:paraId="4D8F5D9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1006A09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694C34F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2B99060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288A19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5501629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312F6CC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036D042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84541A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63F49CAD">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5.1两个以上供应商可以组成一个投标联合体，以一个投标人的身份投标。联合体投标的，</w:t>
      </w:r>
      <w:r>
        <w:rPr>
          <w:rFonts w:hint="eastAsia" w:ascii="宋体" w:hAnsi="宋体" w:eastAsia="宋体"/>
          <w:color w:val="auto"/>
          <w:sz w:val="24"/>
          <w:highlight w:val="none"/>
        </w:rPr>
        <w:t>招标文件获取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w:t>
      </w:r>
      <w:r>
        <w:rPr>
          <w:rFonts w:hint="eastAsia" w:ascii="宋体" w:hAnsi="宋体" w:eastAsia="宋体"/>
          <w:color w:val="auto"/>
          <w:sz w:val="24"/>
          <w:highlight w:val="none"/>
        </w:rPr>
        <w:t>一成员单位</w:t>
      </w:r>
      <w:r>
        <w:rPr>
          <w:rFonts w:ascii="宋体" w:hAnsi="宋体" w:eastAsia="宋体"/>
          <w:color w:val="auto"/>
          <w:sz w:val="24"/>
          <w:highlight w:val="none"/>
        </w:rPr>
        <w:t>办理均可。</w:t>
      </w:r>
    </w:p>
    <w:p w14:paraId="3A2B801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5.2联合体各方均应符合《中华人民共和国政府采购法》第二十二条规定的条件。</w:t>
      </w:r>
    </w:p>
    <w:p w14:paraId="31DE24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5.3采购人根据采购项目对投标人的特殊要求，联合体中至少应当有一方符合相关规定。</w:t>
      </w:r>
    </w:p>
    <w:p w14:paraId="3229937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000C0D5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6968576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62EF2A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C32A4B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0DE5F78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2.资金落实情况</w:t>
      </w:r>
    </w:p>
    <w:p w14:paraId="4A565B0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6DEED29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3.投标费用</w:t>
      </w:r>
    </w:p>
    <w:p w14:paraId="7E12BE4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301AA3B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0906F840">
      <w:pPr>
        <w:spacing w:line="360" w:lineRule="auto"/>
        <w:ind w:firstLine="435"/>
        <w:rPr>
          <w:rFonts w:hint="eastAsia" w:asciiTheme="minorEastAsia" w:hAnsiTheme="minorEastAsia" w:eastAsiaTheme="minorEastAsia"/>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6B6E6A2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5.招标文件构成</w:t>
      </w:r>
    </w:p>
    <w:p w14:paraId="05EADE7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1E64562A">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0A4A5D2E">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61E571F8">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3A522324">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7C1AF311">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30EBCEF5">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616F698A">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A30B9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0A48A88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2076451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7446765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投标人应认真阅读招标文件所有的事项、格式、条款和技术规范等。</w:t>
      </w:r>
    </w:p>
    <w:p w14:paraId="4E36339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6.招标文件的澄清与修改</w:t>
      </w:r>
    </w:p>
    <w:p w14:paraId="1066990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4B0A561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2采购人可主动地或在答复投标人提出的询问时对招标文件进行澄清与修改。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在安徽省政府采购网和滁州市公共资源交易中心网以发布更正公告的方式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6695D6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D5D2DAB">
      <w:pPr>
        <w:spacing w:line="360" w:lineRule="auto"/>
        <w:ind w:firstLine="435"/>
        <w:rPr>
          <w:rFonts w:hint="eastAsia"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AADB46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7.投标范围及投标文件中标准和计量单位的使用</w:t>
      </w:r>
    </w:p>
    <w:p w14:paraId="14EE2D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10600AA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F84B7AD">
      <w:pPr>
        <w:spacing w:line="360" w:lineRule="auto"/>
        <w:ind w:firstLine="435"/>
        <w:rPr>
          <w:rFonts w:hint="eastAsia" w:asciiTheme="minorEastAsia" w:hAnsiTheme="minorEastAsia" w:eastAsiaTheme="minorEastAsia"/>
          <w:color w:val="auto"/>
          <w:sz w:val="24"/>
          <w:highlight w:val="none"/>
        </w:rPr>
      </w:pPr>
      <w:bookmarkStart w:id="12"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12"/>
    <w:p w14:paraId="318744F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2D6E48E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7AF0433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6E50CCF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2CD3C39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13" w:name="_Hlk11703583"/>
      <w:r>
        <w:rPr>
          <w:rFonts w:hint="eastAsia" w:asciiTheme="minorEastAsia" w:hAnsiTheme="minorEastAsia" w:eastAsiaTheme="minorEastAsia"/>
          <w:color w:val="auto"/>
          <w:sz w:val="24"/>
          <w:highlight w:val="none"/>
        </w:rPr>
        <w:t>等。</w:t>
      </w:r>
    </w:p>
    <w:bookmarkEnd w:id="13"/>
    <w:p w14:paraId="530484E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6F6B591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0446035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。除招标文件另有规定外，所有投标均应以人民币报价。投标人的投标报价应遵守《中华人民共和国价格法》。</w:t>
      </w:r>
    </w:p>
    <w:p w14:paraId="0CFB637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2324C3C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54774517">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EA26C1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381A1F1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5D27F3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10.1本项目不收取投标保证金。</w:t>
      </w:r>
    </w:p>
    <w:p w14:paraId="60B355C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5AEF56D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2AE346E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6C22F83B">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499EF1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7076F2CA">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2.1投标人应当在招标公告规定的投标截止时间前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1E4D259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10A9108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40EB63E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2165825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4E463E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13.3采购人或采购代理机构将对开标过程进行记录，，并存档备查。</w:t>
      </w:r>
    </w:p>
    <w:p w14:paraId="77D8170D">
      <w:pPr>
        <w:spacing w:line="360" w:lineRule="auto"/>
        <w:ind w:firstLine="435"/>
        <w:rPr>
          <w:rFonts w:hint="eastAsia"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13.4投标人代表对开标过程和开标记录有疑义，以及认为采购人、采购代理机构相关工作人员有需要回避的情形的，应当场提出询问或者回避申请。</w:t>
      </w:r>
    </w:p>
    <w:p w14:paraId="37F93F2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6FF908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FC3F83D">
      <w:pPr>
        <w:spacing w:line="360" w:lineRule="auto"/>
        <w:ind w:firstLine="435"/>
        <w:rPr>
          <w:rFonts w:hint="eastAsia" w:ascii="宋体" w:hAnsi="宋体" w:eastAsia="宋体" w:cs="宋体"/>
          <w:color w:val="auto"/>
          <w:sz w:val="24"/>
          <w:szCs w:val="24"/>
          <w:highlight w:val="none"/>
        </w:rPr>
      </w:pPr>
      <w:bookmarkStart w:id="1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C17053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A2FECA3">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4"/>
    <w:p w14:paraId="1B962B5E">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14.3按照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6B0A7C41">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C4DB1E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1BAF31D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2B185BD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08883F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703CCA9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中载明核心产品，多家投标人提供的核心产品品牌相同的，按第</w:t>
      </w: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6735E85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1A1F1C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36939FF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586C193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46117C4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27D962F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59B6A041">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4E2EC77D">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73A7D32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085BBF8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42D07C55">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w:t>
      </w:r>
      <w:r>
        <w:rPr>
          <w:rFonts w:hint="eastAsia" w:ascii="宋体" w:hAnsi="宋体" w:eastAsia="宋体"/>
          <w:color w:val="auto"/>
          <w:sz w:val="24"/>
          <w:highlight w:val="none"/>
        </w:rPr>
        <w:t>无论投标人是接受或是拒绝调整后的价格，都应当由投标人在系统中确认。投标人拒绝对投标文件出现的错漏按上述原则进行修正、澄清、说明，</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33EA93C">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25EF534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16.投标无效</w:t>
      </w:r>
    </w:p>
    <w:p w14:paraId="695A23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421D6AD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7D98600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59A8763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ECBB9B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58A0F2A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318ADC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3737D61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741CC735">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0F132575">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17.比较与评价</w:t>
      </w:r>
    </w:p>
    <w:p w14:paraId="6C90ADE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056B694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04B3A3CA">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7A9F36A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490170D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575230B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7246D3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1B7EDDC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6D0EEC5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18.1出现下列情形之一，将导致项目废标：</w:t>
      </w:r>
    </w:p>
    <w:p w14:paraId="708E9A27">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29BCB97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822CD7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7A31F90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6A2C03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358FEE2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DAFB95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Theme="minorEastAsia" w:hAnsiTheme="minorEastAsia" w:eastAsiaTheme="minorEastAsia"/>
          <w:color w:val="auto"/>
          <w:sz w:val="24"/>
          <w:highlight w:val="none"/>
        </w:rPr>
        <w:t>批准。</w:t>
      </w:r>
    </w:p>
    <w:p w14:paraId="0966056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9EA800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243DB80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6EC99C3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477AC23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4B7AC3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3FB766C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79EF5E3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6EFEA0CC">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396BA81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721D8A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72533C6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7E4205A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5DEB7D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0C3FC8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60A8A21">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自中标人确定之日起2个工作日内，采购代理机构将在安徽省政府采购网（www.ccgp-anhui.gov.cn）和滁州市公共资源交易中心网上发布中标结果公告。</w:t>
      </w:r>
    </w:p>
    <w:p w14:paraId="5D61C96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color w:val="auto"/>
          <w:sz w:val="24"/>
          <w:highlight w:val="none"/>
        </w:rPr>
        <w:t>品牌（如有）、规格型号、数量、单价</w:t>
      </w:r>
      <w:r>
        <w:rPr>
          <w:rFonts w:asciiTheme="minorEastAsia" w:hAnsiTheme="minorEastAsia" w:eastAsiaTheme="minorEastAsia"/>
          <w:color w:val="auto"/>
          <w:sz w:val="24"/>
          <w:highlight w:val="none"/>
        </w:rPr>
        <w:t>，中标公告期限、评审专家名单以及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0B78AE8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FCCC577">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r>
        <w:rPr>
          <w:rFonts w:hint="eastAsia" w:asciiTheme="minorEastAsia" w:hAnsiTheme="minorEastAsia" w:eastAsiaTheme="minorEastAsia"/>
          <w:color w:val="auto"/>
          <w:sz w:val="24"/>
          <w:highlight w:val="none"/>
        </w:rPr>
        <w:t>中标通知书须加盖采购人、采购代理机构公章并经公共资源交易中心加盖见证章后，方可发出。</w:t>
      </w:r>
    </w:p>
    <w:p w14:paraId="5DC03E32">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331EE772">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43A1CDB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315EB6E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199AD32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63A3F50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23FB2625">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74F319C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2D31CE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6AD755B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6200B6C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5071EE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27.4依据《政府采购促进中小企业发展管理办法》（财库〔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3DE8D29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27E4D84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114A16AE">
      <w:pPr>
        <w:spacing w:line="360" w:lineRule="auto"/>
        <w:ind w:firstLine="437"/>
        <w:outlineLvl w:val="2"/>
        <w:rPr>
          <w:rFonts w:hint="eastAsia" w:asciiTheme="minorEastAsia" w:hAnsiTheme="minorEastAsia" w:eastAsiaTheme="minorEastAsia"/>
          <w:b/>
          <w:color w:val="auto"/>
          <w:sz w:val="24"/>
          <w:highlight w:val="none"/>
        </w:rPr>
      </w:pPr>
      <w:bookmarkStart w:id="15" w:name="_Toc518923100"/>
      <w:bookmarkStart w:id="16" w:name="_Toc2583661"/>
      <w:r>
        <w:rPr>
          <w:rFonts w:hint="eastAsia" w:asciiTheme="minorEastAsia" w:hAnsiTheme="minorEastAsia" w:eastAsiaTheme="minorEastAsia"/>
          <w:b/>
          <w:color w:val="auto"/>
          <w:sz w:val="24"/>
          <w:highlight w:val="none"/>
        </w:rPr>
        <w:t>29.廉洁自律</w:t>
      </w:r>
      <w:r>
        <w:rPr>
          <w:rFonts w:asciiTheme="minorEastAsia" w:hAnsiTheme="minorEastAsia" w:eastAsiaTheme="minorEastAsia"/>
          <w:b/>
          <w:color w:val="auto"/>
          <w:sz w:val="24"/>
          <w:highlight w:val="none"/>
        </w:rPr>
        <w:t>规定</w:t>
      </w:r>
      <w:bookmarkEnd w:id="15"/>
      <w:bookmarkEnd w:id="16"/>
    </w:p>
    <w:p w14:paraId="6254C07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68696CD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2F81C12F">
      <w:pPr>
        <w:spacing w:line="360" w:lineRule="auto"/>
        <w:ind w:firstLine="437"/>
        <w:outlineLvl w:val="2"/>
        <w:rPr>
          <w:rFonts w:hint="eastAsia" w:asciiTheme="minorEastAsia" w:hAnsiTheme="minorEastAsia" w:eastAsiaTheme="minorEastAsia"/>
          <w:b/>
          <w:color w:val="auto"/>
          <w:sz w:val="24"/>
          <w:highlight w:val="none"/>
        </w:rPr>
      </w:pPr>
      <w:bookmarkStart w:id="17" w:name="_Toc518923101"/>
      <w:bookmarkStart w:id="18" w:name="_Toc2583662"/>
      <w:r>
        <w:rPr>
          <w:rFonts w:hint="eastAsia" w:asciiTheme="minorEastAsia" w:hAnsiTheme="minorEastAsia" w:eastAsiaTheme="minorEastAsia"/>
          <w:b/>
          <w:color w:val="auto"/>
          <w:sz w:val="24"/>
          <w:highlight w:val="none"/>
        </w:rPr>
        <w:t>30.人员回避</w:t>
      </w:r>
      <w:bookmarkEnd w:id="17"/>
      <w:bookmarkEnd w:id="18"/>
    </w:p>
    <w:p w14:paraId="1FDD07AF">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7D7C95B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2F88A92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28CF34E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02E8BE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4B9863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5C5EC465">
      <w:pPr>
        <w:spacing w:line="360" w:lineRule="auto"/>
        <w:ind w:firstLine="437"/>
        <w:outlineLvl w:val="2"/>
        <w:rPr>
          <w:rFonts w:hint="eastAsia" w:ascii="宋体" w:hAnsi="宋体" w:eastAsia="宋体"/>
          <w:b/>
          <w:color w:val="auto"/>
          <w:sz w:val="24"/>
          <w:szCs w:val="24"/>
          <w:highlight w:val="none"/>
        </w:rPr>
      </w:pPr>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宋体" w:hAnsi="宋体" w:eastAsia="宋体" w:cs="宋体"/>
          <w:b/>
          <w:color w:val="auto"/>
          <w:sz w:val="24"/>
          <w:szCs w:val="24"/>
          <w:highlight w:val="none"/>
          <w:lang w:bidi="ar"/>
        </w:rPr>
        <w:t>投诉</w:t>
      </w:r>
    </w:p>
    <w:p w14:paraId="3AA13D6B">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56BE0CD5">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3FF34D9">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32.3政府采购监督管理部门在处理投诉事项期间，可以视具体情况书面通知采购人暂停采购活动，但暂停时间最长不得超过30日。</w:t>
      </w:r>
    </w:p>
    <w:p w14:paraId="009B512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33.需要补充的其他内容</w:t>
      </w:r>
    </w:p>
    <w:p w14:paraId="6184593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2D5EB6D2">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5986B8F">
      <w:pPr>
        <w:spacing w:line="360" w:lineRule="auto"/>
        <w:jc w:val="center"/>
        <w:outlineLvl w:val="0"/>
        <w:rPr>
          <w:rFonts w:hint="eastAsia" w:asciiTheme="minorEastAsia" w:hAnsiTheme="minorEastAsia" w:eastAsiaTheme="minorEastAsia"/>
          <w:b/>
          <w:color w:val="auto"/>
          <w:sz w:val="28"/>
          <w:highlight w:val="none"/>
        </w:rPr>
      </w:pPr>
      <w:bookmarkStart w:id="19" w:name="_Toc10891"/>
      <w:r>
        <w:rPr>
          <w:rFonts w:hint="eastAsia" w:asciiTheme="minorEastAsia" w:hAnsiTheme="minorEastAsia" w:eastAsiaTheme="minorEastAsia"/>
          <w:b/>
          <w:color w:val="auto"/>
          <w:sz w:val="28"/>
          <w:highlight w:val="none"/>
        </w:rPr>
        <w:t>第三章  采购需求</w:t>
      </w:r>
      <w:bookmarkEnd w:id="19"/>
    </w:p>
    <w:p w14:paraId="63631B8C">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6C24B873">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57C517E0">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3F31CF3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74E6EE2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A4A6BF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（3）企业划型标准按照《关于印发中小企业划型标准规定的通知》（工信部联企业〔2011〕300号）规定执行。中标候选人享受政策性优惠的，在发布中标结果通知书时将在相关媒体予以公开、公示。</w:t>
      </w:r>
    </w:p>
    <w:p w14:paraId="741BAB14">
      <w:pPr>
        <w:spacing w:line="360" w:lineRule="auto"/>
        <w:ind w:firstLine="435"/>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r>
        <w:rPr>
          <w:rFonts w:hint="eastAsia" w:ascii="宋体" w:hAnsi="宋体" w:eastAsia="宋体"/>
          <w:color w:val="auto"/>
          <w:sz w:val="24"/>
          <w:szCs w:val="18"/>
          <w:highlight w:val="none"/>
          <w:u w:val="single"/>
        </w:rPr>
        <w:t>本项目不允许分包</w:t>
      </w:r>
      <w:r>
        <w:rPr>
          <w:rFonts w:hint="eastAsia" w:ascii="宋体" w:hAnsi="宋体" w:eastAsia="宋体"/>
          <w:color w:val="auto"/>
          <w:sz w:val="24"/>
          <w:szCs w:val="18"/>
          <w:highlight w:val="none"/>
        </w:rPr>
        <w:t>。</w:t>
      </w:r>
    </w:p>
    <w:p w14:paraId="647F16C0">
      <w:pPr>
        <w:spacing w:line="360" w:lineRule="auto"/>
        <w:ind w:firstLine="437"/>
        <w:outlineLvl w:val="1"/>
        <w:rPr>
          <w:rFonts w:hint="eastAsia" w:ascii="宋体" w:hAnsi="宋体" w:eastAsia="宋体"/>
          <w:b/>
          <w:color w:val="auto"/>
          <w:sz w:val="24"/>
          <w:szCs w:val="18"/>
          <w:highlight w:val="none"/>
        </w:rPr>
      </w:pPr>
      <w:bookmarkStart w:id="20" w:name="_Toc32151"/>
      <w:bookmarkStart w:id="21" w:name="_Toc2554"/>
      <w:r>
        <w:rPr>
          <w:rFonts w:hint="eastAsia" w:ascii="宋体" w:hAnsi="宋体" w:eastAsia="宋体"/>
          <w:b/>
          <w:color w:val="auto"/>
          <w:sz w:val="24"/>
          <w:szCs w:val="18"/>
          <w:highlight w:val="none"/>
        </w:rPr>
        <w:t>一、采购需求前附表</w:t>
      </w:r>
      <w:bookmarkEnd w:id="20"/>
      <w:bookmarkEnd w:id="2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1AD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A98A09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4C55765B">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05AA4F36">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51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A63328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3A95D289">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20BAB0C8">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合同签订且具备实施条件后，支付合同价的40%预付款（预付款支付前，中标人须提供同等金额的见索即付保函），全部供货安装调试完毕并由采购人验收合格后，一次性付清结算价款。</w:t>
            </w:r>
          </w:p>
        </w:tc>
      </w:tr>
      <w:tr w14:paraId="03CB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77600D1">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750A13A3">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1EA0398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采购人指定地点</w:t>
            </w:r>
          </w:p>
        </w:tc>
      </w:tr>
      <w:tr w14:paraId="7A1A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E20552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296F00E6">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2282419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自合同签订之日起60个日历天完成全部货物的供货、安装、调试、运行和培训工作。</w:t>
            </w:r>
          </w:p>
        </w:tc>
      </w:tr>
      <w:tr w14:paraId="2BB4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38FBF3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6CA89FF0">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vAlign w:val="center"/>
          </w:tcPr>
          <w:p w14:paraId="1C0CA21E">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所投货物产品提供</w:t>
            </w:r>
            <w:r>
              <w:rPr>
                <w:rFonts w:hint="eastAsia" w:ascii="宋体" w:hAnsi="宋体" w:eastAsia="宋体"/>
                <w:b w:val="0"/>
                <w:color w:val="auto"/>
                <w:sz w:val="24"/>
                <w:highlight w:val="none"/>
                <w:u w:val="single"/>
                <w:lang w:val="en-US" w:eastAsia="zh-CN"/>
              </w:rPr>
              <w:t>至少</w:t>
            </w:r>
            <w:r>
              <w:rPr>
                <w:rFonts w:hint="eastAsia" w:ascii="宋体" w:hAnsi="宋体" w:eastAsia="宋体"/>
                <w:b w:val="0"/>
                <w:color w:val="auto"/>
                <w:sz w:val="24"/>
                <w:highlight w:val="none"/>
                <w:u w:val="single"/>
              </w:rPr>
              <w:t>3年的免费质保服务。</w:t>
            </w:r>
          </w:p>
        </w:tc>
      </w:tr>
    </w:tbl>
    <w:p w14:paraId="34EF94B0">
      <w:pPr>
        <w:spacing w:line="360" w:lineRule="auto"/>
        <w:ind w:firstLine="437"/>
        <w:outlineLvl w:val="1"/>
        <w:rPr>
          <w:rFonts w:hint="eastAsia" w:ascii="宋体" w:hAnsi="宋体" w:eastAsia="宋体"/>
          <w:b/>
          <w:bCs/>
          <w:color w:val="auto"/>
          <w:sz w:val="24"/>
          <w:szCs w:val="18"/>
          <w:highlight w:val="none"/>
        </w:rPr>
      </w:pPr>
      <w:bookmarkStart w:id="22" w:name="_Toc7671"/>
      <w:bookmarkStart w:id="23" w:name="_Toc5944"/>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22"/>
      <w:bookmarkEnd w:id="23"/>
    </w:p>
    <w:tbl>
      <w:tblPr>
        <w:tblStyle w:val="25"/>
        <w:tblW w:w="56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0"/>
        <w:gridCol w:w="1072"/>
        <w:gridCol w:w="3923"/>
        <w:gridCol w:w="1080"/>
        <w:gridCol w:w="854"/>
        <w:gridCol w:w="1214"/>
        <w:gridCol w:w="938"/>
      </w:tblGrid>
      <w:tr w14:paraId="3459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552E7C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bookmarkStart w:id="24" w:name="_Toc7421"/>
            <w:bookmarkStart w:id="25" w:name="_Toc4843"/>
            <w:r>
              <w:rPr>
                <w:rFonts w:hint="eastAsia" w:ascii="宋体" w:hAnsi="宋体" w:eastAsia="宋体" w:cs="宋体"/>
                <w:b/>
                <w:bCs/>
                <w:color w:val="auto"/>
                <w:kern w:val="2"/>
                <w:sz w:val="24"/>
                <w:szCs w:val="24"/>
                <w:highlight w:val="none"/>
                <w:lang w:val="en-US" w:eastAsia="zh-CN" w:bidi="ar"/>
              </w:rPr>
              <w:t>序号</w:t>
            </w:r>
          </w:p>
        </w:tc>
        <w:tc>
          <w:tcPr>
            <w:tcW w:w="1140" w:type="dxa"/>
            <w:tcBorders>
              <w:top w:val="single" w:color="auto" w:sz="4" w:space="0"/>
              <w:left w:val="nil"/>
              <w:bottom w:val="single" w:color="auto" w:sz="4" w:space="0"/>
              <w:right w:val="single" w:color="auto" w:sz="4" w:space="0"/>
            </w:tcBorders>
            <w:shd w:val="clear" w:color="auto" w:fill="auto"/>
            <w:vAlign w:val="center"/>
          </w:tcPr>
          <w:p w14:paraId="25CD07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4171" w:type="dxa"/>
            <w:tcBorders>
              <w:top w:val="single" w:color="auto" w:sz="4" w:space="0"/>
              <w:left w:val="nil"/>
              <w:bottom w:val="single" w:color="auto" w:sz="4" w:space="0"/>
              <w:right w:val="single" w:color="auto" w:sz="4" w:space="0"/>
            </w:tcBorders>
            <w:shd w:val="clear" w:color="auto" w:fill="auto"/>
            <w:vAlign w:val="center"/>
          </w:tcPr>
          <w:p w14:paraId="402C9FE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148" w:type="dxa"/>
            <w:tcBorders>
              <w:top w:val="single" w:color="auto" w:sz="4" w:space="0"/>
              <w:left w:val="nil"/>
              <w:bottom w:val="single" w:color="auto" w:sz="4" w:space="0"/>
              <w:right w:val="single" w:color="auto" w:sz="4" w:space="0"/>
            </w:tcBorders>
            <w:shd w:val="clear" w:color="auto" w:fill="auto"/>
            <w:vAlign w:val="center"/>
          </w:tcPr>
          <w:p w14:paraId="103824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541F0CB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908" w:type="dxa"/>
            <w:tcBorders>
              <w:top w:val="single" w:color="auto" w:sz="4" w:space="0"/>
              <w:left w:val="nil"/>
              <w:bottom w:val="single" w:color="auto" w:sz="4" w:space="0"/>
              <w:right w:val="single" w:color="auto" w:sz="4" w:space="0"/>
            </w:tcBorders>
            <w:shd w:val="clear" w:color="auto" w:fill="auto"/>
            <w:vAlign w:val="center"/>
          </w:tcPr>
          <w:p w14:paraId="31FF6C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4DB2A6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795A450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997" w:type="dxa"/>
            <w:tcBorders>
              <w:top w:val="single" w:color="auto" w:sz="4" w:space="0"/>
              <w:left w:val="nil"/>
              <w:bottom w:val="single" w:color="auto" w:sz="4" w:space="0"/>
              <w:right w:val="single" w:color="auto" w:sz="4" w:space="0"/>
            </w:tcBorders>
            <w:shd w:val="clear" w:color="auto" w:fill="auto"/>
            <w:vAlign w:val="center"/>
          </w:tcPr>
          <w:p w14:paraId="4EAC6F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备注</w:t>
            </w:r>
          </w:p>
        </w:tc>
      </w:tr>
      <w:tr w14:paraId="6B0C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2DC0FD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140" w:type="dxa"/>
            <w:tcBorders>
              <w:top w:val="single" w:color="auto" w:sz="4" w:space="0"/>
              <w:left w:val="nil"/>
              <w:bottom w:val="single" w:color="auto" w:sz="4" w:space="0"/>
              <w:right w:val="single" w:color="auto" w:sz="4" w:space="0"/>
            </w:tcBorders>
            <w:shd w:val="clear" w:color="auto" w:fill="auto"/>
            <w:vAlign w:val="center"/>
          </w:tcPr>
          <w:p w14:paraId="041E34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AGV小车</w:t>
            </w:r>
          </w:p>
        </w:tc>
        <w:tc>
          <w:tcPr>
            <w:tcW w:w="4171" w:type="dxa"/>
            <w:tcBorders>
              <w:top w:val="single" w:color="auto" w:sz="4" w:space="0"/>
              <w:left w:val="nil"/>
              <w:bottom w:val="single" w:color="auto" w:sz="4" w:space="0"/>
              <w:right w:val="single" w:color="auto" w:sz="4" w:space="0"/>
            </w:tcBorders>
            <w:shd w:val="clear" w:color="auto" w:fill="auto"/>
            <w:vAlign w:val="center"/>
          </w:tcPr>
          <w:p w14:paraId="697F29A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7E24867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设备是具备数字孪生功能的智能制造单元的组成部分。在此次采购与设备改造升级过程中，该设备必须与其他设备、软件实现信号互联、互通，且要确保其他设备的功能和行程不受影响。作为智能制造单元的组成部分，本设备能够参与整体运行，同时，可通过设备面板上的硬件按钮进行简单的模式切换，以保障其独立运行。</w:t>
            </w:r>
          </w:p>
          <w:p w14:paraId="1B658B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711CC8D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01D1C0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3F6C39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5、当本设备作为智能制造单元的组成部分运行时，其培训费用包含在该项报价内。</w:t>
            </w:r>
          </w:p>
          <w:p w14:paraId="3F4E4A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二、激光导航移动机器人</w:t>
            </w:r>
          </w:p>
          <w:p w14:paraId="61A655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1、旋转直径 ：≥1370mm；</w:t>
            </w:r>
          </w:p>
          <w:p w14:paraId="7E35AD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2、底盘离地间隙：≥20mm；</w:t>
            </w:r>
          </w:p>
          <w:p w14:paraId="4325D48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3、台面尺寸：≥1040mm×620mm；</w:t>
            </w:r>
          </w:p>
          <w:p w14:paraId="3765F90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4、举升类型：不限于电动举升；</w:t>
            </w:r>
          </w:p>
          <w:p w14:paraId="0D2C37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5、额定负载：≥600Kg；</w:t>
            </w:r>
          </w:p>
          <w:p w14:paraId="70E1002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6、导航方式：二维码导航、激光SLAM导航；</w:t>
            </w:r>
          </w:p>
          <w:p w14:paraId="5D5E258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7、激光避障：高度290mm，开角260°，最大检测范围不小于40m；</w:t>
            </w:r>
          </w:p>
          <w:p w14:paraId="0BF702E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8、安全防护：机械碰撞条，急停按钮；</w:t>
            </w:r>
          </w:p>
          <w:p w14:paraId="0D93CB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9、额定运行速度：≥1.2m/s(空载)；</w:t>
            </w:r>
          </w:p>
          <w:p w14:paraId="356A96B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10、额定运行速度：≥1m/s(额定负载)；</w:t>
            </w:r>
          </w:p>
          <w:p w14:paraId="6A5379D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11、额定加速度：≥0.4m/s2(空载)；</w:t>
            </w:r>
          </w:p>
          <w:p w14:paraId="140C24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12、额定加速度：≥0.4m/s2(额定负载)；</w:t>
            </w:r>
          </w:p>
          <w:p w14:paraId="074649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13、旋转速度：≥60°/s(空载)；</w:t>
            </w:r>
          </w:p>
          <w:p w14:paraId="214646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14、爬坡度：≥3°；</w:t>
            </w:r>
          </w:p>
          <w:p w14:paraId="077E2C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15、定位角度精度：±1°(通过视觉导正)；</w:t>
            </w:r>
          </w:p>
          <w:p w14:paraId="2C8145E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16、定位精度：±10mm(通过视觉导正)；</w:t>
            </w:r>
          </w:p>
          <w:p w14:paraId="657B1F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17、电池类型：磷酸铁锂；</w:t>
            </w:r>
          </w:p>
          <w:p w14:paraId="0C0C67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18、额定电压：48V；</w:t>
            </w:r>
          </w:p>
          <w:p w14:paraId="6D17FE5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19、充电循环次数：≥1500次；</w:t>
            </w:r>
          </w:p>
          <w:p w14:paraId="03BCBF7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20、工作时间 ：≥8h（额定工况下）；</w:t>
            </w:r>
          </w:p>
          <w:p w14:paraId="4A01211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21、充电时长：≤2h（完全放电后）；</w:t>
            </w:r>
          </w:p>
          <w:p w14:paraId="2B126B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22、重量：≥200kg；</w:t>
            </w:r>
          </w:p>
          <w:p w14:paraId="564DD3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23、外形尺寸：≥1200mm×800mm×400mm。</w:t>
            </w:r>
          </w:p>
          <w:p w14:paraId="4DAE36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三、自动充电桩</w:t>
            </w:r>
          </w:p>
          <w:p w14:paraId="0F68AB2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1、充电口离地高度：60mm/75mm/90~210mm可选；</w:t>
            </w:r>
          </w:p>
          <w:p w14:paraId="545B83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2、交流输入电压：220 V；</w:t>
            </w:r>
          </w:p>
          <w:p w14:paraId="306DFA0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3、直流输出电压 ：30V～58V；</w:t>
            </w:r>
          </w:p>
          <w:p w14:paraId="644EA5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4、最大输出电流： 30A；</w:t>
            </w:r>
          </w:p>
          <w:p w14:paraId="0F8E0B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5、输出过压告警： 59V；</w:t>
            </w:r>
          </w:p>
          <w:p w14:paraId="385732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6、输出过压保护： 61V；</w:t>
            </w:r>
          </w:p>
          <w:p w14:paraId="0DCF7A5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7、输出电压误差 ：±0.2V；</w:t>
            </w:r>
          </w:p>
          <w:p w14:paraId="5816C3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8、输出电流误差： ±0.5A；</w:t>
            </w:r>
          </w:p>
          <w:p w14:paraId="114F3D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9、输出过流保护： 33A±1A；</w:t>
            </w:r>
          </w:p>
          <w:p w14:paraId="7CA74C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10、显示方式：指示灯；</w:t>
            </w:r>
          </w:p>
          <w:p w14:paraId="380432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11、通信规约： MODBUS通信规约；</w:t>
            </w:r>
          </w:p>
          <w:p w14:paraId="4FC296F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12、工作温度： -10℃~50℃；</w:t>
            </w:r>
          </w:p>
          <w:p w14:paraId="772E39F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13、外形尺寸：450mm*350mm*600mm 。</w:t>
            </w:r>
          </w:p>
          <w:p w14:paraId="783FDE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四、调度系统</w:t>
            </w:r>
          </w:p>
          <w:p w14:paraId="594F36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1、可实现AGV的地图模型建立、多路径最优规划、多任务负载均衡以及多 AGV 交通动态调度管理等功能，主要分为以下几部分；</w:t>
            </w:r>
          </w:p>
          <w:p w14:paraId="1E8069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2、机器人配置服务：主要完成系统配置、任务配置、控制调度、任务管理、告警管理、日志管理、线边仓管理等功能，同时提供对外接口；</w:t>
            </w:r>
          </w:p>
          <w:p w14:paraId="47A27C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3、机器人控制服务：与 AGV 进行通信，完成机器人的任务分配、路径规划、充电管理等功能。</w:t>
            </w:r>
          </w:p>
          <w:p w14:paraId="293DF2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4、告警管理服务：查询和统计告警日志、设备运行数据、设备标定数据；</w:t>
            </w:r>
          </w:p>
          <w:p w14:paraId="5BCB70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5、监控客户端：完成对所有设备的运行监控、控制干预、告警监控、任务监控以及异常时进行人工干预控制。通过浏览器可以进入客户端界面；</w:t>
            </w:r>
          </w:p>
          <w:p w14:paraId="5443F6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6、具有完善的消防安全保护机制，高灵敏度烟雾检测传感器，内置消防沙箱， 内置散热空调；</w:t>
            </w:r>
          </w:p>
          <w:p w14:paraId="0FB82F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7、支持混合调度。支持多种机器人混合调度，支持不同导航方式的混合调度；</w:t>
            </w:r>
          </w:p>
          <w:p w14:paraId="3DFD1C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8、多辆 AGV 在同一路径上排队时，AGV 具备跟车功能，在前一台AGV 开始运动时， 后一台 AGV 开始跟车随动；</w:t>
            </w:r>
          </w:p>
          <w:p w14:paraId="358A77C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9、AGV 可以根据设定的休息时间自动停止运行并进入休眠状态， 同时给出相应状态信息。到达设定的上班后自动唤醒恢复运行，AGV 在休眠期间可自主充电；</w:t>
            </w:r>
          </w:p>
          <w:p w14:paraId="5D1F44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10、可统计电池异常及充放电次数等；</w:t>
            </w:r>
          </w:p>
          <w:p w14:paraId="4139CB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11、AGV在异常状态下具备相应异常/故障报警功能。</w:t>
            </w:r>
          </w:p>
          <w:p w14:paraId="6A4EFB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五、配套云平台资源</w:t>
            </w:r>
          </w:p>
          <w:p w14:paraId="2523186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云平台采用双云服务器架构，即：网络平台云服务器、视频与数据资源云服务器，确保网络平台安全、流畅。课程资源包含基础知识板块和专项知识板块两部分，所投产品配套资源各模块名称可以不同但功能必须包括但不限于这两个板块。基础知识板块课程包括但不限于工业机器人技术、电子信息工程、物联网工程等专业课程资源；专项知识板块包括但不限于工业机器人与智能制造、智能硬件等行业课程资源。客户端Web版登录支持手机、用户名等注册登录，同时支持微信等第三方登录。客户端Web版课程学习中心具有：视频观看、在线题库、学习笔记、作业发放、课程评价、课程讨论等各种学习互动功能，使学习者极其容易、方便进行学习；</w:t>
            </w:r>
          </w:p>
          <w:p w14:paraId="3F7A9D6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课程资源：所配套资源名称可以不同内容必须包含但不限于《工业机器人仿真与离线编程》教学视频、《工业机器人3D装配与维护仿真》教学视频、《工业机器人视觉技术》教学视频、《工业机器人操作与编程》教学视频等；（需提供不低于上述4门课程资源目录的功能截图或官网截图）</w:t>
            </w:r>
          </w:p>
          <w:p w14:paraId="0630C0E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▲3、为确保课程资源有效性、合法性及持续服务能力，课程资源须与网络平台、APP及所投产品设备互联互通、相互兼容；（需提供此功能的官网截图或彩页等相关证明材料）</w:t>
            </w:r>
          </w:p>
          <w:p w14:paraId="4341FB6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网络教学平台具有云服务端、计算机客户端、平板电脑和手机移动端系统，用户可通过计算机、平板电脑、智能手机随时在线观看课程视频，提高学习效果；（需提供网络平台具有可移动端在线观看的官网截图或彩页等相关证明材料）</w:t>
            </w:r>
          </w:p>
          <w:p w14:paraId="71A79C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5、该分项采购设备使用寿命周期内未执行该项国有资产报废前，平台提供免费的在线教学资源，免费升级；</w:t>
            </w:r>
          </w:p>
          <w:p w14:paraId="15F1F5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w:t>
            </w:r>
            <w:r>
              <w:rPr>
                <w:rFonts w:hint="eastAsia" w:ascii="宋体" w:hAnsi="宋体" w:eastAsia="宋体" w:cs="宋体"/>
                <w:bCs/>
                <w:color w:val="auto"/>
                <w:kern w:val="2"/>
                <w:sz w:val="21"/>
                <w:szCs w:val="21"/>
                <w:highlight w:val="none"/>
                <w:u w:val="single"/>
                <w:lang w:val="en-US" w:eastAsia="zh-CN" w:bidi="ar"/>
              </w:rPr>
              <w:t>提供移动端APP软件功能演示视频</w:t>
            </w:r>
            <w:r>
              <w:rPr>
                <w:rFonts w:hint="eastAsia" w:ascii="宋体" w:hAnsi="宋体" w:eastAsia="宋体" w:cs="宋体"/>
                <w:bCs/>
                <w:color w:val="auto"/>
                <w:kern w:val="2"/>
                <w:sz w:val="21"/>
                <w:szCs w:val="21"/>
                <w:highlight w:val="none"/>
                <w:lang w:val="en-US" w:eastAsia="zh-CN" w:bidi="ar"/>
              </w:rPr>
              <w:t>,演示内容为：</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）能从安卓市场和苹果商店直接查找到对应</w:t>
            </w:r>
            <w:r>
              <w:rPr>
                <w:rFonts w:hint="default" w:ascii="Calibri" w:hAnsi="Calibri" w:eastAsia="宋体" w:cs="Calibri"/>
                <w:color w:val="auto"/>
                <w:kern w:val="0"/>
                <w:sz w:val="21"/>
                <w:szCs w:val="21"/>
                <w:highlight w:val="none"/>
                <w:lang w:val="en-US" w:eastAsia="zh-CN" w:bidi="ar"/>
              </w:rPr>
              <w:t>APP</w:t>
            </w:r>
            <w:r>
              <w:rPr>
                <w:rFonts w:hint="eastAsia" w:ascii="宋体" w:hAnsi="宋体" w:eastAsia="宋体" w:cs="宋体"/>
                <w:color w:val="auto"/>
                <w:kern w:val="0"/>
                <w:sz w:val="21"/>
                <w:szCs w:val="21"/>
                <w:highlight w:val="none"/>
                <w:lang w:val="en-US" w:eastAsia="zh-CN" w:bidi="ar"/>
              </w:rPr>
              <w:t>下载安装；（</w:t>
            </w:r>
            <w:r>
              <w:rPr>
                <w:rFonts w:hint="default" w:ascii="Calibri" w:hAnsi="Calibri"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APP</w:t>
            </w:r>
            <w:r>
              <w:rPr>
                <w:rFonts w:hint="eastAsia" w:ascii="宋体" w:hAnsi="宋体" w:eastAsia="宋体" w:cs="宋体"/>
                <w:color w:val="auto"/>
                <w:kern w:val="0"/>
                <w:sz w:val="21"/>
                <w:szCs w:val="21"/>
                <w:highlight w:val="none"/>
                <w:lang w:val="en-US" w:eastAsia="zh-CN" w:bidi="ar"/>
              </w:rPr>
              <w:t>可通过手机号、用户名等注册登录功能；（</w:t>
            </w:r>
            <w:r>
              <w:rPr>
                <w:rFonts w:hint="default" w:ascii="Calibri" w:hAnsi="Calibri"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APP</w:t>
            </w:r>
            <w:r>
              <w:rPr>
                <w:rFonts w:hint="eastAsia" w:ascii="宋体" w:hAnsi="宋体" w:eastAsia="宋体" w:cs="宋体"/>
                <w:color w:val="auto"/>
                <w:kern w:val="0"/>
                <w:sz w:val="21"/>
                <w:szCs w:val="21"/>
                <w:highlight w:val="none"/>
                <w:lang w:val="en-US" w:eastAsia="zh-CN" w:bidi="ar"/>
              </w:rPr>
              <w:t>具有视频观看、在线题库、在线问答、在线评论、在线课程资料查看等各种在线学习互动功能；（</w:t>
            </w:r>
            <w:r>
              <w:rPr>
                <w:rFonts w:hint="default" w:ascii="Calibri" w:hAnsi="Calibri" w:eastAsia="宋体" w:cs="Calibri"/>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）在线观看投标产品配套教学视频及相关专业课程视频等；（</w:t>
            </w:r>
            <w:r>
              <w:rPr>
                <w:rFonts w:hint="default" w:ascii="Calibri" w:hAnsi="Calibri" w:eastAsia="宋体" w:cs="Calibri"/>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）移动端</w:t>
            </w:r>
            <w:r>
              <w:rPr>
                <w:rFonts w:hint="default" w:ascii="Calibri" w:hAnsi="Calibri" w:eastAsia="宋体" w:cs="Calibri"/>
                <w:color w:val="auto"/>
                <w:kern w:val="0"/>
                <w:sz w:val="21"/>
                <w:szCs w:val="21"/>
                <w:highlight w:val="none"/>
                <w:lang w:val="en-US" w:eastAsia="zh-CN" w:bidi="ar"/>
              </w:rPr>
              <w:t>APP</w:t>
            </w:r>
            <w:r>
              <w:rPr>
                <w:rFonts w:hint="eastAsia" w:ascii="宋体" w:hAnsi="宋体" w:eastAsia="宋体" w:cs="宋体"/>
                <w:color w:val="auto"/>
                <w:kern w:val="0"/>
                <w:sz w:val="21"/>
                <w:szCs w:val="21"/>
                <w:highlight w:val="none"/>
                <w:lang w:val="en-US" w:eastAsia="zh-CN" w:bidi="ar"/>
              </w:rPr>
              <w:t>演示支付宝或微信在线支付购买课程功能。</w:t>
            </w:r>
          </w:p>
        </w:tc>
        <w:tc>
          <w:tcPr>
            <w:tcW w:w="1148" w:type="dxa"/>
            <w:tcBorders>
              <w:top w:val="single" w:color="auto" w:sz="4" w:space="0"/>
              <w:left w:val="nil"/>
              <w:bottom w:val="single" w:color="auto" w:sz="4" w:space="0"/>
              <w:right w:val="single" w:color="auto" w:sz="4" w:space="0"/>
            </w:tcBorders>
            <w:shd w:val="clear" w:color="auto" w:fill="auto"/>
            <w:vAlign w:val="center"/>
          </w:tcPr>
          <w:p w14:paraId="4DF1BB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1辆</w:t>
            </w:r>
          </w:p>
        </w:tc>
        <w:tc>
          <w:tcPr>
            <w:tcW w:w="908" w:type="dxa"/>
            <w:tcBorders>
              <w:top w:val="single" w:color="auto" w:sz="4" w:space="0"/>
              <w:left w:val="nil"/>
              <w:bottom w:val="single" w:color="auto" w:sz="4" w:space="0"/>
              <w:right w:val="single" w:color="auto" w:sz="4" w:space="0"/>
            </w:tcBorders>
            <w:shd w:val="clear" w:color="auto" w:fill="auto"/>
            <w:vAlign w:val="center"/>
          </w:tcPr>
          <w:p w14:paraId="409DD0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75BF71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是</w:t>
            </w:r>
          </w:p>
        </w:tc>
        <w:tc>
          <w:tcPr>
            <w:tcW w:w="997" w:type="dxa"/>
            <w:tcBorders>
              <w:top w:val="single" w:color="auto" w:sz="4" w:space="0"/>
              <w:left w:val="nil"/>
              <w:bottom w:val="single" w:color="auto" w:sz="4" w:space="0"/>
              <w:right w:val="single" w:color="auto" w:sz="4" w:space="0"/>
            </w:tcBorders>
            <w:shd w:val="clear" w:color="auto" w:fill="auto"/>
            <w:vAlign w:val="center"/>
          </w:tcPr>
          <w:p w14:paraId="0EAFBFB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EA8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4FA88D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140" w:type="dxa"/>
            <w:tcBorders>
              <w:top w:val="single" w:color="auto" w:sz="4" w:space="0"/>
              <w:left w:val="nil"/>
              <w:bottom w:val="single" w:color="auto" w:sz="4" w:space="0"/>
              <w:right w:val="single" w:color="auto" w:sz="4" w:space="0"/>
            </w:tcBorders>
            <w:shd w:val="clear" w:color="auto" w:fill="auto"/>
            <w:vAlign w:val="center"/>
          </w:tcPr>
          <w:p w14:paraId="468283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协作机器人</w:t>
            </w:r>
          </w:p>
        </w:tc>
        <w:tc>
          <w:tcPr>
            <w:tcW w:w="4171" w:type="dxa"/>
            <w:tcBorders>
              <w:top w:val="single" w:color="auto" w:sz="4" w:space="0"/>
              <w:left w:val="nil"/>
              <w:bottom w:val="single" w:color="auto" w:sz="4" w:space="0"/>
              <w:right w:val="single" w:color="auto" w:sz="4" w:space="0"/>
            </w:tcBorders>
            <w:shd w:val="clear" w:color="auto" w:fill="auto"/>
            <w:vAlign w:val="center"/>
          </w:tcPr>
          <w:p w14:paraId="6870F60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7E7D49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设备面板上的硬件按钮进行简单的模式切换，以保障其独立运行。</w:t>
            </w:r>
          </w:p>
          <w:p w14:paraId="24635DC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131DC9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420273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233D56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5、当本设备作为智能制造单元的组成部分运行时，其培训费用包含在该项报价内。</w:t>
            </w:r>
          </w:p>
          <w:p w14:paraId="02BB73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二、机器人本体</w:t>
            </w:r>
          </w:p>
          <w:p w14:paraId="76A21E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1、自由度：≥6</w:t>
            </w:r>
          </w:p>
          <w:p w14:paraId="0BA7FF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2、负载：≥12kg</w:t>
            </w:r>
          </w:p>
          <w:p w14:paraId="7F8D5C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3、工作半径：≥1300mm</w:t>
            </w:r>
          </w:p>
          <w:p w14:paraId="671822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4、重复定位精度：≥±0.1mm</w:t>
            </w:r>
          </w:p>
          <w:p w14:paraId="2E08C5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5、典型功耗：≤435W</w:t>
            </w:r>
          </w:p>
          <w:p w14:paraId="3EA323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6、安装方式：任意角度</w:t>
            </w:r>
          </w:p>
          <w:p w14:paraId="7E2EF0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7、工具I/O：2xDI  2xDO 1xAI  1xAO</w:t>
            </w:r>
          </w:p>
          <w:p w14:paraId="5852EA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8、工具I/O：供电24V/2A</w:t>
            </w:r>
          </w:p>
          <w:p w14:paraId="28FFF7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9、工具通信：RS485</w:t>
            </w:r>
          </w:p>
          <w:p w14:paraId="3B7AF7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10、关节运动范围</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关节最大速度</w:t>
            </w:r>
          </w:p>
          <w:p w14:paraId="0F850F7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基座</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120°/s</w:t>
            </w:r>
          </w:p>
          <w:p w14:paraId="5D6531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肩部</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120°/s</w:t>
            </w:r>
          </w:p>
          <w:p w14:paraId="6C36195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肘部</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150°/s</w:t>
            </w:r>
          </w:p>
          <w:p w14:paraId="15966A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手腕1</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210°/s</w:t>
            </w:r>
          </w:p>
          <w:p w14:paraId="0D784A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手腕2</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210°/s</w:t>
            </w:r>
          </w:p>
          <w:p w14:paraId="3C1F6A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手腕3</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210°/s</w:t>
            </w:r>
          </w:p>
          <w:p w14:paraId="0DEAF3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11、最大工具速度：≥3.2m/s</w:t>
            </w:r>
          </w:p>
          <w:p w14:paraId="774F3D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12、自重：≤33.5kg</w:t>
            </w:r>
          </w:p>
          <w:p w14:paraId="297DBA8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13、底座直径：≥Φ200mm</w:t>
            </w:r>
          </w:p>
          <w:p w14:paraId="672A7C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14、IP防护等级：IP54</w:t>
            </w:r>
          </w:p>
          <w:p w14:paraId="2F49CA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15、工作环境温度：-10℃ ~ 50℃</w:t>
            </w:r>
          </w:p>
          <w:p w14:paraId="635E25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16、工作环境湿度：90%相对湿度（非冷凝）</w:t>
            </w:r>
          </w:p>
          <w:p w14:paraId="23EEAB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17、材料：铝合金、钢、塑料、橡胶</w:t>
            </w:r>
          </w:p>
          <w:p w14:paraId="4530CB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18、标准线缆长度：≥5.5m.</w:t>
            </w:r>
          </w:p>
          <w:p w14:paraId="1E4F694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三、机器人控制系统</w:t>
            </w:r>
          </w:p>
          <w:p w14:paraId="58CAE6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1、类型：直流MINI</w:t>
            </w:r>
          </w:p>
          <w:p w14:paraId="6C8210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2、I/O接口：8 x DI，8 x DO</w:t>
            </w:r>
          </w:p>
          <w:p w14:paraId="26F517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3、I/O供电：24V/2A</w:t>
            </w:r>
          </w:p>
          <w:p w14:paraId="461216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4、通信接口：Ethernet TCP/IP，UDP，ModbusTCP，RS485，ModbusRTU， Profinet从站，EthernetIP从站, CCLink从站（可选）</w:t>
            </w:r>
          </w:p>
          <w:p w14:paraId="780DCA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5、尺寸（长*宽*高：</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≤205mmx135mmx40mm</w:t>
            </w:r>
          </w:p>
          <w:p w14:paraId="69A366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6、防护等级：IP40</w:t>
            </w:r>
          </w:p>
          <w:p w14:paraId="56C57E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7、重量：≤1kg</w:t>
            </w:r>
          </w:p>
          <w:p w14:paraId="032A97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8、供电：45-55VDC</w:t>
            </w:r>
          </w:p>
          <w:p w14:paraId="48AFAE6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9、工作环境温度：0°C-50°C</w:t>
            </w:r>
          </w:p>
          <w:p w14:paraId="241E140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10、工作环境相对湿度：90%相对湿度（非冷凝）</w:t>
            </w:r>
          </w:p>
          <w:p w14:paraId="520A74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11、材料：铝合金</w:t>
            </w:r>
          </w:p>
          <w:p w14:paraId="50718A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四、机器人装配与维护3D虚拟仿真软件</w:t>
            </w:r>
          </w:p>
          <w:p w14:paraId="6EC539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1、机器人装配与维护3D虚拟仿真软件主要是为学习机器人本体结构、本体装配、本体维护等设计的三维仿真软件；</w:t>
            </w:r>
          </w:p>
          <w:p w14:paraId="0A99895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2、软件支持自动装配与卸载、3D交互方式的手动装配与拆卸、零件与组件的拆卸与装配、装配过程中所需工具的选择以及拆卸全过程的信息记录与提示等功能，具有真实感强、操作简单、便于自学等优点；</w:t>
            </w:r>
          </w:p>
          <w:p w14:paraId="0A20F6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3、软件适合学校教学、教师通过软件进行机器人基础学习和与学生进行信息交互；</w:t>
            </w:r>
          </w:p>
          <w:p w14:paraId="061722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4、机器人装配与维护3D虚拟仿真软件包含常用的拆装仿真工业机器人本体类型有常用的小型六自由度机器人、大型六轴机器人、水平关节机器人、并联蜘蛛手、五轴机器人等本体；</w:t>
            </w:r>
          </w:p>
          <w:p w14:paraId="2F6133F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软件具有虚拟装配车间场景，模拟真实机器人的装配环境，多种装配模式，如自动装配：主要让学员快速掌握机器人的各个部件的连接关系、按组件模式装配：把机器人分成多个部分从底座开始依次进行装配，让学员全面掌握机器人的各组件的连接和几何关系，按类型方式装配：把机器人的各个部件按照类型进行分类（如：外壳类、电机类、减速器类等等）进行选择性装配，让学员全面掌握机器人的安装、调试与维护等工程经验；</w:t>
            </w:r>
          </w:p>
          <w:p w14:paraId="0D849D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6、软件具有简单的仿真功能，主要有手动示教仿真、自动示教再现仿真模式，可以单独调节机械手运行速度和运行关节角度等功能；</w:t>
            </w:r>
          </w:p>
          <w:p w14:paraId="070F164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机器人装配与维护3D虚拟仿真软件具有国家版权局软件著作权登记证书，避免第三方知识产权纠纷及法律诉讼，在设备寿命使用周期内提供长期软件免费升级服务；（需提供软件著作权登记证书扫描件及中国版权保护中心官网查询证书截图）</w:t>
            </w:r>
          </w:p>
          <w:p w14:paraId="1F12A1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以3D仿真的形式展示机器人的细节装配过程，让学生直观了解机器人的组成结构和装配方法，提供机器人装配与维护3D虚拟仿真软件功能操作演示视频，重点演示机器人的装配过程，包括电机、减速机等细节装配过程，演示小型六自由度机器人、大型六轴机器人、水平关节机器人、并联蜘蛛手机器人、五轴机器人等不少于5种类型本体拆装仿真及相应关节动作示教。</w:t>
            </w:r>
          </w:p>
          <w:p w14:paraId="5D53B2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五、电动夹爪系统</w:t>
            </w:r>
          </w:p>
          <w:p w14:paraId="4A8A868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（一）夹爪部分</w:t>
            </w:r>
          </w:p>
          <w:p w14:paraId="41DACA4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1、根据夹持的工件定制副爪；</w:t>
            </w:r>
          </w:p>
          <w:p w14:paraId="4A5C8F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2、最大夹持力：110 N；</w:t>
            </w:r>
          </w:p>
          <w:p w14:paraId="027F3F5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3、手指开合行程： 0-40 mm（编程可调）；</w:t>
            </w:r>
          </w:p>
          <w:p w14:paraId="4A870D4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4、手指重复定位精度：0.05 mm（平行抓取）；</w:t>
            </w:r>
          </w:p>
          <w:p w14:paraId="305004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5、最快手指开合速度：80 mm/s；</w:t>
            </w:r>
          </w:p>
          <w:p w14:paraId="6F67E2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6、自身重量：1.1 kg；</w:t>
            </w:r>
          </w:p>
          <w:p w14:paraId="63B2AC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7、控制方式：IO 控制、MODBUS RTU 总线控制、脉冲控制；</w:t>
            </w:r>
          </w:p>
          <w:p w14:paraId="6EB600C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8、工作电压 ：24 V DC ±10%。</w:t>
            </w:r>
          </w:p>
          <w:p w14:paraId="0E2482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（二）夹爪控制器</w:t>
            </w:r>
          </w:p>
          <w:p w14:paraId="62725F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1、控制轴数：单轴；</w:t>
            </w:r>
          </w:p>
          <w:p w14:paraId="1A371AA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2、电流：2A；</w:t>
            </w:r>
          </w:p>
          <w:p w14:paraId="7A8D58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3、电压电源： DC24V±10%；</w:t>
            </w:r>
          </w:p>
          <w:p w14:paraId="2578C73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4、控制方式： IO 控制、MODBUS RTU/CANopen 总线控制、脉冲控制；</w:t>
            </w:r>
          </w:p>
          <w:p w14:paraId="29DF66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5、最大输入脉冲频率： Max.200KPPS(24V 集电极 )/Max.500KPPS(5V 脉冲 )；</w:t>
            </w:r>
          </w:p>
          <w:p w14:paraId="6FA4200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6、显示：LED 显示 红黄绿三色状态灯；</w:t>
            </w:r>
          </w:p>
          <w:p w14:paraId="118B17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7、PIO 接口： 光耦隔离， 专用输入 16 点 / 输出 16 点；</w:t>
            </w:r>
          </w:p>
          <w:p w14:paraId="31F56C0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8、串行通讯口:RS 485 1ch（参照 Modbus 协议）/CANopen；</w:t>
            </w:r>
          </w:p>
          <w:p w14:paraId="0EEDE1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9、保护等级： IP20。</w:t>
            </w:r>
          </w:p>
        </w:tc>
        <w:tc>
          <w:tcPr>
            <w:tcW w:w="1148" w:type="dxa"/>
            <w:tcBorders>
              <w:top w:val="single" w:color="auto" w:sz="4" w:space="0"/>
              <w:left w:val="nil"/>
              <w:bottom w:val="single" w:color="auto" w:sz="4" w:space="0"/>
              <w:right w:val="single" w:color="auto" w:sz="4" w:space="0"/>
            </w:tcBorders>
            <w:shd w:val="clear" w:color="auto" w:fill="auto"/>
            <w:vAlign w:val="center"/>
          </w:tcPr>
          <w:p w14:paraId="214B0D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1个</w:t>
            </w:r>
          </w:p>
        </w:tc>
        <w:tc>
          <w:tcPr>
            <w:tcW w:w="908" w:type="dxa"/>
            <w:tcBorders>
              <w:top w:val="single" w:color="auto" w:sz="4" w:space="0"/>
              <w:left w:val="nil"/>
              <w:bottom w:val="single" w:color="auto" w:sz="4" w:space="0"/>
              <w:right w:val="single" w:color="auto" w:sz="4" w:space="0"/>
            </w:tcBorders>
            <w:shd w:val="clear" w:color="auto" w:fill="auto"/>
            <w:vAlign w:val="center"/>
          </w:tcPr>
          <w:p w14:paraId="54E5EF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1999079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1A002A0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5CA3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79BD5D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140" w:type="dxa"/>
            <w:tcBorders>
              <w:top w:val="single" w:color="auto" w:sz="4" w:space="0"/>
              <w:left w:val="nil"/>
              <w:bottom w:val="single" w:color="auto" w:sz="4" w:space="0"/>
              <w:right w:val="single" w:color="auto" w:sz="4" w:space="0"/>
            </w:tcBorders>
            <w:shd w:val="clear" w:color="auto" w:fill="auto"/>
            <w:vAlign w:val="center"/>
          </w:tcPr>
          <w:p w14:paraId="3DA193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仓储装置</w:t>
            </w:r>
          </w:p>
        </w:tc>
        <w:tc>
          <w:tcPr>
            <w:tcW w:w="4171" w:type="dxa"/>
            <w:tcBorders>
              <w:top w:val="single" w:color="auto" w:sz="4" w:space="0"/>
              <w:left w:val="nil"/>
              <w:bottom w:val="single" w:color="auto" w:sz="4" w:space="0"/>
              <w:right w:val="single" w:color="auto" w:sz="4" w:space="0"/>
            </w:tcBorders>
            <w:shd w:val="clear" w:color="auto" w:fill="auto"/>
            <w:vAlign w:val="center"/>
          </w:tcPr>
          <w:p w14:paraId="26D4FD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68597B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也可独立运行。</w:t>
            </w:r>
          </w:p>
          <w:p w14:paraId="3E6F5EF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4EB991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72391C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3BC720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5、当本设备作为智能制造单元的组成部分运行时，其培训费用包含在该项报价内。</w:t>
            </w:r>
          </w:p>
          <w:p w14:paraId="4828278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二、功能描述</w:t>
            </w:r>
          </w:p>
          <w:p w14:paraId="7890EE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1、整个平台使用立式结构，铝型材框架；</w:t>
            </w:r>
          </w:p>
          <w:p w14:paraId="27609B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2、底部配有可调节脚杯，可通过膨胀螺栓固定于地面；</w:t>
            </w:r>
          </w:p>
          <w:p w14:paraId="3987139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3、脚杯规格：螺杆不小于M12，杯盘直径不小于80mm，厚不小于20mm；</w:t>
            </w:r>
          </w:p>
          <w:p w14:paraId="78522B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4、仓位不少于四行八列，分布位置不少于三层，总计不少于32个仓位；</w:t>
            </w:r>
          </w:p>
          <w:p w14:paraId="685FDF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5、仓位具有传感器检测托盘有无；</w:t>
            </w:r>
          </w:p>
          <w:p w14:paraId="3C4693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6、尺寸（长×宽×高）：3500mm×16500mm×2300mm，中等自由公差范围内；</w:t>
            </w:r>
          </w:p>
        </w:tc>
        <w:tc>
          <w:tcPr>
            <w:tcW w:w="1148" w:type="dxa"/>
            <w:tcBorders>
              <w:top w:val="single" w:color="auto" w:sz="4" w:space="0"/>
              <w:left w:val="nil"/>
              <w:bottom w:val="single" w:color="auto" w:sz="4" w:space="0"/>
              <w:right w:val="single" w:color="auto" w:sz="4" w:space="0"/>
            </w:tcBorders>
            <w:shd w:val="clear" w:color="auto" w:fill="auto"/>
            <w:vAlign w:val="center"/>
          </w:tcPr>
          <w:p w14:paraId="2448E5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45E98D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3EF1DB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067C5B02">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5D1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18E24CB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140" w:type="dxa"/>
            <w:tcBorders>
              <w:top w:val="single" w:color="auto" w:sz="4" w:space="0"/>
              <w:left w:val="nil"/>
              <w:bottom w:val="single" w:color="auto" w:sz="4" w:space="0"/>
              <w:right w:val="single" w:color="auto" w:sz="4" w:space="0"/>
            </w:tcBorders>
            <w:shd w:val="clear" w:color="auto" w:fill="auto"/>
            <w:vAlign w:val="center"/>
          </w:tcPr>
          <w:p w14:paraId="26CF57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视觉检测装置</w:t>
            </w:r>
          </w:p>
        </w:tc>
        <w:tc>
          <w:tcPr>
            <w:tcW w:w="4171" w:type="dxa"/>
            <w:tcBorders>
              <w:top w:val="single" w:color="auto" w:sz="4" w:space="0"/>
              <w:left w:val="nil"/>
              <w:bottom w:val="single" w:color="auto" w:sz="4" w:space="0"/>
              <w:right w:val="single" w:color="auto" w:sz="4" w:space="0"/>
            </w:tcBorders>
            <w:shd w:val="clear" w:color="auto" w:fill="auto"/>
            <w:vAlign w:val="center"/>
          </w:tcPr>
          <w:p w14:paraId="2968E3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4B8BDB4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软件或硬件方式进行简单的模式切换，以保障其独立运行。</w:t>
            </w:r>
          </w:p>
          <w:p w14:paraId="754D15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强的可视化与柔性化特点，要能够在各组成设备功能和行程允许的范围内，实现复杂零件的多种自动上下料运行，具体包括：数控车-数控铣-精密检测-智能仓储自动上下料运行；数控铣-数控车-精密检测-智能仓储自动上下料运行；数控车-精密检测-智能仓储自动上下料运行；数控铣-精密检测-智能仓储上下料运行。</w:t>
            </w:r>
          </w:p>
          <w:p w14:paraId="462A58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4678D1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6F01166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5、当本设备作为智能制造单元的组成部分运行时，其培训费用包含在该项报价内。</w:t>
            </w:r>
          </w:p>
          <w:p w14:paraId="4DD8F43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二、功能描述</w:t>
            </w:r>
          </w:p>
          <w:p w14:paraId="0EAA73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1、视觉工具：</w:t>
            </w:r>
          </w:p>
          <w:p w14:paraId="0B37CD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 计数：斑点计数、边缘计数、图案计数 ；</w:t>
            </w:r>
          </w:p>
          <w:p w14:paraId="6CA1FA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 缺陷：异常检测 ；</w:t>
            </w:r>
          </w:p>
          <w:p w14:paraId="02846E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 有无：圆有无、直线有无、斑点有无、边缘有无、图案有无 ；</w:t>
            </w:r>
          </w:p>
          <w:p w14:paraId="348548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1.4 定位：标定、定位、位置修正； </w:t>
            </w:r>
          </w:p>
          <w:p w14:paraId="59A71B9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 逻辑：分支控制、条件判断、逻辑判断、组合判断、字符比较、变量计算 ；</w:t>
            </w:r>
          </w:p>
          <w:p w14:paraId="4F3053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1.6 测量：颜色面积、线线角度、直径测量、亮度均值、对比度测量、宽度测量、点线测量、 灰度面积、直线角度、节距检测； </w:t>
            </w:r>
          </w:p>
          <w:p w14:paraId="31B558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识别：字符识别、颜色比较、码识别 ；</w:t>
            </w:r>
          </w:p>
          <w:p w14:paraId="6BCF26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2、方案能力：支持方案导入/导出，最多可存储 32 个方案，40 个模块 ；</w:t>
            </w:r>
          </w:p>
          <w:p w14:paraId="79B15D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3、通讯协议：RS-232、TCP、UDP、FTP、PROFINET、Modbus、EtherNet/IP ；</w:t>
            </w:r>
          </w:p>
          <w:p w14:paraId="611D11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4、传感器类型： CMOS，全局快门；</w:t>
            </w:r>
          </w:p>
          <w:p w14:paraId="4A0F0E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5、像元尺寸： 3.45 µm × 3.45 µm；</w:t>
            </w:r>
          </w:p>
          <w:p w14:paraId="5F82EE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6、靶面尺寸： 1/2.9"；</w:t>
            </w:r>
          </w:p>
          <w:p w14:paraId="13A13F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7、分辨率：》1408 × 1024；</w:t>
            </w:r>
          </w:p>
          <w:p w14:paraId="1CBC65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8、最大采集帧率：》 60 fps；</w:t>
            </w:r>
          </w:p>
          <w:p w14:paraId="0F963E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9、动态范围：》 71.4 dB；</w:t>
            </w:r>
          </w:p>
          <w:p w14:paraId="7586640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10、信噪比：》 41 dB；</w:t>
            </w:r>
          </w:p>
          <w:p w14:paraId="1AE20B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11、增益： 0~15 dB；</w:t>
            </w:r>
          </w:p>
          <w:p w14:paraId="639748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12、曝光时间： 16 μs~1 sec；</w:t>
            </w:r>
          </w:p>
          <w:p w14:paraId="047210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13、像素格式： RGB 8，Mono 8；</w:t>
            </w:r>
          </w:p>
          <w:p w14:paraId="5F047F9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14、黑白/彩色： 彩色；</w:t>
            </w:r>
          </w:p>
          <w:p w14:paraId="2915C0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15、数据接口： Fast Ethernet（100Mbit/s）；</w:t>
            </w:r>
          </w:p>
          <w:p w14:paraId="089B3B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16、数字 I/O ：17-pin M12 接口提供供电、以太网、数字 IO、串口功能：不少于2 个输入信号（Line0/1），不少于3个输出信号（Line5/6/7），不少于3 个可配置输入输出（Line2/3/4），不少于1 个外部按钮输入（BUTTON）输出信号的 NPN 或 PNP 类型可配；</w:t>
            </w:r>
          </w:p>
          <w:p w14:paraId="744CC4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17、供电： 24 VDC；</w:t>
            </w:r>
          </w:p>
          <w:p w14:paraId="0C044B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18、最大功耗： 48 W；</w:t>
            </w:r>
          </w:p>
          <w:p w14:paraId="03914D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19、镜头接口： M12-mount，机械对焦；</w:t>
            </w:r>
          </w:p>
          <w:p w14:paraId="06F6E0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20、焦距： 可选6 mm、12.4 mm、 14.8 mm；</w:t>
            </w:r>
          </w:p>
          <w:p w14:paraId="0D858B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21、镜头罩： 透明镜头罩，可选购半偏振镜头罩或全偏振镜头罩；</w:t>
            </w:r>
          </w:p>
          <w:p w14:paraId="2A51E0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22、光源： 》14 颗 LED：白色（默认出厂）/红色/蓝色；</w:t>
            </w:r>
          </w:p>
          <w:p w14:paraId="0663C3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23、指示灯： 电源指示灯 PWR，网络指示灯 LNK，状态指示灯 STS，结果显示指示灯 OK/NG；</w:t>
            </w:r>
          </w:p>
          <w:p w14:paraId="426A2E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24、外形尺寸：65.2 mm × 65.2 mm × 47 mm，精度国标未注公差范围内；</w:t>
            </w:r>
          </w:p>
          <w:p w14:paraId="0E74B1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25、重量： 《 280 g；</w:t>
            </w:r>
          </w:p>
          <w:p w14:paraId="4291662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26、IP 防护等级：不低于 IP67（正确安装镜头以及线缆的情况下）；</w:t>
            </w:r>
          </w:p>
          <w:p w14:paraId="25C1944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27、温度： 工作温度 0~50℃，储藏温度-30~70℃；</w:t>
            </w:r>
          </w:p>
          <w:p w14:paraId="3F287F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28、湿度： 20%~95%RH 无冷凝。</w:t>
            </w:r>
          </w:p>
        </w:tc>
        <w:tc>
          <w:tcPr>
            <w:tcW w:w="1148" w:type="dxa"/>
            <w:tcBorders>
              <w:top w:val="single" w:color="auto" w:sz="4" w:space="0"/>
              <w:left w:val="nil"/>
              <w:bottom w:val="single" w:color="auto" w:sz="4" w:space="0"/>
              <w:right w:val="single" w:color="auto" w:sz="4" w:space="0"/>
            </w:tcBorders>
            <w:shd w:val="clear" w:color="auto" w:fill="auto"/>
            <w:vAlign w:val="center"/>
          </w:tcPr>
          <w:p w14:paraId="49FC3C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2A2646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5AE5C5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40F2853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6D0C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4A30A1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140" w:type="dxa"/>
            <w:tcBorders>
              <w:top w:val="single" w:color="auto" w:sz="4" w:space="0"/>
              <w:left w:val="nil"/>
              <w:bottom w:val="single" w:color="auto" w:sz="4" w:space="0"/>
              <w:right w:val="single" w:color="auto" w:sz="4" w:space="0"/>
            </w:tcBorders>
            <w:shd w:val="clear" w:color="auto" w:fill="auto"/>
            <w:vAlign w:val="center"/>
          </w:tcPr>
          <w:p w14:paraId="533A43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数控三轴联动加工中心升级改造</w:t>
            </w:r>
          </w:p>
        </w:tc>
        <w:tc>
          <w:tcPr>
            <w:tcW w:w="4171" w:type="dxa"/>
            <w:tcBorders>
              <w:top w:val="single" w:color="auto" w:sz="4" w:space="0"/>
              <w:left w:val="nil"/>
              <w:bottom w:val="single" w:color="auto" w:sz="4" w:space="0"/>
              <w:right w:val="single" w:color="auto" w:sz="4" w:space="0"/>
            </w:tcBorders>
            <w:shd w:val="clear" w:color="auto" w:fill="auto"/>
            <w:vAlign w:val="center"/>
          </w:tcPr>
          <w:p w14:paraId="0845E95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1BE60C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升级和改造后的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设备面板上的硬件按钮进行简单的模式切换，以保障其独立运行。</w:t>
            </w:r>
          </w:p>
          <w:p w14:paraId="715DC0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74AC782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29283B0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41F3E6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5、当此次升级和改造后的设备作为智能制造单元的组成部分运行时，其培训费用包含在该项报价内。</w:t>
            </w:r>
          </w:p>
          <w:p w14:paraId="150B1F4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二、FANUC Series oi-MF系统VDLS-850大连加工中心升级改造</w:t>
            </w:r>
          </w:p>
          <w:p w14:paraId="741070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1、机床自动门改造；</w:t>
            </w:r>
          </w:p>
          <w:p w14:paraId="320A62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2、机床开关门均设置缓冲机构；</w:t>
            </w:r>
          </w:p>
          <w:p w14:paraId="7E00567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3、开关门到位检测信号类型：开关量；</w:t>
            </w:r>
          </w:p>
          <w:p w14:paraId="3CA1B0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4、自动门执行原件：单杆气缸；</w:t>
            </w:r>
          </w:p>
          <w:p w14:paraId="4114A4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5、动作形式：复动型；</w:t>
            </w:r>
          </w:p>
          <w:p w14:paraId="6251FD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6、执行机构位置检测形式：磁性开关；</w:t>
            </w:r>
          </w:p>
          <w:p w14:paraId="625B49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7、有效行程：（以机床开门最大尺寸为准）；</w:t>
            </w:r>
          </w:p>
          <w:p w14:paraId="2834F1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8、控制模式：同时自动开门具有手动.自动双联控制模式；</w:t>
            </w:r>
          </w:p>
          <w:p w14:paraId="539032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9、操作模式：操作按钮集成与数控车床操作面板；</w:t>
            </w:r>
          </w:p>
          <w:p w14:paraId="45E659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10、机床自动装夹卡盘（夹具）改造；</w:t>
            </w:r>
          </w:p>
          <w:p w14:paraId="13BCD6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11、安装气动或者液压卡盘，三爪或者四爪，中实或者中空，或者配置液压虎钳，根据加工工件选择；</w:t>
            </w:r>
          </w:p>
          <w:p w14:paraId="354211D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12、自动卡盘开合行程100~200mm，根据加工工件选择；</w:t>
            </w:r>
          </w:p>
          <w:p w14:paraId="52407D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13、机器人接口开发与机床配套的数控系统为基础进行二次开发扩展，不影响机床本身功能；</w:t>
            </w:r>
          </w:p>
          <w:p w14:paraId="5CB00F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14、与工业机器人实现I/O通讯；</w:t>
            </w:r>
          </w:p>
          <w:p w14:paraId="41D4DB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15、具有远程启/停应用功能；</w:t>
            </w:r>
          </w:p>
          <w:p w14:paraId="43EF10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16、协作机器人在本设备上下料进行时，防护门始终处于打开状态；</w:t>
            </w:r>
          </w:p>
          <w:p w14:paraId="140B9E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17、设备运行完成自动关闭防护门，压缩空气关闭时机床防护门始终关闭。</w:t>
            </w:r>
          </w:p>
          <w:p w14:paraId="4082B43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三、物料定位台</w:t>
            </w:r>
          </w:p>
          <w:p w14:paraId="67D050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1、整个平台使用立式结构，钣金框架，铝型材铺面；</w:t>
            </w:r>
          </w:p>
          <w:p w14:paraId="5B69EE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2、底部配有可调节脚杯，可通过膨胀螺栓固定于地面；</w:t>
            </w:r>
          </w:p>
          <w:p w14:paraId="49C8647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3、脚杯规格：螺杆不小于M12，杯盘直径不小于80mm，厚不小于20mm；</w:t>
            </w:r>
          </w:p>
          <w:p w14:paraId="1D66C2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4、中转台整体可调节高度不小于80mm；</w:t>
            </w:r>
          </w:p>
          <w:p w14:paraId="4FA10B7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5、中转台内配有安装电气的配盘板，用于安装与该中转台先关的低压电气元件；</w:t>
            </w:r>
          </w:p>
          <w:p w14:paraId="35C670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6、尺寸定制，与工件及工装夹具设计有关，以实际尺寸为准；</w:t>
            </w:r>
          </w:p>
          <w:p w14:paraId="0DED73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7、材料：钣金+铝合金；</w:t>
            </w:r>
          </w:p>
          <w:p w14:paraId="08C6588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8、平台面板安装与托盘或者工件适配的工装夹具；</w:t>
            </w:r>
          </w:p>
          <w:p w14:paraId="4F2598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9、工装夹具主要由气缸和机架结构件组建，气缸压力范围0.6~0.8Mpa；</w:t>
            </w:r>
          </w:p>
          <w:p w14:paraId="5253FF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10、气缸伸缩行程不小于10mm；</w:t>
            </w:r>
          </w:p>
          <w:p w14:paraId="64D146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11、伸缩位确认信号：两个磁性开关信号，确认动作位置；</w:t>
            </w:r>
          </w:p>
          <w:p w14:paraId="62DC61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12、气缸动作形式：复动型；</w:t>
            </w:r>
          </w:p>
          <w:p w14:paraId="04418FA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13、根据自动化生产工艺流程，通过工业机器人执行抓取、搬运动作，实现暂存或中转托盘/工件，内部集成与该中转台功能适配的电气电路，对外与控制系统PLC相连，构成控制信号与检测信号闭环控制系统。</w:t>
            </w:r>
          </w:p>
        </w:tc>
        <w:tc>
          <w:tcPr>
            <w:tcW w:w="1148" w:type="dxa"/>
            <w:tcBorders>
              <w:top w:val="single" w:color="auto" w:sz="4" w:space="0"/>
              <w:left w:val="nil"/>
              <w:bottom w:val="single" w:color="auto" w:sz="4" w:space="0"/>
              <w:right w:val="single" w:color="auto" w:sz="4" w:space="0"/>
            </w:tcBorders>
            <w:shd w:val="clear" w:color="auto" w:fill="auto"/>
            <w:vAlign w:val="center"/>
          </w:tcPr>
          <w:p w14:paraId="17E8EF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3B1198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4E2357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3FC349C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870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506496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140" w:type="dxa"/>
            <w:tcBorders>
              <w:top w:val="single" w:color="auto" w:sz="4" w:space="0"/>
              <w:left w:val="nil"/>
              <w:bottom w:val="single" w:color="auto" w:sz="4" w:space="0"/>
              <w:right w:val="single" w:color="auto" w:sz="4" w:space="0"/>
            </w:tcBorders>
            <w:shd w:val="clear" w:color="auto" w:fill="auto"/>
            <w:vAlign w:val="center"/>
          </w:tcPr>
          <w:p w14:paraId="45737A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数控车床升级改造</w:t>
            </w:r>
          </w:p>
        </w:tc>
        <w:tc>
          <w:tcPr>
            <w:tcW w:w="4171" w:type="dxa"/>
            <w:tcBorders>
              <w:top w:val="single" w:color="auto" w:sz="4" w:space="0"/>
              <w:left w:val="nil"/>
              <w:bottom w:val="single" w:color="auto" w:sz="4" w:space="0"/>
              <w:right w:val="single" w:color="auto" w:sz="4" w:space="0"/>
            </w:tcBorders>
            <w:shd w:val="clear" w:color="auto" w:fill="auto"/>
            <w:vAlign w:val="center"/>
          </w:tcPr>
          <w:p w14:paraId="0F4D33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12CE2C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升级和改造后的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设备面板上的硬件按钮进行简单的模式切换，以保障其独立运行。</w:t>
            </w:r>
          </w:p>
          <w:p w14:paraId="4DD8FB8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1EE5E6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097A830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2B0921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5、当此次升级和改造后的设备作为智能制造单元的组成部分运行时，其培训费用包含在该项报价内。</w:t>
            </w:r>
          </w:p>
          <w:p w14:paraId="1796F2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二、FANUC Series oi-MF系统CAK4085沈阳车床升级改造</w:t>
            </w:r>
          </w:p>
          <w:p w14:paraId="301F40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1、机床自动门改造；</w:t>
            </w:r>
          </w:p>
          <w:p w14:paraId="402D023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2、机床开关门均设置缓冲机构；</w:t>
            </w:r>
          </w:p>
          <w:p w14:paraId="3D4B0AF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3、开关门到位检测信号类型：开关量；</w:t>
            </w:r>
          </w:p>
          <w:p w14:paraId="44EFAC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4、自动门执行原件：单杆气缸；</w:t>
            </w:r>
          </w:p>
          <w:p w14:paraId="4F1B4C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5、动作形式：复动型；</w:t>
            </w:r>
          </w:p>
          <w:p w14:paraId="0D7019B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6、执行机构位置检测形式：磁性开关；</w:t>
            </w:r>
          </w:p>
          <w:p w14:paraId="1F1BA5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7、有效行程：（以机床开门最大尺寸为准）；</w:t>
            </w:r>
          </w:p>
          <w:p w14:paraId="084911D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8、控制模式：同时自动开门具有手动.自动双联控制模式；</w:t>
            </w:r>
          </w:p>
          <w:p w14:paraId="40F6DC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9、操作模式：操作按钮集成与数控车床操作面板；</w:t>
            </w:r>
          </w:p>
          <w:p w14:paraId="375FCD7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10、机床自动装夹卡盘（夹具）改造；</w:t>
            </w:r>
          </w:p>
          <w:p w14:paraId="0CFCDB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11、安装气动或者液压卡盘，三爪或者四爪，中实或者中空选择；</w:t>
            </w:r>
          </w:p>
          <w:p w14:paraId="0C784E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12、自动卡盘开合行程100~200mm，根据加工工件选择；</w:t>
            </w:r>
          </w:p>
          <w:p w14:paraId="165A9B6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13、机器人接口开发与机床配套的数控系统为基础进行二次开发扩展，不影响机床本身功能；</w:t>
            </w:r>
          </w:p>
          <w:p w14:paraId="1061898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14、与工业机器人实现I/O通讯；</w:t>
            </w:r>
          </w:p>
          <w:p w14:paraId="51ABE4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15、具有远程启/停应用功能；</w:t>
            </w:r>
          </w:p>
          <w:p w14:paraId="5AD5DD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16、协作机器人在本设备上下料进行时，防护门始终处于打开状态；</w:t>
            </w:r>
          </w:p>
          <w:p w14:paraId="280028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17、设备运行完成自动关闭防护门，压缩空气关闭时机床防护门始终关闭；</w:t>
            </w:r>
          </w:p>
          <w:p w14:paraId="1AF2CE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三、物料定位台</w:t>
            </w:r>
          </w:p>
          <w:p w14:paraId="399A37E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1、整个平台使用立式结构，钣金框架，铝型材铺面；</w:t>
            </w:r>
          </w:p>
          <w:p w14:paraId="18B91A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2、底部配有可调节脚杯，可通过膨胀螺栓固定于地面；</w:t>
            </w:r>
          </w:p>
          <w:p w14:paraId="34C2CE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3、脚杯规格：螺杆不小于M12，杯盘直径不小于80mm，厚不小于20mm；</w:t>
            </w:r>
          </w:p>
          <w:p w14:paraId="014382F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4、中转台整体可调节高度不小于80mm；</w:t>
            </w:r>
          </w:p>
          <w:p w14:paraId="486EC6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5、中转台内配有安装电气的配盘板，用于安装与该中转台先关的低压电气元件；</w:t>
            </w:r>
          </w:p>
          <w:p w14:paraId="6B96782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6、尺寸定制，与工件及工装夹具设计有关，以实际尺寸为准；</w:t>
            </w:r>
          </w:p>
          <w:p w14:paraId="266969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7、材料：钣金+铝合金；</w:t>
            </w:r>
          </w:p>
          <w:p w14:paraId="4D8FC3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8、平台面板安装与托盘或者工件适配的工装夹具；</w:t>
            </w:r>
          </w:p>
          <w:p w14:paraId="73EC54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9、工装夹具主要由气缸和机架结构件组建，气缸压力范围0.6~0.8Mpa；</w:t>
            </w:r>
          </w:p>
          <w:p w14:paraId="50110C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10、气缸伸缩行程不小于10mm；</w:t>
            </w:r>
          </w:p>
          <w:p w14:paraId="2C0CC8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11、伸缩位确认信号：两个磁性开关信号，确认动作位置；</w:t>
            </w:r>
          </w:p>
          <w:p w14:paraId="636A3C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12、气缸动作形式：复动型；</w:t>
            </w:r>
          </w:p>
          <w:p w14:paraId="40B460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13、根据自动化生产工艺流程，通过工业机器人执行抓取、搬运动作，实现暂存或中转托盘/工件，内部集成与该中转台功能适配的电气电路，对外与控制系统PLC相连，构成控制信号与检测信号闭环控制系统。</w:t>
            </w:r>
          </w:p>
        </w:tc>
        <w:tc>
          <w:tcPr>
            <w:tcW w:w="1148" w:type="dxa"/>
            <w:tcBorders>
              <w:top w:val="single" w:color="auto" w:sz="4" w:space="0"/>
              <w:left w:val="nil"/>
              <w:bottom w:val="single" w:color="auto" w:sz="4" w:space="0"/>
              <w:right w:val="single" w:color="auto" w:sz="4" w:space="0"/>
            </w:tcBorders>
            <w:shd w:val="clear" w:color="auto" w:fill="auto"/>
            <w:vAlign w:val="center"/>
          </w:tcPr>
          <w:p w14:paraId="1D93DAA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703ECC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0C24D6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36E149F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794D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0D5D60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140" w:type="dxa"/>
            <w:tcBorders>
              <w:top w:val="single" w:color="auto" w:sz="4" w:space="0"/>
              <w:left w:val="nil"/>
              <w:bottom w:val="single" w:color="auto" w:sz="4" w:space="0"/>
              <w:right w:val="single" w:color="auto" w:sz="4" w:space="0"/>
            </w:tcBorders>
            <w:shd w:val="clear" w:color="auto" w:fill="auto"/>
            <w:vAlign w:val="center"/>
          </w:tcPr>
          <w:p w14:paraId="05AA4A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三坐标升级改造</w:t>
            </w:r>
          </w:p>
        </w:tc>
        <w:tc>
          <w:tcPr>
            <w:tcW w:w="4171" w:type="dxa"/>
            <w:tcBorders>
              <w:top w:val="single" w:color="auto" w:sz="4" w:space="0"/>
              <w:left w:val="nil"/>
              <w:bottom w:val="single" w:color="auto" w:sz="4" w:space="0"/>
              <w:right w:val="single" w:color="auto" w:sz="4" w:space="0"/>
            </w:tcBorders>
            <w:shd w:val="clear" w:color="auto" w:fill="auto"/>
            <w:vAlign w:val="center"/>
          </w:tcPr>
          <w:p w14:paraId="74CB4E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67341C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升级和改造后的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设备面板上的硬件按钮或软件功能进行简单的模式切换，以保障其独立运行。</w:t>
            </w:r>
          </w:p>
          <w:p w14:paraId="16D8BA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4F78402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34F52A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648BC5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5、当此次升级和改造后的设备作为智能制造单元的组成部分运行时，其培训费用包含在该项报价内。</w:t>
            </w:r>
          </w:p>
          <w:p w14:paraId="5E1E8C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二、蔡司CONTURA 7106三坐标改造</w:t>
            </w:r>
          </w:p>
          <w:p w14:paraId="617958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1、三坐标平台改造，设计并配置满行程的工作底板2个；</w:t>
            </w:r>
          </w:p>
          <w:p w14:paraId="678979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2、底板上安装与工件配套的工装夹具；</w:t>
            </w:r>
          </w:p>
          <w:p w14:paraId="57AFB77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3、工装夹具主要由气缸和机架结构件组建，气缸压力范围0.6~0.8Mpa；</w:t>
            </w:r>
          </w:p>
          <w:p w14:paraId="544683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4、夹具到位检测信号类型：开关量；</w:t>
            </w:r>
          </w:p>
          <w:p w14:paraId="50A6E0A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5、动作形式：复动型；</w:t>
            </w:r>
          </w:p>
          <w:p w14:paraId="552284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6、与机器人实现I/O通讯，具有远程启/停应用功能；</w:t>
            </w:r>
          </w:p>
          <w:p w14:paraId="4E2A6C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7、自动换针库装置2套安装到位，每个自动换针库装置不少于4个仓位。</w:t>
            </w:r>
          </w:p>
          <w:p w14:paraId="3F50FA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8、因待改造三坐标整机仍然在质保期内，改造后的三坐标剩余1年质保期由本项目中标单位承担。</w:t>
            </w:r>
          </w:p>
          <w:p w14:paraId="3E35686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三、物料定位台</w:t>
            </w:r>
          </w:p>
          <w:p w14:paraId="5212E2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1、整个平台使用立式结构，钣金框架，铝型材铺面；</w:t>
            </w:r>
          </w:p>
          <w:p w14:paraId="59557C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2、底部配有可调节脚杯，可通过膨胀螺栓固定于地面；</w:t>
            </w:r>
          </w:p>
          <w:p w14:paraId="43D3AE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3、脚杯规格：螺杆不小于M12，杯盘直径不小于80mm，厚不小于20mm；</w:t>
            </w:r>
          </w:p>
          <w:p w14:paraId="0C68E2F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4、中转台整体可调节高度不小于80mm；</w:t>
            </w:r>
          </w:p>
          <w:p w14:paraId="02D885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5、中转台内配有安装电气的配盘板，用于安装与该中转台先关的低压电气元件；</w:t>
            </w:r>
          </w:p>
          <w:p w14:paraId="467901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6、尺寸定制，与工件及工装夹具设计有关，以实际尺寸为准；</w:t>
            </w:r>
          </w:p>
          <w:p w14:paraId="29A8DC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7、材料：钣金+铝合金；</w:t>
            </w:r>
          </w:p>
          <w:p w14:paraId="351C235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8、平台面板安装与托盘或者工件适配的工装夹具；</w:t>
            </w:r>
          </w:p>
          <w:p w14:paraId="4A5FFF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10、工装夹具主要由气缸和机架结构件组建，气缸压力范围0.6~0.8Mpa；</w:t>
            </w:r>
          </w:p>
          <w:p w14:paraId="4A1B4F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11、气缸伸缩行程不小于10mm；</w:t>
            </w:r>
          </w:p>
          <w:p w14:paraId="4F14326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12、伸缩位确认信号：两个磁性开关信号，确认动作位置；</w:t>
            </w:r>
          </w:p>
          <w:p w14:paraId="36C225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13、气缸动作形式：复动型；</w:t>
            </w:r>
          </w:p>
          <w:p w14:paraId="071E6C9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14、根据自动化生产工艺流程，通过工业机器人执行抓取、搬运动作，实现暂存或中转托盘/工件；</w:t>
            </w:r>
          </w:p>
          <w:p w14:paraId="704161A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15、内部集成与该中转台功能适配的电气电路，对外与控制系统PLC相连，构成控制信号与检测信号闭环控制系统。</w:t>
            </w:r>
          </w:p>
        </w:tc>
        <w:tc>
          <w:tcPr>
            <w:tcW w:w="1148" w:type="dxa"/>
            <w:tcBorders>
              <w:top w:val="single" w:color="auto" w:sz="4" w:space="0"/>
              <w:left w:val="nil"/>
              <w:bottom w:val="single" w:color="auto" w:sz="4" w:space="0"/>
              <w:right w:val="single" w:color="auto" w:sz="4" w:space="0"/>
            </w:tcBorders>
            <w:shd w:val="clear" w:color="auto" w:fill="auto"/>
            <w:vAlign w:val="center"/>
          </w:tcPr>
          <w:p w14:paraId="6B0F75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0D7128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17CE36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50213A39">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rPr>
            </w:pPr>
          </w:p>
        </w:tc>
      </w:tr>
      <w:tr w14:paraId="61AD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2A0673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140" w:type="dxa"/>
            <w:tcBorders>
              <w:top w:val="single" w:color="auto" w:sz="4" w:space="0"/>
              <w:left w:val="nil"/>
              <w:bottom w:val="single" w:color="auto" w:sz="4" w:space="0"/>
              <w:right w:val="single" w:color="auto" w:sz="4" w:space="0"/>
            </w:tcBorders>
            <w:shd w:val="clear" w:color="auto" w:fill="auto"/>
            <w:vAlign w:val="center"/>
          </w:tcPr>
          <w:p w14:paraId="074535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计算机系统管理软件</w:t>
            </w:r>
          </w:p>
        </w:tc>
        <w:tc>
          <w:tcPr>
            <w:tcW w:w="4171" w:type="dxa"/>
            <w:tcBorders>
              <w:top w:val="single" w:color="auto" w:sz="4" w:space="0"/>
              <w:left w:val="nil"/>
              <w:bottom w:val="single" w:color="auto" w:sz="4" w:space="0"/>
              <w:right w:val="single" w:color="auto" w:sz="4" w:space="0"/>
            </w:tcBorders>
            <w:shd w:val="clear" w:color="auto" w:fill="auto"/>
            <w:vAlign w:val="center"/>
          </w:tcPr>
          <w:p w14:paraId="5A70551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15D7977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1、本软件采购目的是方便实训教学需要，而非搭建具备数字孪生功能的智能制造单元技术需要。</w:t>
            </w:r>
          </w:p>
          <w:p w14:paraId="0B2A2E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采购项目中其他分项要求的条款（“在此次采购与设备升级过程中，该设备必须与其他设备、软件实现信号互联、互通，且要确保其他设备的功能和行程不受影响。”）可以不适用本软件，即其他软件或设备可以不与本软件互联、互通，所投软件不强制连接数字孪生智能制造单元。</w:t>
            </w:r>
          </w:p>
          <w:p w14:paraId="336F8D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3、能在服务器端使用该软件，对已安装所投数字孪生软件、MES系统，以及中心现有的正版软件AutoCAD、Autodesk Inventor、Powermill、VERICUT、ESPRIT、HuiMaiTech的计算机win10系统执行一键下发操作。这样做的目的是确保其余41台计算机系统和应用软件与服务器下发端系统及应用软件内容完全一致。</w:t>
            </w:r>
          </w:p>
          <w:p w14:paraId="22744F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2、中标人需将所投软件安装到指定的实训室，并负责安装、调试、网络配置等工作。中标人要采取足够的安全措施以确保用电安全和网络信息安全。</w:t>
            </w:r>
          </w:p>
          <w:p w14:paraId="7E2BC1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3、软件安装、调试、网络配置、培训费用包含在该项报价内。</w:t>
            </w:r>
          </w:p>
          <w:p w14:paraId="2FF07FF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二、功能描述</w:t>
            </w:r>
          </w:p>
          <w:p w14:paraId="3B085B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1、支持传统BIOS主板及UEFI主板；支持XP、Windows7 32/64、Windows8 32/64、Windows10 32/64、Windows11多个操作系统，支持MBR或GPT格式双硬盘机型安装。</w:t>
            </w:r>
          </w:p>
          <w:p w14:paraId="1FD749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可对单分区、多分区进行快速保护和快速恢复数据。并且隐藏启动菜单，隐藏“管理员菜单”界面，隐藏恢复进度条；设置管理员密码；可修改、添加、删除分区；提供保护模式、开放模式、考试模式和极速模式满足不同场景需求。（投标文件需提供此功能截图）</w:t>
            </w:r>
          </w:p>
          <w:p w14:paraId="7BC6443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3、支持机械硬盘读写优化模式，启动保护功能后与启动前硬盘读写速度相同。支持多种恢复频率，如手动恢复、自动恢复、定时恢复；支持多系统，系统最大数量≥32；支持远程批量设定默认启动系统。</w:t>
            </w:r>
          </w:p>
          <w:p w14:paraId="2BEA5E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4、支持自动批量分配的IP、DNS、网关等参数；支持同一台电脑不同系统设置不同的IP地址。</w:t>
            </w:r>
          </w:p>
          <w:p w14:paraId="03CA6A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支持硬盘对拷，同时支持本地1对3块硬盘复制，可以一对三进行硬盘对拷完，方便少数故障机快速恢复正常状态。对拷速度可达到几十MB/秒，甚至上百MB/秒，几十GB的数据可在几分钟之内对拷完毕。（投标文件需提供此功能截图）</w:t>
            </w:r>
          </w:p>
          <w:p w14:paraId="5838DD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▲6、支持系统克隆，在同一块硬盘上可以同时复制多个相同的操作系统到其他分区。可以在一块硬盘上克隆多个系统，快速部署，满足不同场景下的教学环境需求。（投标文件需提供此功能截图）</w:t>
            </w:r>
          </w:p>
          <w:p w14:paraId="5E8DFD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▲7、独有的影系统能实现多进度还原。支持创建或删除真实系统的影系统，每个原系统可以创建60个影系统，每个影系统添加的数据都互相隔离。（投标文件需提供此功能截图）</w:t>
            </w:r>
          </w:p>
          <w:p w14:paraId="3FF4813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安装部署方便，支持SATA、m.2、MSSATA、PCI-E和m.2(NVME)等接口的HDD、SHDD和SSD硬盘数据同传。支持两块硬盘智能同传。支持PXE网卡引导，需同传的电脑不管有没有系统都可进行快速部署。即使接收端硬盘状态不一，也能“增量对拷”，并智能化计算后传送最少数据量。</w:t>
            </w:r>
          </w:p>
          <w:p w14:paraId="0D9126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支持单分区、多分区同传，不影响其他分区的数据。支持有效数据同传、全部扇区同传提高同传效率。在同传过程中无论是发送端还是接收端断电重启，智能判断上次同传的断点，在重新同传时自动从该点开始传输。</w:t>
            </w:r>
          </w:p>
          <w:p w14:paraId="7D1BCF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▲10、支持排程设置，按照设定好的部署要求，计算机在到达计划时间后自动开机进入同传，进行全机房计算机同传部署，完成后自动关机。（投标文件需提供此功能截图）</w:t>
            </w:r>
          </w:p>
          <w:p w14:paraId="25981FA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支持考试模式同传，可以将所有的计算机切换到考试模式，确保用户快速进行考试前的机房部署。支持同传数据加密。支持同传分组管理，同一局域网下，不同分组内也能相互同传数据。（投标文件需提供此功能截图）</w:t>
            </w:r>
          </w:p>
          <w:p w14:paraId="4D86200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▲12、支持网络自动侦测功能，接收端连接到发送端后，发送端可自动显示每台接收端当前网卡速率，并把速率较低的接收端突出显示。（投标文件需提供此功能截图）</w:t>
            </w:r>
          </w:p>
          <w:p w14:paraId="198C51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▲13、管理端可提供多组账号，各自拥有不同权限。实现管理员的分级管理。管理端可对客户端远程关机、重启、唤醒。可实现全部客户端的快速恢复数据和保存数据。（投标文件需提供此功能截图）</w:t>
            </w:r>
          </w:p>
          <w:p w14:paraId="44B1168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管理端可远程锁定客户端的鼠标、键盘或屏幕。可选择仅锁定鼠标、键盘或屏幕。支持群组遥控，管理端可以对具有相同桌面的客户端同时遥控，尤其适用于教室统一维护。管理端可根据课表时间，提前预约电脑开关机，节省老师管理机房时间。远程查看和远程控制功能实现对5台被控端计算机的远程操作。（投标文件需提供此功能截图）</w:t>
            </w:r>
          </w:p>
          <w:p w14:paraId="387CF8F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15、支持资产管理，管理端可对客户端的软硬件信息进行资产查看、监控和更新，当被控端的软、硬件资产的变化情况，主控端给出提示。</w:t>
            </w:r>
          </w:p>
          <w:p w14:paraId="268802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支持网络参数设定，管理端可随时修改客户端的电脑名称、IP、DNS等网络参数，提供批量设定、分组设定等多种方式，非常方便。支持远程参数设定，在管理端可对客户端的密码、还原模式、剩余空间报警设定等远程设置。</w:t>
            </w:r>
          </w:p>
          <w:p w14:paraId="3614F3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▲17、软件含电子教室功能，实现课堂教学老师对学生广播教学、学生演示、网页广播、电子点名、提交作业等多项教学互动功能。（投标文件需提供此功能截图）</w:t>
            </w:r>
          </w:p>
          <w:p w14:paraId="060812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三、实训教学管理要求</w:t>
            </w:r>
          </w:p>
          <w:p w14:paraId="104D6B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（一）基本要求</w:t>
            </w:r>
          </w:p>
          <w:p w14:paraId="7E593F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纯软件产品，安装部署快捷，升级简易方便，采用核心的截屏及实时压缩技术，在网络条件较差时亦能体现良好的性能；可根据网络条件调节网络补偿强度，根据广播内容调节广播及录制效率，使广播达到最佳效果。采用流媒体技术，流畅无延时，文件清晰度几乎无损耗，支持几乎所有常见的媒体音视频格式， Windows Media文件，VCD文件，DVD文件，Real文件，AVI文件，MP3等主流文件格式，支持720p、1080p的高清视频。</w:t>
            </w:r>
          </w:p>
          <w:p w14:paraId="5C1B90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2、全面支持Windows系列操作系统，包括但不限于Windows 8、Windows 10、Windows 11操作系统。</w:t>
            </w:r>
          </w:p>
          <w:p w14:paraId="3AA756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▲3、软件需支持≥24种语言界面版本，满足不同外语教师灵活使用软件。（需提供软件支持≥24种语言界面版本的官网截图或彩页等相关证明材料）</w:t>
            </w:r>
          </w:p>
          <w:p w14:paraId="02E46A4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▲4、软件的加密方式支持：加密狗加密、服务器端授权、在线序列号加密、离线文件加密、自定义短码激活、mac地址预置激活等多种方式的激活方式。（需提供软件功能截图）</w:t>
            </w:r>
          </w:p>
          <w:p w14:paraId="046EC51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（二）课堂教学</w:t>
            </w:r>
          </w:p>
          <w:p w14:paraId="2B0EAF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1、屏幕广播：将教师机屏幕和教师讲话实时广播给单一、部分或全体学生，可选择全屏或窗口方式。窗口模式下或教师机与学生机分辨率不同情况下，学生机可以以不同的窗口方式接收广播。</w:t>
            </w:r>
          </w:p>
          <w:p w14:paraId="7053DA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2、扩展屏广播模式：教师机连接两个显示器，可在广播时选择将任意一个显示器的内容广播到学生机。</w:t>
            </w:r>
          </w:p>
          <w:p w14:paraId="2B7A55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3、屏幕广播速度增强：屏幕广播时支持多种画面质量的调节，根据网络的不同选择最好的效果进行教学。</w:t>
            </w:r>
          </w:p>
          <w:p w14:paraId="2FA598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4、语音广播：将教师机和麦克风的声音广播给学生，教学过程中，可以请任何一位已登录的学生发言，其他学生和教师收听该学生发言。</w:t>
            </w:r>
          </w:p>
          <w:p w14:paraId="6193B8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5、语音对讲：教师可以选择任意一名已登录学生与其进行双向语音交谈，除教师和此学生外，其他学生不会受到干扰，可以动态切换对讲对象。</w:t>
            </w:r>
          </w:p>
          <w:p w14:paraId="6E06F7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6、学生演示：教师可选定一台学生机作为示范，由此学生代替教师进行示范教学。</w:t>
            </w:r>
          </w:p>
          <w:p w14:paraId="16B851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7、分组教学：教师分派组长执行指定的功能，组长代替教师进行小组教学，小组不需要再临时创建，可以直接使用既有分组信息，教师可以监控每个分组的教学过程，以了解分组教学的进度。</w:t>
            </w:r>
          </w:p>
          <w:p w14:paraId="5968B2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讨论：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14:paraId="792932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9、屏幕录制：教师机可以将本地的操作和讲解过程录制为mp4录像文件，可以用 Windows 自带的 Media Player 直接播放。</w:t>
            </w:r>
          </w:p>
          <w:p w14:paraId="6475B9C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10、文件分发：允许教师将教师机不同盘符中的目录或文件一起发送至生机的某目录下。目录不存在自动新建此目录；盘符不存在或路径非法不允许分发；文件已存在选择自动覆盖或保留原始文件。</w:t>
            </w:r>
          </w:p>
          <w:p w14:paraId="39FC484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1EB0E2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12、屏幕监视：教师机可以监视单一、部分、全体学生机的屏幕，教师机每屏可监视多个学生屏幕（最多36个）。可以控制教师机监控的同屏幕各窗口间、屏幕与屏幕间的切换速度。可手动或自动循环监视。</w:t>
            </w:r>
          </w:p>
          <w:p w14:paraId="192E2C7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13、多频道教学：支持多达32个频道的划分，一个教师可对单个班级或多个班级同时上课；多个教师可同时对多个班级进行不同内容的教学。</w:t>
            </w:r>
          </w:p>
          <w:p w14:paraId="02F3BF5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（三）教学评测</w:t>
            </w:r>
          </w:p>
          <w:p w14:paraId="4391CE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1、试卷编辑：教师能够在家中编辑试题，试题类型支持单选、多选、判断、简答，可插入图片，设置试卷名称、教师名称、班级、考试时间和总分，允许用户通过导入 Word 文件添加试题。</w:t>
            </w:r>
          </w:p>
          <w:p w14:paraId="51B04F8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p>
          <w:p w14:paraId="0DF959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3、阅卷评分：收取的试卷系统可自动评分，教师添加批注，查看柱状图显示的考试统计结果，并能够将评分结果以网页形式发送给相应的学生。</w:t>
            </w:r>
          </w:p>
          <w:p w14:paraId="6F094B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4、答题卡考试：教师导入Word、PPT、Excel、PDF等文档类型的考试内容共享给学生，直接生成答题卡用于学生作答，包含多种不同的题型：多选题，判断题，填空题和论述题。</w:t>
            </w:r>
          </w:p>
          <w:p w14:paraId="1FD19E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5、随堂小考：教师启动快速的单题考试或随堂调查，限定考试时间，学生答题后立即给出结果，结果显示学生答案柱状图分析和答题时间，可作为抢答依据。</w:t>
            </w:r>
          </w:p>
          <w:p w14:paraId="753DDF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6、抢答竞赛：教师可以出任意题目请学生作答，学生抢答时只需按下按钮即可。</w:t>
            </w:r>
          </w:p>
          <w:p w14:paraId="20F2944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（四）课堂管理</w:t>
            </w:r>
          </w:p>
          <w:p w14:paraId="2B23E6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1、签到：具有学生名单管理工具，为软件和考试模块提供实名验证。具有点名功能，支持保留学生多次登录记录、考勤统计、签到信息的导出与对比。</w:t>
            </w:r>
          </w:p>
          <w:p w14:paraId="189CFF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2、班级模型：有单独的管理界面，实现对班级模型的统一管理，并能够导入、导出，调用不同网络教室中的班级模型。</w:t>
            </w:r>
          </w:p>
          <w:p w14:paraId="6E5A34D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3、U盘限制：对U盘访问权限的设定（完全开放、只读、只写、完全限制），有效控制学生使用U盘，防止资料的流失和病毒的引入。</w:t>
            </w:r>
          </w:p>
          <w:p w14:paraId="4558D3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4、网页限制：设定学生访问网站的黑名单或白名单，对学生可以访问的Internet站点进行管理。支持多浏览器限制，如QQ、IE、谷歌、360、遨游等浏览器。</w:t>
            </w:r>
          </w:p>
          <w:p w14:paraId="569599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5、程序限制：通过各种策略的应用，可防止学生在教学过程中打游戏，或使用QQ，MSN等聊天工具，支持限制U盘，网络映射盘，硬盘虚拟盘，虚拟光盘，内存虚拟盘里的程序。</w:t>
            </w:r>
          </w:p>
          <w:p w14:paraId="7AB11C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6、打印限制：可限制学生是否可以打印。</w:t>
            </w:r>
          </w:p>
          <w:p w14:paraId="46B44C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7、光盘限制：可限制是否允许使用光盘播放。</w:t>
            </w:r>
          </w:p>
          <w:p w14:paraId="3276C0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8、学生端属性查看：教师可以获取学生端计算机的名称、登录名和其它常用信息，并可以列出学生端的应用程序、进程和进程 ID，教师还可以远程终止学生端的进程。</w:t>
            </w:r>
          </w:p>
          <w:p w14:paraId="13F7064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9、黑屏肃静：教师可以对单一、部分、全体学生执行黑屏肃静来禁止其进行任何操作，达到专心听课目的，教师可自定义黑屏的内容与图片。</w:t>
            </w:r>
          </w:p>
          <w:p w14:paraId="087EEA1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10、远程命令：可以进行远程开机、关机、重启等操作，支持远程打开网页、远程启动程序和远程关闭所有学生正在执行的应用程序。</w:t>
            </w:r>
          </w:p>
          <w:p w14:paraId="46A332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11、分组管理：教师可以新建，删除，重命名分组，添加和删除分组中的成员，设置小组长。分组信息随班级模型永久保存，下次上课可以直接使用保存的分组。</w:t>
            </w:r>
          </w:p>
          <w:p w14:paraId="0CB3E2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12、自动锁屏：独有的断线保护自动锁屏技术，通过网卡的是否激活来锁定屏幕，避免学生拔掉网线违反纪律。</w:t>
            </w:r>
          </w:p>
          <w:p w14:paraId="44D5D2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13、防杀进程：为安全起见，学生端程序运行后，防止学生通过任务管理器结束学生端程序进程来逃脱教师控制。</w:t>
            </w:r>
          </w:p>
          <w:p w14:paraId="686410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14、远程设置：远程设置学生桌面主题、桌面背景、屏幕保护方案、学生的频道号和音量、学生的卸载密码，是否启用进程保护，断线锁屏，热键退出等。</w:t>
            </w:r>
          </w:p>
          <w:p w14:paraId="1CD68C1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（五）配套教学管理软件</w:t>
            </w:r>
          </w:p>
          <w:p w14:paraId="2794D7A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信息与功能管理：信息管理模块包括老师管理、年级管理、班级管理、学生管理等四个功能模块；教师功能模块：包括实验管理、作业管理、考评管理（含自动组卷、自动阅卷等）等三个功能模块；学生功能模块：包括项目管理、实验管理、在线作业、在线考试、成绩查询、学习园地等六个功能模块。</w:t>
            </w:r>
          </w:p>
          <w:p w14:paraId="13E355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虚拟化管理：（1）采用云计算技术、HTML5技术以及远程桌面技术，基于浏览器的B/S架构在线实验环境，可以直接在浏览器上远程访问虚拟桌面进行实验；（2）基于B/S架构的浏览器交互式实验环境。该实验环境支持运行多种编程语言，包括Python、C/C++、C#、Java等语言，支持Tensorflow、PyTorch、Caffe、ONNX、Keras、OpenCV等开源框架。</w:t>
            </w:r>
          </w:p>
          <w:p w14:paraId="671FC6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系统架构：（1）采用Web和计算分离的架构及云计算技术、Docker容器技术、虚拟机技术，可大幅降低对硬件服务器资源的要求；（2）支持并发能力，系统平台通过引入VNC代理服务器，同时使用Docker容器技术，分流远程桌面的带宽压力，有效降低服务器数量；（3）系统平台支持GPU资源的两种调度方式，即时间片轮转调度、支持单人多卡的调度模式。</w:t>
            </w:r>
          </w:p>
          <w:p w14:paraId="708F1F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w:t>
            </w:r>
            <w:r>
              <w:rPr>
                <w:rFonts w:hint="eastAsia" w:ascii="宋体" w:hAnsi="宋体" w:eastAsia="宋体" w:cs="宋体"/>
                <w:bCs/>
                <w:color w:val="auto"/>
                <w:kern w:val="2"/>
                <w:sz w:val="21"/>
                <w:szCs w:val="21"/>
                <w:highlight w:val="none"/>
                <w:u w:val="single"/>
                <w:lang w:val="en-US" w:eastAsia="zh-CN" w:bidi="ar"/>
              </w:rPr>
              <w:t>提供教学管理系统软件以上3项功能视频演示。</w:t>
            </w:r>
          </w:p>
        </w:tc>
        <w:tc>
          <w:tcPr>
            <w:tcW w:w="1148" w:type="dxa"/>
            <w:tcBorders>
              <w:top w:val="single" w:color="auto" w:sz="4" w:space="0"/>
              <w:left w:val="nil"/>
              <w:bottom w:val="single" w:color="auto" w:sz="4" w:space="0"/>
              <w:right w:val="single" w:color="auto" w:sz="4" w:space="0"/>
            </w:tcBorders>
            <w:shd w:val="clear" w:color="auto" w:fill="auto"/>
            <w:vAlign w:val="center"/>
          </w:tcPr>
          <w:p w14:paraId="0A81E5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60节点</w:t>
            </w:r>
          </w:p>
        </w:tc>
        <w:tc>
          <w:tcPr>
            <w:tcW w:w="908" w:type="dxa"/>
            <w:tcBorders>
              <w:top w:val="single" w:color="auto" w:sz="4" w:space="0"/>
              <w:left w:val="nil"/>
              <w:bottom w:val="single" w:color="auto" w:sz="4" w:space="0"/>
              <w:right w:val="single" w:color="auto" w:sz="4" w:space="0"/>
            </w:tcBorders>
            <w:shd w:val="clear" w:color="auto" w:fill="auto"/>
            <w:vAlign w:val="center"/>
          </w:tcPr>
          <w:p w14:paraId="0C9D97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42F209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78AA3F55">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rPr>
            </w:pPr>
          </w:p>
        </w:tc>
      </w:tr>
      <w:tr w14:paraId="666D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4050C0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140" w:type="dxa"/>
            <w:tcBorders>
              <w:top w:val="single" w:color="auto" w:sz="4" w:space="0"/>
              <w:left w:val="nil"/>
              <w:bottom w:val="single" w:color="auto" w:sz="4" w:space="0"/>
              <w:right w:val="single" w:color="auto" w:sz="4" w:space="0"/>
            </w:tcBorders>
            <w:shd w:val="clear" w:color="auto" w:fill="auto"/>
            <w:vAlign w:val="center"/>
          </w:tcPr>
          <w:p w14:paraId="75C229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数字孪生软件</w:t>
            </w:r>
          </w:p>
        </w:tc>
        <w:tc>
          <w:tcPr>
            <w:tcW w:w="4171" w:type="dxa"/>
            <w:tcBorders>
              <w:top w:val="single" w:color="auto" w:sz="4" w:space="0"/>
              <w:left w:val="nil"/>
              <w:bottom w:val="single" w:color="auto" w:sz="4" w:space="0"/>
              <w:right w:val="single" w:color="auto" w:sz="4" w:space="0"/>
            </w:tcBorders>
            <w:shd w:val="clear" w:color="auto" w:fill="auto"/>
            <w:vAlign w:val="center"/>
          </w:tcPr>
          <w:p w14:paraId="48170D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432DD0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该软件是具备数字孪生功能的智能制造单元的组成部分，利用该软件将硬件设备的动作在计算机屏幕上展示出来。在此次采购与设备升级过程中，该软件必须与其他设备、软件实现信号互联、互通，且要确保其他设备的功能和行程不受影响。作为智能制造单元的组成部分，本软件能够参与整体运行，同时，可通简单功能切换确保该软件可以脱机运行。</w:t>
            </w:r>
          </w:p>
          <w:p w14:paraId="33CCBED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7EAB47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3、中标人需将所投软件安装到指定的计算机，并负责调试、优化、网络配置等工作。中标人要采取足够的安全措施以确保用电安全和网络信息安全。</w:t>
            </w:r>
          </w:p>
          <w:p w14:paraId="358F0F2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4、软件安装、调试、优化、网络配置、与其他设备互联技术费用、培训费用包含在该项报价内。</w:t>
            </w:r>
          </w:p>
          <w:p w14:paraId="76EEC7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二、软件基本要求</w:t>
            </w:r>
          </w:p>
          <w:p w14:paraId="64A3D92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该软件是将机器人、PLC、电气及周边设备等进行三维虚拟仿真，并具有机器人离线编程、机器人虚控实仿真、PLC虚拟调试、PLC虚控实仿真、数字孪生功能；根据用户需求快速的搭建智能制造单元、生产线的仿真模拟，并进行工程规划、工程验证、工艺分析、逻辑验证、程序验证等工作。</w:t>
            </w:r>
          </w:p>
          <w:p w14:paraId="35A281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该软件支持全球数十种机器人模型仿真及离线编程，支持自动传输系统、数控机床、AGV、堆垛机、立体仓库等各种智能制造工厂模单元仿真，仿真对象模型库具有上百种以上模型，同时支持用户自己设计的模型导入。软件自带数控加工、电子装配、钣金加工、自动焊接等多种学习案例。</w:t>
            </w:r>
          </w:p>
          <w:p w14:paraId="0BAD21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三、软件功能参数</w:t>
            </w:r>
          </w:p>
          <w:p w14:paraId="3080288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1、正版知识产权中文软件，能提供持续技术支持服务，软件开放所有功能模块；</w:t>
            </w:r>
          </w:p>
          <w:p w14:paraId="50DE76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2、支持超大场景带贴近真实渲染效果的智能制造系统仿真，多任务场景管理、多视图显示切换，方便使用者观察和编辑；</w:t>
            </w:r>
          </w:p>
          <w:p w14:paraId="271F1D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3、软件可以创建流连接，从而具有VR操作功能（VR设施需另行配备）；</w:t>
            </w:r>
          </w:p>
          <w:p w14:paraId="769839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▲4、软件具有智能制造系统工程规划、产线布局、工程验证、工艺分析、逻辑验证、程序验证等功能；（需提供具备此功能的官网截图或彩页等相关的证明材料）</w:t>
            </w:r>
          </w:p>
          <w:p w14:paraId="152730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5、软件具有丰富的机器人模型库，包括但不限于：ABB、KUKA、Fanuc、YASKAWA、Staubi、埃夫特、埃斯顿、欢颜、傲博、珞石、李群、新时达等；</w:t>
            </w:r>
          </w:p>
          <w:p w14:paraId="27A757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6、软件具有机床、传送带导轨、AGV小车、立体仓库、机械手等及其他外围设备的模型组件；</w:t>
            </w:r>
          </w:p>
          <w:p w14:paraId="65730F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7、模型库支持机器人和组件的查找，组件库持续更新，软件长期免费升级；</w:t>
            </w:r>
          </w:p>
          <w:p w14:paraId="2BF717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8、支持用户自定创建并保存模型，支持包含：stp、step、igs、obj、stl、dxf等标准CAD文件格式的文件输入和输出，并可根据机器人DH参数自定义创建串、并联机器人模型；</w:t>
            </w:r>
          </w:p>
          <w:p w14:paraId="770369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9、支持串联、并联Delta及直角坐标系SCARA等不同结构类型的机器人及运动机构的建模及运动仿真和后置输出；</w:t>
            </w:r>
          </w:p>
          <w:p w14:paraId="234B1B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10、具备完整的运动学逆解算法、运动组件碰撞检测、运动组件距离检测和运动路径规划等功能；</w:t>
            </w:r>
          </w:p>
          <w:p w14:paraId="0172788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具备创建标准几何体的CAD编辑功能，可对导入的模型进行拆分、合并、编组、原始坐标系的重新定义，并可对已有的几何体进行精简和优化；支持几何体模型材质贴图，使模型外形更加真实；可对三维模型进行平移、旋转、自由缩放及自定义参数设置；</w:t>
            </w:r>
          </w:p>
          <w:p w14:paraId="52F0B2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12、支持工业机器人多种编程模式选择：如手持工具、手持工件（常规TCP、固定TCP、动态TCP等）；</w:t>
            </w:r>
          </w:p>
          <w:p w14:paraId="662E9C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具备离线编程功能：可根据CAD模型轮廓获取轨迹或点位，实现直线、圆弧、关节等插值功能；支持在编程时加入信号功能，并可输出产生后置程序代码文件（包括但不限于ABB，EFFORT，Mitsubishi，KUKA，AUBO，Fanuc，Kawasaki，Motoman，Yaskawa，Rokae等品牌机器人的后置代码）；</w:t>
            </w:r>
          </w:p>
          <w:p w14:paraId="7591C3E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14、具备通用虚拟机器人示教面板，可对机器人各关节轴、工具坐标系、基座坐标的设置和修改；</w:t>
            </w:r>
          </w:p>
          <w:p w14:paraId="56988C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15、支持工件校准功能（三点定位法），可根据真实现场加工件数据与理论模型的参数做对比，自动调整工件的位置和轨迹；</w:t>
            </w:r>
          </w:p>
          <w:p w14:paraId="742CEC8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16、支持多轴机器人的运动、仿真和输出，如4轴、5轴、6轴、7轴、8轴、9轴、11轴等更多轴的变体运动机构的仿真模拟输出；</w:t>
            </w:r>
          </w:p>
          <w:p w14:paraId="29EAC10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17、支持机器人外部轴运动：如变位机、地轨等外围设备的运动仿真；</w:t>
            </w:r>
          </w:p>
          <w:p w14:paraId="377FF6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18、支持多机器人协同工作，多机器人与机床及其他设备仿真运动；</w:t>
            </w:r>
          </w:p>
          <w:p w14:paraId="385A720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19、支持工装夹具、气动夹爪多种姿态的设定；</w:t>
            </w:r>
          </w:p>
          <w:p w14:paraId="5EAEA9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20、具备快速拼装组件和搭建场景的功能，并可通过信号交互使各虚拟组件设备之间进行交互仿真；</w:t>
            </w:r>
          </w:p>
          <w:p w14:paraId="3E793F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21、支持功能传感器仿真：如距离传感器、视觉传感器和力传感器等；</w:t>
            </w:r>
          </w:p>
          <w:p w14:paraId="349835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22、支持运动仿真中对工业机器人、机床的可达性、轴超限等进行检查；</w:t>
            </w:r>
          </w:p>
          <w:p w14:paraId="4C9F5E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23、具有以时间轴为展示方式之一的仿真管理面板，以时间轴的方式同时展示仿真场景中一个或多个机器人及运动组件的顺序或倒序的仿真运行，体现相互等待关系和运行的起止时间、运行进度；</w:t>
            </w:r>
          </w:p>
          <w:p w14:paraId="4A3C5A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24、支持视频录制功能，可实时对整个仿真过程进行录制并可输出保存到指定位置；</w:t>
            </w:r>
          </w:p>
          <w:p w14:paraId="2F1A03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25、软件生成的轨迹可进行分组管理；</w:t>
            </w:r>
          </w:p>
          <w:p w14:paraId="3244E6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26、提供物理引擎选择并支持动力学仿真；通过设置各对象的质量、质心位置等参数进行动力学计算；</w:t>
            </w:r>
          </w:p>
          <w:p w14:paraId="0078BF7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27、具有各种工业机器人应用仿真案例库：包括机器人分拣、机器人搬运码垛、机器人焊接、机器人喷涂、机器人抛光打磨、机器人去毛刺、机器人激光融覆等实际应用等案例；</w:t>
            </w:r>
          </w:p>
          <w:p w14:paraId="3D3F2F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28、支持与真实示教器的硬件直接连接，可与具备开发接口的机器人控制器直连（包括但不限于ABB、KUKA、纳博特、固高、傲博等品牌的控制器连接），可提供定制开发；</w:t>
            </w:r>
          </w:p>
          <w:p w14:paraId="2AAB0BD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29、提供开放机器人运动学接口，各种机器人与运动组件的运动学和行为逻辑可以通过系统内置模板或者lua语言撰写的脚本进行控制，支持包括数控机床、多个旋转轴的串联机器人、并联机器人、双臂机器人、直角坐标机器人、AGV小车、以及生产线上对应的工装夹具、传送带等辅助设施；</w:t>
            </w:r>
          </w:p>
          <w:p w14:paraId="5BB0316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30、支持远程客户端应用编程接口控制，提供SDK开发包；可通过C/C++、Python、MATLAB、Java等语言进行远程控制，提供超过300种不同的应用编程接口函数；</w:t>
            </w:r>
          </w:p>
          <w:p w14:paraId="70BAE5F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31、软件可以直接导入用户原有的工业机器人、工业机器人应用工作站、智能制造生产线等三维格式文件，并实现其三维运动仿真与教学等；</w:t>
            </w:r>
          </w:p>
          <w:p w14:paraId="21A824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32、</w:t>
            </w:r>
            <w:r>
              <w:rPr>
                <w:rFonts w:hint="eastAsia" w:ascii="宋体" w:hAnsi="宋体" w:eastAsia="宋体" w:cs="宋体"/>
                <w:bCs/>
                <w:color w:val="auto"/>
                <w:kern w:val="2"/>
                <w:sz w:val="21"/>
                <w:szCs w:val="21"/>
                <w:highlight w:val="none"/>
                <w:u w:val="single"/>
                <w:lang w:val="en-US" w:eastAsia="zh-CN" w:bidi="ar"/>
              </w:rPr>
              <w:t>提供基于U盘装配智能制造产线的数字化工厂虚拟仿真演示视频，</w:t>
            </w:r>
            <w:r>
              <w:rPr>
                <w:rFonts w:hint="eastAsia" w:ascii="宋体" w:hAnsi="宋体" w:eastAsia="宋体" w:cs="宋体"/>
                <w:bCs/>
                <w:color w:val="auto"/>
                <w:kern w:val="2"/>
                <w:sz w:val="21"/>
                <w:szCs w:val="21"/>
                <w:highlight w:val="none"/>
                <w:lang w:val="en-US" w:eastAsia="zh-CN" w:bidi="ar"/>
              </w:rPr>
              <w:t>演示视频至少包括：（1）智能立体仓库出库及入库单元，（2）倍速链输送单元，（3）机器人上料及下料单元，（4）U盘部件组装单元，（5）视觉检测单元，（6）拧螺丝单元，（7）激光打标单元，（8）U盘装盒单元，（9）包装单元，（10）贴标单元等U盘装配智能制造生产工艺过程。</w:t>
            </w:r>
          </w:p>
        </w:tc>
        <w:tc>
          <w:tcPr>
            <w:tcW w:w="1148" w:type="dxa"/>
            <w:tcBorders>
              <w:top w:val="single" w:color="auto" w:sz="4" w:space="0"/>
              <w:left w:val="nil"/>
              <w:bottom w:val="single" w:color="auto" w:sz="4" w:space="0"/>
              <w:right w:val="single" w:color="auto" w:sz="4" w:space="0"/>
            </w:tcBorders>
            <w:shd w:val="clear" w:color="auto" w:fill="auto"/>
            <w:vAlign w:val="center"/>
          </w:tcPr>
          <w:p w14:paraId="044D45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0D4858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15734A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1DDBEB61">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rPr>
            </w:pPr>
          </w:p>
        </w:tc>
      </w:tr>
      <w:tr w14:paraId="6324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53ECEC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140" w:type="dxa"/>
            <w:tcBorders>
              <w:top w:val="single" w:color="auto" w:sz="4" w:space="0"/>
              <w:left w:val="nil"/>
              <w:bottom w:val="single" w:color="auto" w:sz="4" w:space="0"/>
              <w:right w:val="single" w:color="auto" w:sz="4" w:space="0"/>
            </w:tcBorders>
            <w:shd w:val="clear" w:color="auto" w:fill="auto"/>
            <w:vAlign w:val="center"/>
          </w:tcPr>
          <w:p w14:paraId="6DD16F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MES系统</w:t>
            </w:r>
          </w:p>
        </w:tc>
        <w:tc>
          <w:tcPr>
            <w:tcW w:w="4171" w:type="dxa"/>
            <w:tcBorders>
              <w:top w:val="single" w:color="auto" w:sz="4" w:space="0"/>
              <w:left w:val="nil"/>
              <w:bottom w:val="single" w:color="auto" w:sz="4" w:space="0"/>
              <w:right w:val="single" w:color="auto" w:sz="4" w:space="0"/>
            </w:tcBorders>
            <w:shd w:val="clear" w:color="auto" w:fill="auto"/>
            <w:vAlign w:val="center"/>
          </w:tcPr>
          <w:p w14:paraId="7F2D683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3FC6ED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1、本系统是具备数字孪生功能的智能制造单元的组成部分。在此次采购与设备升级过程中，该设备必须与其他设备、软件实现信号互联、互通，且要确保其他设备的功能和行程不受影响。</w:t>
            </w:r>
          </w:p>
          <w:p w14:paraId="1DF8B9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0F24AA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20615A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020414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5、系统软硬件的安装、调试、优化、网络配置、与其他设备互联技术费用、培训费用包含在该项报价内。</w:t>
            </w:r>
          </w:p>
          <w:p w14:paraId="035EBA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二、电气控制部分</w:t>
            </w:r>
          </w:p>
          <w:p w14:paraId="61091E7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1、PLC可编程控制器</w:t>
            </w:r>
          </w:p>
          <w:p w14:paraId="451410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 PLC  CPU1214C DC/DC/DC，供电电压 DC24V；</w:t>
            </w:r>
          </w:p>
          <w:p w14:paraId="593C45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 集成14路数字量输入（DC24V 4mA，漏型・源型可切换）,10路数字量输出；</w:t>
            </w:r>
          </w:p>
          <w:p w14:paraId="22D71D1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 路模拟量输入（仅支持 0～10V，10位分辨率）；</w:t>
            </w:r>
          </w:p>
          <w:p w14:paraId="422B512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 内置100KB工作存储器/10KB保持性存储器；</w:t>
            </w:r>
          </w:p>
          <w:p w14:paraId="5F040C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 个高速计数器（最大100KHz）；</w:t>
            </w:r>
          </w:p>
          <w:p w14:paraId="7CC38A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 轴高速脉冲输出（最大100KHZ）；</w:t>
            </w:r>
          </w:p>
          <w:p w14:paraId="1EF250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 集成以太网接口，支持RS232、RS485、MODBUS、USS、S7协议通讯、PROFIBUS、PROFINET 等通信；</w:t>
            </w:r>
          </w:p>
          <w:p w14:paraId="0A34E4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 配有通信编程电缆；</w:t>
            </w:r>
          </w:p>
          <w:p w14:paraId="2D83F9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1.9 IO扩展模块（根据工位输入输出点位的需求量配置）。</w:t>
            </w:r>
          </w:p>
          <w:p w14:paraId="21FAFB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2、HMI触摸屏</w:t>
            </w:r>
          </w:p>
          <w:p w14:paraId="50986D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 尺寸(英寸)：≥7英寸；</w:t>
            </w:r>
          </w:p>
          <w:p w14:paraId="2BF67E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2.2 CPU主板：ARM，800MHz；</w:t>
            </w:r>
          </w:p>
          <w:p w14:paraId="1E214E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2.3 液晶显示屏分辨率：800×480；</w:t>
            </w:r>
          </w:p>
          <w:p w14:paraId="6D0FCC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2.4 触摸屏：四线电阻式触摸屏；</w:t>
            </w:r>
          </w:p>
          <w:p w14:paraId="370664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 显示：真彩，65535色；TFT液晶显示，LED背光；</w:t>
            </w:r>
          </w:p>
          <w:p w14:paraId="545DF5B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2.6 液晶屏亮度：250cd/㎡；</w:t>
            </w:r>
          </w:p>
          <w:p w14:paraId="789C24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2.7 内存：128M；</w:t>
            </w:r>
          </w:p>
          <w:p w14:paraId="56C4F4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2.8 存储设备：128M FLASH；</w:t>
            </w:r>
          </w:p>
          <w:p w14:paraId="44D7DC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2.9 组态软件：McgsPro；</w:t>
            </w:r>
          </w:p>
          <w:p w14:paraId="7ADF5AB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2.10提供与PLC通讯端口线和工控机连接的端口线。</w:t>
            </w:r>
          </w:p>
          <w:p w14:paraId="348B46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3、低压电器柜</w:t>
            </w:r>
          </w:p>
          <w:p w14:paraId="5BC0F3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3.1、1.2mm优质冷轧钢板，表面亚光喷塑喷漆处理；</w:t>
            </w:r>
          </w:p>
          <w:p w14:paraId="1D35F13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3.2、斜面式面板，可以嵌入安装触摸屏；</w:t>
            </w:r>
          </w:p>
          <w:p w14:paraId="0BAAF6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3.3、尺寸：约550x670x750mm。</w:t>
            </w:r>
          </w:p>
          <w:p w14:paraId="29C910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3.4、电气柜内可以安装电气控制系统；</w:t>
            </w:r>
          </w:p>
          <w:p w14:paraId="78D0BB1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三、制造执行部分</w:t>
            </w:r>
          </w:p>
          <w:p w14:paraId="0D1B2F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MES系统是一套面向制造车间执行层的生产信息化管理系统。MES可以提供包括制造数据管理、计划排程管理、生产调度管理、库存管理、质量管理、人力资源管理、工作中心/设备管理、工具工装管理、采购管理、成本管理、项目看板管理、生产过程控制、底层数据集成分析、上层数据集成分解等管理模块，打造一个扎实、可靠、全面、可行的制造协同管理平台。</w:t>
            </w:r>
          </w:p>
          <w:p w14:paraId="24C2757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2、信息存储及追溯，能根据产品流水编码追溯到产品的所有生产过程信息。包括：生产时间日期和关键的工艺参数、供应商代码、操作人员等。</w:t>
            </w:r>
          </w:p>
          <w:p w14:paraId="5045C0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质量控制及监控，通过加工、装配过程中的二维码扫描及RFID，能自动校验和操作提示以防止工人部件装配错误、产品生产流程错误等；可提示被扫描产品的装配状态，是否为合格产品，是否经过前序工序，产品型号是否匹配等；并在异常状况发生时提示操作者并锁定设备，保证产品质量。</w:t>
            </w:r>
          </w:p>
          <w:p w14:paraId="7D1B01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4、WEB访问模块，可通过IE进行远程WEB访问，实时查看生产现场的相关状况及数据，并可通过相关权限导出相关数据及报表。</w:t>
            </w:r>
          </w:p>
          <w:p w14:paraId="646F30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5、数据统计分析模块，数据采集服务器可对所采集的数据进行查询和分析。同时还可以根据要求制作报表并打印。</w:t>
            </w:r>
          </w:p>
          <w:p w14:paraId="35B8E2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6、生产看板模块，通过信息发布系统获取实时的生产状态数据， 并利用信息发布看板实时显示各类生产状态信息（当前装配产品型号、作业计划完成情况、设备运行状态以及异常报警信息等），为车间生产的目视化管理提供帮助。</w:t>
            </w:r>
          </w:p>
          <w:p w14:paraId="5F9261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7、软件接口，具有ERP系统的开放接口，能与ERP系统实现无缝连接二次开发。</w:t>
            </w:r>
          </w:p>
          <w:p w14:paraId="268D60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MES软件为全开源软件，提供全部软件源代码；MES软件具有国家版权局软件著作权登记证书，避免第三方知识产权纠纷及法律诉讼，提供长期软件免费升级服务。（需提供软件著作权登记证书扫描件及中国版权保护中心官网查询证书截图）</w:t>
            </w:r>
          </w:p>
          <w:p w14:paraId="12A3883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四、数字看板部分</w:t>
            </w:r>
          </w:p>
          <w:p w14:paraId="6E7E9E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1、对生产现场实时的监控，真正的“可视化”生产、清晰呈现品质、设备的运转状况，生产信息实时采集和共享，数据表格化归类、数据图形化；</w:t>
            </w:r>
          </w:p>
          <w:p w14:paraId="2E14EA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2、对角线尺寸85inch；</w:t>
            </w:r>
          </w:p>
          <w:p w14:paraId="4BA99C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3、分辨率不低于1920x1080；</w:t>
            </w:r>
          </w:p>
          <w:p w14:paraId="1F93A36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4、负责安装到位；</w:t>
            </w:r>
          </w:p>
          <w:p w14:paraId="75D4996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五、安全防护装置：</w:t>
            </w:r>
          </w:p>
          <w:p w14:paraId="7270E2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1、工业标准铁质网状围栏：</w:t>
            </w:r>
          </w:p>
          <w:p w14:paraId="50183B7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2、包围整个设备，高1.2米；</w:t>
            </w:r>
          </w:p>
          <w:p w14:paraId="022461A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3、带安全门检测功能。</w:t>
            </w:r>
          </w:p>
        </w:tc>
        <w:tc>
          <w:tcPr>
            <w:tcW w:w="1148" w:type="dxa"/>
            <w:tcBorders>
              <w:top w:val="single" w:color="auto" w:sz="4" w:space="0"/>
              <w:left w:val="nil"/>
              <w:bottom w:val="single" w:color="auto" w:sz="4" w:space="0"/>
              <w:right w:val="single" w:color="auto" w:sz="4" w:space="0"/>
            </w:tcBorders>
            <w:shd w:val="clear" w:color="auto" w:fill="auto"/>
            <w:vAlign w:val="center"/>
          </w:tcPr>
          <w:p w14:paraId="6870F07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26E0C8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43704A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5E5678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p>
        </w:tc>
      </w:tr>
    </w:tbl>
    <w:p w14:paraId="0A72C8BC">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708B90C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2.清单中非定制货物、设备尺寸允许有细微偏差，但如果在后期安装过程中出现不符合现场实际安装情况，中标人则需无条件更换货物、设备。</w:t>
      </w:r>
    </w:p>
    <w:p w14:paraId="353D791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3.产品验收前必须保证合格；按甲方要求送检，甲方有权委托第三方进行产品质量、规格要求等检测，检测不合格的更换所有产品并承担违约责任及损失。</w:t>
      </w:r>
    </w:p>
    <w:p w14:paraId="125AF85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4.本项目涉及安全、消防、环保问题，中标人须确保通过相关行业主管部门验收。</w:t>
      </w:r>
    </w:p>
    <w:p w14:paraId="46F6EA8A">
      <w:pPr>
        <w:spacing w:line="360" w:lineRule="auto"/>
        <w:ind w:firstLine="437"/>
        <w:outlineLvl w:val="1"/>
        <w:rPr>
          <w:rFonts w:hint="eastAsia" w:ascii="宋体" w:hAnsi="宋体" w:eastAsia="宋体"/>
          <w:b/>
          <w:bCs/>
          <w:color w:val="auto"/>
          <w:sz w:val="24"/>
          <w:szCs w:val="18"/>
          <w:highlight w:val="none"/>
        </w:rPr>
      </w:pPr>
    </w:p>
    <w:p w14:paraId="09909969">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24"/>
      <w:bookmarkEnd w:id="25"/>
    </w:p>
    <w:p w14:paraId="0B5A0C7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投标报价包括对应本项目需求的全部货物及所需附件购置费、包装费、运输费、人工费、保险费、安装调试费、各种税费、资料费、售后服务费及完成项目应有的全部费用。采购人后期不予追加任何费用，请投标人综合考虑各种风险，谨慎报价。</w:t>
      </w:r>
    </w:p>
    <w:p w14:paraId="189DEBDB">
      <w:pPr>
        <w:spacing w:line="360" w:lineRule="auto"/>
        <w:ind w:firstLine="437"/>
        <w:outlineLvl w:val="1"/>
        <w:rPr>
          <w:rFonts w:hint="eastAsia" w:ascii="宋体" w:hAnsi="宋体" w:eastAsia="宋体"/>
          <w:b/>
          <w:bCs/>
          <w:color w:val="auto"/>
          <w:sz w:val="24"/>
          <w:szCs w:val="18"/>
          <w:highlight w:val="none"/>
        </w:rPr>
      </w:pPr>
      <w:bookmarkStart w:id="26" w:name="_Toc14698"/>
      <w:bookmarkStart w:id="27" w:name="_Toc15293"/>
      <w:r>
        <w:rPr>
          <w:rFonts w:hint="eastAsia" w:ascii="宋体" w:hAnsi="宋体" w:eastAsia="宋体"/>
          <w:b/>
          <w:bCs/>
          <w:color w:val="auto"/>
          <w:sz w:val="24"/>
          <w:szCs w:val="18"/>
          <w:highlight w:val="none"/>
        </w:rPr>
        <w:t>四、其他要求</w:t>
      </w:r>
      <w:bookmarkEnd w:id="26"/>
      <w:bookmarkEnd w:id="27"/>
    </w:p>
    <w:p w14:paraId="7D6DFF3B">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（一）货物的生产、安装、维修、检验、验收等按照以下原则执行：有国家标准的执行国家标准；无国家标准的执行行业标准；无行业标准的执行地方标准；无地方标准的执行企业标准。</w:t>
      </w:r>
    </w:p>
    <w:p w14:paraId="7FE56FF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2006635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301D515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（四）技术支持</w:t>
      </w:r>
    </w:p>
    <w:p w14:paraId="6FC5C5C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1.中标人应向采购人提供全方位、及时而有效的技术支持和服务。</w:t>
      </w:r>
    </w:p>
    <w:p w14:paraId="1140467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2.中标人负责供货、安装、调试。</w:t>
      </w:r>
    </w:p>
    <w:p w14:paraId="69DC3CD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4116D66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（五）质保及售后服务：</w:t>
      </w:r>
    </w:p>
    <w:p w14:paraId="242B0BA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w:t>
      </w:r>
      <w:r>
        <w:rPr>
          <w:rFonts w:hint="eastAsia" w:ascii="宋体" w:hAnsi="宋体" w:eastAsia="宋体"/>
          <w:bCs/>
          <w:color w:val="auto"/>
          <w:sz w:val="24"/>
          <w:szCs w:val="18"/>
          <w:highlight w:val="none"/>
          <w:lang w:val="en-US" w:eastAsia="zh-CN"/>
        </w:rPr>
        <w:t>所投货物产品</w:t>
      </w:r>
      <w:r>
        <w:rPr>
          <w:rFonts w:hint="eastAsia" w:ascii="宋体" w:hAnsi="宋体" w:eastAsia="宋体"/>
          <w:bCs/>
          <w:color w:val="auto"/>
          <w:sz w:val="24"/>
          <w:szCs w:val="18"/>
          <w:highlight w:val="none"/>
        </w:rPr>
        <w:t>须提供至少</w:t>
      </w:r>
      <w:r>
        <w:rPr>
          <w:rFonts w:hint="eastAsia" w:ascii="宋体" w:hAnsi="宋体" w:eastAsia="宋体"/>
          <w:bCs/>
          <w:color w:val="auto"/>
          <w:sz w:val="24"/>
          <w:szCs w:val="18"/>
          <w:highlight w:val="none"/>
          <w:u w:val="single"/>
        </w:rPr>
        <w:t xml:space="preserve"> 3 </w:t>
      </w:r>
      <w:r>
        <w:rPr>
          <w:rFonts w:hint="eastAsia" w:ascii="宋体" w:hAnsi="宋体" w:eastAsia="宋体"/>
          <w:bCs/>
          <w:color w:val="auto"/>
          <w:sz w:val="24"/>
          <w:szCs w:val="18"/>
          <w:highlight w:val="none"/>
        </w:rPr>
        <w:t>年的免费质保服务，中标人每年须至少提供2次的上门巡检服务，巡检过程中须根据采购人使用情况，免费更换常用配件，如备用产品备件及常用维修工具。无正当理由，中标人不得拒绝上门巡检服务及备品备件更换。所有质保费用均已包含在投标报价中，质保期满后，应提供优先的有偿售后服务及按不高于投标文件中主要配件、易损件清单所报价格供应原厂零配件等。软件终身免费升级服务。</w:t>
      </w:r>
    </w:p>
    <w:p w14:paraId="226AB2ED">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2.中标人须设有维修服务电话，负责解答用户在货物使用中遇到的问题，及时提出解决问题的建议和操作方法。</w:t>
      </w:r>
    </w:p>
    <w:p w14:paraId="725EFCD8">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3.售后服务响应时间：如货物出现故障，电话响应无法解决，中标人必须在接报修电话 24 小时内到现场并解决问题。</w:t>
      </w:r>
    </w:p>
    <w:p w14:paraId="4116E70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（六）培训：中标人负责为采购人操作人员提供操作及维护培训，直至其能熟练独立操作及日常维护与保养，简单故障诊断与排除。</w:t>
      </w:r>
    </w:p>
    <w:p w14:paraId="26A8C0A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（七）交货地点：采购人指定地点。</w:t>
      </w:r>
    </w:p>
    <w:p w14:paraId="32F3450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（八）验收：</w:t>
      </w:r>
    </w:p>
    <w:p w14:paraId="39ABAAC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09C48073">
      <w:pPr>
        <w:spacing w:line="360" w:lineRule="auto"/>
        <w:ind w:firstLine="437"/>
        <w:rPr>
          <w:rFonts w:hint="eastAsia" w:ascii="宋体" w:hAnsi="宋体" w:eastAsia="宋体"/>
          <w:b/>
          <w:bCs/>
          <w:color w:val="auto"/>
          <w:sz w:val="24"/>
          <w:szCs w:val="18"/>
          <w:highlight w:val="none"/>
        </w:rPr>
      </w:pPr>
      <w:r>
        <w:rPr>
          <w:rFonts w:hint="eastAsia" w:ascii="宋体" w:hAnsi="宋体" w:eastAsia="宋体"/>
          <w:bCs/>
          <w:color w:val="auto"/>
          <w:sz w:val="24"/>
          <w:szCs w:val="18"/>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52806690">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2EB714A">
      <w:pPr>
        <w:spacing w:line="360" w:lineRule="auto"/>
        <w:jc w:val="center"/>
        <w:outlineLvl w:val="0"/>
        <w:rPr>
          <w:rFonts w:hint="eastAsia" w:asciiTheme="minorEastAsia" w:hAnsiTheme="minorEastAsia" w:eastAsiaTheme="minorEastAsia"/>
          <w:b/>
          <w:color w:val="auto"/>
          <w:sz w:val="28"/>
          <w:highlight w:val="none"/>
        </w:rPr>
      </w:pPr>
      <w:bookmarkStart w:id="28" w:name="_Toc16417"/>
      <w:r>
        <w:rPr>
          <w:rFonts w:hint="eastAsia" w:asciiTheme="minorEastAsia" w:hAnsiTheme="minorEastAsia" w:eastAsiaTheme="minorEastAsia"/>
          <w:b/>
          <w:color w:val="auto"/>
          <w:sz w:val="28"/>
          <w:highlight w:val="none"/>
        </w:rPr>
        <w:t>第四章  评标方法和标准（综合评分法）</w:t>
      </w:r>
      <w:bookmarkEnd w:id="28"/>
    </w:p>
    <w:p w14:paraId="3D65E898">
      <w:pPr>
        <w:spacing w:line="360" w:lineRule="auto"/>
        <w:ind w:firstLine="437"/>
        <w:outlineLvl w:val="1"/>
        <w:rPr>
          <w:rFonts w:hint="eastAsia" w:asciiTheme="minorEastAsia" w:hAnsiTheme="minorEastAsia" w:eastAsiaTheme="minorEastAsia"/>
          <w:b/>
          <w:color w:val="auto"/>
          <w:sz w:val="24"/>
          <w:highlight w:val="none"/>
        </w:rPr>
      </w:pPr>
      <w:bookmarkStart w:id="29" w:name="_Toc1246"/>
      <w:bookmarkStart w:id="30" w:name="_Toc11823"/>
      <w:r>
        <w:rPr>
          <w:rFonts w:hint="eastAsia" w:asciiTheme="minorEastAsia" w:hAnsiTheme="minorEastAsia" w:eastAsiaTheme="minorEastAsia"/>
          <w:b/>
          <w:color w:val="auto"/>
          <w:sz w:val="24"/>
          <w:highlight w:val="none"/>
        </w:rPr>
        <w:t>一、总则</w:t>
      </w:r>
      <w:bookmarkEnd w:id="29"/>
      <w:bookmarkEnd w:id="30"/>
    </w:p>
    <w:p w14:paraId="0998D85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47B0B2F6">
      <w:pPr>
        <w:spacing w:line="360" w:lineRule="auto"/>
        <w:ind w:firstLine="437"/>
        <w:outlineLvl w:val="1"/>
        <w:rPr>
          <w:rFonts w:hint="eastAsia" w:asciiTheme="minorEastAsia" w:hAnsiTheme="minorEastAsia" w:eastAsiaTheme="minorEastAsia"/>
          <w:b/>
          <w:color w:val="auto"/>
          <w:sz w:val="24"/>
          <w:highlight w:val="none"/>
        </w:rPr>
      </w:pPr>
      <w:bookmarkStart w:id="31" w:name="_Toc31871"/>
      <w:bookmarkStart w:id="32" w:name="_Toc13117"/>
      <w:r>
        <w:rPr>
          <w:rFonts w:hint="eastAsia" w:asciiTheme="minorEastAsia" w:hAnsiTheme="minorEastAsia" w:eastAsiaTheme="minorEastAsia"/>
          <w:b/>
          <w:color w:val="auto"/>
          <w:sz w:val="24"/>
          <w:highlight w:val="none"/>
        </w:rPr>
        <w:t>二、评标方法</w:t>
      </w:r>
      <w:bookmarkEnd w:id="31"/>
      <w:bookmarkEnd w:id="32"/>
    </w:p>
    <w:p w14:paraId="60CE5F08">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51"/>
        <w:gridCol w:w="4561"/>
        <w:gridCol w:w="1903"/>
      </w:tblGrid>
      <w:tr w14:paraId="4734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820A3A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1196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313073C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942" w:type="pct"/>
            <w:tcBorders>
              <w:bottom w:val="single" w:color="auto" w:sz="4" w:space="0"/>
            </w:tcBorders>
            <w:vAlign w:val="center"/>
          </w:tcPr>
          <w:p w14:paraId="2AD59845">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2603" w:type="pct"/>
            <w:tcBorders>
              <w:bottom w:val="single" w:color="auto" w:sz="4" w:space="0"/>
            </w:tcBorders>
            <w:vAlign w:val="center"/>
          </w:tcPr>
          <w:p w14:paraId="5F3F4AC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审查内容</w:t>
            </w:r>
          </w:p>
        </w:tc>
        <w:tc>
          <w:tcPr>
            <w:tcW w:w="1084" w:type="pct"/>
            <w:tcBorders>
              <w:bottom w:val="single" w:color="auto" w:sz="4" w:space="0"/>
            </w:tcBorders>
            <w:vAlign w:val="center"/>
          </w:tcPr>
          <w:p w14:paraId="1A24D1F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7D87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9" w:type="pct"/>
            <w:tcBorders>
              <w:bottom w:val="single" w:color="auto" w:sz="4" w:space="0"/>
            </w:tcBorders>
            <w:vAlign w:val="center"/>
          </w:tcPr>
          <w:p w14:paraId="65C1969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942" w:type="pct"/>
            <w:tcBorders>
              <w:bottom w:val="single" w:color="auto" w:sz="4" w:space="0"/>
            </w:tcBorders>
            <w:vAlign w:val="center"/>
          </w:tcPr>
          <w:p w14:paraId="4EBC19C4">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21356366">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default"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供有效的营业执照；</w:t>
            </w:r>
          </w:p>
          <w:p w14:paraId="183308D0">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供有效的事业单位法人证书；</w:t>
            </w:r>
          </w:p>
          <w:p w14:paraId="78E5D559">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default"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hint="default" w:ascii="宋体" w:hAnsi="宋体" w:eastAsia="宋体" w:cs="宋体"/>
                <w:color w:val="auto"/>
                <w:sz w:val="24"/>
                <w:szCs w:val="24"/>
                <w:highlight w:val="none"/>
              </w:rPr>
              <w:t>登记证书等证明文件；</w:t>
            </w:r>
          </w:p>
          <w:p w14:paraId="2436A39B">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default"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供有效的个体工商户营业执照；</w:t>
            </w:r>
          </w:p>
          <w:p w14:paraId="5F2F36EA">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hint="default"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供有效的自然人身份证明。</w:t>
            </w:r>
          </w:p>
        </w:tc>
        <w:tc>
          <w:tcPr>
            <w:tcW w:w="1084" w:type="pct"/>
            <w:vAlign w:val="center"/>
          </w:tcPr>
          <w:p w14:paraId="315AA565">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0"/>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4612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9" w:type="pct"/>
            <w:tcBorders>
              <w:bottom w:val="single" w:color="auto" w:sz="4" w:space="0"/>
            </w:tcBorders>
            <w:vAlign w:val="center"/>
          </w:tcPr>
          <w:p w14:paraId="62A4CC9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942" w:type="pct"/>
            <w:tcBorders>
              <w:bottom w:val="single" w:color="auto" w:sz="4" w:space="0"/>
            </w:tcBorders>
            <w:vAlign w:val="center"/>
          </w:tcPr>
          <w:p w14:paraId="6749CD3D">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2603" w:type="pct"/>
            <w:tcBorders>
              <w:bottom w:val="single" w:color="auto" w:sz="4" w:space="0"/>
            </w:tcBorders>
            <w:vAlign w:val="center"/>
          </w:tcPr>
          <w:p w14:paraId="15539E31">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084" w:type="pct"/>
            <w:vAlign w:val="center"/>
          </w:tcPr>
          <w:p w14:paraId="43E8690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olor w:val="auto"/>
                <w:sz w:val="24"/>
                <w:szCs w:val="20"/>
                <w:highlight w:val="none"/>
              </w:rPr>
              <w:t>详见第六章投标文件格式。</w:t>
            </w:r>
          </w:p>
        </w:tc>
      </w:tr>
      <w:tr w14:paraId="3488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47AE68A6">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942" w:type="pct"/>
            <w:tcBorders>
              <w:bottom w:val="single" w:color="auto" w:sz="4" w:space="0"/>
            </w:tcBorders>
            <w:vAlign w:val="center"/>
          </w:tcPr>
          <w:p w14:paraId="08F173B0">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31EFD013">
            <w:pPr>
              <w:keepNext w:val="0"/>
              <w:keepLines w:val="0"/>
              <w:suppressLineNumbers w:val="0"/>
              <w:spacing w:before="0" w:beforeAutospacing="0" w:after="50" w:afterAutospacing="0" w:line="360" w:lineRule="auto"/>
              <w:ind w:left="0" w:right="-10"/>
              <w:jc w:val="left"/>
              <w:rPr>
                <w:rFonts w:hint="eastAsia"/>
                <w:color w:val="auto"/>
                <w:szCs w:val="20"/>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4" w:type="pct"/>
            <w:tcBorders>
              <w:bottom w:val="single" w:color="auto" w:sz="4" w:space="0"/>
            </w:tcBorders>
            <w:vAlign w:val="center"/>
          </w:tcPr>
          <w:p w14:paraId="580E3807">
            <w:pPr>
              <w:keepNext w:val="0"/>
              <w:keepLines w:val="0"/>
              <w:suppressLineNumbers w:val="0"/>
              <w:spacing w:before="0" w:beforeAutospacing="0" w:after="0" w:afterAutospacing="0" w:line="360" w:lineRule="auto"/>
              <w:ind w:left="0" w:right="0"/>
              <w:jc w:val="left"/>
              <w:rPr>
                <w:rFonts w:hint="eastAsia"/>
                <w:color w:val="auto"/>
                <w:szCs w:val="20"/>
                <w:highlight w:val="none"/>
              </w:rPr>
            </w:pPr>
            <w:r>
              <w:rPr>
                <w:rFonts w:hint="eastAsia" w:ascii="宋体" w:hAnsi="宋体" w:eastAsia="宋体" w:cs="宋体"/>
                <w:color w:val="auto"/>
                <w:sz w:val="24"/>
                <w:szCs w:val="24"/>
                <w:highlight w:val="none"/>
              </w:rPr>
              <w:t>无须投标人提供，由采购人或采购代理机构查询。</w:t>
            </w:r>
          </w:p>
        </w:tc>
      </w:tr>
      <w:tr w14:paraId="717C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68BA13B0">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942" w:type="pct"/>
            <w:tcBorders>
              <w:bottom w:val="single" w:color="auto" w:sz="4" w:space="0"/>
            </w:tcBorders>
            <w:shd w:val="clear" w:color="auto" w:fill="auto"/>
            <w:vAlign w:val="top"/>
          </w:tcPr>
          <w:p w14:paraId="45922C51">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诚信投标承诺书</w:t>
            </w:r>
          </w:p>
        </w:tc>
        <w:tc>
          <w:tcPr>
            <w:tcW w:w="2603" w:type="pct"/>
            <w:tcBorders>
              <w:bottom w:val="single" w:color="auto" w:sz="4" w:space="0"/>
            </w:tcBorders>
            <w:shd w:val="clear" w:color="auto" w:fill="auto"/>
            <w:vAlign w:val="center"/>
          </w:tcPr>
          <w:p w14:paraId="2F9096B7">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格式、填写要求符合招标文件规定并加盖投标人电子签章</w:t>
            </w:r>
          </w:p>
        </w:tc>
        <w:tc>
          <w:tcPr>
            <w:tcW w:w="1084" w:type="pct"/>
            <w:tcBorders>
              <w:bottom w:val="single" w:color="auto" w:sz="4" w:space="0"/>
            </w:tcBorders>
            <w:shd w:val="clear" w:color="auto" w:fill="auto"/>
            <w:vAlign w:val="center"/>
          </w:tcPr>
          <w:p w14:paraId="58F2B0FD">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0"/>
                <w:highlight w:val="none"/>
              </w:rPr>
              <w:t>详见第六章投标文件格式。</w:t>
            </w:r>
          </w:p>
        </w:tc>
      </w:tr>
    </w:tbl>
    <w:p w14:paraId="3954E398">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8AC0E65">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4BB0F9C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533E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5F6C27C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7DF9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0CD5755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242" w:type="pct"/>
            <w:tcBorders>
              <w:bottom w:val="single" w:color="auto" w:sz="4" w:space="0"/>
            </w:tcBorders>
            <w:vAlign w:val="center"/>
          </w:tcPr>
          <w:p w14:paraId="740387F5">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vAlign w:val="center"/>
          </w:tcPr>
          <w:p w14:paraId="4683BDC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审查标准</w:t>
            </w:r>
          </w:p>
        </w:tc>
        <w:tc>
          <w:tcPr>
            <w:tcW w:w="1472" w:type="pct"/>
            <w:tcBorders>
              <w:bottom w:val="single" w:color="auto" w:sz="4" w:space="0"/>
            </w:tcBorders>
            <w:vAlign w:val="center"/>
          </w:tcPr>
          <w:p w14:paraId="4714A48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0823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191F2AB">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1242" w:type="pct"/>
            <w:vAlign w:val="center"/>
          </w:tcPr>
          <w:p w14:paraId="07178C46">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835" w:type="pct"/>
            <w:vAlign w:val="center"/>
          </w:tcPr>
          <w:p w14:paraId="2D6D208A">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4E86101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28E8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EB5D141">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1242" w:type="pct"/>
            <w:vAlign w:val="center"/>
          </w:tcPr>
          <w:p w14:paraId="30299AC8">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4723C146">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41BA735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46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63ED15E">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default" w:asciiTheme="minorEastAsia" w:hAnsiTheme="minorEastAsia" w:eastAsiaTheme="minorEastAsia"/>
                <w:color w:val="auto"/>
                <w:sz w:val="24"/>
                <w:szCs w:val="20"/>
                <w:highlight w:val="none"/>
              </w:rPr>
              <w:t>3</w:t>
            </w:r>
          </w:p>
        </w:tc>
        <w:tc>
          <w:tcPr>
            <w:tcW w:w="1242" w:type="pct"/>
            <w:vAlign w:val="center"/>
          </w:tcPr>
          <w:p w14:paraId="32F2A684">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21EAE59B">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4B77220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法定代表人参加投标的无需此件，提供身份证明即可。详见第六章投标文件格式。</w:t>
            </w:r>
          </w:p>
        </w:tc>
      </w:tr>
      <w:tr w14:paraId="18A8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2E0E6FC">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1242" w:type="pct"/>
            <w:vAlign w:val="center"/>
          </w:tcPr>
          <w:p w14:paraId="390A563F">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5C9B7CBC">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招标文件投标人须知正文第9条要求</w:t>
            </w:r>
          </w:p>
        </w:tc>
        <w:tc>
          <w:tcPr>
            <w:tcW w:w="1472" w:type="pct"/>
            <w:vAlign w:val="center"/>
          </w:tcPr>
          <w:p w14:paraId="540D2DE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0D0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1A416CB">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p>
        </w:tc>
        <w:tc>
          <w:tcPr>
            <w:tcW w:w="1242" w:type="pct"/>
            <w:vAlign w:val="center"/>
          </w:tcPr>
          <w:p w14:paraId="0F0B2983">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430" w:type="dxa"/>
            <w:vAlign w:val="center"/>
          </w:tcPr>
          <w:p w14:paraId="3A44502C">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符合招标文件采购需求中对付款方式、供货及安装期限、供货及安装地点、免费质保期等实质性要求</w:t>
            </w:r>
          </w:p>
        </w:tc>
        <w:tc>
          <w:tcPr>
            <w:tcW w:w="1472" w:type="pct"/>
            <w:vAlign w:val="center"/>
          </w:tcPr>
          <w:p w14:paraId="69C4753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7557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B0CFFE6">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6</w:t>
            </w:r>
          </w:p>
        </w:tc>
        <w:tc>
          <w:tcPr>
            <w:tcW w:w="1242" w:type="pct"/>
            <w:vAlign w:val="center"/>
          </w:tcPr>
          <w:p w14:paraId="1CC20781">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3430" w:type="dxa"/>
            <w:vAlign w:val="center"/>
          </w:tcPr>
          <w:p w14:paraId="440A7B4B">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符合招标文件采购需求中货物技术参数等实质性要求</w:t>
            </w:r>
          </w:p>
        </w:tc>
        <w:tc>
          <w:tcPr>
            <w:tcW w:w="1472" w:type="pct"/>
            <w:vAlign w:val="center"/>
          </w:tcPr>
          <w:p w14:paraId="6128CD47">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6642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BE807A7">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w:t>
            </w:r>
          </w:p>
        </w:tc>
        <w:tc>
          <w:tcPr>
            <w:tcW w:w="1242" w:type="pct"/>
            <w:vAlign w:val="center"/>
          </w:tcPr>
          <w:p w14:paraId="1F7A5D93">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430" w:type="dxa"/>
            <w:vAlign w:val="center"/>
          </w:tcPr>
          <w:p w14:paraId="346483F4">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符合法律、行政法规规定的其他条件或招标文件列明的其他实质性要求</w:t>
            </w:r>
          </w:p>
        </w:tc>
        <w:tc>
          <w:tcPr>
            <w:tcW w:w="1472" w:type="pct"/>
            <w:vAlign w:val="center"/>
          </w:tcPr>
          <w:p w14:paraId="0F270049">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p>
        </w:tc>
      </w:tr>
    </w:tbl>
    <w:p w14:paraId="24EAE73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62B457C2">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3B978B3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3FC4795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1"/>
        <w:gridCol w:w="1710"/>
        <w:gridCol w:w="3754"/>
        <w:gridCol w:w="1587"/>
      </w:tblGrid>
      <w:tr w14:paraId="39C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3C1DF0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shd w:val="clear" w:color="auto" w:fill="auto"/>
            <w:vAlign w:val="center"/>
          </w:tcPr>
          <w:p w14:paraId="7A0AAC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shd w:val="clear" w:color="auto" w:fill="auto"/>
            <w:vAlign w:val="center"/>
          </w:tcPr>
          <w:p w14:paraId="0A9B93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shd w:val="clear" w:color="auto" w:fill="auto"/>
            <w:vAlign w:val="center"/>
          </w:tcPr>
          <w:p w14:paraId="353893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2755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shd w:val="clear" w:color="auto" w:fill="auto"/>
            <w:vAlign w:val="center"/>
          </w:tcPr>
          <w:p w14:paraId="6B694B3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7A8143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52E076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0D85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4EF4C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1A24D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投标人（或所投产品制造商）业绩</w:t>
            </w:r>
          </w:p>
        </w:tc>
        <w:tc>
          <w:tcPr>
            <w:tcW w:w="2202" w:type="pct"/>
            <w:tcBorders>
              <w:top w:val="single" w:color="auto" w:sz="4" w:space="0"/>
              <w:left w:val="nil"/>
              <w:bottom w:val="single" w:color="auto" w:sz="4" w:space="0"/>
              <w:right w:val="single" w:color="auto" w:sz="4" w:space="0"/>
            </w:tcBorders>
            <w:shd w:val="clear" w:color="auto" w:fill="auto"/>
            <w:vAlign w:val="center"/>
          </w:tcPr>
          <w:p w14:paraId="661EC7B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自2022年1月1日以来（以合同签订时间为准），投标人（或所投产品制造商）具有智能制造类或机械制造类设备供货业绩（业绩供货内容须包含数字孪生软件），每提供1个业绩得2分，满分4分。</w:t>
            </w:r>
          </w:p>
          <w:p w14:paraId="39709AA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w:t>
            </w:r>
          </w:p>
          <w:p w14:paraId="096E20F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931" w:type="pct"/>
            <w:tcBorders>
              <w:top w:val="single" w:color="auto" w:sz="4" w:space="0"/>
              <w:left w:val="nil"/>
              <w:bottom w:val="single" w:color="auto" w:sz="4" w:space="0"/>
              <w:right w:val="single" w:color="auto" w:sz="4" w:space="0"/>
            </w:tcBorders>
            <w:shd w:val="clear" w:color="auto" w:fill="auto"/>
            <w:vAlign w:val="center"/>
          </w:tcPr>
          <w:p w14:paraId="3FFA43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170D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280F2B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32C8E79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63BB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B0C741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A5128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投标产品技术指标和性能要求</w:t>
            </w:r>
          </w:p>
        </w:tc>
        <w:tc>
          <w:tcPr>
            <w:tcW w:w="2202" w:type="pct"/>
            <w:tcBorders>
              <w:top w:val="single" w:color="auto" w:sz="4" w:space="0"/>
              <w:left w:val="nil"/>
              <w:bottom w:val="single" w:color="auto" w:sz="4" w:space="0"/>
              <w:right w:val="single" w:color="auto" w:sz="4" w:space="0"/>
            </w:tcBorders>
            <w:shd w:val="clear" w:color="auto" w:fill="auto"/>
            <w:vAlign w:val="center"/>
          </w:tcPr>
          <w:p w14:paraId="01E24DA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1.技术参数中标（▲）项，每有一项满足得2分，共18项，最多得36分；根据技术参数要求提供佐证材料，提供的材料不符合要求的不得分；</w:t>
            </w:r>
          </w:p>
          <w:p w14:paraId="46FBE11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2.其它无标识项技术参数不作为评审项，但在合同签订后将作为履约验收的依据，</w:t>
            </w:r>
            <w:r>
              <w:rPr>
                <w:rFonts w:hint="eastAsia" w:ascii="宋体" w:hAnsi="宋体" w:eastAsia="宋体" w:cs="宋体"/>
                <w:b/>
                <w:bCs w:val="0"/>
                <w:color w:val="auto"/>
                <w:kern w:val="2"/>
                <w:sz w:val="24"/>
                <w:szCs w:val="24"/>
                <w:highlight w:val="none"/>
                <w:lang w:val="en-US" w:eastAsia="zh-CN" w:bidi="ar"/>
              </w:rPr>
              <w:t>投标人在投标文件中提供响应承诺函，承诺函格式自拟，</w:t>
            </w:r>
            <w:r>
              <w:rPr>
                <w:rFonts w:hint="eastAsia" w:ascii="宋体" w:hAnsi="宋体" w:eastAsia="宋体" w:cs="宋体"/>
                <w:bCs/>
                <w:color w:val="auto"/>
                <w:kern w:val="2"/>
                <w:sz w:val="24"/>
                <w:szCs w:val="24"/>
                <w:highlight w:val="none"/>
                <w:lang w:val="en-US" w:eastAsia="zh-CN" w:bidi="ar"/>
              </w:rPr>
              <w:t>但须明确体现上述内容，否则投标无效。</w:t>
            </w:r>
          </w:p>
          <w:p w14:paraId="1E0EA42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注：（1）如某项标识中包含多条技术参数或要求，则该项标识所含内容均需满足或优于招标文件要求，否则不予认可。 </w:t>
            </w:r>
          </w:p>
          <w:p w14:paraId="3F46BF5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以投标文件中相关证明材料要求作为评审依据。技术参数响应情况投标人须依据所投产品如实填写，若自填响应或正偏离，供货时实际产品不响应或负偏离，弄虚作假谋取中标资格的，采购人有权上报相关部门，按相关法律处理。</w:t>
            </w:r>
          </w:p>
        </w:tc>
        <w:tc>
          <w:tcPr>
            <w:tcW w:w="931" w:type="pct"/>
            <w:tcBorders>
              <w:top w:val="single" w:color="auto" w:sz="4" w:space="0"/>
              <w:left w:val="nil"/>
              <w:bottom w:val="single" w:color="auto" w:sz="4" w:space="0"/>
              <w:right w:val="single" w:color="auto" w:sz="4" w:space="0"/>
            </w:tcBorders>
            <w:shd w:val="clear" w:color="auto" w:fill="auto"/>
            <w:vAlign w:val="center"/>
          </w:tcPr>
          <w:p w14:paraId="41D8CD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0-36分</w:t>
            </w:r>
          </w:p>
        </w:tc>
      </w:tr>
      <w:tr w14:paraId="56E5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01C936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6A35FF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视频演示</w:t>
            </w:r>
          </w:p>
        </w:tc>
        <w:tc>
          <w:tcPr>
            <w:tcW w:w="2202" w:type="pct"/>
            <w:tcBorders>
              <w:top w:val="single" w:color="auto" w:sz="4" w:space="0"/>
              <w:left w:val="nil"/>
              <w:bottom w:val="single" w:color="auto" w:sz="4" w:space="0"/>
              <w:right w:val="single" w:color="auto" w:sz="4" w:space="0"/>
            </w:tcBorders>
            <w:shd w:val="clear" w:color="auto" w:fill="auto"/>
            <w:vAlign w:val="center"/>
          </w:tcPr>
          <w:p w14:paraId="180C0AD1">
            <w:pPr>
              <w:keepNext w:val="0"/>
              <w:keepLines w:val="0"/>
              <w:widowControl w:val="0"/>
              <w:numPr>
                <w:ilvl w:val="0"/>
                <w:numId w:val="1"/>
              </w:numPr>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提供移动端APP软件功能演示视频；</w:t>
            </w:r>
          </w:p>
          <w:p w14:paraId="685937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视频内容共5项，每满足一项得1分，最多得5分；</w:t>
            </w:r>
          </w:p>
          <w:p w14:paraId="30A6DAB6">
            <w:pPr>
              <w:keepNext w:val="0"/>
              <w:keepLines w:val="0"/>
              <w:widowControl w:val="0"/>
              <w:numPr>
                <w:ilvl w:val="0"/>
                <w:numId w:val="1"/>
              </w:numPr>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提供教学管理系统软件功能视频演示；</w:t>
            </w:r>
          </w:p>
          <w:p w14:paraId="1ACD445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视频内容共3项，每满足一项得2分，最多得5分；</w:t>
            </w:r>
          </w:p>
          <w:p w14:paraId="3367ABDB">
            <w:pPr>
              <w:keepNext w:val="0"/>
              <w:keepLines w:val="0"/>
              <w:widowControl w:val="0"/>
              <w:numPr>
                <w:ilvl w:val="0"/>
                <w:numId w:val="1"/>
              </w:numPr>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提供基于U盘装配智能制造产线的数字化工厂虚拟仿真演示视频。</w:t>
            </w:r>
          </w:p>
          <w:p w14:paraId="2414332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视频内容共10项，每满足1项得0.5分，最多得5分；</w:t>
            </w:r>
          </w:p>
          <w:p w14:paraId="40D6C7A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注：（1）投标人针对本项要求制作演示视频，要求视频画面、音质清晰、普通话标准。避免视频过于冗长。</w:t>
            </w:r>
          </w:p>
          <w:p w14:paraId="303CEC1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2）投标人自行创建百度网盘，将演示视频在本项目解密截止时间前上传至网盘中，并在投标文件（技术标部分）中注明网盘链接和提取码，未在规定时间内发送的视频或视频无法下载或视频无法打开的，此项不得分。仅提供渲染、PPT、图片或视频DEMO，不得分。 </w:t>
            </w:r>
          </w:p>
          <w:p w14:paraId="3F7040B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注意！上传至网盘时请注意有效期，建议选择永久有效。</w:t>
            </w:r>
          </w:p>
        </w:tc>
        <w:tc>
          <w:tcPr>
            <w:tcW w:w="931" w:type="pct"/>
            <w:tcBorders>
              <w:top w:val="single" w:color="auto" w:sz="4" w:space="0"/>
              <w:left w:val="nil"/>
              <w:bottom w:val="single" w:color="auto" w:sz="4" w:space="0"/>
              <w:right w:val="single" w:color="auto" w:sz="4" w:space="0"/>
            </w:tcBorders>
            <w:shd w:val="clear" w:color="auto" w:fill="auto"/>
            <w:vAlign w:val="center"/>
          </w:tcPr>
          <w:p w14:paraId="5117E6F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0-15分</w:t>
            </w:r>
          </w:p>
        </w:tc>
      </w:tr>
      <w:tr w14:paraId="46AF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33C41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4BE532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实施方案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1CA2F16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根据投标人针对本项目制定的实施方案进行评分：实施方案包括但不限于：①人员配置和设施设备情况；②供货方案（生产、包装、运输等）；③实施方案；④安全文明施工方案；⑤验收方案等。</w:t>
            </w:r>
          </w:p>
          <w:p w14:paraId="4E8E8B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（1）供货安装、验收等实施方案详尽，施工进度、安全保证方案及措施和协同配合方案完整且符合项目实际情况的，得5分；</w:t>
            </w:r>
          </w:p>
          <w:p w14:paraId="036D1D0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（2）供货安装、验收等实施方案齐全，施工进度、安全保证方案及措施和协同配合方案简单且符合实际情况的，得3分；</w:t>
            </w:r>
          </w:p>
          <w:p w14:paraId="78154D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（3）供货安装、验收内容简单，施工进度、安全保证方案及措施和协同配合方案存在缺项，需要进一步完善的，得1分；</w:t>
            </w:r>
          </w:p>
          <w:p w14:paraId="70E8FA1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78B8860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0-5分</w:t>
            </w:r>
          </w:p>
        </w:tc>
      </w:tr>
      <w:tr w14:paraId="4613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49F073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33E054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培训方案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4D58AF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根据投标人提供的培训方案进行评审，包括但不限于：培训计划、培训方式、培训内容、培训目标等。</w:t>
            </w:r>
          </w:p>
          <w:p w14:paraId="3E58CD8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（1）方案包括或优于以上全部项目，且内容详细，可行性、实用性、针对性强的，得5分； </w:t>
            </w:r>
          </w:p>
          <w:p w14:paraId="7BF1BD3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（2）方案包含全部项目，具有可行性、实用性、针对性的，得3分； </w:t>
            </w:r>
          </w:p>
          <w:p w14:paraId="67B696A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（3）方案中相关项目有缺失，可行性、实用性、针对性有待改善的，得1分；</w:t>
            </w:r>
          </w:p>
          <w:p w14:paraId="7014BBE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5D3220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0-5分</w:t>
            </w:r>
          </w:p>
        </w:tc>
      </w:tr>
      <w:tr w14:paraId="688F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42867C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30669A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售后服务方案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2AE23E1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投标人针对本项目提供售后服务方案，包含但不限于：①质保期服务内容承诺、②响应方式、③响应时间、④备件供应准备及质量、⑤售后服务点设置情况等内容。</w:t>
            </w:r>
          </w:p>
          <w:p w14:paraId="6F33DA7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（1）售后服务措施详尽、维修响应时间及时、备件供应保障充足、人员售后配置详细、远程报修服务方案全面、实时维修统计详尽，能保障采购人获得高质量售后服务的，得5分；</w:t>
            </w:r>
          </w:p>
          <w:p w14:paraId="044F467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（2）售后服务措施完整、维修响应时间及时、具有备件供应保障措施、配置售后人员、具有远程报修服务的，得3分；</w:t>
            </w:r>
          </w:p>
          <w:p w14:paraId="1F9AFA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（3）售后服务措施、维修响应时间、备件供应保障、配置售后人员、远程报修服务措施不全或存在不足，有待改善的，得1分；</w:t>
            </w:r>
          </w:p>
          <w:p w14:paraId="151AF0C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1ECD99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0-5分</w:t>
            </w:r>
          </w:p>
        </w:tc>
      </w:tr>
      <w:tr w14:paraId="5548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3A87C3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53DAEF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6F12879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33903D6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07DCD3D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3DB6CB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28B526E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hint="eastAsia" w:asciiTheme="minorEastAsia" w:hAnsiTheme="minorEastAsia" w:eastAsiaTheme="minorEastAsia"/>
          <w:color w:val="auto"/>
          <w:sz w:val="24"/>
          <w:highlight w:val="none"/>
        </w:rPr>
        <w:t>。</w:t>
      </w:r>
    </w:p>
    <w:p w14:paraId="48A244EF">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三、无效投标条款</w:t>
      </w:r>
    </w:p>
    <w:p w14:paraId="143B569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4374FF6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未在开标截止时间前通过网上招标投标系统递交有效电子投标文件的，开标系统不予接收，投标将被拒绝。</w:t>
      </w:r>
    </w:p>
    <w:p w14:paraId="7A76B62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37370F0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564821A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283F36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1C1A56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(3)招标公告写明专门面向中小企业采购，投标人提供的货物非中小企业制造的；</w:t>
      </w:r>
    </w:p>
    <w:p w14:paraId="396873A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(4)要求供应商以联合体形式参加采购活动，投标人非联合体或者联合协议中中小企业合同金额未达到应当达到的比例；</w:t>
      </w:r>
    </w:p>
    <w:p w14:paraId="7729CB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(5)要求获得采购合同的供应商向中小企业分包，投标人未提供分包意向协议或者分包意向协议中中小企业合同金额未达到应当达到的比例；</w:t>
      </w:r>
    </w:p>
    <w:p w14:paraId="19643A5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(6)评标专家无法查看并检验电子投标文件中相关资料的；</w:t>
      </w:r>
    </w:p>
    <w:p w14:paraId="351EF0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(7)联合体投标未提交联合体协议的；</w:t>
      </w:r>
    </w:p>
    <w:p w14:paraId="7EEBF1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(8)责令停产停业的；</w:t>
      </w:r>
    </w:p>
    <w:p w14:paraId="3C98A54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(9)暂停或者取消参与政府采购项目资格的；</w:t>
      </w:r>
    </w:p>
    <w:p w14:paraId="4708884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(10)投标人单位负责人为同一人或者存在（直接）控股、管理关系的不同单位的；</w:t>
      </w:r>
    </w:p>
    <w:p w14:paraId="2D61DC1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(11)投标人基本资格条件和特定资格条件中有一项及以上不符合要求的；</w:t>
      </w:r>
    </w:p>
    <w:p w14:paraId="1E44802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4F5E57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(13)其它情形，经评标委员会委提出按无效投标处理，并经公共资源交易监督部门核准的；</w:t>
      </w:r>
    </w:p>
    <w:p w14:paraId="2870B2A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(14)投标人投标MAC地址或投标人联系人或联系电话相同的，由评标委员会否决其投标，并报告监管部门作不良行为处理和进一步调查；</w:t>
      </w:r>
    </w:p>
    <w:p w14:paraId="0682F29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(15)投标人单方面出现其他投标人材料的；</w:t>
      </w:r>
    </w:p>
    <w:p w14:paraId="68A11B4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(16)招标公告未写明允许采购进口产品，投标人所投产品为进口产品的；</w:t>
      </w:r>
    </w:p>
    <w:p w14:paraId="079FD11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(17)招标文件规定的其它无效投标情形。</w:t>
      </w:r>
    </w:p>
    <w:p w14:paraId="1924A9C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2E923C5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(1)投标文件签字、盖章不全，经评标委员会一致认定对开评标内容有实质性影响并经公共资源交易监督部门核准的；</w:t>
      </w:r>
    </w:p>
    <w:p w14:paraId="3B22AC6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3C3CC57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0270E64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(4)投标文件没有对招标文件的实质性要求和条件作出响应;</w:t>
      </w:r>
    </w:p>
    <w:p w14:paraId="403E655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34C3968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4E7184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(7)其它情形，经评标委员会委提出按无效投标处理，并经公共资源交易监督部门核准的；</w:t>
      </w:r>
    </w:p>
    <w:p w14:paraId="73FC4C1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3101289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147EEEE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64A05A7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76BBE1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20C6A38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7F7D069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7A732C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2F7EC30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(6)其它情形，经评标委员会委提出按无效投标处理，并经公共资源交易监督部门核准的；</w:t>
      </w:r>
    </w:p>
    <w:p w14:paraId="2D0BC02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p>
    <w:p w14:paraId="36D65F65">
      <w:pPr>
        <w:spacing w:line="360" w:lineRule="auto"/>
        <w:ind w:firstLine="435"/>
        <w:rPr>
          <w:rFonts w:hint="eastAsia" w:asciiTheme="minorEastAsia" w:hAnsiTheme="minorEastAsia" w:eastAsiaTheme="minorEastAsia"/>
          <w:color w:val="auto"/>
          <w:sz w:val="24"/>
          <w:highlight w:val="none"/>
        </w:rPr>
      </w:pPr>
    </w:p>
    <w:p w14:paraId="59168260">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F94912A">
      <w:pPr>
        <w:spacing w:line="360" w:lineRule="auto"/>
        <w:jc w:val="center"/>
        <w:outlineLvl w:val="0"/>
        <w:rPr>
          <w:rFonts w:hint="eastAsia" w:asciiTheme="minorEastAsia" w:hAnsiTheme="minorEastAsia" w:eastAsiaTheme="minorEastAsia"/>
          <w:b/>
          <w:color w:val="auto"/>
          <w:sz w:val="28"/>
          <w:highlight w:val="none"/>
        </w:rPr>
      </w:pPr>
      <w:bookmarkStart w:id="33" w:name="_Toc4682"/>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3"/>
    </w:p>
    <w:p w14:paraId="1191CE81">
      <w:pPr>
        <w:pStyle w:val="9"/>
        <w:spacing w:after="0" w:line="360" w:lineRule="auto"/>
        <w:rPr>
          <w:rFonts w:hint="eastAsia" w:ascii="宋体" w:hAnsi="宋体" w:eastAsia="宋体" w:cs="宋体"/>
          <w:b/>
          <w:bCs/>
          <w:color w:val="auto"/>
          <w:spacing w:val="-20"/>
          <w:kern w:val="44"/>
          <w:sz w:val="24"/>
          <w:highlight w:val="none"/>
        </w:rPr>
      </w:pPr>
    </w:p>
    <w:p w14:paraId="21ABE0F7">
      <w:pPr>
        <w:pStyle w:val="9"/>
        <w:spacing w:after="0" w:line="360" w:lineRule="auto"/>
        <w:jc w:val="center"/>
        <w:rPr>
          <w:rFonts w:hint="eastAsia" w:ascii="宋体" w:hAnsi="宋体" w:eastAsia="宋体" w:cs="宋体"/>
          <w:b/>
          <w:bCs/>
          <w:color w:val="auto"/>
          <w:spacing w:val="-20"/>
          <w:kern w:val="44"/>
          <w:sz w:val="24"/>
          <w:highlight w:val="none"/>
        </w:rPr>
      </w:pPr>
    </w:p>
    <w:p w14:paraId="59E21CC0">
      <w:pPr>
        <w:pStyle w:val="9"/>
        <w:spacing w:after="0" w:line="360" w:lineRule="auto"/>
        <w:jc w:val="center"/>
        <w:rPr>
          <w:rFonts w:hint="eastAsia" w:ascii="宋体" w:hAnsi="宋体" w:eastAsia="宋体" w:cs="宋体"/>
          <w:b/>
          <w:bCs/>
          <w:color w:val="auto"/>
          <w:spacing w:val="-20"/>
          <w:kern w:val="44"/>
          <w:sz w:val="24"/>
          <w:highlight w:val="none"/>
        </w:rPr>
      </w:pPr>
    </w:p>
    <w:p w14:paraId="5275D45B">
      <w:pPr>
        <w:pStyle w:val="9"/>
        <w:spacing w:after="0" w:line="360" w:lineRule="auto"/>
        <w:jc w:val="center"/>
        <w:rPr>
          <w:rFonts w:hint="eastAsia" w:ascii="宋体" w:hAnsi="宋体" w:eastAsia="宋体" w:cs="宋体"/>
          <w:b/>
          <w:bCs/>
          <w:color w:val="auto"/>
          <w:spacing w:val="-20"/>
          <w:kern w:val="44"/>
          <w:sz w:val="24"/>
          <w:highlight w:val="none"/>
        </w:rPr>
      </w:pPr>
    </w:p>
    <w:p w14:paraId="0D608266">
      <w:pPr>
        <w:spacing w:line="360" w:lineRule="auto"/>
        <w:rPr>
          <w:rFonts w:hint="eastAsia" w:ascii="宋体" w:hAnsi="宋体" w:eastAsia="宋体" w:cs="宋体"/>
          <w:b/>
          <w:bCs/>
          <w:color w:val="auto"/>
          <w:spacing w:val="-20"/>
          <w:kern w:val="44"/>
          <w:sz w:val="24"/>
          <w:szCs w:val="24"/>
          <w:highlight w:val="none"/>
        </w:rPr>
      </w:pPr>
    </w:p>
    <w:p w14:paraId="4A7746A4">
      <w:pPr>
        <w:pStyle w:val="9"/>
        <w:rPr>
          <w:rFonts w:hint="eastAsia" w:ascii="宋体" w:hAnsi="宋体" w:eastAsia="宋体" w:cs="宋体"/>
          <w:b/>
          <w:bCs/>
          <w:color w:val="auto"/>
          <w:spacing w:val="-20"/>
          <w:kern w:val="44"/>
          <w:sz w:val="24"/>
          <w:highlight w:val="none"/>
        </w:rPr>
      </w:pPr>
    </w:p>
    <w:p w14:paraId="5CDDD546">
      <w:pPr>
        <w:pStyle w:val="9"/>
        <w:rPr>
          <w:rFonts w:hint="eastAsia" w:ascii="宋体" w:hAnsi="宋体" w:eastAsia="宋体" w:cs="宋体"/>
          <w:b/>
          <w:bCs/>
          <w:color w:val="auto"/>
          <w:spacing w:val="-20"/>
          <w:kern w:val="44"/>
          <w:sz w:val="24"/>
          <w:highlight w:val="none"/>
        </w:rPr>
      </w:pPr>
    </w:p>
    <w:p w14:paraId="454BB426">
      <w:pPr>
        <w:spacing w:line="360" w:lineRule="auto"/>
        <w:rPr>
          <w:rFonts w:hint="eastAsia" w:ascii="宋体" w:hAnsi="宋体" w:eastAsia="宋体" w:cs="宋体"/>
          <w:b/>
          <w:bCs/>
          <w:color w:val="auto"/>
          <w:spacing w:val="-20"/>
          <w:kern w:val="44"/>
          <w:sz w:val="24"/>
          <w:szCs w:val="24"/>
          <w:highlight w:val="none"/>
        </w:rPr>
      </w:pPr>
    </w:p>
    <w:p w14:paraId="044AE7DB">
      <w:pPr>
        <w:pStyle w:val="9"/>
        <w:spacing w:line="360" w:lineRule="auto"/>
        <w:rPr>
          <w:rFonts w:hint="eastAsia"/>
          <w:color w:val="auto"/>
          <w:highlight w:val="none"/>
        </w:rPr>
      </w:pPr>
    </w:p>
    <w:p w14:paraId="48AD6C10">
      <w:pPr>
        <w:spacing w:line="360" w:lineRule="auto"/>
        <w:rPr>
          <w:rFonts w:hint="eastAsia" w:ascii="宋体" w:hAnsi="宋体" w:eastAsia="宋体" w:cs="宋体"/>
          <w:b/>
          <w:bCs/>
          <w:color w:val="auto"/>
          <w:spacing w:val="-20"/>
          <w:kern w:val="44"/>
          <w:sz w:val="24"/>
          <w:szCs w:val="24"/>
          <w:highlight w:val="none"/>
        </w:rPr>
      </w:pPr>
    </w:p>
    <w:p w14:paraId="401781CC">
      <w:pPr>
        <w:spacing w:line="360" w:lineRule="auto"/>
        <w:ind w:left="420" w:leftChars="200"/>
        <w:rPr>
          <w:rFonts w:hint="eastAsia" w:eastAsia="宋体" w:cs="Times New Roman" w:asciiTheme="minorEastAsia" w:hAnsiTheme="minorEastAsia"/>
          <w:i/>
          <w:iCs/>
          <w:color w:val="auto"/>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lang w:eastAsia="zh-CN"/>
        </w:rPr>
        <w:t>滁州职业技术学院智能制造中心续建项目（二次）</w:t>
      </w:r>
    </w:p>
    <w:p w14:paraId="60DB3CBC">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5B5D907">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3C53CE7D">
      <w:pPr>
        <w:spacing w:line="360" w:lineRule="auto"/>
        <w:ind w:left="420" w:leftChars="200"/>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u w:val="single"/>
        </w:rPr>
        <w:t xml:space="preserve"> </w:t>
      </w:r>
    </w:p>
    <w:p w14:paraId="76256F4B">
      <w:pPr>
        <w:spacing w:line="360" w:lineRule="auto"/>
        <w:ind w:left="420" w:leftChars="200"/>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52B80F1">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40FE5838">
      <w:pPr>
        <w:spacing w:line="360" w:lineRule="auto"/>
        <w:rPr>
          <w:rFonts w:hint="eastAsia" w:ascii="宋体" w:hAnsi="宋体" w:eastAsia="宋体" w:cs="宋体"/>
          <w:color w:val="auto"/>
          <w:sz w:val="24"/>
          <w:szCs w:val="24"/>
          <w:highlight w:val="none"/>
        </w:rPr>
      </w:pPr>
    </w:p>
    <w:p w14:paraId="788B3E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0F50BE0">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使 用 说 明</w:t>
      </w:r>
    </w:p>
    <w:p w14:paraId="23D55C48">
      <w:pPr>
        <w:spacing w:line="360" w:lineRule="auto"/>
        <w:ind w:firstLine="480" w:firstLineChars="200"/>
        <w:rPr>
          <w:rFonts w:hint="eastAsia" w:ascii="宋体" w:hAnsi="宋体" w:eastAsia="宋体" w:cs="宋体"/>
          <w:color w:val="auto"/>
          <w:sz w:val="24"/>
          <w:szCs w:val="24"/>
          <w:highlight w:val="none"/>
        </w:rPr>
      </w:pPr>
    </w:p>
    <w:p w14:paraId="4B41E9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3AAF9D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7E3600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78CFABF7">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2051166">
      <w:pPr>
        <w:spacing w:line="360" w:lineRule="auto"/>
        <w:jc w:val="center"/>
        <w:outlineLvl w:val="1"/>
        <w:rPr>
          <w:rFonts w:hint="eastAsia" w:asciiTheme="minorEastAsia" w:hAnsiTheme="minorEastAsia" w:eastAsiaTheme="minorEastAsia"/>
          <w:b/>
          <w:color w:val="auto"/>
          <w:sz w:val="24"/>
          <w:highlight w:val="none"/>
        </w:rPr>
      </w:pPr>
      <w:bookmarkStart w:id="34" w:name="_Toc22209"/>
      <w:r>
        <w:rPr>
          <w:rFonts w:hint="eastAsia" w:asciiTheme="minorEastAsia" w:hAnsiTheme="minorEastAsia" w:eastAsiaTheme="minorEastAsia"/>
          <w:b/>
          <w:color w:val="auto"/>
          <w:sz w:val="24"/>
          <w:highlight w:val="none"/>
        </w:rPr>
        <w:t>第一节 政府采购合同协议书</w:t>
      </w:r>
      <w:bookmarkEnd w:id="34"/>
    </w:p>
    <w:p w14:paraId="27795AD6">
      <w:pPr>
        <w:adjustRightInd w:val="0"/>
        <w:snapToGrid w:val="0"/>
        <w:spacing w:line="360" w:lineRule="auto"/>
        <w:rPr>
          <w:rFonts w:hint="eastAsia" w:ascii="宋体" w:hAnsi="宋体" w:eastAsia="宋体" w:cs="宋体"/>
          <w:color w:val="auto"/>
          <w:sz w:val="24"/>
          <w:szCs w:val="24"/>
          <w:highlight w:val="none"/>
        </w:rPr>
      </w:pPr>
    </w:p>
    <w:p w14:paraId="759E82FB">
      <w:pPr>
        <w:adjustRightInd w:val="0"/>
        <w:snapToGrid w:val="0"/>
        <w:spacing w:line="360" w:lineRule="auto"/>
        <w:ind w:left="4800" w:hanging="4800" w:hanging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rPr>
        <w:t>（采购人、受采购人委托签订合同的单位或采购文件约定的合同甲方）</w:t>
      </w:r>
    </w:p>
    <w:p w14:paraId="5D13BCB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593B70C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58615F6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2A95AA3E">
      <w:pPr>
        <w:spacing w:line="360" w:lineRule="auto"/>
        <w:rPr>
          <w:rFonts w:hint="eastAsia" w:ascii="宋体" w:hAnsi="宋体" w:eastAsia="宋体" w:cs="宋体"/>
          <w:color w:val="auto"/>
          <w:sz w:val="24"/>
          <w:szCs w:val="24"/>
          <w:highlight w:val="none"/>
        </w:rPr>
      </w:pPr>
    </w:p>
    <w:p w14:paraId="4AB0CC5D">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B9CDC54">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4BBD8CD5">
      <w:pPr>
        <w:pStyle w:val="10"/>
        <w:numPr>
          <w:ilvl w:val="0"/>
          <w:numId w:val="3"/>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lang w:eastAsia="zh-CN"/>
        </w:rPr>
        <w:t>滁州职业技术学院智能制造中心续建项目（二次）</w:t>
      </w:r>
      <w:r>
        <w:rPr>
          <w:rFonts w:hint="eastAsia" w:ascii="宋体" w:hAnsi="宋体" w:eastAsia="宋体" w:cs="宋体"/>
          <w:color w:val="auto"/>
          <w:sz w:val="24"/>
          <w:szCs w:val="24"/>
          <w:highlight w:val="none"/>
          <w:u w:val="single"/>
        </w:rPr>
        <w:t xml:space="preserve"> </w:t>
      </w:r>
    </w:p>
    <w:p w14:paraId="41D0AD35">
      <w:pPr>
        <w:pStyle w:val="10"/>
        <w:numPr>
          <w:ilvl w:val="255"/>
          <w:numId w:val="0"/>
        </w:numPr>
        <w:tabs>
          <w:tab w:val="left" w:pos="999"/>
        </w:tabs>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7D919E52">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673A85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2E0E42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详见采购需求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40EF053">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7C2690C4">
      <w:pPr>
        <w:adjustRightInd w:val="0"/>
        <w:snapToGrid w:val="0"/>
        <w:spacing w:line="360" w:lineRule="auto"/>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6E8CAFB4">
      <w:pPr>
        <w:numPr>
          <w:ilvl w:val="255"/>
          <w:numId w:val="0"/>
        </w:numPr>
        <w:adjustRightInd w:val="0"/>
        <w:snapToGrid w:val="0"/>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263D7A03">
      <w:pPr>
        <w:numPr>
          <w:ilvl w:val="255"/>
          <w:numId w:val="0"/>
        </w:numPr>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
        </w:rPr>
        <w:t xml:space="preserve">               </w:t>
      </w:r>
      <w:r>
        <w:rPr>
          <w:rFonts w:hint="eastAsia" w:ascii="宋体" w:hAnsi="宋体" w:eastAsia="宋体" w:cs="宋体"/>
          <w:color w:val="auto"/>
          <w:kern w:val="0"/>
          <w:sz w:val="24"/>
          <w:szCs w:val="24"/>
          <w:highlight w:val="none"/>
          <w:u w:val="single"/>
        </w:rPr>
        <w:t xml:space="preserve">    </w:t>
      </w:r>
    </w:p>
    <w:p w14:paraId="1F7E950A">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6287334">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8D8722C">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52A0EB7C">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276C44D">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21555FB1">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6344D91A">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63499615">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190F8317">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0324CC92">
      <w:pPr>
        <w:pStyle w:val="71"/>
        <w:numPr>
          <w:ilvl w:val="255"/>
          <w:numId w:val="0"/>
        </w:numPr>
        <w:snapToGrid w:val="0"/>
        <w:spacing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35C8ADE5">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6EC3EE27">
      <w:pPr>
        <w:pStyle w:val="71"/>
        <w:numPr>
          <w:ilvl w:val="255"/>
          <w:numId w:val="0"/>
        </w:numPr>
        <w:snapToGrid w:val="0"/>
        <w:spacing w:line="36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6D943557">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9CF4F73">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127F0ED">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452A17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10A401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p>
    <w:p w14:paraId="314A23C7">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                                      </w:t>
      </w:r>
    </w:p>
    <w:p w14:paraId="044B465D">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56D712AF">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                                         </w:t>
      </w:r>
    </w:p>
    <w:p w14:paraId="13F4A68F">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2BA66D67">
      <w:pPr>
        <w:adjustRightInd w:val="0"/>
        <w:snapToGrid w:val="0"/>
        <w:spacing w:line="360" w:lineRule="auto"/>
        <w:ind w:firstLine="960" w:firstLineChars="4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2ABFDDC3">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1DAB5769">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1451B41">
      <w:pPr>
        <w:pStyle w:val="71"/>
        <w:tabs>
          <w:tab w:val="left" w:pos="1340"/>
        </w:tabs>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63336AB9">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46921A71">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p>
    <w:p w14:paraId="6E0D35B8">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0BD2B76D">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2DD39383">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28CEC3EF">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F3F7C45">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618F31BD">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4D741539">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795F0551">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4D5BFDEB">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5D290632">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09DFA69A">
      <w:pPr>
        <w:pStyle w:val="71"/>
        <w:numPr>
          <w:ilvl w:val="255"/>
          <w:numId w:val="0"/>
        </w:num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64070DC7">
      <w:pPr>
        <w:pStyle w:val="71"/>
        <w:spacing w:line="360" w:lineRule="auto"/>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7DA86F18">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41BAE9D3">
      <w:pPr>
        <w:pStyle w:val="71"/>
        <w:spacing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3AA9121A">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0328501B">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3C95DB6C">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5C0FA03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5E834B7B">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6DF3892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              </w:t>
      </w:r>
    </w:p>
    <w:p w14:paraId="32E22E82">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               </w:t>
      </w:r>
    </w:p>
    <w:p w14:paraId="2A1EFCA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01D075AF">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353F5F3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5B349401">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0B1EBEBC">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                    </w:t>
      </w:r>
    </w:p>
    <w:p w14:paraId="3587FA01">
      <w:pPr>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w:t>
      </w:r>
    </w:p>
    <w:p w14:paraId="3C8ECBAF">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D28D1D0">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    </w:t>
      </w:r>
    </w:p>
    <w:p w14:paraId="3205FF37">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    </w:t>
      </w:r>
    </w:p>
    <w:p w14:paraId="2B1CB4FA">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0757A60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88A0249">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采购人指定地点          </w:t>
      </w:r>
    </w:p>
    <w:p w14:paraId="718681E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5031B35C">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1DBABECB">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20363A9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5B720885">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                                                   </w:t>
      </w:r>
    </w:p>
    <w:p w14:paraId="40BDBE78">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                                                      </w:t>
      </w:r>
    </w:p>
    <w:p w14:paraId="4A40C780">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32326566">
      <w:pPr>
        <w:numPr>
          <w:ilvl w:val="0"/>
          <w:numId w:val="4"/>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5268C31C">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采购人        </w:t>
      </w:r>
    </w:p>
    <w:p w14:paraId="1811E6D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1D1552C">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6BD19A7">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2F8DFD01">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52FD7F7">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77D1F4F">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2626E7DA">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D995AFB">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3F441F48">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 供应商提出验收申请之日起5日内组织验收 </w:t>
      </w:r>
    </w:p>
    <w:p w14:paraId="3370EDAA">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一次性验收         </w:t>
      </w:r>
    </w:p>
    <w:p w14:paraId="0E5A6ACD">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  </w:t>
      </w:r>
    </w:p>
    <w:p w14:paraId="3DBFFE5C">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098DD8A1">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21BC5DB9">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符合国家标准                     </w:t>
      </w:r>
    </w:p>
    <w:p w14:paraId="526455C0">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6E3A94E4">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          </w:t>
      </w:r>
    </w:p>
    <w:p w14:paraId="586EEF7B">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32E616E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40087D5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20BE71D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452308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6C0F883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2AE9A3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60400EC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1482E82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D117C3B">
      <w:pPr>
        <w:pStyle w:val="71"/>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22D7CFA2">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4C45386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双方加盖印章之后             </w:t>
      </w:r>
      <w:r>
        <w:rPr>
          <w:rFonts w:hint="eastAsia" w:ascii="宋体" w:hAnsi="宋体" w:eastAsia="宋体" w:cs="宋体"/>
          <w:color w:val="auto"/>
          <w:sz w:val="24"/>
          <w:szCs w:val="24"/>
          <w:highlight w:val="none"/>
        </w:rPr>
        <w:t>生效。</w:t>
      </w:r>
    </w:p>
    <w:p w14:paraId="16922E0D">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00FD5FA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六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份，均具有同等法律效力。</w:t>
      </w:r>
    </w:p>
    <w:p w14:paraId="134B1C4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879EE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u w:val="single"/>
        </w:rPr>
        <w:t xml:space="preserve">       </w:t>
      </w:r>
    </w:p>
    <w:p w14:paraId="44E7556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79C508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E0D833">
      <w:pPr>
        <w:pStyle w:val="72"/>
        <w:spacing w:line="360" w:lineRule="auto"/>
        <w:ind w:firstLine="480"/>
        <w:rPr>
          <w:rFonts w:hint="eastAsia" w:ascii="宋体" w:hAnsi="宋体" w:eastAsia="宋体" w:cs="宋体"/>
          <w:color w:val="auto"/>
          <w:sz w:val="24"/>
          <w:szCs w:val="24"/>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42E02F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AD2E29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174B67F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6C1B11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D8CC5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C912A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0612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5C094E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614AA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5780A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49479324">
            <w:pPr>
              <w:keepNext w:val="0"/>
              <w:keepLines w:val="0"/>
              <w:suppressLineNumbers w:val="0"/>
              <w:adjustRightInd w:val="0"/>
              <w:snapToGrid w:val="0"/>
              <w:spacing w:before="0" w:beforeAutospacing="0" w:after="0" w:afterAutospacing="0" w:line="360" w:lineRule="auto"/>
              <w:ind w:left="0" w:right="0"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9E4A7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340017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281D4E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49D045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387EF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1CC3D6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35CE8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3ED4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2B6818B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80B17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FCF4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349E4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CC06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021E86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58D1A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7FD0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E5D3F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A4844E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418991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345811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4238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487D71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52A5A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7FA9E8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CB7FC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A613F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B5962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F16F6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6F048D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5402C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6CC0F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C33A8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4CBC93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38F334D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91A6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F5FE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D376CC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5561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508DC06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431ED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710C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D05A37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5DCC0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568E5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6E0EA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7228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879B2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CA93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299291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182BB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9C477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F6D57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C28B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42779B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DDEDB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64BFE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72274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E411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1B8B664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1EDBE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9998770">
            <w:pPr>
              <w:pStyle w:val="10"/>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689F4956">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35" w:name="_Toc27624"/>
      <w:r>
        <w:rPr>
          <w:rFonts w:hint="eastAsia" w:cs="@仿宋_GB2312" w:asciiTheme="minorEastAsia" w:hAnsiTheme="minorEastAsia" w:eastAsiaTheme="minorEastAsia"/>
          <w:bCs w:val="0"/>
          <w:color w:val="auto"/>
          <w:sz w:val="24"/>
          <w:szCs w:val="20"/>
          <w:highlight w:val="none"/>
        </w:rPr>
        <w:t>第二节 政府采购合同通用条款</w:t>
      </w:r>
      <w:bookmarkEnd w:id="35"/>
    </w:p>
    <w:p w14:paraId="41CD56B0">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7D836DB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3615B04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791915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52650F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A096DD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26C8B68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D0EA9C3">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36938671">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5499666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1BFA76F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72B239F1">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3A65C172">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CBB05A8">
      <w:pPr>
        <w:numPr>
          <w:ilvl w:val="0"/>
          <w:numId w:val="5"/>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5DD4F6AA">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4E07C2AE">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1AC46E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7CDA4212">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5C25A9D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BF0ABB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4AF952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59D7D36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47D5F86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76A837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2E6800C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66F2A32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0569758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9CF2AB1">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5BA58FEE">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798F902C">
      <w:pPr>
        <w:numPr>
          <w:ilvl w:val="0"/>
          <w:numId w:val="6"/>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139AEBB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3951652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02A37B2B">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54B8D1D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515758A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1EF037C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0098FA4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C7457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02C10336">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41A4DBD6">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6C927F30">
      <w:pPr>
        <w:pStyle w:val="13"/>
        <w:adjustRightInd w:val="0"/>
        <w:snapToGrid w:val="0"/>
        <w:spacing w:line="360" w:lineRule="auto"/>
        <w:ind w:firstLine="480" w:firstLineChars="2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8.1 质量标准</w:t>
      </w:r>
    </w:p>
    <w:p w14:paraId="4B2656D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8DD4581">
      <w:pPr>
        <w:pStyle w:val="13"/>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（2）采用中华人民共和国法定计量单位。</w:t>
      </w:r>
    </w:p>
    <w:p w14:paraId="7BC0147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12DE18B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6D65CA5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751134F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302ABAA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246A1E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1ABE1EF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AB5DF7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7E4B9360">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3461C95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267574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02FBB78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0DBD15DB">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29FC3B8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36"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36"/>
      <w:r>
        <w:rPr>
          <w:rFonts w:hint="eastAsia" w:ascii="宋体" w:hAnsi="宋体" w:eastAsia="宋体" w:cs="宋体"/>
          <w:color w:val="auto"/>
          <w:sz w:val="24"/>
          <w:szCs w:val="24"/>
          <w:highlight w:val="none"/>
        </w:rPr>
        <w:t>。</w:t>
      </w:r>
    </w:p>
    <w:p w14:paraId="4C850AD4">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26FD3DD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C3AE86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5AF29C3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285F0F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61ECB7BB">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51515F7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39C9477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79C70F7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64A86E3D">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2C9A14A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2E17BD4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5FC5793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35C7980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451F4F9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5D3CCC36">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00731F9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B8FB3E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32F49848">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6C82C36B">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6F8FC1B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7907DF19">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3E06BCE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389459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643F14E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6312EA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7B408E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0C774B2">
      <w:pPr>
        <w:numPr>
          <w:ilvl w:val="0"/>
          <w:numId w:val="7"/>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7ED4892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3A9EC21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7788A36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4FF279D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2439270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F9A8C3C">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702B41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2DC3851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40D66A3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7CB4F6F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457497FC">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24F7886C">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73963F6">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FBCAE3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0473F8E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702175A2">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4EAACA6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0922AEE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129C883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A229DF1">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3D11F8F9">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5893ACD">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2CA1BC37">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53BE59A1">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488152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2448B5A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46CA321">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BAE0F6">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6A550B24">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5B9952B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24084E18">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6DA8A6FD">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7A1B218E">
      <w:pPr>
        <w:pStyle w:val="71"/>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7DE3494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137F436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144862DD">
      <w:pPr>
        <w:numPr>
          <w:ilvl w:val="0"/>
          <w:numId w:val="8"/>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38057979">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511F1D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37" w:name="_Toc20313"/>
    </w:p>
    <w:p w14:paraId="5C77D1F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BBF0383">
      <w:pPr>
        <w:pStyle w:val="3"/>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r>
        <w:rPr>
          <w:rFonts w:hint="eastAsia" w:cs="@仿宋_GB2312" w:asciiTheme="minorEastAsia" w:hAnsiTheme="minorEastAsia" w:eastAsiaTheme="minorEastAsia"/>
          <w:bCs w:val="0"/>
          <w:color w:val="auto"/>
          <w:sz w:val="24"/>
          <w:szCs w:val="20"/>
          <w:highlight w:val="none"/>
        </w:rPr>
        <w:t>第三节 政府采购合同专用条款</w:t>
      </w:r>
      <w:bookmarkEnd w:id="37"/>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12BF7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F6B2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827C09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1742" w:type="dxa"/>
            <w:vAlign w:val="center"/>
          </w:tcPr>
          <w:p w14:paraId="68131A4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5170" w:type="dxa"/>
            <w:vAlign w:val="center"/>
          </w:tcPr>
          <w:p w14:paraId="3FE4A21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不接受联合体投标</w:t>
            </w:r>
          </w:p>
        </w:tc>
      </w:tr>
      <w:tr w14:paraId="6E09DE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EC194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36FBC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第1.2（7）项</w:t>
            </w:r>
          </w:p>
        </w:tc>
        <w:tc>
          <w:tcPr>
            <w:tcW w:w="1742" w:type="dxa"/>
            <w:vAlign w:val="center"/>
          </w:tcPr>
          <w:p w14:paraId="20A910E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5170" w:type="dxa"/>
            <w:vAlign w:val="center"/>
          </w:tcPr>
          <w:p w14:paraId="10FA513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5DE8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B73C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F95AC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1742" w:type="dxa"/>
            <w:vAlign w:val="center"/>
          </w:tcPr>
          <w:p w14:paraId="7BF4D27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5170" w:type="dxa"/>
            <w:vAlign w:val="center"/>
          </w:tcPr>
          <w:p w14:paraId="7A3A33B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5个工作日</w:t>
            </w:r>
          </w:p>
        </w:tc>
      </w:tr>
      <w:tr w14:paraId="7226EE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F7C1F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CD83C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1742" w:type="dxa"/>
            <w:vAlign w:val="center"/>
          </w:tcPr>
          <w:p w14:paraId="3E9AAC8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5170" w:type="dxa"/>
            <w:vAlign w:val="center"/>
          </w:tcPr>
          <w:p w14:paraId="4EDA82C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(1)在合同生效后，非因产品质量问题，买方要求退货的，应向卖方偿付合同总价款的5%，作为违约金，违约金不足以补偿损失的，卖方有权要求甲方补足。</w:t>
            </w:r>
          </w:p>
          <w:p w14:paraId="2FD6DE5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(2)买方逾期付款的应按照逾期付款金额的每天万分之四支付逾期付款违约金。</w:t>
            </w:r>
          </w:p>
          <w:p w14:paraId="611B5F6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(3)买方违反合同规定，无正当理由拒绝接收卖方交付的符合招标文件要求的合格标的物，应当承担卖方由此造成的损失。</w:t>
            </w:r>
          </w:p>
        </w:tc>
      </w:tr>
      <w:tr w14:paraId="4EB945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9A30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83CB4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1742" w:type="dxa"/>
            <w:vAlign w:val="center"/>
          </w:tcPr>
          <w:p w14:paraId="7BDDA0C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5170" w:type="dxa"/>
            <w:vAlign w:val="center"/>
          </w:tcPr>
          <w:p w14:paraId="006DAB9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(1)乙方不能交货（逾期超过五天视为不能交货），或交货不合格从而影响甲方按期正常使用的，应向甲方偿付合同总价款5%的违约金，违约金不足以补偿损失的，甲方有权要求乙方补足。</w:t>
            </w:r>
          </w:p>
          <w:p w14:paraId="0A5D7E3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(2)乙方逾期交货的，应在发货前与甲方和政府采购管理部门协商，甲方仍需求的，乙方应立即发货并应按照逾期交货部分货款的每天万分之四支付逾期交货违约金，同时承担甲方因此遭致的损失费用。</w:t>
            </w:r>
          </w:p>
          <w:p w14:paraId="3FC048E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收到甲方提出的产品维保或者伴随服务要求之日起24小时内未提供相应的维保或者伴随服务，乙方应按照合同总价款的每天万分之四支付违约金。乙方如不按时提供相应的维保或者伴随服务，甲方有权自行委托第三方进行维保或者提供相应服务，产生的费用应由乙方承担，如乙方不支付该费用，甲方有权向乙方追偿。</w:t>
            </w:r>
          </w:p>
        </w:tc>
      </w:tr>
      <w:tr w14:paraId="575A78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B212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E8440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1742" w:type="dxa"/>
            <w:vAlign w:val="center"/>
          </w:tcPr>
          <w:p w14:paraId="22AF638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5170" w:type="dxa"/>
            <w:vAlign w:val="center"/>
          </w:tcPr>
          <w:p w14:paraId="3D894CF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乙方按规定履行合同义务后，甲方再履行合同义务。</w:t>
            </w:r>
          </w:p>
        </w:tc>
      </w:tr>
      <w:tr w14:paraId="11DA27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4C5C9E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2DFC25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1742" w:type="dxa"/>
            <w:vAlign w:val="center"/>
          </w:tcPr>
          <w:p w14:paraId="0D30580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5170" w:type="dxa"/>
            <w:vAlign w:val="center"/>
          </w:tcPr>
          <w:p w14:paraId="12ACFFB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D0E0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92F2E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2" w:type="dxa"/>
            <w:vAlign w:val="center"/>
          </w:tcPr>
          <w:p w14:paraId="222208E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5170" w:type="dxa"/>
            <w:vAlign w:val="center"/>
          </w:tcPr>
          <w:p w14:paraId="0EBBFE0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甲方指定地点</w:t>
            </w:r>
          </w:p>
        </w:tc>
      </w:tr>
      <w:tr w14:paraId="101D4F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F8094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2D821F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1742" w:type="dxa"/>
            <w:vAlign w:val="center"/>
          </w:tcPr>
          <w:p w14:paraId="389C80E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5170" w:type="dxa"/>
            <w:vAlign w:val="center"/>
          </w:tcPr>
          <w:p w14:paraId="670A459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0BDF6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F8A8AE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0FF218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1742" w:type="dxa"/>
            <w:vAlign w:val="center"/>
          </w:tcPr>
          <w:p w14:paraId="26B4E8B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5170" w:type="dxa"/>
            <w:vAlign w:val="center"/>
          </w:tcPr>
          <w:p w14:paraId="05509DA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按规定购买保险</w:t>
            </w:r>
          </w:p>
        </w:tc>
      </w:tr>
      <w:tr w14:paraId="1BC3E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B7A0D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9A24CC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1742" w:type="dxa"/>
            <w:vAlign w:val="center"/>
          </w:tcPr>
          <w:p w14:paraId="5267FFC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7ACCBEE2">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乙方书面承诺的期限</w:t>
            </w:r>
          </w:p>
        </w:tc>
      </w:tr>
      <w:tr w14:paraId="4B7C84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4828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943D2A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1742" w:type="dxa"/>
            <w:vAlign w:val="center"/>
          </w:tcPr>
          <w:p w14:paraId="19F4866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54D56A1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1A550A6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如货物出现故障，电话响应无法解决，卖方必须在接报修电话24小时内到现场并解决问题。</w:t>
            </w:r>
          </w:p>
        </w:tc>
      </w:tr>
      <w:tr w14:paraId="3B06C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E3E6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C176A3F">
            <w:pPr>
              <w:pStyle w:val="71"/>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742" w:type="dxa"/>
            <w:vAlign w:val="center"/>
          </w:tcPr>
          <w:p w14:paraId="2953FCA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5170" w:type="dxa"/>
            <w:vAlign w:val="center"/>
          </w:tcPr>
          <w:p w14:paraId="1611917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212FC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F4909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FBE2F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1742" w:type="dxa"/>
            <w:vAlign w:val="center"/>
          </w:tcPr>
          <w:p w14:paraId="7D3E9F9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5170" w:type="dxa"/>
            <w:vAlign w:val="center"/>
          </w:tcPr>
          <w:p w14:paraId="667DC59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按第一节政府采购合同协议书相关内容执行</w:t>
            </w:r>
          </w:p>
        </w:tc>
      </w:tr>
      <w:tr w14:paraId="018986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D799D2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D8F39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1742" w:type="dxa"/>
            <w:vAlign w:val="center"/>
          </w:tcPr>
          <w:p w14:paraId="6AA8C99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5170" w:type="dxa"/>
            <w:vAlign w:val="center"/>
          </w:tcPr>
          <w:p w14:paraId="684A32B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6D4F3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EC6BE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FF509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1742" w:type="dxa"/>
            <w:vAlign w:val="center"/>
          </w:tcPr>
          <w:p w14:paraId="2687389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5170" w:type="dxa"/>
            <w:vAlign w:val="center"/>
          </w:tcPr>
          <w:p w14:paraId="2C91B81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D614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F7290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1EEAC5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1742" w:type="dxa"/>
            <w:vAlign w:val="center"/>
          </w:tcPr>
          <w:p w14:paraId="4C557C0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5170" w:type="dxa"/>
            <w:vAlign w:val="center"/>
          </w:tcPr>
          <w:p w14:paraId="0684529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乙方书面承诺的质保期内</w:t>
            </w:r>
          </w:p>
        </w:tc>
      </w:tr>
      <w:tr w14:paraId="5CA5FA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7A951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A5CBD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1742" w:type="dxa"/>
            <w:vAlign w:val="center"/>
          </w:tcPr>
          <w:p w14:paraId="748AD47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5170" w:type="dxa"/>
            <w:vAlign w:val="center"/>
          </w:tcPr>
          <w:p w14:paraId="0D06E5A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由乙方在规定时间内自行组织回收，相关费用自行承担，甲方不另行支付相关费用。</w:t>
            </w:r>
          </w:p>
        </w:tc>
      </w:tr>
      <w:tr w14:paraId="1B4FD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77E87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11E329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1742" w:type="dxa"/>
            <w:vAlign w:val="center"/>
          </w:tcPr>
          <w:p w14:paraId="1E86988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2C96413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按甲方要求须提供的其他相关服务</w:t>
            </w:r>
          </w:p>
        </w:tc>
      </w:tr>
      <w:tr w14:paraId="2DBD1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4F3D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4F26C6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1742" w:type="dxa"/>
            <w:vAlign w:val="center"/>
          </w:tcPr>
          <w:p w14:paraId="3334C3A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5170" w:type="dxa"/>
            <w:vAlign w:val="center"/>
          </w:tcPr>
          <w:p w14:paraId="0A4254D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保修期内两次修理仍不能正常使用的的必须更换新设备</w:t>
            </w:r>
          </w:p>
        </w:tc>
      </w:tr>
      <w:tr w14:paraId="3365BD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70D9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965C6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1742" w:type="dxa"/>
            <w:vAlign w:val="center"/>
          </w:tcPr>
          <w:p w14:paraId="206D74D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22291C9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(1)乙方不能交货（逾期超过五天视为不能交货），或交货不合格从而影响甲方按期正常使用的，应向甲方偿付合同总价款5%的违约金，违约金不足以补偿损失的，甲方有权要求乙方补足。</w:t>
            </w:r>
          </w:p>
          <w:p w14:paraId="1E3A088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(2)乙方逾期交货的，应在发货前与甲方和政府采购管理部门协商，甲方仍需求的，乙方应立即发货并应按照逾期交货部分货款的每天万分之四支付逾期交货违约金，同时承担甲方因此遭致的损失费用。</w:t>
            </w:r>
          </w:p>
        </w:tc>
      </w:tr>
      <w:tr w14:paraId="495B69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1DA9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9FA31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1742" w:type="dxa"/>
            <w:vAlign w:val="center"/>
          </w:tcPr>
          <w:p w14:paraId="1E38101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67CD484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p>
        </w:tc>
      </w:tr>
      <w:tr w14:paraId="1A9BB4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2EDD7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96ADB2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1742" w:type="dxa"/>
            <w:tcBorders>
              <w:left w:val="single" w:color="auto" w:sz="2" w:space="0"/>
              <w:bottom w:val="single" w:color="auto" w:sz="2" w:space="0"/>
              <w:right w:val="single" w:color="auto" w:sz="2" w:space="0"/>
            </w:tcBorders>
            <w:vAlign w:val="center"/>
          </w:tcPr>
          <w:p w14:paraId="636649F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6631ABE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合同一方不履行合同义务或者履行合同义务不符合约定的，应当承担继续履行、采取补救措施或者赔偿损失等违约责任。</w:t>
            </w:r>
          </w:p>
        </w:tc>
      </w:tr>
      <w:tr w14:paraId="3B431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261A8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79C239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1742" w:type="dxa"/>
            <w:tcBorders>
              <w:top w:val="single" w:color="auto" w:sz="2" w:space="0"/>
              <w:left w:val="single" w:color="auto" w:sz="2" w:space="0"/>
              <w:right w:val="single" w:color="auto" w:sz="2" w:space="0"/>
            </w:tcBorders>
            <w:vAlign w:val="center"/>
          </w:tcPr>
          <w:p w14:paraId="1C0EF8A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5170" w:type="dxa"/>
            <w:tcBorders>
              <w:top w:val="single" w:color="auto" w:sz="2" w:space="0"/>
              <w:left w:val="single" w:color="auto" w:sz="2" w:space="0"/>
            </w:tcBorders>
            <w:vAlign w:val="center"/>
          </w:tcPr>
          <w:p w14:paraId="056513FB">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（2） </w:t>
            </w:r>
            <w:r>
              <w:rPr>
                <w:rFonts w:hint="eastAsia" w:ascii="宋体" w:hAnsi="宋体" w:eastAsia="宋体" w:cs="宋体"/>
                <w:iCs/>
                <w:color w:val="auto"/>
                <w:sz w:val="24"/>
                <w:szCs w:val="24"/>
                <w:highlight w:val="none"/>
              </w:rPr>
              <w:t>种方式解决：</w:t>
            </w:r>
          </w:p>
          <w:p w14:paraId="11BC2F58">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滁州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滁州市 </w:t>
            </w:r>
            <w:r>
              <w:rPr>
                <w:rFonts w:hint="eastAsia" w:ascii="宋体" w:hAnsi="宋体" w:eastAsia="宋体" w:cs="宋体"/>
                <w:iCs/>
                <w:color w:val="auto"/>
                <w:sz w:val="24"/>
                <w:szCs w:val="24"/>
                <w:highlight w:val="none"/>
              </w:rPr>
              <w:t>；</w:t>
            </w:r>
          </w:p>
          <w:p w14:paraId="7B710E6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项目所在地  </w:t>
            </w:r>
            <w:r>
              <w:rPr>
                <w:rFonts w:hint="eastAsia" w:ascii="宋体" w:hAnsi="宋体" w:eastAsia="宋体" w:cs="宋体"/>
                <w:iCs/>
                <w:color w:val="auto"/>
                <w:sz w:val="24"/>
                <w:szCs w:val="24"/>
                <w:highlight w:val="none"/>
              </w:rPr>
              <w:t>人民法院起诉。</w:t>
            </w:r>
          </w:p>
        </w:tc>
      </w:tr>
      <w:tr w14:paraId="4A839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88A93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74B1C7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1742" w:type="dxa"/>
            <w:vAlign w:val="center"/>
          </w:tcPr>
          <w:p w14:paraId="378F69A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其他专用条款</w:t>
            </w:r>
          </w:p>
        </w:tc>
        <w:tc>
          <w:tcPr>
            <w:tcW w:w="5170" w:type="dxa"/>
            <w:vAlign w:val="center"/>
          </w:tcPr>
          <w:p w14:paraId="13D4170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本合同未尽事宜应按《中华人民共和国政府采购法》、《中华人民共和国民法典》、《中华人民共和国产品质量法》之规定解释或签订合同时补充。</w:t>
            </w:r>
          </w:p>
        </w:tc>
      </w:tr>
    </w:tbl>
    <w:p w14:paraId="35A63FF7">
      <w:pPr>
        <w:rPr>
          <w:rFonts w:hint="eastAsia" w:ascii="宋体" w:hAnsi="宋体" w:eastAsia="宋体" w:cs="宋体"/>
          <w:color w:val="auto"/>
          <w:sz w:val="24"/>
          <w:szCs w:val="24"/>
          <w:highlight w:val="none"/>
        </w:rPr>
      </w:pPr>
    </w:p>
    <w:p w14:paraId="45F0B1BC">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DDF4C51">
      <w:pPr>
        <w:spacing w:line="360" w:lineRule="auto"/>
        <w:jc w:val="center"/>
        <w:outlineLvl w:val="0"/>
        <w:rPr>
          <w:rFonts w:hint="eastAsia" w:asciiTheme="minorEastAsia" w:hAnsiTheme="minorEastAsia" w:eastAsiaTheme="minorEastAsia"/>
          <w:b/>
          <w:color w:val="auto"/>
          <w:sz w:val="28"/>
          <w:highlight w:val="none"/>
        </w:rPr>
      </w:pPr>
      <w:bookmarkStart w:id="38" w:name="_Toc22492"/>
      <w:r>
        <w:rPr>
          <w:rFonts w:hint="eastAsia" w:asciiTheme="minorEastAsia" w:hAnsiTheme="minorEastAsia" w:eastAsiaTheme="minorEastAsia"/>
          <w:b/>
          <w:color w:val="auto"/>
          <w:sz w:val="28"/>
          <w:highlight w:val="none"/>
        </w:rPr>
        <w:t>第六章  投标文件格式</w:t>
      </w:r>
      <w:bookmarkEnd w:id="38"/>
    </w:p>
    <w:p w14:paraId="3A7FA328">
      <w:pPr>
        <w:spacing w:line="900" w:lineRule="exact"/>
        <w:jc w:val="center"/>
        <w:rPr>
          <w:rFonts w:hint="eastAsia" w:asciiTheme="minorEastAsia" w:hAnsiTheme="minorEastAsia" w:eastAsiaTheme="minorEastAsia"/>
          <w:b/>
          <w:color w:val="auto"/>
          <w:sz w:val="72"/>
          <w:highlight w:val="none"/>
        </w:rPr>
      </w:pPr>
    </w:p>
    <w:p w14:paraId="4DA3064E">
      <w:pPr>
        <w:spacing w:line="900" w:lineRule="exact"/>
        <w:jc w:val="center"/>
        <w:outlineLvl w:val="1"/>
        <w:rPr>
          <w:rFonts w:hint="eastAsia" w:asciiTheme="minorEastAsia" w:hAnsiTheme="minorEastAsia" w:eastAsiaTheme="minorEastAsia"/>
          <w:b/>
          <w:color w:val="auto"/>
          <w:sz w:val="72"/>
          <w:highlight w:val="none"/>
        </w:rPr>
      </w:pPr>
      <w:bookmarkStart w:id="39" w:name="_Toc651"/>
      <w:r>
        <w:rPr>
          <w:rFonts w:hint="eastAsia" w:asciiTheme="minorEastAsia" w:hAnsiTheme="minorEastAsia" w:eastAsiaTheme="minorEastAsia"/>
          <w:b/>
          <w:color w:val="auto"/>
          <w:sz w:val="72"/>
          <w:highlight w:val="none"/>
        </w:rPr>
        <w:t>投</w:t>
      </w:r>
      <w:bookmarkEnd w:id="39"/>
    </w:p>
    <w:p w14:paraId="0235B0D6">
      <w:pPr>
        <w:spacing w:line="900" w:lineRule="exact"/>
        <w:jc w:val="center"/>
        <w:rPr>
          <w:rFonts w:hint="eastAsia" w:asciiTheme="minorEastAsia" w:hAnsiTheme="minorEastAsia" w:eastAsiaTheme="minorEastAsia"/>
          <w:b/>
          <w:color w:val="auto"/>
          <w:sz w:val="72"/>
          <w:highlight w:val="none"/>
        </w:rPr>
      </w:pPr>
    </w:p>
    <w:p w14:paraId="60CDB4B1">
      <w:pPr>
        <w:spacing w:line="900" w:lineRule="exact"/>
        <w:jc w:val="center"/>
        <w:outlineLvl w:val="1"/>
        <w:rPr>
          <w:rFonts w:hint="eastAsia" w:asciiTheme="minorEastAsia" w:hAnsiTheme="minorEastAsia" w:eastAsiaTheme="minorEastAsia"/>
          <w:b/>
          <w:color w:val="auto"/>
          <w:sz w:val="72"/>
          <w:highlight w:val="none"/>
        </w:rPr>
      </w:pPr>
      <w:bookmarkStart w:id="40" w:name="_Toc6148"/>
      <w:r>
        <w:rPr>
          <w:rFonts w:hint="eastAsia" w:asciiTheme="minorEastAsia" w:hAnsiTheme="minorEastAsia" w:eastAsiaTheme="minorEastAsia"/>
          <w:b/>
          <w:color w:val="auto"/>
          <w:sz w:val="72"/>
          <w:highlight w:val="none"/>
        </w:rPr>
        <w:t>标</w:t>
      </w:r>
      <w:bookmarkEnd w:id="40"/>
    </w:p>
    <w:p w14:paraId="4E99D7EC">
      <w:pPr>
        <w:spacing w:line="900" w:lineRule="exact"/>
        <w:jc w:val="center"/>
        <w:rPr>
          <w:rFonts w:hint="eastAsia" w:asciiTheme="minorEastAsia" w:hAnsiTheme="minorEastAsia" w:eastAsiaTheme="minorEastAsia"/>
          <w:b/>
          <w:color w:val="auto"/>
          <w:sz w:val="72"/>
          <w:highlight w:val="none"/>
        </w:rPr>
      </w:pPr>
    </w:p>
    <w:p w14:paraId="7EFD5F9B">
      <w:pPr>
        <w:spacing w:line="900" w:lineRule="exact"/>
        <w:jc w:val="center"/>
        <w:outlineLvl w:val="1"/>
        <w:rPr>
          <w:rFonts w:hint="eastAsia" w:asciiTheme="minorEastAsia" w:hAnsiTheme="minorEastAsia" w:eastAsiaTheme="minorEastAsia"/>
          <w:b/>
          <w:color w:val="auto"/>
          <w:sz w:val="72"/>
          <w:highlight w:val="none"/>
        </w:rPr>
      </w:pPr>
      <w:bookmarkStart w:id="41" w:name="_Toc1338"/>
      <w:r>
        <w:rPr>
          <w:rFonts w:hint="eastAsia" w:asciiTheme="minorEastAsia" w:hAnsiTheme="minorEastAsia" w:eastAsiaTheme="minorEastAsia"/>
          <w:b/>
          <w:color w:val="auto"/>
          <w:sz w:val="72"/>
          <w:highlight w:val="none"/>
        </w:rPr>
        <w:t>文</w:t>
      </w:r>
      <w:bookmarkEnd w:id="41"/>
    </w:p>
    <w:p w14:paraId="5949CC92">
      <w:pPr>
        <w:spacing w:line="900" w:lineRule="exact"/>
        <w:jc w:val="center"/>
        <w:rPr>
          <w:rFonts w:hint="eastAsia" w:asciiTheme="minorEastAsia" w:hAnsiTheme="minorEastAsia" w:eastAsiaTheme="minorEastAsia"/>
          <w:b/>
          <w:color w:val="auto"/>
          <w:sz w:val="72"/>
          <w:highlight w:val="none"/>
        </w:rPr>
      </w:pPr>
    </w:p>
    <w:p w14:paraId="7F39E243">
      <w:pPr>
        <w:jc w:val="center"/>
        <w:outlineLvl w:val="1"/>
        <w:rPr>
          <w:rFonts w:hint="eastAsia" w:asciiTheme="minorEastAsia" w:hAnsiTheme="minorEastAsia" w:eastAsiaTheme="minorEastAsia"/>
          <w:b/>
          <w:color w:val="auto"/>
          <w:sz w:val="72"/>
          <w:highlight w:val="none"/>
        </w:rPr>
      </w:pPr>
      <w:bookmarkStart w:id="42" w:name="_Toc10796"/>
      <w:r>
        <w:rPr>
          <w:rFonts w:hint="eastAsia" w:asciiTheme="minorEastAsia" w:hAnsiTheme="minorEastAsia" w:eastAsiaTheme="minorEastAsia"/>
          <w:b/>
          <w:color w:val="auto"/>
          <w:sz w:val="72"/>
          <w:highlight w:val="none"/>
        </w:rPr>
        <w:t>件</w:t>
      </w:r>
      <w:bookmarkEnd w:id="42"/>
    </w:p>
    <w:p w14:paraId="6AAA33C0">
      <w:pPr>
        <w:spacing w:after="156" w:afterLines="50"/>
        <w:jc w:val="center"/>
        <w:rPr>
          <w:rFonts w:hint="eastAsia" w:asciiTheme="minorEastAsia" w:hAnsiTheme="minorEastAsia" w:eastAsiaTheme="minorEastAsia"/>
          <w:b/>
          <w:color w:val="auto"/>
          <w:sz w:val="72"/>
          <w:highlight w:val="none"/>
        </w:rPr>
      </w:pPr>
    </w:p>
    <w:p w14:paraId="1E904011">
      <w:pPr>
        <w:pStyle w:val="9"/>
        <w:spacing w:after="0" w:line="360" w:lineRule="auto"/>
        <w:ind w:firstLine="480" w:firstLineChars="200"/>
        <w:jc w:val="center"/>
        <w:outlineLvl w:val="1"/>
        <w:rPr>
          <w:rFonts w:hint="eastAsia" w:ascii="宋体" w:hAnsi="宋体" w:eastAsia="宋体"/>
          <w:color w:val="auto"/>
          <w:sz w:val="24"/>
          <w:szCs w:val="18"/>
          <w:highlight w:val="none"/>
          <w:lang w:val="en-US"/>
        </w:rPr>
      </w:pPr>
    </w:p>
    <w:p w14:paraId="1EF6948F">
      <w:pPr>
        <w:spacing w:before="156" w:beforeLines="50" w:after="156" w:afterLines="50"/>
        <w:jc w:val="center"/>
        <w:rPr>
          <w:rFonts w:hint="eastAsia" w:asciiTheme="minorEastAsia" w:hAnsiTheme="minorEastAsia" w:eastAsiaTheme="minorEastAsia"/>
          <w:b/>
          <w:color w:val="auto"/>
          <w:sz w:val="32"/>
          <w:szCs w:val="32"/>
          <w:highlight w:val="none"/>
        </w:rPr>
      </w:pPr>
    </w:p>
    <w:p w14:paraId="74ADF741">
      <w:pPr>
        <w:spacing w:after="156" w:afterLines="50" w:line="500" w:lineRule="exact"/>
        <w:jc w:val="center"/>
        <w:rPr>
          <w:rFonts w:hint="eastAsia" w:asciiTheme="minorEastAsia" w:hAnsiTheme="minorEastAsia" w:eastAsiaTheme="minorEastAsia"/>
          <w:b/>
          <w:color w:val="auto"/>
          <w:sz w:val="28"/>
          <w:szCs w:val="28"/>
          <w:highlight w:val="none"/>
        </w:rPr>
      </w:pPr>
    </w:p>
    <w:p w14:paraId="50F3797D">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27889A6F">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3E996EFD">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 标 人：</w:t>
      </w:r>
      <w:r>
        <w:rPr>
          <w:rFonts w:hint="eastAsia" w:asciiTheme="minorEastAsia" w:hAnsiTheme="minorEastAsia" w:eastAsiaTheme="minorEastAsia"/>
          <w:b/>
          <w:color w:val="auto"/>
          <w:sz w:val="32"/>
          <w:highlight w:val="none"/>
          <w:u w:val="single"/>
        </w:rPr>
        <w:t xml:space="preserve">                  </w:t>
      </w:r>
    </w:p>
    <w:p w14:paraId="1F43B182">
      <w:pPr>
        <w:spacing w:after="156" w:afterLines="50" w:line="500" w:lineRule="exact"/>
        <w:jc w:val="center"/>
        <w:outlineLvl w:val="1"/>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43" w:name="_Toc9994"/>
      <w:bookmarkStart w:id="44"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43"/>
      <w:bookmarkEnd w:id="44"/>
    </w:p>
    <w:p w14:paraId="02FD9AA7">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5622A4A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一、资信证明格式文件</w:t>
      </w:r>
    </w:p>
    <w:p w14:paraId="0A13660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53EC0D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7379A457">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1CA29771">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资信证明文件</w:t>
      </w:r>
    </w:p>
    <w:p w14:paraId="24988B0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0B19DE71">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（投标文件一）</w:t>
      </w:r>
    </w:p>
    <w:p w14:paraId="7A773B30">
      <w:pPr>
        <w:jc w:val="center"/>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lang w:bidi="ar"/>
        </w:rPr>
        <w:t xml:space="preserve"> </w:t>
      </w:r>
    </w:p>
    <w:p w14:paraId="4B268BB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20CB895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B605A25">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7A6F163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2B4B8A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A1C31F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6B48D2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798815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0A5B9F8">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20DC4C1E">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3E60D977">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24837769">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6288AE1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308AA17C">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lang w:bidi="ar"/>
        </w:rPr>
        <w:t>目   录</w:t>
      </w:r>
    </w:p>
    <w:p w14:paraId="5161EDAF">
      <w:pPr>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 xml:space="preserve"> </w:t>
      </w:r>
    </w:p>
    <w:p w14:paraId="34E832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（1）投标人资格声明书（格式见附件）；</w:t>
      </w:r>
    </w:p>
    <w:p w14:paraId="4AD446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（2）授权书（格式见附件）；   </w:t>
      </w:r>
    </w:p>
    <w:p w14:paraId="4CA0B3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（3）投标人为企业（包括合伙企业）的，应提供有效的“营业执照”；</w:t>
      </w:r>
    </w:p>
    <w:p w14:paraId="4C2268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投标人为事业单位的，应提供有效的“事业单位法人证书”；</w:t>
      </w:r>
    </w:p>
    <w:p w14:paraId="5F1E4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投标人是非企业机构的，应提供有效的“执业许可证”、“登记证书”等证明文件；</w:t>
      </w:r>
    </w:p>
    <w:p w14:paraId="28EC85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投标人是个体工商户的，应提供有效的“个体工商户营业执照”；</w:t>
      </w:r>
    </w:p>
    <w:p w14:paraId="14BBCA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投标人是自然人的，应提供有效的自然人身份证明；</w:t>
      </w:r>
    </w:p>
    <w:p w14:paraId="314DDC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（4）诚信投标承诺书（格式见附件）；</w:t>
      </w:r>
    </w:p>
    <w:p w14:paraId="13014A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）招标文件中要求的资信评审和资信评分的支持资料；</w:t>
      </w:r>
    </w:p>
    <w:p w14:paraId="339E2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）投标人认为需要提供的其他资信证明材料；</w:t>
      </w:r>
    </w:p>
    <w:p w14:paraId="5602B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）其他（如有）。</w:t>
      </w:r>
    </w:p>
    <w:p w14:paraId="419D5A13">
      <w:pPr>
        <w:spacing w:line="360" w:lineRule="auto"/>
        <w:ind w:firstLine="420" w:firstLineChars="200"/>
        <w:rPr>
          <w:rFonts w:hint="eastAsia" w:ascii="宋体" w:hAnsi="宋体" w:eastAsia="宋体" w:cs="宋体"/>
          <w:color w:val="auto"/>
          <w:szCs w:val="21"/>
          <w:highlight w:val="none"/>
        </w:rPr>
      </w:pPr>
    </w:p>
    <w:p w14:paraId="4C95602C">
      <w:pPr>
        <w:spacing w:line="360" w:lineRule="auto"/>
        <w:ind w:firstLine="420" w:firstLineChars="200"/>
        <w:rPr>
          <w:rFonts w:hint="eastAsia" w:ascii="宋体" w:hAnsi="宋体" w:eastAsia="宋体" w:cs="宋体"/>
          <w:color w:val="auto"/>
          <w:szCs w:val="21"/>
          <w:highlight w:val="none"/>
        </w:rPr>
      </w:pPr>
    </w:p>
    <w:p w14:paraId="199746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B7BB0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33786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440AE4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06BCF9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（1）投标人资格声明书</w:t>
      </w:r>
    </w:p>
    <w:p w14:paraId="73087573">
      <w:pPr>
        <w:pStyle w:val="20"/>
        <w:spacing w:before="0" w:beforeAutospacing="0" w:after="0" w:afterAutospacing="0" w:line="360" w:lineRule="auto"/>
        <w:jc w:val="both"/>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268EBEA1">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4D33F816">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5DC13669">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585152DA">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42E466F0">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F4DD4B0">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7E5330F">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D24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2EE4BF76">
            <w:pPr>
              <w:keepNext w:val="0"/>
              <w:keepLines w:val="0"/>
              <w:widowControl/>
              <w:suppressLineNumbers w:val="0"/>
              <w:autoSpaceDE w:val="0"/>
              <w:spacing w:before="156"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1891D2D5">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2D51FB5D">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相互关系</w:t>
            </w:r>
          </w:p>
        </w:tc>
      </w:tr>
      <w:tr w14:paraId="33B5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4C633AD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15D441F7">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0AF352A3">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r w14:paraId="731A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64D11BC8">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4523B46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05CBB639">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bl>
    <w:p w14:paraId="54D68E2D">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4619415E">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51ED9800">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22ED2493">
      <w:pPr>
        <w:pStyle w:val="20"/>
        <w:spacing w:before="0" w:after="120" w:afterAutospacing="0"/>
        <w:jc w:val="both"/>
        <w:rPr>
          <w:rFonts w:hint="eastAsia" w:ascii="宋体" w:hAnsi="宋体" w:eastAsia="宋体" w:cs="宋体"/>
          <w:color w:val="auto"/>
          <w:szCs w:val="24"/>
          <w:highlight w:val="none"/>
        </w:rPr>
      </w:pPr>
    </w:p>
    <w:p w14:paraId="7EA0D67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B4FB258">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3B79DF91">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4D82926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（2）授权书</w:t>
      </w:r>
    </w:p>
    <w:p w14:paraId="2537FD6C">
      <w:pPr>
        <w:pStyle w:val="20"/>
        <w:snapToGrid w:val="0"/>
        <w:spacing w:before="0" w:beforeAutospacing="0" w:after="0" w:afterAutospacing="0" w:line="360" w:lineRule="auto"/>
        <w:ind w:firstLine="480" w:firstLineChars="200"/>
        <w:rPr>
          <w:rFonts w:hint="eastAsia" w:ascii="宋体" w:hAnsi="宋体" w:eastAsia="宋体"/>
          <w:color w:val="auto"/>
          <w:kern w:val="2"/>
          <w:szCs w:val="24"/>
          <w:highlight w:val="none"/>
        </w:rPr>
      </w:pPr>
      <w:r>
        <w:rPr>
          <w:rFonts w:hint="eastAsia" w:ascii="宋体" w:hAnsi="宋体" w:eastAsia="宋体"/>
          <w:color w:val="auto"/>
          <w:kern w:val="2"/>
          <w:szCs w:val="24"/>
          <w:highlight w:val="none"/>
          <w:lang w:bidi="ar"/>
        </w:rPr>
        <w:t xml:space="preserve"> </w:t>
      </w:r>
    </w:p>
    <w:p w14:paraId="7001D6F2">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本授权书声明：</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（投标人名称）授权</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（投标人授权代表姓名）代表我方参加本项目</w:t>
      </w:r>
      <w:r>
        <w:rPr>
          <w:rFonts w:hint="eastAsia" w:ascii="宋体" w:hAnsi="宋体" w:eastAsia="宋体" w:cs="宋体"/>
          <w:bCs/>
          <w:color w:val="auto"/>
          <w:sz w:val="24"/>
          <w:szCs w:val="24"/>
          <w:highlight w:val="none"/>
          <w:lang w:bidi="ar"/>
        </w:rPr>
        <w:t>采购活动</w:t>
      </w:r>
      <w:r>
        <w:rPr>
          <w:rFonts w:hint="eastAsia" w:ascii="宋体" w:hAnsi="宋体" w:eastAsia="宋体" w:cs="宋体"/>
          <w:color w:val="auto"/>
          <w:sz w:val="24"/>
          <w:szCs w:val="24"/>
          <w:highlight w:val="none"/>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1A00365">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本授权书自出具之日起生效。</w:t>
      </w:r>
    </w:p>
    <w:p w14:paraId="42AEE85F">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授权代表身份证明扫描件：</w:t>
      </w:r>
    </w:p>
    <w:p w14:paraId="4B15649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EC009A3">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83E6876">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D3A6431">
      <w:pPr>
        <w:spacing w:line="360" w:lineRule="auto"/>
        <w:ind w:firstLine="435"/>
        <w:rPr>
          <w:rFonts w:hint="eastAsia" w:hAnsi="宋体" w:eastAsia="宋体"/>
          <w:color w:val="auto"/>
          <w:sz w:val="24"/>
          <w:szCs w:val="24"/>
          <w:highlight w:val="none"/>
          <w:u w:val="single"/>
        </w:rPr>
      </w:pPr>
      <w:r>
        <w:rPr>
          <w:rFonts w:hint="eastAsia" w:ascii="宋体" w:hAnsi="宋体" w:eastAsia="宋体" w:cs="宋体"/>
          <w:color w:val="auto"/>
          <w:sz w:val="24"/>
          <w:szCs w:val="24"/>
          <w:highlight w:val="none"/>
          <w:lang w:bidi="ar"/>
        </w:rPr>
        <w:t>授权代表联系方式：</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（请填写手机号码）</w:t>
      </w:r>
    </w:p>
    <w:p w14:paraId="14225FE1">
      <w:pPr>
        <w:spacing w:line="360" w:lineRule="auto"/>
        <w:ind w:firstLine="435"/>
        <w:rPr>
          <w:rFonts w:hint="eastAsia" w:hAnsi="宋体" w:eastAsia="宋体"/>
          <w:color w:val="auto"/>
          <w:sz w:val="24"/>
          <w:szCs w:val="24"/>
          <w:highlight w:val="none"/>
        </w:rPr>
      </w:pPr>
      <w:r>
        <w:rPr>
          <w:rFonts w:hAnsi="宋体" w:eastAsia="宋体"/>
          <w:color w:val="auto"/>
          <w:sz w:val="24"/>
          <w:szCs w:val="24"/>
          <w:highlight w:val="none"/>
          <w:lang w:bidi="ar"/>
        </w:rPr>
        <w:t xml:space="preserve"> </w:t>
      </w:r>
    </w:p>
    <w:p w14:paraId="05C4F76F">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特此声明。</w:t>
      </w:r>
    </w:p>
    <w:p w14:paraId="705515BE">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B30119D">
      <w:pPr>
        <w:spacing w:line="360" w:lineRule="auto"/>
        <w:ind w:firstLine="435"/>
        <w:jc w:val="center"/>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4E20639D">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b/>
          <w:bCs/>
          <w:color w:val="auto"/>
          <w:sz w:val="24"/>
          <w:szCs w:val="24"/>
          <w:highlight w:val="none"/>
          <w:u w:val="single"/>
          <w:lang w:bidi="ar"/>
        </w:rPr>
        <w:t xml:space="preserve">                    </w:t>
      </w:r>
    </w:p>
    <w:p w14:paraId="4B9A64FC">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D210769">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7264E9D">
      <w:pPr>
        <w:spacing w:line="360" w:lineRule="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注：</w:t>
      </w:r>
    </w:p>
    <w:p w14:paraId="13A2C676">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1.本项目只允许有唯一的投标人授权代表，提供身份证明扫描件；</w:t>
      </w:r>
    </w:p>
    <w:p w14:paraId="66A4663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2.法定代表人参加投标的无需提供授权书，提供身份证明扫描件。</w:t>
      </w:r>
    </w:p>
    <w:p w14:paraId="4BF26BE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E21620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51BB0887">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17BD5A8">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（3）诚信投标承诺书</w:t>
      </w:r>
    </w:p>
    <w:p w14:paraId="36C08924">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本人以企业法定代表人的身份郑重承诺：</w:t>
      </w:r>
    </w:p>
    <w:p w14:paraId="1359EE5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一、将遵循公开、公正和诚实信用的原则自愿参加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项目的投标，所提供的一切材料都是真实、有效、合法的；</w:t>
      </w:r>
    </w:p>
    <w:p w14:paraId="7C19454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083FED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三、不出借、转让资质证书，不让他人挂靠投标，不以他人名义投标或者以其他方式弄虚作假，骗取中标；</w:t>
      </w:r>
    </w:p>
    <w:p w14:paraId="12D5ACD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四、不与其他投标人相互串通投标报价，不排挤其他投标人的公平竞争、损害招标人的合法权益；</w:t>
      </w:r>
    </w:p>
    <w:p w14:paraId="2A55A43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五、不与招标人、招标代理机构或其他投标人串通投标，损害国家利益、社会公共利益或者他人的合法权益；</w:t>
      </w:r>
    </w:p>
    <w:p w14:paraId="328A2E4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或</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7A1DE7C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七、严格遵守开标现场纪律，服从监管人员管理；</w:t>
      </w:r>
    </w:p>
    <w:p w14:paraId="6852A26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八、保证中标后不转包，若有分包征得招标人同意；</w:t>
      </w:r>
    </w:p>
    <w:p w14:paraId="452D17D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九、保证中标之后，按照投标文件要求提供相关后续服务；</w:t>
      </w:r>
    </w:p>
    <w:p w14:paraId="6DF9804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十、保证企业及所属相关人员在本次投标中无行贿等犯罪行为；</w:t>
      </w:r>
    </w:p>
    <w:p w14:paraId="17BC165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5B0DD2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以上内容我已仔细阅读，本公司若有违反承诺内容的行为，自愿接受取消投标或者中标（成交）资格、中标（成交）无效、记入不良行为记录等有关处理，愿意承担法律责任，给招标人造成损失的，依法承担赔偿责任。</w:t>
      </w:r>
    </w:p>
    <w:p w14:paraId="0D20A55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874C13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7225526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1CD79AE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65D72A5">
      <w:pPr>
        <w:spacing w:line="560" w:lineRule="exact"/>
        <w:jc w:val="right"/>
        <w:rPr>
          <w:rFonts w:hint="eastAsia" w:ascii="仿宋_GB2312" w:eastAsia="仿宋_GB2312" w:cs="仿宋_GB2312"/>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1A03F3A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4A7A4CA">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4E699FAA">
      <w:pPr>
        <w:spacing w:line="360" w:lineRule="auto"/>
        <w:jc w:val="center"/>
        <w:outlineLvl w:val="1"/>
        <w:rPr>
          <w:rFonts w:hint="eastAsia" w:ascii="宋体" w:hAnsi="宋体" w:eastAsia="宋体"/>
          <w:b/>
          <w:color w:val="auto"/>
          <w:sz w:val="24"/>
          <w:szCs w:val="24"/>
          <w:highlight w:val="none"/>
        </w:rPr>
      </w:pPr>
    </w:p>
    <w:p w14:paraId="451F252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56E0642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二、技术标格式文件</w:t>
      </w:r>
    </w:p>
    <w:p w14:paraId="796F7ECA">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455FFBED">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0E50865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23EB03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技术标</w:t>
      </w:r>
    </w:p>
    <w:p w14:paraId="79FBFEEE">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（投标文件二）</w:t>
      </w:r>
    </w:p>
    <w:p w14:paraId="536FEA71">
      <w:pPr>
        <w:jc w:val="center"/>
        <w:rPr>
          <w:rFonts w:hint="eastAsia" w:ascii="宋体" w:hAnsi="宋体" w:eastAsia="宋体" w:cs="宋体"/>
          <w:color w:val="auto"/>
          <w:sz w:val="32"/>
          <w:szCs w:val="32"/>
          <w:highlight w:val="none"/>
          <w:u w:val="single"/>
        </w:rPr>
      </w:pPr>
    </w:p>
    <w:p w14:paraId="0781E62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1D67AF6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DC1BE18">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7CA65BD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51EE92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5DE35C1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651309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3C2780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682CC8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2EC3A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B85296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E918226">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F3AB4B5">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0A3379D8">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73D6112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65C31F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49F6EC2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20CEC9B9">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381D761B">
      <w:pPr>
        <w:spacing w:line="400" w:lineRule="exact"/>
        <w:ind w:firstLine="3744" w:firstLineChars="1036"/>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 xml:space="preserve"> </w:t>
      </w:r>
    </w:p>
    <w:p w14:paraId="5D48B09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r>
        <w:rPr>
          <w:rFonts w:hint="eastAsia" w:ascii="宋体" w:hAnsi="宋体" w:eastAsia="宋体" w:cs="宋体"/>
          <w:color w:val="auto"/>
          <w:szCs w:val="21"/>
          <w:highlight w:val="none"/>
          <w:lang w:bidi="ar"/>
        </w:rPr>
        <w:t>投标响应表（格式见附件）</w:t>
      </w:r>
      <w:r>
        <w:rPr>
          <w:rFonts w:hint="eastAsia" w:ascii="宋体" w:hAnsi="宋体" w:eastAsia="宋体" w:cs="宋体"/>
          <w:bCs/>
          <w:color w:val="auto"/>
          <w:szCs w:val="21"/>
          <w:highlight w:val="none"/>
          <w:lang w:bidi="ar"/>
        </w:rPr>
        <w:t>；</w:t>
      </w:r>
    </w:p>
    <w:p w14:paraId="48AC69D3">
      <w:pPr>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bidi="ar"/>
        </w:rPr>
        <w:t>（2）诚信履约承诺函（格式见附件）</w:t>
      </w:r>
      <w:r>
        <w:rPr>
          <w:rFonts w:hint="eastAsia" w:ascii="宋体" w:hAnsi="宋体" w:eastAsia="宋体" w:cs="宋体"/>
          <w:bCs/>
          <w:color w:val="auto"/>
          <w:szCs w:val="21"/>
          <w:highlight w:val="none"/>
          <w:lang w:eastAsia="zh-CN" w:bidi="ar"/>
        </w:rPr>
        <w:t>；</w:t>
      </w:r>
    </w:p>
    <w:p w14:paraId="1964A7FC">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（3）技术方案：为本项目实施所采用的技术措施和实施方案等；</w:t>
      </w:r>
    </w:p>
    <w:p w14:paraId="458D2A57">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（4）招标文件中要求的技术标评审及技术标评分的支持资料；</w:t>
      </w:r>
    </w:p>
    <w:p w14:paraId="539E237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（5）投标人认为需要提供的其他技术证明材料；</w:t>
      </w:r>
    </w:p>
    <w:p w14:paraId="358C5C3A">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（6）其他（如有）。</w:t>
      </w:r>
    </w:p>
    <w:p w14:paraId="64BAE1A1">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706EBF0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63A3F5DD">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41C1CA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658394F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（1）投标响应表</w:t>
      </w:r>
    </w:p>
    <w:p w14:paraId="03F7D72D">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1.1商务响应表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5F6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6069956">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563556BA">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574CF94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3F042595">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1D22AA96">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16A5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D0A92A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19A8A5E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75F0456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DA4A2F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00CD07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AF5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696CC3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4224E4C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1C69396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0BCBE41C">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7FAC8C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42A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9296C2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6525D4C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776199C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765486C8">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3C3A8A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499A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D63C8D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1124" w:type="pct"/>
            <w:tcBorders>
              <w:top w:val="single" w:color="auto" w:sz="4" w:space="0"/>
              <w:left w:val="nil"/>
              <w:bottom w:val="single" w:color="auto" w:sz="4" w:space="0"/>
              <w:right w:val="single" w:color="auto" w:sz="4" w:space="0"/>
            </w:tcBorders>
            <w:shd w:val="clear" w:color="auto" w:fill="auto"/>
            <w:vAlign w:val="center"/>
          </w:tcPr>
          <w:p w14:paraId="781D4CA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免费质保期</w:t>
            </w:r>
          </w:p>
        </w:tc>
        <w:tc>
          <w:tcPr>
            <w:tcW w:w="1465" w:type="pct"/>
            <w:tcBorders>
              <w:top w:val="single" w:color="auto" w:sz="4" w:space="0"/>
              <w:left w:val="nil"/>
              <w:bottom w:val="single" w:color="auto" w:sz="4" w:space="0"/>
              <w:right w:val="single" w:color="auto" w:sz="4" w:space="0"/>
            </w:tcBorders>
            <w:shd w:val="clear" w:color="auto" w:fill="auto"/>
            <w:vAlign w:val="center"/>
          </w:tcPr>
          <w:p w14:paraId="17128D7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3DC8FBB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26EA41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98F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50EB46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602C999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65" w:type="pct"/>
            <w:tcBorders>
              <w:top w:val="single" w:color="auto" w:sz="4" w:space="0"/>
              <w:left w:val="nil"/>
              <w:bottom w:val="single" w:color="auto" w:sz="4" w:space="0"/>
              <w:right w:val="single" w:color="auto" w:sz="4" w:space="0"/>
            </w:tcBorders>
            <w:shd w:val="clear" w:color="auto" w:fill="auto"/>
            <w:vAlign w:val="center"/>
          </w:tcPr>
          <w:p w14:paraId="2A0CB6C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44CBEAD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DFD4D6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79C82204">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1.2技术响应表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551F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DCDFADA">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14:paraId="321D395D">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shd w:val="clear" w:color="auto" w:fill="auto"/>
            <w:vAlign w:val="center"/>
          </w:tcPr>
          <w:p w14:paraId="262E792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招标文件规定的技术参数及要求</w:t>
            </w:r>
          </w:p>
        </w:tc>
        <w:tc>
          <w:tcPr>
            <w:tcW w:w="1456" w:type="pct"/>
            <w:tcBorders>
              <w:top w:val="single" w:color="auto" w:sz="4" w:space="0"/>
              <w:left w:val="nil"/>
              <w:bottom w:val="single" w:color="auto" w:sz="4" w:space="0"/>
              <w:right w:val="single" w:color="auto" w:sz="4" w:space="0"/>
            </w:tcBorders>
            <w:shd w:val="clear" w:color="auto" w:fill="auto"/>
            <w:vAlign w:val="center"/>
          </w:tcPr>
          <w:p w14:paraId="5FEABB3C">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所投产品的品牌、型号及技术参数</w:t>
            </w:r>
          </w:p>
        </w:tc>
        <w:tc>
          <w:tcPr>
            <w:tcW w:w="501" w:type="pct"/>
            <w:tcBorders>
              <w:top w:val="single" w:color="auto" w:sz="4" w:space="0"/>
              <w:left w:val="nil"/>
              <w:bottom w:val="single" w:color="auto" w:sz="4" w:space="0"/>
              <w:right w:val="single" w:color="auto" w:sz="4" w:space="0"/>
            </w:tcBorders>
            <w:shd w:val="clear" w:color="auto" w:fill="auto"/>
            <w:vAlign w:val="center"/>
          </w:tcPr>
          <w:p w14:paraId="4B1DE67B">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3D33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15EA56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915" w:type="pct"/>
            <w:tcBorders>
              <w:top w:val="single" w:color="auto" w:sz="4" w:space="0"/>
              <w:left w:val="nil"/>
              <w:bottom w:val="single" w:color="auto" w:sz="4" w:space="0"/>
              <w:right w:val="single" w:color="auto" w:sz="4" w:space="0"/>
            </w:tcBorders>
            <w:shd w:val="clear" w:color="auto" w:fill="auto"/>
            <w:vAlign w:val="center"/>
          </w:tcPr>
          <w:p w14:paraId="66FB9AF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5D749A9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5D5BA12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1F41DFC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3E29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942B90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915" w:type="pct"/>
            <w:tcBorders>
              <w:top w:val="single" w:color="auto" w:sz="4" w:space="0"/>
              <w:left w:val="nil"/>
              <w:bottom w:val="single" w:color="auto" w:sz="4" w:space="0"/>
              <w:right w:val="single" w:color="auto" w:sz="4" w:space="0"/>
            </w:tcBorders>
            <w:shd w:val="clear" w:color="auto" w:fill="auto"/>
            <w:vAlign w:val="center"/>
          </w:tcPr>
          <w:p w14:paraId="5FC0905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96D404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6F48B1B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52D7DC4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1E4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5ABE7E2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915" w:type="pct"/>
            <w:tcBorders>
              <w:top w:val="single" w:color="auto" w:sz="4" w:space="0"/>
              <w:left w:val="nil"/>
              <w:bottom w:val="single" w:color="auto" w:sz="4" w:space="0"/>
              <w:right w:val="single" w:color="auto" w:sz="4" w:space="0"/>
            </w:tcBorders>
            <w:shd w:val="clear" w:color="auto" w:fill="auto"/>
            <w:vAlign w:val="center"/>
          </w:tcPr>
          <w:p w14:paraId="58F9F03C">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078220B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262EBE90">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A51743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309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CE8F46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915" w:type="pct"/>
            <w:tcBorders>
              <w:top w:val="single" w:color="auto" w:sz="4" w:space="0"/>
              <w:left w:val="nil"/>
              <w:bottom w:val="single" w:color="auto" w:sz="4" w:space="0"/>
              <w:right w:val="single" w:color="auto" w:sz="4" w:space="0"/>
            </w:tcBorders>
            <w:shd w:val="clear" w:color="auto" w:fill="auto"/>
            <w:vAlign w:val="center"/>
          </w:tcPr>
          <w:p w14:paraId="1FF4489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990AAE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3DF96404">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37ED04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3AAF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67808A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915" w:type="pct"/>
            <w:tcBorders>
              <w:top w:val="single" w:color="auto" w:sz="4" w:space="0"/>
              <w:left w:val="nil"/>
              <w:bottom w:val="single" w:color="auto" w:sz="4" w:space="0"/>
              <w:right w:val="single" w:color="auto" w:sz="4" w:space="0"/>
            </w:tcBorders>
            <w:shd w:val="clear" w:color="auto" w:fill="auto"/>
            <w:vAlign w:val="center"/>
          </w:tcPr>
          <w:p w14:paraId="65F0506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4F49243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43FEE63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4D2811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028C1A56">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53DB0558">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1468F257">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925B74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56F4865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DD395B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（2）诚信履约承诺函</w:t>
      </w:r>
    </w:p>
    <w:p w14:paraId="392492CF">
      <w:pPr>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4B20E18C">
      <w:pPr>
        <w:spacing w:line="360" w:lineRule="auto"/>
        <w:rPr>
          <w:rFonts w:hint="eastAsia"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lang w:bidi="ar"/>
        </w:rPr>
        <w:t>致：采购人</w:t>
      </w:r>
    </w:p>
    <w:p w14:paraId="4779833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BAC8AA9">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（1）中标或者成交后无正当理由拒不与采购人签订政府采购合同；</w:t>
      </w:r>
    </w:p>
    <w:p w14:paraId="45504485">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（2）未按照采购文件确定的事项签订政府采购合同；</w:t>
      </w:r>
    </w:p>
    <w:p w14:paraId="336174F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（3）将政府采购合同转包；</w:t>
      </w:r>
    </w:p>
    <w:p w14:paraId="3CD0E89E">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（4）提供假冒伪劣产品；</w:t>
      </w:r>
    </w:p>
    <w:p w14:paraId="3578DAC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（5）擅自变更、中止或者终止政府采购合同。</w:t>
      </w:r>
    </w:p>
    <w:p w14:paraId="786DD4EA">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8DFFEF">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bidi="ar"/>
        </w:rPr>
        <w:t>（投标人名称）</w:t>
      </w:r>
      <w:r>
        <w:rPr>
          <w:rFonts w:hint="eastAsia" w:ascii="宋体" w:hAnsi="宋体" w:eastAsia="宋体" w:cs="宋体"/>
          <w:bCs/>
          <w:color w:val="auto"/>
          <w:sz w:val="24"/>
          <w:szCs w:val="24"/>
          <w:highlight w:val="none"/>
          <w:lang w:bidi="ar"/>
        </w:rPr>
        <w:t>对本招标文件的相关要求完全响应。若有幸中标将严格按照以上承诺进行供货和服务。</w:t>
      </w:r>
    </w:p>
    <w:p w14:paraId="6AA02F17">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p>
    <w:p w14:paraId="1E3B7932">
      <w:pPr>
        <w:spacing w:line="36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AA545F5">
      <w:pPr>
        <w:spacing w:line="360" w:lineRule="auto"/>
        <w:ind w:firstLine="4320" w:firstLineChars="1800"/>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6179BD31">
      <w:pPr>
        <w:spacing w:line="360" w:lineRule="auto"/>
        <w:ind w:firstLine="4320" w:firstLineChars="18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165BDDF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08CCF10">
      <w:pPr>
        <w:spacing w:line="360" w:lineRule="auto"/>
        <w:jc w:val="center"/>
        <w:outlineLvl w:val="1"/>
        <w:rPr>
          <w:rFonts w:hint="eastAsia" w:ascii="宋体" w:hAnsi="宋体" w:eastAsia="宋体"/>
          <w:b/>
          <w:color w:val="auto"/>
          <w:sz w:val="24"/>
          <w:szCs w:val="24"/>
          <w:highlight w:val="none"/>
          <w:lang w:eastAsia="zh-CN" w:bidi="ar"/>
        </w:rPr>
      </w:pPr>
    </w:p>
    <w:p w14:paraId="7508AB8F">
      <w:pPr>
        <w:spacing w:line="360" w:lineRule="auto"/>
        <w:jc w:val="center"/>
        <w:outlineLvl w:val="1"/>
        <w:rPr>
          <w:rFonts w:hint="eastAsia" w:ascii="宋体" w:hAnsi="宋体" w:eastAsia="宋体"/>
          <w:b/>
          <w:color w:val="auto"/>
          <w:sz w:val="24"/>
          <w:szCs w:val="24"/>
          <w:highlight w:val="none"/>
          <w:lang w:eastAsia="zh-CN" w:bidi="ar"/>
        </w:rPr>
      </w:pPr>
      <w:r>
        <w:rPr>
          <w:rFonts w:hint="eastAsia" w:ascii="宋体" w:hAnsi="宋体" w:eastAsia="宋体"/>
          <w:b/>
          <w:color w:val="auto"/>
          <w:sz w:val="24"/>
          <w:szCs w:val="24"/>
          <w:highlight w:val="none"/>
          <w:lang w:eastAsia="zh-CN" w:bidi="ar"/>
        </w:rPr>
        <w:t>（</w:t>
      </w:r>
      <w:r>
        <w:rPr>
          <w:rFonts w:hint="eastAsia" w:ascii="宋体" w:hAnsi="宋体" w:eastAsia="宋体"/>
          <w:b/>
          <w:color w:val="auto"/>
          <w:sz w:val="24"/>
          <w:szCs w:val="24"/>
          <w:highlight w:val="none"/>
          <w:lang w:val="en-US" w:eastAsia="zh-CN" w:bidi="ar"/>
        </w:rPr>
        <w:t>3</w:t>
      </w:r>
      <w:r>
        <w:rPr>
          <w:rFonts w:hint="eastAsia" w:ascii="宋体" w:hAnsi="宋体" w:eastAsia="宋体"/>
          <w:b/>
          <w:color w:val="auto"/>
          <w:sz w:val="24"/>
          <w:szCs w:val="24"/>
          <w:highlight w:val="none"/>
          <w:lang w:eastAsia="zh-CN" w:bidi="ar"/>
        </w:rPr>
        <w:t>）</w:t>
      </w:r>
      <w:r>
        <w:rPr>
          <w:rFonts w:hint="eastAsia" w:ascii="宋体" w:hAnsi="宋体" w:eastAsia="宋体"/>
          <w:b/>
          <w:color w:val="auto"/>
          <w:sz w:val="24"/>
          <w:szCs w:val="24"/>
          <w:highlight w:val="none"/>
          <w:lang w:bidi="ar"/>
        </w:rPr>
        <w:t xml:space="preserve"> </w:t>
      </w:r>
      <w:r>
        <w:rPr>
          <w:rFonts w:hint="eastAsia" w:ascii="宋体" w:hAnsi="宋体" w:eastAsia="宋体"/>
          <w:b/>
          <w:color w:val="auto"/>
          <w:sz w:val="24"/>
          <w:szCs w:val="24"/>
          <w:highlight w:val="none"/>
          <w:lang w:val="en-US" w:eastAsia="zh-CN" w:bidi="ar"/>
        </w:rPr>
        <w:t>响应承诺函</w:t>
      </w:r>
    </w:p>
    <w:p w14:paraId="5D5E118F">
      <w:pPr>
        <w:spacing w:line="360" w:lineRule="auto"/>
        <w:jc w:val="center"/>
        <w:outlineLvl w:val="1"/>
        <w:rPr>
          <w:rFonts w:hint="default" w:ascii="宋体" w:hAnsi="宋体" w:eastAsia="宋体"/>
          <w:b/>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按招标文件P77页评审要求提供响应承诺函，格式自拟</w:t>
      </w:r>
    </w:p>
    <w:p w14:paraId="7CD47ED3">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7F1269B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三、商务标格式文件</w:t>
      </w:r>
    </w:p>
    <w:p w14:paraId="006ECED4">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36014ECB">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6B3888E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72E9E6D4">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1249413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商务标</w:t>
      </w:r>
    </w:p>
    <w:p w14:paraId="1F587C22">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（投标文件三）</w:t>
      </w:r>
    </w:p>
    <w:p w14:paraId="209ED5F5">
      <w:pPr>
        <w:jc w:val="center"/>
        <w:rPr>
          <w:rFonts w:hint="eastAsia" w:ascii="宋体" w:hAnsi="宋体" w:eastAsia="宋体" w:cs="宋体"/>
          <w:color w:val="auto"/>
          <w:sz w:val="32"/>
          <w:szCs w:val="32"/>
          <w:highlight w:val="none"/>
          <w:u w:val="single"/>
        </w:rPr>
      </w:pPr>
    </w:p>
    <w:p w14:paraId="0882D4ED">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1E2F2F1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32D3DAD">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49A3C68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B04EB9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6CF981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50A6AB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BACEFE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47B7F2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50CAC58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E08A044">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BF90A78">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1C139F86">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37DB89F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C485145">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D62B907">
      <w:pPr>
        <w:spacing w:line="400" w:lineRule="exact"/>
        <w:ind w:firstLine="3379" w:firstLineChars="935"/>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4F613036">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5E836C65">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（1）开标一览表（格式见附件）；</w:t>
      </w:r>
    </w:p>
    <w:p w14:paraId="72E2444B">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（2）投标函（格式见附件）；</w:t>
      </w:r>
    </w:p>
    <w:p w14:paraId="6D62D6C6">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（3）投标分项报价表（格式见附件）；</w:t>
      </w:r>
    </w:p>
    <w:p w14:paraId="76F9F98D">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（4）中小企业声明函，残疾人福利性企业（格式见附件）；</w:t>
      </w:r>
    </w:p>
    <w:p w14:paraId="2B8C59FB">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（5）省级以上监狱管理局、戒毒管理局（含新疆生产建设兵团）出具的属于监狱企业的证明（如是）</w:t>
      </w:r>
    </w:p>
    <w:p w14:paraId="03D64891">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）招标文件商务评审中要求提供的其他相关资料；</w:t>
      </w:r>
    </w:p>
    <w:p w14:paraId="4EAAA609">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）投标人认为需要提供的其他材料；</w:t>
      </w:r>
    </w:p>
    <w:p w14:paraId="03B08C6D">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）其他（如有）。</w:t>
      </w:r>
    </w:p>
    <w:p w14:paraId="2707ED51">
      <w:pPr>
        <w:spacing w:line="440" w:lineRule="exact"/>
        <w:ind w:left="420"/>
        <w:rPr>
          <w:rFonts w:hint="eastAsia" w:ascii="宋体" w:hAnsi="宋体" w:eastAsia="宋体" w:cs="宋体"/>
          <w:color w:val="auto"/>
          <w:szCs w:val="21"/>
          <w:highlight w:val="none"/>
        </w:rPr>
      </w:pPr>
    </w:p>
    <w:p w14:paraId="76280D58">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994EFC3">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61BF0359">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7F062B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（1）开标一览表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5C76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5C090510">
            <w:pPr>
              <w:keepNext w:val="0"/>
              <w:keepLines w:val="0"/>
              <w:widowControl/>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项目名称</w:t>
            </w:r>
          </w:p>
        </w:tc>
        <w:tc>
          <w:tcPr>
            <w:tcW w:w="3647" w:type="pct"/>
            <w:tcBorders>
              <w:top w:val="single" w:color="auto" w:sz="4" w:space="0"/>
              <w:left w:val="nil"/>
              <w:bottom w:val="single" w:color="auto" w:sz="4" w:space="0"/>
              <w:right w:val="single" w:color="auto" w:sz="4" w:space="0"/>
            </w:tcBorders>
            <w:shd w:val="clear" w:color="auto" w:fill="auto"/>
            <w:vAlign w:val="center"/>
          </w:tcPr>
          <w:p w14:paraId="61142255">
            <w:pPr>
              <w:keepNext w:val="0"/>
              <w:keepLines w:val="0"/>
              <w:suppressLineNumbers w:val="0"/>
              <w:spacing w:before="0" w:beforeAutospacing="0" w:after="0" w:afterAutospacing="0" w:line="360" w:lineRule="exact"/>
              <w:ind w:left="0" w:right="0"/>
              <w:jc w:val="center"/>
              <w:rPr>
                <w:rFonts w:hint="eastAsia" w:ascii="宋体" w:hAnsi="宋体" w:eastAsia="宋体"/>
                <w:bCs/>
                <w:color w:val="auto"/>
                <w:sz w:val="24"/>
                <w:szCs w:val="24"/>
                <w:highlight w:val="none"/>
                <w:u w:val="single"/>
              </w:rPr>
            </w:pPr>
          </w:p>
        </w:tc>
      </w:tr>
      <w:tr w14:paraId="210F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7638931">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投标人全称</w:t>
            </w:r>
          </w:p>
        </w:tc>
        <w:tc>
          <w:tcPr>
            <w:tcW w:w="3647" w:type="pct"/>
            <w:tcBorders>
              <w:top w:val="nil"/>
              <w:left w:val="single" w:color="auto" w:sz="4" w:space="0"/>
              <w:bottom w:val="single" w:color="auto" w:sz="4" w:space="0"/>
              <w:right w:val="single" w:color="auto" w:sz="4" w:space="0"/>
            </w:tcBorders>
            <w:shd w:val="clear" w:color="auto" w:fill="auto"/>
            <w:vAlign w:val="center"/>
          </w:tcPr>
          <w:p w14:paraId="0092F6B8">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4"/>
                <w:highlight w:val="none"/>
              </w:rPr>
            </w:pPr>
          </w:p>
        </w:tc>
      </w:tr>
      <w:tr w14:paraId="4865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6FF1B187">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投标范围</w:t>
            </w:r>
          </w:p>
        </w:tc>
        <w:tc>
          <w:tcPr>
            <w:tcW w:w="3647" w:type="pct"/>
            <w:tcBorders>
              <w:top w:val="nil"/>
              <w:left w:val="single" w:color="auto" w:sz="4" w:space="0"/>
              <w:bottom w:val="single" w:color="auto" w:sz="4" w:space="0"/>
              <w:right w:val="single" w:color="auto" w:sz="4" w:space="0"/>
            </w:tcBorders>
            <w:shd w:val="clear" w:color="auto" w:fill="auto"/>
            <w:vAlign w:val="center"/>
          </w:tcPr>
          <w:p w14:paraId="26348882">
            <w:pPr>
              <w:keepNext w:val="0"/>
              <w:keepLines w:val="0"/>
              <w:widowControl/>
              <w:suppressLineNumbers w:val="0"/>
              <w:autoSpaceDE w:val="0"/>
              <w:spacing w:before="0" w:beforeAutospacing="0" w:after="0" w:afterAutospacing="0" w:line="360" w:lineRule="auto"/>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全部</w:t>
            </w:r>
          </w:p>
        </w:tc>
      </w:tr>
      <w:tr w14:paraId="7135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01A5CBC4">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投标报价</w:t>
            </w:r>
          </w:p>
        </w:tc>
        <w:tc>
          <w:tcPr>
            <w:tcW w:w="3647" w:type="pct"/>
            <w:tcBorders>
              <w:top w:val="nil"/>
              <w:left w:val="single" w:color="auto" w:sz="4" w:space="0"/>
              <w:bottom w:val="single" w:color="auto" w:sz="4" w:space="0"/>
              <w:right w:val="single" w:color="auto" w:sz="4" w:space="0"/>
            </w:tcBorders>
            <w:shd w:val="clear" w:color="auto" w:fill="auto"/>
            <w:vAlign w:val="center"/>
          </w:tcPr>
          <w:p w14:paraId="5086D460">
            <w:pPr>
              <w:keepNext w:val="0"/>
              <w:keepLines w:val="0"/>
              <w:suppressLineNumbers w:val="0"/>
              <w:autoSpaceDE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大写：</w:t>
            </w:r>
            <w:r>
              <w:rPr>
                <w:rFonts w:hint="eastAsia" w:ascii="宋体" w:hAnsi="宋体" w:eastAsia="宋体" w:cs="宋体"/>
                <w:bCs/>
                <w:color w:val="auto"/>
                <w:sz w:val="24"/>
                <w:szCs w:val="24"/>
                <w:highlight w:val="none"/>
                <w:u w:val="single"/>
                <w:lang w:bidi="ar"/>
              </w:rPr>
              <w:t xml:space="preserve">                     </w:t>
            </w:r>
          </w:p>
          <w:p w14:paraId="5F8E4D3A">
            <w:pPr>
              <w:keepNext w:val="0"/>
              <w:keepLines w:val="0"/>
              <w:suppressLineNumbers w:val="0"/>
              <w:autoSpaceDE w:val="0"/>
              <w:spacing w:before="0" w:beforeAutospacing="0" w:after="0" w:afterAutospacing="0" w:line="360" w:lineRule="auto"/>
              <w:ind w:left="0"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lang w:bidi="ar"/>
              </w:rPr>
              <w:t>小写：</w:t>
            </w:r>
            <w:r>
              <w:rPr>
                <w:rFonts w:hint="eastAsia" w:ascii="宋体" w:hAnsi="宋体" w:eastAsia="宋体" w:cs="宋体"/>
                <w:bCs/>
                <w:color w:val="auto"/>
                <w:sz w:val="24"/>
                <w:szCs w:val="24"/>
                <w:highlight w:val="none"/>
                <w:u w:val="single"/>
                <w:lang w:bidi="ar"/>
              </w:rPr>
              <w:t xml:space="preserve">                     </w:t>
            </w:r>
          </w:p>
        </w:tc>
      </w:tr>
      <w:tr w14:paraId="456C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2F7C5783">
            <w:pPr>
              <w:keepNext w:val="0"/>
              <w:keepLines w:val="0"/>
              <w:suppressLineNumbers w:val="0"/>
              <w:spacing w:before="0" w:beforeAutospacing="0" w:after="0" w:afterAutospacing="0" w:line="360" w:lineRule="auto"/>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其他</w:t>
            </w:r>
          </w:p>
        </w:tc>
        <w:tc>
          <w:tcPr>
            <w:tcW w:w="3647" w:type="pct"/>
            <w:tcBorders>
              <w:top w:val="nil"/>
              <w:left w:val="single" w:color="auto" w:sz="4" w:space="0"/>
              <w:bottom w:val="single" w:color="auto" w:sz="4" w:space="0"/>
              <w:right w:val="single" w:color="auto" w:sz="4" w:space="0"/>
            </w:tcBorders>
            <w:shd w:val="clear" w:color="auto" w:fill="auto"/>
            <w:vAlign w:val="center"/>
          </w:tcPr>
          <w:p w14:paraId="50361262">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4"/>
                <w:highlight w:val="none"/>
              </w:rPr>
            </w:pPr>
          </w:p>
        </w:tc>
      </w:tr>
    </w:tbl>
    <w:p w14:paraId="5E130925">
      <w:pPr>
        <w:spacing w:line="360" w:lineRule="auto"/>
        <w:ind w:firstLine="4320" w:firstLineChars="1800"/>
        <w:jc w:val="center"/>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1B52B0CD">
      <w:pPr>
        <w:spacing w:line="360" w:lineRule="auto"/>
        <w:ind w:firstLine="4320" w:firstLineChars="1800"/>
        <w:jc w:val="center"/>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4E557294">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3F1963E5">
      <w:pPr>
        <w:spacing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C1A10A6">
      <w:pPr>
        <w:spacing w:line="360" w:lineRule="auto"/>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注：</w:t>
      </w:r>
    </w:p>
    <w:p w14:paraId="1EFD7C96">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1</w:t>
      </w:r>
      <w:r>
        <w:rPr>
          <w:rFonts w:hint="eastAsia" w:ascii="宋体" w:hAnsi="宋体" w:eastAsia="宋体" w:cs="宋体"/>
          <w:color w:val="auto"/>
          <w:sz w:val="24"/>
          <w:szCs w:val="24"/>
          <w:highlight w:val="none"/>
          <w:lang w:bidi="ar"/>
        </w:rPr>
        <w:t>.此表用于开标唱标之用。</w:t>
      </w:r>
    </w:p>
    <w:p w14:paraId="7DA13685">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2</w:t>
      </w:r>
      <w:r>
        <w:rPr>
          <w:rFonts w:hint="eastAsia" w:ascii="宋体" w:hAnsi="宋体" w:eastAsia="宋体" w:cs="宋体"/>
          <w:color w:val="auto"/>
          <w:sz w:val="24"/>
          <w:szCs w:val="24"/>
          <w:highlight w:val="none"/>
          <w:lang w:bidi="ar"/>
        </w:rPr>
        <w:t>.表中投标报价即为优惠后报价，并作为评审及定标依据。任何有选择或有条件的投标报价，或者表中某一包别填写多个报价，均为无效报价。</w:t>
      </w:r>
    </w:p>
    <w:p w14:paraId="2CB576B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3.表中大写金额与小写金额不一致的，以大写金额为准。</w:t>
      </w:r>
      <w:r>
        <w:rPr>
          <w:rFonts w:hint="eastAsia" w:ascii="宋体" w:hAnsi="宋体" w:eastAsia="宋体"/>
          <w:color w:val="auto"/>
          <w:sz w:val="24"/>
          <w:szCs w:val="24"/>
          <w:highlight w:val="none"/>
          <w:lang w:bidi="ar"/>
        </w:rPr>
        <w:br w:type="page"/>
      </w:r>
    </w:p>
    <w:p w14:paraId="4898219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（2）投标函</w:t>
      </w:r>
    </w:p>
    <w:p w14:paraId="0F4EB41F">
      <w:pPr>
        <w:pStyle w:val="20"/>
        <w:spacing w:before="0" w:beforeAutospacing="0" w:after="0" w:afterAutospacing="0" w:line="360" w:lineRule="auto"/>
        <w:jc w:val="both"/>
        <w:rPr>
          <w:rFonts w:hint="eastAsia" w:ascii="宋体" w:hAnsi="宋体" w:eastAsia="宋体" w:cs="Arial"/>
          <w:b/>
          <w:color w:val="auto"/>
          <w:kern w:val="2"/>
          <w:szCs w:val="24"/>
          <w:highlight w:val="none"/>
          <w:u w:val="singl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5960B731">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根据贵方的招标公告和投标邀请，我方兹宣布同意如下：</w:t>
      </w:r>
    </w:p>
    <w:p w14:paraId="6E60B9E6">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1.我方根据招标文件的规定，严格履行合同的责任和义务,并保证于买方要求的日期内完成，并通过买方验收。</w:t>
      </w:r>
    </w:p>
    <w:p w14:paraId="0FC8AA5D">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2.我方已详细审核全部招标文件，包括招标文件附件及更正公告（如有），我方正式认可并遵守本次招标文件，并对招标文件各项条款、规定及要求均无异议。</w:t>
      </w:r>
    </w:p>
    <w:p w14:paraId="203C645D">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3.我方同意从招标文件规定的开标日期起遵循本招标文件，并在招标文件规定的投标有效期之前均具有约束力。</w:t>
      </w:r>
    </w:p>
    <w:p w14:paraId="47E30E90">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6CB28ECA">
      <w:pPr>
        <w:spacing w:line="360" w:lineRule="auto"/>
        <w:ind w:firstLine="4800" w:firstLineChars="20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191CCB7A">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00B6D6F9">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0161C529">
      <w:pPr>
        <w:widowControl/>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lang w:bidi="ar"/>
        </w:rPr>
        <w:br w:type="page"/>
      </w:r>
    </w:p>
    <w:p w14:paraId="1ED559F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（3）投标分项报价表</w:t>
      </w:r>
    </w:p>
    <w:p w14:paraId="79E81952">
      <w:pPr>
        <w:spacing w:line="360" w:lineRule="auto"/>
        <w:ind w:firstLine="435"/>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7704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58205B22">
            <w:pPr>
              <w:pStyle w:val="20"/>
              <w:keepNext w:val="0"/>
              <w:keepLines w:val="0"/>
              <w:suppressLineNumbers w:val="0"/>
              <w:spacing w:before="0" w:beforeAutospacing="0" w:after="0" w:afterAutospacing="0"/>
              <w:ind w:left="0" w:right="0"/>
              <w:jc w:val="center"/>
              <w:rPr>
                <w:rFonts w:hint="eastAsia" w:ascii="宋体" w:hAnsi="宋体" w:eastAsia="宋体" w:cs="@仿宋_GB2312"/>
                <w:b/>
                <w:color w:val="auto"/>
                <w:kern w:val="2"/>
                <w:szCs w:val="24"/>
                <w:highlight w:val="none"/>
              </w:rPr>
            </w:pPr>
            <w:r>
              <w:rPr>
                <w:rFonts w:hint="eastAsia" w:ascii="宋体" w:hAnsi="宋体" w:eastAsia="宋体" w:cs="宋体"/>
                <w:b/>
                <w:color w:val="auto"/>
                <w:kern w:val="2"/>
                <w:szCs w:val="24"/>
                <w:highlight w:val="none"/>
                <w:lang w:bidi="ar"/>
              </w:rPr>
              <w:t>序号</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6C54FEA4">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货物名称</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13B9CADF">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品牌、型</w:t>
            </w:r>
          </w:p>
          <w:p w14:paraId="59A89910">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号</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3404E2A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原产地及</w:t>
            </w:r>
          </w:p>
          <w:p w14:paraId="3A786428">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生产厂商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37A7288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单位</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22CB70C8">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数量</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71B26E0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单价</w:t>
            </w:r>
          </w:p>
          <w:p w14:paraId="6534571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3FED984">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小计</w:t>
            </w:r>
          </w:p>
          <w:p w14:paraId="02EB589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19B2AF8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备注</w:t>
            </w:r>
          </w:p>
        </w:tc>
      </w:tr>
      <w:tr w14:paraId="0C12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5C3FAD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1A7B660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B05AC1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3A7421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29E9F5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A533DD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67869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47BD6E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DEF9AC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A4B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40D964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84BF51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50578F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DFFB71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61FA8E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7A04F2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C09A1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7907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6237BA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311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76720A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A5BCDB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EF0418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20F5D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28A343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B02889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B3FA5F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3CE875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529E3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38F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247163C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D0D61B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56AB1E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938A20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CAC7A4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FDABA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52ACA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59A4FC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4BF43B3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B2A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F59317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5</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BCACAF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DD8420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C694B5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E7C828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9A75B4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4660A3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9A29BC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E3ED2D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3E4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D134B6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6</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840264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00846C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89139B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65FABA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F49B3F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988B87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D1A2CA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030316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4FB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DD54F1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7</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B470FE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038CFE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E8CAE5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6099FF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A49B3F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892B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EEE46C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8050E1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989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0A1C79A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8</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172EEB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13D3C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53C2AB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03F121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EA6FF7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7A39CC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AC22D4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64FAC1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592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3C9CBA2C">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9</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39F099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73FDD5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81C2E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C22465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9F11A6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18D932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F52A3B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0609DC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E53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0975FB5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10</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E36EAE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BDF6F2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5B7D1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7F1083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4D4146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71F434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565CE4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DA7ED9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25E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3E0DD67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33E91E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13D052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CFABEE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A7B27D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1B467A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0F957D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ACD69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9B00FE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148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302711B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5DF73E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86EE1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0CAF16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49B0DD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B6E2D9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CD8072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697EC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4D58588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FB6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B96B78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100B358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910FED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C0C670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2DA305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77E6D6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837C76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EEABDF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3E85D7D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9EF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652465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D61BD7E">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其他费用</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9AF59A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70FFF9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BCD111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5161D1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C65CA0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033E0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F6ED50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B08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AD774D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6A9CFA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B90A71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767F5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A33B48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CA25CA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BC9BE9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5A2C3E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304390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7CC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D9559C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5A34BDD">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4A24C4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15433D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6551A2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9D9A86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E1E6DE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06A31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4F2F5C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D13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A53E2B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F2E54B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F7595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CF8FE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74C22A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ED9354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DDEE1B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A86881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61FCD4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DD7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348381">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合计（元）</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7A5C48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D705E2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AD80CF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D75B4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7A8ACB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CF7FE3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0E074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bl>
    <w:p w14:paraId="6133ADCE">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169FA11D">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04F490E2">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3566DC2F">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注：</w:t>
      </w:r>
    </w:p>
    <w:p w14:paraId="4619C5C0">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5C425F2">
      <w:pPr>
        <w:spacing w:line="360" w:lineRule="auto"/>
        <w:ind w:firstLine="435"/>
        <w:rPr>
          <w:rFonts w:hint="eastAsia"/>
          <w:color w:val="auto"/>
          <w:szCs w:val="21"/>
          <w:highlight w:val="none"/>
        </w:rPr>
      </w:pPr>
      <w:r>
        <w:rPr>
          <w:rFonts w:hint="eastAsia" w:ascii="宋体" w:hAnsi="宋体" w:eastAsia="宋体" w:cs="宋体"/>
          <w:color w:val="auto"/>
          <w:sz w:val="24"/>
          <w:szCs w:val="24"/>
          <w:highlight w:val="none"/>
          <w:lang w:bidi="ar"/>
        </w:rPr>
        <w:t>2.表中须明确列出所投产品的货物名称、品牌、型号规格、原产地及生产厂商，否则可能导致</w:t>
      </w:r>
      <w:r>
        <w:rPr>
          <w:rFonts w:hint="eastAsia" w:ascii="宋体" w:hAnsi="宋体" w:eastAsia="宋体" w:cs="宋体"/>
          <w:b/>
          <w:bCs/>
          <w:color w:val="auto"/>
          <w:sz w:val="24"/>
          <w:szCs w:val="24"/>
          <w:highlight w:val="none"/>
          <w:lang w:bidi="ar"/>
        </w:rPr>
        <w:t>投标无效</w:t>
      </w:r>
      <w:r>
        <w:rPr>
          <w:rFonts w:hint="eastAsia" w:ascii="宋体" w:hAnsi="宋体" w:eastAsia="宋体" w:cs="宋体"/>
          <w:color w:val="auto"/>
          <w:sz w:val="24"/>
          <w:szCs w:val="24"/>
          <w:highlight w:val="none"/>
          <w:lang w:bidi="ar"/>
        </w:rPr>
        <w:t>。</w:t>
      </w:r>
    </w:p>
    <w:p w14:paraId="30F0B4E5">
      <w:pPr>
        <w:widowControl/>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br w:type="page"/>
      </w:r>
    </w:p>
    <w:p w14:paraId="5CA8FA9A">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color w:val="auto"/>
          <w:sz w:val="24"/>
          <w:szCs w:val="24"/>
          <w:highlight w:val="none"/>
          <w:lang w:bidi="ar"/>
        </w:rPr>
        <w:t>（4）</w:t>
      </w:r>
      <w:r>
        <w:rPr>
          <w:rFonts w:hint="eastAsia" w:ascii="宋体" w:hAnsi="宋体" w:eastAsia="宋体" w:cs="宋体"/>
          <w:b/>
          <w:bCs w:val="0"/>
          <w:color w:val="auto"/>
          <w:kern w:val="2"/>
          <w:sz w:val="24"/>
          <w:szCs w:val="24"/>
          <w:highlight w:val="none"/>
          <w:lang w:val="en-US" w:eastAsia="zh-CN" w:bidi="ar"/>
        </w:rPr>
        <w:t>中小企业声明函</w:t>
      </w:r>
    </w:p>
    <w:p w14:paraId="089A295A">
      <w:pPr>
        <w:pStyle w:val="20"/>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（非中小企业投标，不需此件，请删去“中小企业声明函”）</w:t>
      </w:r>
    </w:p>
    <w:p w14:paraId="2DE65BE2">
      <w:pPr>
        <w:keepNext w:val="0"/>
        <w:keepLines w:val="0"/>
        <w:widowControl w:val="0"/>
        <w:suppressLineNumbers w:val="0"/>
        <w:spacing w:before="0" w:beforeAutospacing="0" w:after="0" w:afterAutospacing="0"/>
        <w:ind w:left="0" w:right="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7907A6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
        </w:rPr>
        <w:t>单位名称</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）采购活动，提供的货物全部由符合政策要求的中小企业制造。相关企业（含联合体中的中小企业、签订分包意向协议的中小企业）的具体情况如下：</w:t>
      </w:r>
      <w:r>
        <w:rPr>
          <w:rFonts w:hint="eastAsia" w:ascii="宋体" w:hAnsi="宋体" w:eastAsia="宋体" w:cs="@仿宋_GB2312"/>
          <w:color w:val="auto"/>
          <w:kern w:val="2"/>
          <w:sz w:val="24"/>
          <w:szCs w:val="24"/>
          <w:highlight w:val="none"/>
          <w:lang w:val="en-US" w:eastAsia="zh-CN" w:bidi="ar"/>
        </w:rPr>
        <w:t xml:space="preserve"> </w:t>
      </w:r>
    </w:p>
    <w:p w14:paraId="0DDF1D0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373E486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79AE19F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p w14:paraId="01F2168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以上企业，不属于大企业的分支机构，不存在控股股东为大企业的情形，也不存在与大企业的负责人为同一人的情形。</w:t>
      </w:r>
    </w:p>
    <w:p w14:paraId="29B3B9B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r>
        <w:rPr>
          <w:rFonts w:hint="eastAsia" w:ascii="宋体" w:hAnsi="宋体" w:eastAsia="宋体" w:cs="@仿宋_GB2312"/>
          <w:color w:val="auto"/>
          <w:kern w:val="2"/>
          <w:sz w:val="24"/>
          <w:szCs w:val="24"/>
          <w:highlight w:val="none"/>
          <w:lang w:val="en-US" w:eastAsia="zh-CN" w:bidi="ar"/>
        </w:rPr>
        <w:t xml:space="preserve"> </w:t>
      </w:r>
    </w:p>
    <w:p w14:paraId="490C189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CD342A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F655D6B">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52F3C126">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12FCFC0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5EBED5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0561E5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827214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9B80E5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9FCF55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注：</w:t>
      </w:r>
    </w:p>
    <w:p w14:paraId="6653E57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1.从业人员、营业收入、资产总额填报上一年数据，无上一年数据的新成立企业可不填报。</w:t>
      </w:r>
    </w:p>
    <w:p w14:paraId="155C586E">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519E17D9">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3.上述“</w:t>
      </w:r>
      <w:r>
        <w:rPr>
          <w:rFonts w:hint="eastAsia" w:ascii="宋体" w:hAnsi="宋体" w:eastAsia="宋体" w:cs="宋体"/>
          <w:b/>
          <w:bCs/>
          <w:color w:val="auto"/>
          <w:kern w:val="2"/>
          <w:sz w:val="21"/>
          <w:szCs w:val="21"/>
          <w:highlight w:val="none"/>
          <w:u w:val="single"/>
          <w:lang w:val="en-US" w:eastAsia="zh-CN" w:bidi="ar"/>
        </w:rPr>
        <w:t>标的名称</w:t>
      </w:r>
      <w:r>
        <w:rPr>
          <w:rFonts w:hint="eastAsia" w:ascii="宋体" w:hAnsi="宋体" w:eastAsia="宋体" w:cs="宋体"/>
          <w:b/>
          <w:bCs/>
          <w:color w:val="auto"/>
          <w:kern w:val="2"/>
          <w:sz w:val="21"/>
          <w:szCs w:val="21"/>
          <w:highlight w:val="none"/>
          <w:lang w:val="en-US" w:eastAsia="zh-CN" w:bidi="ar"/>
        </w:rPr>
        <w:t>”，详见第三章采购需求中明确的“货物名称”。</w:t>
      </w:r>
    </w:p>
    <w:p w14:paraId="111E606B">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4.上述“</w:t>
      </w:r>
      <w:r>
        <w:rPr>
          <w:rFonts w:hint="eastAsia" w:ascii="宋体" w:hAnsi="宋体" w:eastAsia="宋体" w:cs="宋体"/>
          <w:b/>
          <w:bCs/>
          <w:color w:val="auto"/>
          <w:kern w:val="2"/>
          <w:sz w:val="21"/>
          <w:szCs w:val="21"/>
          <w:highlight w:val="none"/>
          <w:u w:val="single"/>
          <w:lang w:val="en-US" w:eastAsia="zh-CN" w:bidi="ar"/>
        </w:rPr>
        <w:t>采购文件中明确的所属行业</w:t>
      </w:r>
      <w:r>
        <w:rPr>
          <w:rFonts w:hint="eastAsia" w:ascii="宋体" w:hAnsi="宋体" w:eastAsia="宋体" w:cs="宋体"/>
          <w:b/>
          <w:bCs/>
          <w:color w:val="auto"/>
          <w:kern w:val="2"/>
          <w:sz w:val="21"/>
          <w:szCs w:val="21"/>
          <w:highlight w:val="none"/>
          <w:lang w:val="en-US" w:eastAsia="zh-CN" w:bidi="ar"/>
        </w:rPr>
        <w:t>”，详见第三章采购需求中明确的“所属行业”。</w:t>
      </w:r>
    </w:p>
    <w:p w14:paraId="25608D82">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5．填写示例：</w:t>
      </w:r>
      <w:r>
        <w:rPr>
          <w:rFonts w:hint="eastAsia" w:ascii="宋体" w:hAnsi="宋体" w:eastAsia="宋体" w:cs="宋体"/>
          <w:b/>
          <w:bCs/>
          <w:color w:val="auto"/>
          <w:kern w:val="2"/>
          <w:sz w:val="21"/>
          <w:szCs w:val="21"/>
          <w:highlight w:val="none"/>
          <w:u w:val="single"/>
          <w:lang w:val="en-US" w:eastAsia="zh-CN" w:bidi="ar"/>
        </w:rPr>
        <w:t>某设备</w:t>
      </w:r>
      <w:r>
        <w:rPr>
          <w:rFonts w:hint="eastAsia" w:ascii="宋体" w:hAnsi="宋体" w:eastAsia="宋体" w:cs="宋体"/>
          <w:b/>
          <w:bCs/>
          <w:color w:val="auto"/>
          <w:kern w:val="2"/>
          <w:sz w:val="21"/>
          <w:szCs w:val="21"/>
          <w:highlight w:val="none"/>
          <w:lang w:val="en-US" w:eastAsia="zh-CN" w:bidi="ar"/>
        </w:rPr>
        <w:t>，属于</w:t>
      </w:r>
      <w:r>
        <w:rPr>
          <w:rFonts w:hint="eastAsia" w:ascii="宋体" w:hAnsi="宋体" w:eastAsia="宋体" w:cs="宋体"/>
          <w:b/>
          <w:bCs/>
          <w:color w:val="auto"/>
          <w:kern w:val="2"/>
          <w:sz w:val="21"/>
          <w:szCs w:val="21"/>
          <w:highlight w:val="none"/>
          <w:u w:val="single"/>
          <w:lang w:val="en-US" w:eastAsia="zh-CN" w:bidi="ar"/>
        </w:rPr>
        <w:t>（填写第三章采购需求中对应货物的“所属行业”，如工业）</w:t>
      </w:r>
      <w:r>
        <w:rPr>
          <w:rFonts w:hint="eastAsia" w:ascii="宋体" w:hAnsi="宋体" w:eastAsia="宋体" w:cs="宋体"/>
          <w:b/>
          <w:bCs/>
          <w:color w:val="auto"/>
          <w:kern w:val="2"/>
          <w:sz w:val="21"/>
          <w:szCs w:val="21"/>
          <w:highlight w:val="none"/>
          <w:lang w:val="en-US" w:eastAsia="zh-CN" w:bidi="ar"/>
        </w:rPr>
        <w:t>行业；承接企业为</w:t>
      </w:r>
      <w:r>
        <w:rPr>
          <w:rFonts w:hint="eastAsia" w:ascii="宋体" w:hAnsi="宋体" w:eastAsia="宋体" w:cs="宋体"/>
          <w:b/>
          <w:bCs/>
          <w:color w:val="auto"/>
          <w:kern w:val="2"/>
          <w:sz w:val="21"/>
          <w:szCs w:val="21"/>
          <w:highlight w:val="none"/>
          <w:u w:val="single"/>
          <w:lang w:val="en-US" w:eastAsia="zh-CN" w:bidi="ar"/>
        </w:rPr>
        <w:t>某企业</w:t>
      </w:r>
      <w:r>
        <w:rPr>
          <w:rFonts w:hint="eastAsia" w:ascii="宋体" w:hAnsi="宋体" w:eastAsia="宋体" w:cs="宋体"/>
          <w:b/>
          <w:bCs/>
          <w:color w:val="auto"/>
          <w:kern w:val="2"/>
          <w:sz w:val="21"/>
          <w:szCs w:val="21"/>
          <w:highlight w:val="none"/>
          <w:lang w:val="en-US" w:eastAsia="zh-CN" w:bidi="ar"/>
        </w:rPr>
        <w:t>，从业人员</w:t>
      </w:r>
      <w:r>
        <w:rPr>
          <w:rFonts w:hint="eastAsia" w:ascii="宋体" w:hAnsi="宋体" w:eastAsia="宋体" w:cs="宋体"/>
          <w:b/>
          <w:bCs/>
          <w:color w:val="auto"/>
          <w:kern w:val="2"/>
          <w:sz w:val="21"/>
          <w:szCs w:val="21"/>
          <w:highlight w:val="none"/>
          <w:u w:val="single"/>
          <w:lang w:val="en-US" w:eastAsia="zh-CN" w:bidi="ar"/>
        </w:rPr>
        <w:t>100</w:t>
      </w:r>
      <w:r>
        <w:rPr>
          <w:rFonts w:hint="eastAsia" w:ascii="宋体" w:hAnsi="宋体" w:eastAsia="宋体" w:cs="宋体"/>
          <w:b/>
          <w:bCs/>
          <w:color w:val="auto"/>
          <w:kern w:val="2"/>
          <w:sz w:val="21"/>
          <w:szCs w:val="21"/>
          <w:highlight w:val="none"/>
          <w:lang w:val="en-US" w:eastAsia="zh-CN" w:bidi="ar"/>
        </w:rPr>
        <w:t>人，营业收入为</w:t>
      </w:r>
      <w:r>
        <w:rPr>
          <w:rFonts w:hint="eastAsia" w:ascii="宋体" w:hAnsi="宋体" w:eastAsia="宋体" w:cs="宋体"/>
          <w:b/>
          <w:bCs/>
          <w:color w:val="auto"/>
          <w:kern w:val="2"/>
          <w:sz w:val="21"/>
          <w:szCs w:val="21"/>
          <w:highlight w:val="none"/>
          <w:u w:val="single"/>
          <w:lang w:val="en-US" w:eastAsia="zh-CN" w:bidi="ar"/>
        </w:rPr>
        <w:t>10000</w:t>
      </w:r>
      <w:r>
        <w:rPr>
          <w:rFonts w:hint="eastAsia" w:ascii="宋体" w:hAnsi="宋体" w:eastAsia="宋体" w:cs="宋体"/>
          <w:b/>
          <w:bCs/>
          <w:color w:val="auto"/>
          <w:kern w:val="2"/>
          <w:sz w:val="21"/>
          <w:szCs w:val="21"/>
          <w:highlight w:val="none"/>
          <w:lang w:val="en-US" w:eastAsia="zh-CN" w:bidi="ar"/>
        </w:rPr>
        <w:t>万元，资产总额为</w:t>
      </w:r>
      <w:r>
        <w:rPr>
          <w:rFonts w:hint="eastAsia" w:ascii="宋体" w:hAnsi="宋体" w:eastAsia="宋体" w:cs="宋体"/>
          <w:b/>
          <w:bCs/>
          <w:color w:val="auto"/>
          <w:kern w:val="2"/>
          <w:sz w:val="21"/>
          <w:szCs w:val="21"/>
          <w:highlight w:val="none"/>
          <w:u w:val="single"/>
          <w:lang w:val="en-US" w:eastAsia="zh-CN" w:bidi="ar"/>
        </w:rPr>
        <w:t>5000</w:t>
      </w:r>
      <w:r>
        <w:rPr>
          <w:rFonts w:hint="eastAsia" w:ascii="宋体" w:hAnsi="宋体" w:eastAsia="宋体" w:cs="宋体"/>
          <w:b/>
          <w:bCs/>
          <w:color w:val="auto"/>
          <w:kern w:val="2"/>
          <w:sz w:val="21"/>
          <w:szCs w:val="21"/>
          <w:highlight w:val="none"/>
          <w:lang w:val="en-US" w:eastAsia="zh-CN" w:bidi="ar"/>
        </w:rPr>
        <w:t>万元，属于</w:t>
      </w:r>
      <w:r>
        <w:rPr>
          <w:rFonts w:hint="eastAsia" w:ascii="宋体" w:hAnsi="宋体" w:eastAsia="宋体" w:cs="宋体"/>
          <w:b/>
          <w:bCs/>
          <w:color w:val="auto"/>
          <w:kern w:val="2"/>
          <w:sz w:val="21"/>
          <w:szCs w:val="21"/>
          <w:highlight w:val="none"/>
          <w:u w:val="single"/>
          <w:lang w:val="en-US" w:eastAsia="zh-CN" w:bidi="ar"/>
        </w:rPr>
        <w:t>小型</w:t>
      </w:r>
      <w:r>
        <w:rPr>
          <w:rFonts w:hint="eastAsia" w:ascii="宋体" w:hAnsi="宋体" w:eastAsia="宋体" w:cs="宋体"/>
          <w:b/>
          <w:bCs/>
          <w:color w:val="auto"/>
          <w:kern w:val="2"/>
          <w:sz w:val="21"/>
          <w:szCs w:val="21"/>
          <w:highlight w:val="none"/>
          <w:lang w:val="en-US" w:eastAsia="zh-CN" w:bidi="ar"/>
        </w:rPr>
        <w:t>企业[投标人自行登录工业和信息化部官网进行中小企业规模类型自测（查询网址https://www.miit.gov.cn/）]。</w:t>
      </w:r>
    </w:p>
    <w:p w14:paraId="2686129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42CA526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29F9160F">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br w:type="page"/>
      </w:r>
    </w:p>
    <w:p w14:paraId="0E3F9C1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（5）残疾人福利性单位声明函</w:t>
      </w:r>
    </w:p>
    <w:p w14:paraId="02FACD41">
      <w:pPr>
        <w:pStyle w:val="20"/>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（非残疾人福利性单位投标，请删去“残疾人福利性单位声明函”）</w:t>
      </w:r>
    </w:p>
    <w:p w14:paraId="221394F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w:t>
      </w:r>
      <w:r>
        <w:rPr>
          <w:rFonts w:hint="eastAsia" w:ascii="宋体" w:hAnsi="宋体" w:eastAsia="宋体" w:cs="宋体"/>
          <w:color w:val="auto"/>
          <w:kern w:val="2"/>
          <w:sz w:val="24"/>
          <w:szCs w:val="24"/>
          <w:highlight w:val="none"/>
          <w:lang w:val="en-US" w:eastAsia="zh-CN" w:bidi="ar"/>
        </w:rPr>
        <w:t>郑重</w:t>
      </w:r>
      <w:r>
        <w:rPr>
          <w:rFonts w:hint="eastAsia" w:ascii="宋体" w:hAnsi="宋体" w:eastAsia="宋体" w:cs="宋体"/>
          <w:color w:val="auto"/>
          <w:spacing w:val="6"/>
          <w:kern w:val="2"/>
          <w:sz w:val="24"/>
          <w:szCs w:val="24"/>
          <w:highlight w:val="none"/>
          <w:lang w:val="en-US" w:eastAsia="zh-CN" w:bidi="ar"/>
        </w:rPr>
        <w:t>声明，根据《财政部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民政部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中国残疾人联合会关于促进残疾人就业政府采购政策的通知》（财库</w:t>
      </w:r>
      <w:r>
        <w:rPr>
          <w:rFonts w:hint="eastAsia" w:ascii="宋体" w:hAnsi="宋体" w:eastAsia="宋体" w:cs="宋体"/>
          <w:color w:val="auto"/>
          <w:kern w:val="2"/>
          <w:sz w:val="24"/>
          <w:szCs w:val="24"/>
          <w:highlight w:val="none"/>
          <w:lang w:val="en-US" w:eastAsia="zh-CN" w:bidi="ar"/>
        </w:rPr>
        <w:t>〔2017〕141</w:t>
      </w:r>
      <w:r>
        <w:rPr>
          <w:rFonts w:hint="eastAsia" w:ascii="宋体" w:hAnsi="宋体" w:eastAsia="宋体" w:cs="宋体"/>
          <w:color w:val="auto"/>
          <w:spacing w:val="6"/>
          <w:kern w:val="2"/>
          <w:sz w:val="24"/>
          <w:szCs w:val="24"/>
          <w:highlight w:val="none"/>
          <w:lang w:val="en-US" w:eastAsia="zh-CN" w:bidi="ar"/>
        </w:rPr>
        <w:t>号）的规定，本单位为</w:t>
      </w:r>
      <w:r>
        <w:rPr>
          <w:rFonts w:hint="eastAsia" w:ascii="宋体" w:hAnsi="宋体" w:eastAsia="宋体" w:cs="宋体"/>
          <w:bCs/>
          <w:color w:val="auto"/>
          <w:kern w:val="2"/>
          <w:sz w:val="24"/>
          <w:szCs w:val="24"/>
          <w:highlight w:val="none"/>
          <w:lang w:val="en-US" w:eastAsia="zh-CN" w:bidi="ar"/>
        </w:rPr>
        <w:t>符合</w:t>
      </w:r>
      <w:r>
        <w:rPr>
          <w:rFonts w:hint="eastAsia" w:ascii="宋体" w:hAnsi="宋体" w:eastAsia="宋体" w:cs="宋体"/>
          <w:color w:val="auto"/>
          <w:spacing w:val="6"/>
          <w:kern w:val="2"/>
          <w:sz w:val="24"/>
          <w:szCs w:val="24"/>
          <w:highlight w:val="none"/>
          <w:lang w:val="en-US" w:eastAsia="zh-CN" w:bidi="ar"/>
        </w:rPr>
        <w:t>条件的残疾人福利性单位，且本单位参加</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单位的</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4F5F79D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本单位对上述声明的真实性负责。如有虚假，将依法承担相应责任。</w:t>
      </w:r>
    </w:p>
    <w:p w14:paraId="7A803628">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DAC11E9">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9570BF5">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23B42531">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54EB6E5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171CC3A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3CE3C86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D5871F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（6）其他相关证明材料</w:t>
      </w:r>
    </w:p>
    <w:p w14:paraId="6518A9C1">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如有。</w:t>
      </w:r>
    </w:p>
    <w:p w14:paraId="7E354493">
      <w:pPr>
        <w:spacing w:line="360" w:lineRule="auto"/>
        <w:ind w:firstLine="435"/>
        <w:rPr>
          <w:rFonts w:hint="eastAsia" w:asciiTheme="minorEastAsia" w:hAnsiTheme="minorEastAsia" w:eastAsiaTheme="minorEastAsia"/>
          <w:color w:val="auto"/>
          <w:sz w:val="24"/>
          <w:highlight w:val="none"/>
        </w:rPr>
      </w:pPr>
    </w:p>
    <w:p w14:paraId="5C94B815">
      <w:pPr>
        <w:spacing w:line="360" w:lineRule="auto"/>
        <w:ind w:firstLine="435"/>
        <w:rPr>
          <w:rFonts w:hint="eastAsia" w:asciiTheme="minorEastAsia" w:hAnsiTheme="minorEastAsia" w:eastAsiaTheme="minorEastAsia"/>
          <w:color w:val="auto"/>
          <w:sz w:val="24"/>
          <w:highlight w:val="none"/>
        </w:rPr>
      </w:pPr>
    </w:p>
    <w:p w14:paraId="5066E10F">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15D4D7B7">
      <w:pP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w:t>
      </w:r>
      <w:r>
        <w:rPr>
          <w:rFonts w:ascii="Times New Roman" w:hAnsi="Times New Roman" w:eastAsia="宋体" w:cs="Times New Roman"/>
          <w:b/>
          <w:color w:val="auto"/>
          <w:sz w:val="28"/>
          <w:szCs w:val="28"/>
          <w:highlight w:val="none"/>
          <w:lang w:bidi="ar"/>
        </w:rPr>
        <w:t>1</w:t>
      </w:r>
    </w:p>
    <w:p w14:paraId="2164441A">
      <w:pPr>
        <w:spacing w:line="440" w:lineRule="exact"/>
        <w:jc w:val="center"/>
        <w:rPr>
          <w:rFonts w:hint="eastAsia"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关于联合惩戒失信行为 加强信用查询管理的通知</w:t>
      </w:r>
    </w:p>
    <w:p w14:paraId="1E954AE6">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60672EE5">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717F031F">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（一）工程建设项目</w:t>
      </w:r>
    </w:p>
    <w:p w14:paraId="30A7A6B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2AB4587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3B34CE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7099710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4991640B">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69B7DFD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4E1275B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353B0C68">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3557AF3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7FE9F57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4D7A0B2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5E0AB10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5B356B66">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2B660172">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35240A5">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（二）政府采购项目</w:t>
      </w:r>
    </w:p>
    <w:p w14:paraId="05869F56">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189B4BD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18BA0870">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33E26CE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107851DE">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72E9641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2、国家企业信用信息公示系统网站（www.gsxt.gov.cn）查询供应商以下失信行为：</w:t>
      </w:r>
    </w:p>
    <w:p w14:paraId="7EB2800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20E6FD9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3、中国政府采购网站（www.ccgp.gov.cn）查询以下失信行为：</w:t>
      </w:r>
    </w:p>
    <w:p w14:paraId="589B4A5E">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①被列入“政府采购严重违法失信行为信息记录”的。</w:t>
      </w:r>
    </w:p>
    <w:p w14:paraId="5880E10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63466E9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200D598B">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二、在开评标活动中的查询程序</w:t>
      </w:r>
    </w:p>
    <w:p w14:paraId="3B30F64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065A26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614B06C">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52C0F8FF">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三、相关要求</w:t>
      </w:r>
    </w:p>
    <w:p w14:paraId="501D3FB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D21B9E8">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1E5A0C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15574D7">
      <w:pPr>
        <w:widowControl/>
        <w:autoSpaceDE w:val="0"/>
        <w:spacing w:line="520" w:lineRule="exact"/>
        <w:ind w:firstLine="482" w:firstLineChars="200"/>
        <w:textAlignment w:val="baseline"/>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06703CB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1AD50AF3">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w:t>
      </w:r>
      <w:r>
        <w:rPr>
          <w:rFonts w:ascii="Times New Roman" w:hAnsi="Times New Roman" w:eastAsia="宋体" w:cs="Times New Roman"/>
          <w:b/>
          <w:color w:val="auto"/>
          <w:sz w:val="24"/>
          <w:szCs w:val="24"/>
          <w:highlight w:val="none"/>
          <w:lang w:bidi="ar"/>
        </w:rPr>
        <w:t>2</w:t>
      </w:r>
    </w:p>
    <w:p w14:paraId="7A11CC0A">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17CD8B9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43706EA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4B50E35D">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792F4E8F">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26E5B3B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552D5A2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47E8C47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47C4EBF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689CE5B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6625F49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59257E3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0E685F7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5522733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25AB579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394C9F7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4B8F518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5436AC8F">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5086DCF7">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60D7C29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505163B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5D6C22A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87B189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456B5F9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433E7AD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4EFC89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925F28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4FD63E0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691728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3883382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D0DE0F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387B874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7601365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278F4E86">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3FC4421F">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67297820">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3CF24DC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369F73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1E26D67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52FEB32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102AC44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53B939C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03EA5A8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50A0326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CBA843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0A6E1F6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3DB840F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60A1D9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3C2A16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5C031F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9498C9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05A3A87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7281CF3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8F84F5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6908CA4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11458BAC">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40BF29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4966720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7A317B5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5754A72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659E073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7A88C1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6B76D50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48D7696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0AF351A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338F9D0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2788D67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4798456F">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37AC81A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FF5A9D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3E81B1B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108A8E4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2E80C50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1D13A73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1601A9C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58DA8910">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52C901E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459F12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0984310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2F5A335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32712B6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3A9A3C1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49FF66D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661919F3">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6C0562EE">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25B134A1">
      <w:pPr>
        <w:widowControl/>
        <w:autoSpaceDE w:val="0"/>
        <w:spacing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未列出的其他类别严重失信行为，由招标人（代理机构）根据各类别行业主管部门下发的联合惩戒文件进行判断。</w:t>
      </w:r>
    </w:p>
    <w:p w14:paraId="1A3CDB2F">
      <w:pPr>
        <w:spacing w:line="440" w:lineRule="exact"/>
        <w:ind w:firstLine="6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BB1539F">
      <w:pPr>
        <w:spacing w:line="360" w:lineRule="auto"/>
        <w:ind w:firstLine="435"/>
        <w:rPr>
          <w:rFonts w:hint="eastAsia" w:asciiTheme="minorEastAsia" w:hAnsiTheme="minorEastAsia" w:eastAsiaTheme="minorEastAsia"/>
          <w:color w:val="auto"/>
          <w:sz w:val="24"/>
          <w:highlight w:val="none"/>
        </w:rPr>
      </w:pPr>
    </w:p>
    <w:p w14:paraId="4CE1C16B">
      <w:pPr>
        <w:spacing w:line="360" w:lineRule="auto"/>
        <w:ind w:firstLine="435"/>
        <w:rPr>
          <w:rFonts w:hint="eastAsia" w:asciiTheme="minorEastAsia" w:hAnsiTheme="minorEastAsia" w:eastAsiaTheme="minorEastAsia"/>
          <w:color w:val="auto"/>
          <w:sz w:val="24"/>
          <w:highlight w:val="none"/>
        </w:rPr>
      </w:pPr>
    </w:p>
    <w:p w14:paraId="0BC60ABA">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479647C7">
      <w:pPr>
        <w:spacing w:line="360" w:lineRule="auto"/>
        <w:jc w:val="center"/>
        <w:outlineLvl w:val="0"/>
        <w:rPr>
          <w:rFonts w:hint="eastAsia" w:ascii="宋体" w:hAnsi="宋体" w:eastAsia="宋体"/>
          <w:b/>
          <w:bCs/>
          <w:color w:val="auto"/>
          <w:sz w:val="28"/>
          <w:highlight w:val="none"/>
        </w:rPr>
      </w:pPr>
      <w:bookmarkStart w:id="45" w:name="_Toc6435"/>
      <w:bookmarkStart w:id="46" w:name="_Toc18131"/>
      <w:r>
        <w:rPr>
          <w:rFonts w:hint="eastAsia" w:asciiTheme="minorEastAsia" w:hAnsiTheme="minorEastAsia" w:eastAsiaTheme="minorEastAsia"/>
          <w:b/>
          <w:color w:val="auto"/>
          <w:sz w:val="28"/>
          <w:highlight w:val="none"/>
        </w:rPr>
        <w:t>第七章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45"/>
      <w:bookmarkEnd w:id="46"/>
    </w:p>
    <w:p w14:paraId="6B4C7EB3">
      <w:pPr>
        <w:spacing w:line="360" w:lineRule="auto"/>
        <w:jc w:val="center"/>
        <w:outlineLvl w:val="1"/>
        <w:rPr>
          <w:rFonts w:hint="eastAsia" w:ascii="仿宋" w:hAnsi="仿宋" w:eastAsia="仿宋" w:cs="仿宋"/>
          <w:b/>
          <w:bCs/>
          <w:color w:val="auto"/>
          <w:sz w:val="32"/>
          <w:szCs w:val="44"/>
          <w:highlight w:val="none"/>
        </w:rPr>
      </w:pPr>
      <w:bookmarkStart w:id="47" w:name="_Toc27489"/>
      <w:bookmarkStart w:id="48" w:name="_Toc27159"/>
      <w:r>
        <w:rPr>
          <w:rFonts w:hint="eastAsia" w:ascii="仿宋" w:hAnsi="仿宋" w:eastAsia="仿宋" w:cs="仿宋"/>
          <w:b/>
          <w:bCs/>
          <w:color w:val="auto"/>
          <w:sz w:val="32"/>
          <w:szCs w:val="44"/>
          <w:highlight w:val="none"/>
        </w:rPr>
        <w:t>询问函范本</w:t>
      </w:r>
      <w:bookmarkEnd w:id="47"/>
      <w:bookmarkEnd w:id="48"/>
    </w:p>
    <w:p w14:paraId="70A577F5">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16F7F79B">
      <w:pPr>
        <w:adjustRightInd w:val="0"/>
        <w:snapToGrid w:val="0"/>
        <w:spacing w:line="360" w:lineRule="auto"/>
        <w:rPr>
          <w:rFonts w:hint="eastAsia" w:cs="仿宋" w:asciiTheme="minorEastAsia" w:hAnsiTheme="minorEastAsia" w:eastAsiaTheme="minorEastAsia"/>
          <w:b/>
          <w:bCs/>
          <w:color w:val="auto"/>
          <w:sz w:val="24"/>
          <w:szCs w:val="24"/>
          <w:highlight w:val="none"/>
          <w:u w:val="single"/>
        </w:rPr>
      </w:pPr>
      <w:r>
        <w:rPr>
          <w:rFonts w:hint="eastAsia" w:cs="仿宋" w:asciiTheme="minorEastAsia" w:hAnsiTheme="minorEastAsia" w:eastAsiaTheme="minorEastAsia"/>
          <w:b/>
          <w:bCs/>
          <w:color w:val="auto"/>
          <w:sz w:val="24"/>
          <w:szCs w:val="24"/>
          <w:highlight w:val="none"/>
        </w:rPr>
        <w:t>致：采购人</w:t>
      </w:r>
    </w:p>
    <w:p w14:paraId="41E2A3B0">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2EAE817D">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49" w:name="_Toc13899"/>
      <w:r>
        <w:rPr>
          <w:rFonts w:hint="eastAsia" w:cs="仿宋" w:asciiTheme="minorEastAsia" w:hAnsiTheme="minorEastAsia" w:eastAsiaTheme="minorEastAsia"/>
          <w:color w:val="auto"/>
          <w:sz w:val="24"/>
          <w:szCs w:val="24"/>
          <w:highlight w:val="none"/>
        </w:rPr>
        <w:t>一、(事项一)</w:t>
      </w:r>
      <w:bookmarkEnd w:id="49"/>
    </w:p>
    <w:p w14:paraId="77AA571F">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CDD41BD">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F2FC4B5">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69A0D73">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50" w:name="_Toc3352"/>
      <w:r>
        <w:rPr>
          <w:rFonts w:hint="eastAsia" w:cs="仿宋" w:asciiTheme="minorEastAsia" w:hAnsiTheme="minorEastAsia" w:eastAsiaTheme="minorEastAsia"/>
          <w:color w:val="auto"/>
          <w:sz w:val="24"/>
          <w:szCs w:val="24"/>
          <w:highlight w:val="none"/>
        </w:rPr>
        <w:t>二、(事项二)</w:t>
      </w:r>
      <w:bookmarkEnd w:id="50"/>
    </w:p>
    <w:p w14:paraId="6F02C95E">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8F41E1F">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28347895">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0002C67F">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585ABDD">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41EF9D3">
      <w:pP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636318B2">
      <w:pPr>
        <w:jc w:val="center"/>
        <w:outlineLvl w:val="1"/>
        <w:rPr>
          <w:rFonts w:hint="eastAsia" w:ascii="仿宋" w:hAnsi="仿宋" w:eastAsia="仿宋" w:cs="仿宋"/>
          <w:b/>
          <w:bCs/>
          <w:color w:val="auto"/>
          <w:sz w:val="32"/>
          <w:szCs w:val="44"/>
          <w:highlight w:val="none"/>
        </w:rPr>
      </w:pPr>
      <w:bookmarkStart w:id="51" w:name="_Toc3245"/>
      <w:bookmarkStart w:id="52" w:name="_Toc1575"/>
      <w:r>
        <w:rPr>
          <w:rFonts w:hint="eastAsia" w:ascii="仿宋" w:hAnsi="仿宋" w:eastAsia="仿宋" w:cs="仿宋"/>
          <w:b/>
          <w:bCs/>
          <w:color w:val="auto"/>
          <w:sz w:val="32"/>
          <w:szCs w:val="44"/>
          <w:highlight w:val="none"/>
        </w:rPr>
        <w:t>质疑函范本</w:t>
      </w:r>
      <w:bookmarkEnd w:id="51"/>
      <w:bookmarkEnd w:id="52"/>
    </w:p>
    <w:p w14:paraId="6BB74DF0">
      <w:pPr>
        <w:adjustRightInd w:val="0"/>
        <w:snapToGrid w:val="0"/>
        <w:spacing w:before="312" w:beforeLines="100" w:line="360" w:lineRule="auto"/>
        <w:rPr>
          <w:rFonts w:hint="eastAsia" w:cs="仿宋" w:asciiTheme="minorEastAsia" w:hAnsiTheme="minorEastAsia" w:eastAsiaTheme="minorEastAsia"/>
          <w:b/>
          <w:bCs/>
          <w:color w:val="auto"/>
          <w:sz w:val="24"/>
          <w:szCs w:val="24"/>
          <w:highlight w:val="none"/>
        </w:rPr>
      </w:pPr>
      <w:bookmarkStart w:id="53" w:name="_Toc21381"/>
      <w:r>
        <w:rPr>
          <w:rFonts w:hint="eastAsia" w:cs="仿宋" w:asciiTheme="minorEastAsia" w:hAnsiTheme="minorEastAsia" w:eastAsiaTheme="minorEastAsia"/>
          <w:b/>
          <w:bCs/>
          <w:color w:val="auto"/>
          <w:sz w:val="24"/>
          <w:szCs w:val="24"/>
          <w:highlight w:val="none"/>
        </w:rPr>
        <w:t>一、质疑供应商基本信息</w:t>
      </w:r>
      <w:bookmarkEnd w:id="53"/>
    </w:p>
    <w:p w14:paraId="7235D1E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5C212A3">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151C5F7">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9246AE6">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525CF0D">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6684E2DD">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3001A85">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4" w:name="_Toc28415"/>
      <w:r>
        <w:rPr>
          <w:rFonts w:hint="eastAsia" w:cs="仿宋" w:asciiTheme="minorEastAsia" w:hAnsiTheme="minorEastAsia" w:eastAsiaTheme="minorEastAsia"/>
          <w:b/>
          <w:bCs/>
          <w:color w:val="auto"/>
          <w:sz w:val="24"/>
          <w:szCs w:val="24"/>
          <w:highlight w:val="none"/>
        </w:rPr>
        <w:t>二、质疑项目基本情况</w:t>
      </w:r>
      <w:bookmarkEnd w:id="54"/>
    </w:p>
    <w:p w14:paraId="060618D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2F2BBC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2519ACF0">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650C3426">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20398227">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5" w:name="_Toc19014"/>
      <w:r>
        <w:rPr>
          <w:rFonts w:hint="eastAsia" w:cs="仿宋" w:asciiTheme="minorEastAsia" w:hAnsiTheme="minorEastAsia" w:eastAsiaTheme="minorEastAsia"/>
          <w:b/>
          <w:bCs/>
          <w:color w:val="auto"/>
          <w:sz w:val="24"/>
          <w:szCs w:val="24"/>
          <w:highlight w:val="none"/>
        </w:rPr>
        <w:t>三、质疑事项具体内容</w:t>
      </w:r>
      <w:bookmarkEnd w:id="55"/>
    </w:p>
    <w:p w14:paraId="5942DEA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565316A">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625B3E8">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F73A39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0258EA86">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829CF67">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67066927">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BFCD9A0">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6" w:name="_Toc17919"/>
      <w:r>
        <w:rPr>
          <w:rFonts w:hint="eastAsia" w:cs="仿宋" w:asciiTheme="minorEastAsia" w:hAnsiTheme="minorEastAsia" w:eastAsiaTheme="minorEastAsia"/>
          <w:b/>
          <w:bCs/>
          <w:color w:val="auto"/>
          <w:sz w:val="24"/>
          <w:szCs w:val="24"/>
          <w:highlight w:val="none"/>
        </w:rPr>
        <w:t>四、与质疑事项相关的质疑请求</w:t>
      </w:r>
      <w:bookmarkEnd w:id="56"/>
    </w:p>
    <w:p w14:paraId="2E35D4E0">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23451B1">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0C2ED59C">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BC58122">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2F7EFC8">
      <w:pPr>
        <w:outlineLvl w:val="0"/>
        <w:rPr>
          <w:rFonts w:hint="eastAsia" w:asciiTheme="minorEastAsia" w:hAnsiTheme="minorEastAsia" w:eastAsiaTheme="minorEastAsia"/>
          <w:b/>
          <w:color w:val="auto"/>
          <w:sz w:val="28"/>
          <w:szCs w:val="32"/>
          <w:highlight w:val="none"/>
        </w:rPr>
      </w:pPr>
      <w:bookmarkStart w:id="57" w:name="_Toc9754"/>
      <w:bookmarkStart w:id="58" w:name="_Toc26836"/>
      <w:r>
        <w:rPr>
          <w:rFonts w:hint="eastAsia" w:asciiTheme="minorEastAsia" w:hAnsiTheme="minorEastAsia" w:eastAsiaTheme="minorEastAsia"/>
          <w:b/>
          <w:color w:val="auto"/>
          <w:sz w:val="28"/>
          <w:szCs w:val="32"/>
          <w:highlight w:val="none"/>
        </w:rPr>
        <w:t>质疑函制作说明：</w:t>
      </w:r>
      <w:bookmarkEnd w:id="57"/>
      <w:bookmarkEnd w:id="58"/>
    </w:p>
    <w:p w14:paraId="5CB6C45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A98158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7EAB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187C2A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5042206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13E21D0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0634">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5278">
    <w:pPr>
      <w:pStyle w:val="1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B7FEE">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FB7FEE">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394A">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093A3">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13093A3">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C011">
    <w:pPr>
      <w:pStyle w:val="1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60D4">
    <w:pPr>
      <w:pStyle w:val="17"/>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8F192">
    <w:pPr>
      <w:pStyle w:val="17"/>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635E9165"/>
    <w:multiLevelType w:val="multilevel"/>
    <w:tmpl w:val="635E916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784"/>
    <w:rsid w:val="00224C4A"/>
    <w:rsid w:val="00224D86"/>
    <w:rsid w:val="002338E2"/>
    <w:rsid w:val="0023407E"/>
    <w:rsid w:val="00240B40"/>
    <w:rsid w:val="002440D8"/>
    <w:rsid w:val="00244182"/>
    <w:rsid w:val="00245F65"/>
    <w:rsid w:val="00246810"/>
    <w:rsid w:val="00260860"/>
    <w:rsid w:val="00260B94"/>
    <w:rsid w:val="002610D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23E"/>
    <w:rsid w:val="00585EB3"/>
    <w:rsid w:val="00591688"/>
    <w:rsid w:val="00592509"/>
    <w:rsid w:val="00594986"/>
    <w:rsid w:val="00597B15"/>
    <w:rsid w:val="005A044C"/>
    <w:rsid w:val="005B5C95"/>
    <w:rsid w:val="005B6740"/>
    <w:rsid w:val="005D0200"/>
    <w:rsid w:val="005D44EF"/>
    <w:rsid w:val="005D4814"/>
    <w:rsid w:val="005D5112"/>
    <w:rsid w:val="005E791B"/>
    <w:rsid w:val="005F03E3"/>
    <w:rsid w:val="005F3914"/>
    <w:rsid w:val="005F3B5A"/>
    <w:rsid w:val="005F6AB4"/>
    <w:rsid w:val="0060362D"/>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0FBE"/>
    <w:rsid w:val="007B1C56"/>
    <w:rsid w:val="007B4996"/>
    <w:rsid w:val="007C3CD5"/>
    <w:rsid w:val="007C61EF"/>
    <w:rsid w:val="007D1C0D"/>
    <w:rsid w:val="007D2D23"/>
    <w:rsid w:val="007D7644"/>
    <w:rsid w:val="007E036C"/>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54712"/>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472D8"/>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B75DB"/>
    <w:rsid w:val="00CC1202"/>
    <w:rsid w:val="00CC4099"/>
    <w:rsid w:val="00CC45C1"/>
    <w:rsid w:val="00CD09E1"/>
    <w:rsid w:val="00CD5078"/>
    <w:rsid w:val="00CD6202"/>
    <w:rsid w:val="00CD6E67"/>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3C55"/>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54D24"/>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68B"/>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265D8"/>
    <w:rsid w:val="01382DB4"/>
    <w:rsid w:val="016829D9"/>
    <w:rsid w:val="017B1BF9"/>
    <w:rsid w:val="01964270"/>
    <w:rsid w:val="01CF0D89"/>
    <w:rsid w:val="01DC37E8"/>
    <w:rsid w:val="01E93A1B"/>
    <w:rsid w:val="01F23F0C"/>
    <w:rsid w:val="01F304E5"/>
    <w:rsid w:val="0214602E"/>
    <w:rsid w:val="022F42BF"/>
    <w:rsid w:val="024D7265"/>
    <w:rsid w:val="0273010D"/>
    <w:rsid w:val="02867E41"/>
    <w:rsid w:val="02915639"/>
    <w:rsid w:val="02C67BDB"/>
    <w:rsid w:val="02D108F4"/>
    <w:rsid w:val="02DA6FE9"/>
    <w:rsid w:val="02FB2440"/>
    <w:rsid w:val="031A5554"/>
    <w:rsid w:val="031F3DF1"/>
    <w:rsid w:val="03457CFC"/>
    <w:rsid w:val="03486B27"/>
    <w:rsid w:val="036B7036"/>
    <w:rsid w:val="03870314"/>
    <w:rsid w:val="0389560C"/>
    <w:rsid w:val="038E557D"/>
    <w:rsid w:val="039C3694"/>
    <w:rsid w:val="03A64E9B"/>
    <w:rsid w:val="03A763E2"/>
    <w:rsid w:val="03C50E3C"/>
    <w:rsid w:val="03C72C05"/>
    <w:rsid w:val="03DD29A1"/>
    <w:rsid w:val="040556DD"/>
    <w:rsid w:val="040A094E"/>
    <w:rsid w:val="043D4E77"/>
    <w:rsid w:val="043F347F"/>
    <w:rsid w:val="046643CE"/>
    <w:rsid w:val="048E2C65"/>
    <w:rsid w:val="04912ACD"/>
    <w:rsid w:val="04CB5FDF"/>
    <w:rsid w:val="056E2007"/>
    <w:rsid w:val="056F201D"/>
    <w:rsid w:val="05A80CC5"/>
    <w:rsid w:val="05B178CA"/>
    <w:rsid w:val="05B41169"/>
    <w:rsid w:val="05B664D4"/>
    <w:rsid w:val="064B485A"/>
    <w:rsid w:val="068C65C4"/>
    <w:rsid w:val="06A92350"/>
    <w:rsid w:val="06D27AF8"/>
    <w:rsid w:val="07076C01"/>
    <w:rsid w:val="07117ADC"/>
    <w:rsid w:val="071C12AC"/>
    <w:rsid w:val="07292EE8"/>
    <w:rsid w:val="079608BF"/>
    <w:rsid w:val="07A05617"/>
    <w:rsid w:val="07A934B3"/>
    <w:rsid w:val="07CA2B27"/>
    <w:rsid w:val="07EB55C1"/>
    <w:rsid w:val="07EB6287"/>
    <w:rsid w:val="0806421B"/>
    <w:rsid w:val="081A063F"/>
    <w:rsid w:val="081C4913"/>
    <w:rsid w:val="08335BAA"/>
    <w:rsid w:val="08404F36"/>
    <w:rsid w:val="087A6217"/>
    <w:rsid w:val="087C4E23"/>
    <w:rsid w:val="089018A1"/>
    <w:rsid w:val="08964B56"/>
    <w:rsid w:val="08A72371"/>
    <w:rsid w:val="09061CDB"/>
    <w:rsid w:val="09204E11"/>
    <w:rsid w:val="093C6197"/>
    <w:rsid w:val="0980799C"/>
    <w:rsid w:val="098F1CD1"/>
    <w:rsid w:val="09944B8E"/>
    <w:rsid w:val="09A03EDE"/>
    <w:rsid w:val="09B90AFC"/>
    <w:rsid w:val="0A216D3B"/>
    <w:rsid w:val="0A2E299B"/>
    <w:rsid w:val="0A3208AE"/>
    <w:rsid w:val="0A6446C8"/>
    <w:rsid w:val="0A6A18DB"/>
    <w:rsid w:val="0A9357F1"/>
    <w:rsid w:val="0A975339"/>
    <w:rsid w:val="0A975B48"/>
    <w:rsid w:val="0AC171E0"/>
    <w:rsid w:val="0AC679E9"/>
    <w:rsid w:val="0AEF3828"/>
    <w:rsid w:val="0B1701D0"/>
    <w:rsid w:val="0B406381"/>
    <w:rsid w:val="0B6727D9"/>
    <w:rsid w:val="0B7218AA"/>
    <w:rsid w:val="0BB452AA"/>
    <w:rsid w:val="0BBB665B"/>
    <w:rsid w:val="0BF56037"/>
    <w:rsid w:val="0CCA1272"/>
    <w:rsid w:val="0CF640CE"/>
    <w:rsid w:val="0D896A37"/>
    <w:rsid w:val="0DAB3173"/>
    <w:rsid w:val="0E277063"/>
    <w:rsid w:val="0E312337"/>
    <w:rsid w:val="0E477E26"/>
    <w:rsid w:val="0E4F7062"/>
    <w:rsid w:val="0E855450"/>
    <w:rsid w:val="0E8C2C83"/>
    <w:rsid w:val="0EEA6FC1"/>
    <w:rsid w:val="0EEE7499"/>
    <w:rsid w:val="0F222B14"/>
    <w:rsid w:val="0F2334BA"/>
    <w:rsid w:val="0F790928"/>
    <w:rsid w:val="0F8A059C"/>
    <w:rsid w:val="0F9A13CF"/>
    <w:rsid w:val="0FD04EBC"/>
    <w:rsid w:val="0FE97C61"/>
    <w:rsid w:val="1001144E"/>
    <w:rsid w:val="1038043C"/>
    <w:rsid w:val="1057106E"/>
    <w:rsid w:val="105D02BD"/>
    <w:rsid w:val="106C40D0"/>
    <w:rsid w:val="107415C7"/>
    <w:rsid w:val="10946899"/>
    <w:rsid w:val="10AE725F"/>
    <w:rsid w:val="10CD72BB"/>
    <w:rsid w:val="10E14E69"/>
    <w:rsid w:val="10FB40F0"/>
    <w:rsid w:val="110F02D5"/>
    <w:rsid w:val="118714DF"/>
    <w:rsid w:val="119F0BF7"/>
    <w:rsid w:val="11B82180"/>
    <w:rsid w:val="11CC0F45"/>
    <w:rsid w:val="11D93F17"/>
    <w:rsid w:val="12197477"/>
    <w:rsid w:val="122375E8"/>
    <w:rsid w:val="12303925"/>
    <w:rsid w:val="125E3A8A"/>
    <w:rsid w:val="12614612"/>
    <w:rsid w:val="128D26C1"/>
    <w:rsid w:val="12900868"/>
    <w:rsid w:val="12B11C20"/>
    <w:rsid w:val="12B56F66"/>
    <w:rsid w:val="12C33309"/>
    <w:rsid w:val="12E666D9"/>
    <w:rsid w:val="1312540B"/>
    <w:rsid w:val="13180AEA"/>
    <w:rsid w:val="131B5CD3"/>
    <w:rsid w:val="132521E9"/>
    <w:rsid w:val="13373EE7"/>
    <w:rsid w:val="134578A4"/>
    <w:rsid w:val="13682B89"/>
    <w:rsid w:val="13776448"/>
    <w:rsid w:val="13CB02AB"/>
    <w:rsid w:val="13E764D3"/>
    <w:rsid w:val="14157276"/>
    <w:rsid w:val="1424395D"/>
    <w:rsid w:val="14261574"/>
    <w:rsid w:val="142C45C0"/>
    <w:rsid w:val="142C7B79"/>
    <w:rsid w:val="14332B73"/>
    <w:rsid w:val="144573F9"/>
    <w:rsid w:val="14627FE2"/>
    <w:rsid w:val="1466407E"/>
    <w:rsid w:val="14794DDB"/>
    <w:rsid w:val="14834E28"/>
    <w:rsid w:val="1487316F"/>
    <w:rsid w:val="148E7D65"/>
    <w:rsid w:val="148F527B"/>
    <w:rsid w:val="149C0CC4"/>
    <w:rsid w:val="14B26AFA"/>
    <w:rsid w:val="14B572C9"/>
    <w:rsid w:val="14D64C58"/>
    <w:rsid w:val="14E7280A"/>
    <w:rsid w:val="15231BF9"/>
    <w:rsid w:val="154C1139"/>
    <w:rsid w:val="15C4546D"/>
    <w:rsid w:val="161C0D90"/>
    <w:rsid w:val="163A1216"/>
    <w:rsid w:val="164C7F84"/>
    <w:rsid w:val="16787F37"/>
    <w:rsid w:val="169F72CB"/>
    <w:rsid w:val="16A15E13"/>
    <w:rsid w:val="16B07D64"/>
    <w:rsid w:val="17836BED"/>
    <w:rsid w:val="178D5376"/>
    <w:rsid w:val="17A15A10"/>
    <w:rsid w:val="17A54DB5"/>
    <w:rsid w:val="17AD4997"/>
    <w:rsid w:val="17B2302E"/>
    <w:rsid w:val="18652979"/>
    <w:rsid w:val="18687CA0"/>
    <w:rsid w:val="18823145"/>
    <w:rsid w:val="18A6244A"/>
    <w:rsid w:val="18A92CCB"/>
    <w:rsid w:val="18B644E1"/>
    <w:rsid w:val="18BC4DD8"/>
    <w:rsid w:val="18DE057F"/>
    <w:rsid w:val="18FC6C57"/>
    <w:rsid w:val="18FE139B"/>
    <w:rsid w:val="190573AE"/>
    <w:rsid w:val="191331C3"/>
    <w:rsid w:val="19143BA9"/>
    <w:rsid w:val="19257F5C"/>
    <w:rsid w:val="195D0247"/>
    <w:rsid w:val="19873C1D"/>
    <w:rsid w:val="19DB3B2E"/>
    <w:rsid w:val="19E716B5"/>
    <w:rsid w:val="19F636A6"/>
    <w:rsid w:val="1A064976"/>
    <w:rsid w:val="1A1670E6"/>
    <w:rsid w:val="1A1B4EBB"/>
    <w:rsid w:val="1A2E1848"/>
    <w:rsid w:val="1A3505F7"/>
    <w:rsid w:val="1A3B68AA"/>
    <w:rsid w:val="1A3E1C1E"/>
    <w:rsid w:val="1A4C6BF6"/>
    <w:rsid w:val="1A6F1E95"/>
    <w:rsid w:val="1A8D5661"/>
    <w:rsid w:val="1AA67400"/>
    <w:rsid w:val="1AD2449D"/>
    <w:rsid w:val="1AF649F1"/>
    <w:rsid w:val="1B1D686F"/>
    <w:rsid w:val="1B6F4F40"/>
    <w:rsid w:val="1B820314"/>
    <w:rsid w:val="1B910DB4"/>
    <w:rsid w:val="1BF16D3F"/>
    <w:rsid w:val="1C141836"/>
    <w:rsid w:val="1C233F1C"/>
    <w:rsid w:val="1C2A60FB"/>
    <w:rsid w:val="1C413DEA"/>
    <w:rsid w:val="1C6F4800"/>
    <w:rsid w:val="1C76537D"/>
    <w:rsid w:val="1C827473"/>
    <w:rsid w:val="1C8723AA"/>
    <w:rsid w:val="1CB6166F"/>
    <w:rsid w:val="1CC731B0"/>
    <w:rsid w:val="1CD05BA3"/>
    <w:rsid w:val="1D242622"/>
    <w:rsid w:val="1D2D7E40"/>
    <w:rsid w:val="1D70551D"/>
    <w:rsid w:val="1D756FD8"/>
    <w:rsid w:val="1DBE4F63"/>
    <w:rsid w:val="1DD65CC8"/>
    <w:rsid w:val="1E301693"/>
    <w:rsid w:val="1E6B6A14"/>
    <w:rsid w:val="1E7E1F44"/>
    <w:rsid w:val="1E845CFB"/>
    <w:rsid w:val="1EA40706"/>
    <w:rsid w:val="1EAF6816"/>
    <w:rsid w:val="1EB01E85"/>
    <w:rsid w:val="1F01268F"/>
    <w:rsid w:val="1F480DDB"/>
    <w:rsid w:val="1F80567A"/>
    <w:rsid w:val="1FCF0C21"/>
    <w:rsid w:val="1FD46237"/>
    <w:rsid w:val="1FE741BD"/>
    <w:rsid w:val="1FF40688"/>
    <w:rsid w:val="20052895"/>
    <w:rsid w:val="202A40A9"/>
    <w:rsid w:val="20471A9B"/>
    <w:rsid w:val="20482782"/>
    <w:rsid w:val="20550D9A"/>
    <w:rsid w:val="20564928"/>
    <w:rsid w:val="20994D8B"/>
    <w:rsid w:val="20BD3E04"/>
    <w:rsid w:val="20BE6C95"/>
    <w:rsid w:val="20C64363"/>
    <w:rsid w:val="21073B7C"/>
    <w:rsid w:val="21143936"/>
    <w:rsid w:val="212C79CD"/>
    <w:rsid w:val="213E20BD"/>
    <w:rsid w:val="214F69F1"/>
    <w:rsid w:val="21611D4D"/>
    <w:rsid w:val="218E2416"/>
    <w:rsid w:val="21DA4531"/>
    <w:rsid w:val="22196184"/>
    <w:rsid w:val="221A1EFC"/>
    <w:rsid w:val="221C55F6"/>
    <w:rsid w:val="22370D00"/>
    <w:rsid w:val="224114F2"/>
    <w:rsid w:val="22532A53"/>
    <w:rsid w:val="22635651"/>
    <w:rsid w:val="226915FE"/>
    <w:rsid w:val="226C7E19"/>
    <w:rsid w:val="22737F8A"/>
    <w:rsid w:val="229D27C9"/>
    <w:rsid w:val="22B77DA3"/>
    <w:rsid w:val="22C87710"/>
    <w:rsid w:val="22DC376E"/>
    <w:rsid w:val="22DE5886"/>
    <w:rsid w:val="232D0759"/>
    <w:rsid w:val="236276FB"/>
    <w:rsid w:val="23634327"/>
    <w:rsid w:val="23A00635"/>
    <w:rsid w:val="241804A5"/>
    <w:rsid w:val="242C4775"/>
    <w:rsid w:val="243B497F"/>
    <w:rsid w:val="245711E5"/>
    <w:rsid w:val="248D3813"/>
    <w:rsid w:val="24B97929"/>
    <w:rsid w:val="24CF521F"/>
    <w:rsid w:val="24D632D7"/>
    <w:rsid w:val="255C2C0B"/>
    <w:rsid w:val="25C41910"/>
    <w:rsid w:val="25D725DE"/>
    <w:rsid w:val="25EA6A1D"/>
    <w:rsid w:val="260D24A3"/>
    <w:rsid w:val="26171271"/>
    <w:rsid w:val="26192BF6"/>
    <w:rsid w:val="26350999"/>
    <w:rsid w:val="26405A11"/>
    <w:rsid w:val="26597A5E"/>
    <w:rsid w:val="26FE247D"/>
    <w:rsid w:val="27247AA4"/>
    <w:rsid w:val="274E4B21"/>
    <w:rsid w:val="27D65DBA"/>
    <w:rsid w:val="27EF1A84"/>
    <w:rsid w:val="27F136FF"/>
    <w:rsid w:val="28355CE1"/>
    <w:rsid w:val="28545F03"/>
    <w:rsid w:val="285D0AB8"/>
    <w:rsid w:val="285F40CA"/>
    <w:rsid w:val="28701B39"/>
    <w:rsid w:val="288775CB"/>
    <w:rsid w:val="288B2282"/>
    <w:rsid w:val="289E1AF0"/>
    <w:rsid w:val="28AB38E2"/>
    <w:rsid w:val="28BE4A1C"/>
    <w:rsid w:val="28C01ECB"/>
    <w:rsid w:val="28CD76CA"/>
    <w:rsid w:val="28D43150"/>
    <w:rsid w:val="29336A3F"/>
    <w:rsid w:val="29583A35"/>
    <w:rsid w:val="298E0913"/>
    <w:rsid w:val="299802D6"/>
    <w:rsid w:val="29BF71E3"/>
    <w:rsid w:val="29D6387F"/>
    <w:rsid w:val="2A0113E2"/>
    <w:rsid w:val="2A127B63"/>
    <w:rsid w:val="2A1534FC"/>
    <w:rsid w:val="2A451A6C"/>
    <w:rsid w:val="2A4634BC"/>
    <w:rsid w:val="2A9136E8"/>
    <w:rsid w:val="2A993030"/>
    <w:rsid w:val="2AAA4765"/>
    <w:rsid w:val="2AC21606"/>
    <w:rsid w:val="2AFA13BE"/>
    <w:rsid w:val="2B211B2D"/>
    <w:rsid w:val="2B700544"/>
    <w:rsid w:val="2B7E7608"/>
    <w:rsid w:val="2B7F04E9"/>
    <w:rsid w:val="2B896186"/>
    <w:rsid w:val="2B8B554A"/>
    <w:rsid w:val="2BA45ACA"/>
    <w:rsid w:val="2BA62462"/>
    <w:rsid w:val="2BAE2033"/>
    <w:rsid w:val="2BB1567F"/>
    <w:rsid w:val="2BD27A22"/>
    <w:rsid w:val="2BE041B6"/>
    <w:rsid w:val="2BE42462"/>
    <w:rsid w:val="2BEC66B7"/>
    <w:rsid w:val="2C0D5C62"/>
    <w:rsid w:val="2C2F07C7"/>
    <w:rsid w:val="2C4D0C0B"/>
    <w:rsid w:val="2C583D4C"/>
    <w:rsid w:val="2C866B0B"/>
    <w:rsid w:val="2CB71FF6"/>
    <w:rsid w:val="2CD77367"/>
    <w:rsid w:val="2CDB3B0B"/>
    <w:rsid w:val="2CDC08C3"/>
    <w:rsid w:val="2D0D4B37"/>
    <w:rsid w:val="2D496D68"/>
    <w:rsid w:val="2D7D05E4"/>
    <w:rsid w:val="2DB81892"/>
    <w:rsid w:val="2DB93D3A"/>
    <w:rsid w:val="2DC0604D"/>
    <w:rsid w:val="2DD22AD3"/>
    <w:rsid w:val="2E290AD3"/>
    <w:rsid w:val="2E443666"/>
    <w:rsid w:val="2E7A48DE"/>
    <w:rsid w:val="2E807B15"/>
    <w:rsid w:val="2E813A2E"/>
    <w:rsid w:val="2E9215C0"/>
    <w:rsid w:val="2EBA5177"/>
    <w:rsid w:val="2EDC3ED8"/>
    <w:rsid w:val="2EDF0755"/>
    <w:rsid w:val="2EE63891"/>
    <w:rsid w:val="2F104B00"/>
    <w:rsid w:val="2F125CDF"/>
    <w:rsid w:val="2F350375"/>
    <w:rsid w:val="2F6351B4"/>
    <w:rsid w:val="2F7E7F6E"/>
    <w:rsid w:val="2FAD0BBB"/>
    <w:rsid w:val="2FC86126"/>
    <w:rsid w:val="2FCF199E"/>
    <w:rsid w:val="2FE1071D"/>
    <w:rsid w:val="2FE75B13"/>
    <w:rsid w:val="3031431F"/>
    <w:rsid w:val="303F76FD"/>
    <w:rsid w:val="30403120"/>
    <w:rsid w:val="30483E83"/>
    <w:rsid w:val="30575B32"/>
    <w:rsid w:val="307F2116"/>
    <w:rsid w:val="30943775"/>
    <w:rsid w:val="30BF3991"/>
    <w:rsid w:val="30C96FC7"/>
    <w:rsid w:val="30F42C13"/>
    <w:rsid w:val="30F93D50"/>
    <w:rsid w:val="3111619A"/>
    <w:rsid w:val="311A5A74"/>
    <w:rsid w:val="312C7527"/>
    <w:rsid w:val="316E7B6E"/>
    <w:rsid w:val="316F5DC0"/>
    <w:rsid w:val="319121DA"/>
    <w:rsid w:val="31931D67"/>
    <w:rsid w:val="31B139DC"/>
    <w:rsid w:val="31D178DC"/>
    <w:rsid w:val="32317519"/>
    <w:rsid w:val="32497AF3"/>
    <w:rsid w:val="324B1189"/>
    <w:rsid w:val="324B1B69"/>
    <w:rsid w:val="328638C0"/>
    <w:rsid w:val="32963172"/>
    <w:rsid w:val="32A66287"/>
    <w:rsid w:val="32FF6777"/>
    <w:rsid w:val="330E7A77"/>
    <w:rsid w:val="33292500"/>
    <w:rsid w:val="33353039"/>
    <w:rsid w:val="338C30AF"/>
    <w:rsid w:val="33AB50A9"/>
    <w:rsid w:val="33CF0D98"/>
    <w:rsid w:val="33F1792A"/>
    <w:rsid w:val="341C213D"/>
    <w:rsid w:val="341E6FEF"/>
    <w:rsid w:val="343C0775"/>
    <w:rsid w:val="3466053C"/>
    <w:rsid w:val="347436ED"/>
    <w:rsid w:val="34993154"/>
    <w:rsid w:val="34A53FEB"/>
    <w:rsid w:val="34E02B31"/>
    <w:rsid w:val="35444C60"/>
    <w:rsid w:val="354B4447"/>
    <w:rsid w:val="356C50EC"/>
    <w:rsid w:val="356E45E1"/>
    <w:rsid w:val="3579793F"/>
    <w:rsid w:val="35CD57AB"/>
    <w:rsid w:val="35D22DC1"/>
    <w:rsid w:val="36015455"/>
    <w:rsid w:val="36137E45"/>
    <w:rsid w:val="362D1DA6"/>
    <w:rsid w:val="36376E0A"/>
    <w:rsid w:val="363F11E1"/>
    <w:rsid w:val="36CC15BF"/>
    <w:rsid w:val="36E27AE8"/>
    <w:rsid w:val="36EA7C97"/>
    <w:rsid w:val="3700166C"/>
    <w:rsid w:val="370E31D3"/>
    <w:rsid w:val="371C44B5"/>
    <w:rsid w:val="371F72C3"/>
    <w:rsid w:val="37887BDC"/>
    <w:rsid w:val="378F142A"/>
    <w:rsid w:val="379A1012"/>
    <w:rsid w:val="37A367C3"/>
    <w:rsid w:val="37CE2664"/>
    <w:rsid w:val="381A1DB4"/>
    <w:rsid w:val="38694EE9"/>
    <w:rsid w:val="3870241E"/>
    <w:rsid w:val="38AB7897"/>
    <w:rsid w:val="38B21A10"/>
    <w:rsid w:val="38C44509"/>
    <w:rsid w:val="38C92B50"/>
    <w:rsid w:val="38D66725"/>
    <w:rsid w:val="39037E27"/>
    <w:rsid w:val="391E2591"/>
    <w:rsid w:val="39355B41"/>
    <w:rsid w:val="394E6A33"/>
    <w:rsid w:val="39643B0E"/>
    <w:rsid w:val="39755578"/>
    <w:rsid w:val="397E7B9C"/>
    <w:rsid w:val="39DA3FF3"/>
    <w:rsid w:val="3A2A6ADD"/>
    <w:rsid w:val="3A2B0CF2"/>
    <w:rsid w:val="3A4D14B3"/>
    <w:rsid w:val="3A6818FA"/>
    <w:rsid w:val="3A72247D"/>
    <w:rsid w:val="3A7652B3"/>
    <w:rsid w:val="3A7C5988"/>
    <w:rsid w:val="3A8C21FC"/>
    <w:rsid w:val="3A935D4C"/>
    <w:rsid w:val="3B004F09"/>
    <w:rsid w:val="3B021500"/>
    <w:rsid w:val="3B0F12A5"/>
    <w:rsid w:val="3B365CC9"/>
    <w:rsid w:val="3B6834A4"/>
    <w:rsid w:val="3B9A7B88"/>
    <w:rsid w:val="3BD827B4"/>
    <w:rsid w:val="3C0454EB"/>
    <w:rsid w:val="3C095DE7"/>
    <w:rsid w:val="3C1B7B8B"/>
    <w:rsid w:val="3C1C23A7"/>
    <w:rsid w:val="3C1E28BD"/>
    <w:rsid w:val="3C292100"/>
    <w:rsid w:val="3C853325"/>
    <w:rsid w:val="3C90308E"/>
    <w:rsid w:val="3C9A71D4"/>
    <w:rsid w:val="3C9E1C4F"/>
    <w:rsid w:val="3CBE7BFC"/>
    <w:rsid w:val="3CCE67A9"/>
    <w:rsid w:val="3CF4361D"/>
    <w:rsid w:val="3CFC5E34"/>
    <w:rsid w:val="3D2C7AC8"/>
    <w:rsid w:val="3D324146"/>
    <w:rsid w:val="3D855D12"/>
    <w:rsid w:val="3D8B42FF"/>
    <w:rsid w:val="3DB74195"/>
    <w:rsid w:val="3DD50111"/>
    <w:rsid w:val="3DD92421"/>
    <w:rsid w:val="3DDE02FB"/>
    <w:rsid w:val="3DE86C4C"/>
    <w:rsid w:val="3DF13E82"/>
    <w:rsid w:val="3DF36A6E"/>
    <w:rsid w:val="3DF8048B"/>
    <w:rsid w:val="3DFD29A6"/>
    <w:rsid w:val="3E0B0DE3"/>
    <w:rsid w:val="3E565D4A"/>
    <w:rsid w:val="3E597A83"/>
    <w:rsid w:val="3EBA1EE9"/>
    <w:rsid w:val="3ECE3ED7"/>
    <w:rsid w:val="3F0D5CFD"/>
    <w:rsid w:val="3F6C7DE3"/>
    <w:rsid w:val="3F6E6406"/>
    <w:rsid w:val="3F792F1E"/>
    <w:rsid w:val="3F996157"/>
    <w:rsid w:val="3FA62141"/>
    <w:rsid w:val="3FD06D52"/>
    <w:rsid w:val="401B0661"/>
    <w:rsid w:val="40496022"/>
    <w:rsid w:val="405F34A4"/>
    <w:rsid w:val="40824826"/>
    <w:rsid w:val="40833567"/>
    <w:rsid w:val="40870703"/>
    <w:rsid w:val="40956EC5"/>
    <w:rsid w:val="40E63923"/>
    <w:rsid w:val="40FC1256"/>
    <w:rsid w:val="411E5666"/>
    <w:rsid w:val="412479F7"/>
    <w:rsid w:val="41406E31"/>
    <w:rsid w:val="414D3CCC"/>
    <w:rsid w:val="41566655"/>
    <w:rsid w:val="41792E05"/>
    <w:rsid w:val="41814752"/>
    <w:rsid w:val="41BA21D5"/>
    <w:rsid w:val="41F1637D"/>
    <w:rsid w:val="425F27EB"/>
    <w:rsid w:val="425F4A35"/>
    <w:rsid w:val="429F0E23"/>
    <w:rsid w:val="42A96C58"/>
    <w:rsid w:val="42BE6BA7"/>
    <w:rsid w:val="42DA1507"/>
    <w:rsid w:val="42E47C90"/>
    <w:rsid w:val="432076E6"/>
    <w:rsid w:val="43342250"/>
    <w:rsid w:val="433C1574"/>
    <w:rsid w:val="43A91E5B"/>
    <w:rsid w:val="43AA1A57"/>
    <w:rsid w:val="43AF0A03"/>
    <w:rsid w:val="44055F4E"/>
    <w:rsid w:val="44103433"/>
    <w:rsid w:val="445F4788"/>
    <w:rsid w:val="447846A6"/>
    <w:rsid w:val="449961D7"/>
    <w:rsid w:val="449D459A"/>
    <w:rsid w:val="449E0D39"/>
    <w:rsid w:val="44D10724"/>
    <w:rsid w:val="44D82665"/>
    <w:rsid w:val="44F85C75"/>
    <w:rsid w:val="45132AAF"/>
    <w:rsid w:val="451F76A5"/>
    <w:rsid w:val="45343151"/>
    <w:rsid w:val="45551C28"/>
    <w:rsid w:val="458C5F73"/>
    <w:rsid w:val="45BB117C"/>
    <w:rsid w:val="45E32B26"/>
    <w:rsid w:val="45E80675"/>
    <w:rsid w:val="462431C5"/>
    <w:rsid w:val="46287A7D"/>
    <w:rsid w:val="462E5B03"/>
    <w:rsid w:val="463A3650"/>
    <w:rsid w:val="46461627"/>
    <w:rsid w:val="46853538"/>
    <w:rsid w:val="469F0116"/>
    <w:rsid w:val="46D5060B"/>
    <w:rsid w:val="47116C31"/>
    <w:rsid w:val="47281811"/>
    <w:rsid w:val="475259B7"/>
    <w:rsid w:val="475C0B72"/>
    <w:rsid w:val="47AF788E"/>
    <w:rsid w:val="47C17F0C"/>
    <w:rsid w:val="485A499E"/>
    <w:rsid w:val="48611D38"/>
    <w:rsid w:val="487B2E3B"/>
    <w:rsid w:val="488302AE"/>
    <w:rsid w:val="48831CF9"/>
    <w:rsid w:val="48995492"/>
    <w:rsid w:val="48BD096B"/>
    <w:rsid w:val="49024C9C"/>
    <w:rsid w:val="49380D36"/>
    <w:rsid w:val="496B76CF"/>
    <w:rsid w:val="497955D6"/>
    <w:rsid w:val="49A56E1B"/>
    <w:rsid w:val="49B1408D"/>
    <w:rsid w:val="4A186FF4"/>
    <w:rsid w:val="4A1B48DF"/>
    <w:rsid w:val="4A3F67C0"/>
    <w:rsid w:val="4A4863E2"/>
    <w:rsid w:val="4A613079"/>
    <w:rsid w:val="4A677071"/>
    <w:rsid w:val="4A7D4FD2"/>
    <w:rsid w:val="4A802994"/>
    <w:rsid w:val="4A8626B0"/>
    <w:rsid w:val="4A913C9A"/>
    <w:rsid w:val="4AB80380"/>
    <w:rsid w:val="4AC72FF8"/>
    <w:rsid w:val="4AD55620"/>
    <w:rsid w:val="4B0435C5"/>
    <w:rsid w:val="4B1E6BAC"/>
    <w:rsid w:val="4B1F70AC"/>
    <w:rsid w:val="4B240F94"/>
    <w:rsid w:val="4B272E10"/>
    <w:rsid w:val="4B413ED2"/>
    <w:rsid w:val="4B5529CC"/>
    <w:rsid w:val="4B803312"/>
    <w:rsid w:val="4B807A40"/>
    <w:rsid w:val="4B8A33E0"/>
    <w:rsid w:val="4BB767A7"/>
    <w:rsid w:val="4BC6087B"/>
    <w:rsid w:val="4BCC4361"/>
    <w:rsid w:val="4BE87E41"/>
    <w:rsid w:val="4C0832E5"/>
    <w:rsid w:val="4C3C565C"/>
    <w:rsid w:val="4C3F5B70"/>
    <w:rsid w:val="4C5256D4"/>
    <w:rsid w:val="4C793B3F"/>
    <w:rsid w:val="4CCC79C7"/>
    <w:rsid w:val="4CEB6BD1"/>
    <w:rsid w:val="4D7555C7"/>
    <w:rsid w:val="4D7E765F"/>
    <w:rsid w:val="4DAE39CA"/>
    <w:rsid w:val="4E4767DD"/>
    <w:rsid w:val="4E5403C0"/>
    <w:rsid w:val="4E7520E4"/>
    <w:rsid w:val="4EAE6DA0"/>
    <w:rsid w:val="4ECC264C"/>
    <w:rsid w:val="4EDE7C89"/>
    <w:rsid w:val="4F493C9D"/>
    <w:rsid w:val="4F5B13C7"/>
    <w:rsid w:val="4F710AFD"/>
    <w:rsid w:val="4F7A5C04"/>
    <w:rsid w:val="4F855408"/>
    <w:rsid w:val="4F8922EB"/>
    <w:rsid w:val="4F9F296A"/>
    <w:rsid w:val="4FA40ED3"/>
    <w:rsid w:val="4FE37C4D"/>
    <w:rsid w:val="4FE47521"/>
    <w:rsid w:val="4FE617D9"/>
    <w:rsid w:val="5016514B"/>
    <w:rsid w:val="50241520"/>
    <w:rsid w:val="503E1327"/>
    <w:rsid w:val="504F1F09"/>
    <w:rsid w:val="50715259"/>
    <w:rsid w:val="50854F5A"/>
    <w:rsid w:val="50BD4DF3"/>
    <w:rsid w:val="50CC6D33"/>
    <w:rsid w:val="50D3357B"/>
    <w:rsid w:val="50FC1A26"/>
    <w:rsid w:val="51010497"/>
    <w:rsid w:val="512521C6"/>
    <w:rsid w:val="5125610B"/>
    <w:rsid w:val="51496818"/>
    <w:rsid w:val="515F79A9"/>
    <w:rsid w:val="51723664"/>
    <w:rsid w:val="518714DD"/>
    <w:rsid w:val="518B234A"/>
    <w:rsid w:val="518E552F"/>
    <w:rsid w:val="519531C9"/>
    <w:rsid w:val="51B64EEE"/>
    <w:rsid w:val="51CB1C78"/>
    <w:rsid w:val="51D53D43"/>
    <w:rsid w:val="51D74AD4"/>
    <w:rsid w:val="51D94DEA"/>
    <w:rsid w:val="51F30DEF"/>
    <w:rsid w:val="51FD6A51"/>
    <w:rsid w:val="522469E0"/>
    <w:rsid w:val="522E6293"/>
    <w:rsid w:val="526B680A"/>
    <w:rsid w:val="526C3842"/>
    <w:rsid w:val="527326DA"/>
    <w:rsid w:val="52836F71"/>
    <w:rsid w:val="52B458D1"/>
    <w:rsid w:val="52BC78D9"/>
    <w:rsid w:val="52C11D9C"/>
    <w:rsid w:val="52D26B02"/>
    <w:rsid w:val="52F1442F"/>
    <w:rsid w:val="532A395D"/>
    <w:rsid w:val="532D1275"/>
    <w:rsid w:val="533A0528"/>
    <w:rsid w:val="53462E30"/>
    <w:rsid w:val="53727A0C"/>
    <w:rsid w:val="53AE4F68"/>
    <w:rsid w:val="53E04BF9"/>
    <w:rsid w:val="540D34EB"/>
    <w:rsid w:val="541A5D30"/>
    <w:rsid w:val="54363BA0"/>
    <w:rsid w:val="54487F8F"/>
    <w:rsid w:val="54703A7A"/>
    <w:rsid w:val="54B418FE"/>
    <w:rsid w:val="54E84FB3"/>
    <w:rsid w:val="54F47E52"/>
    <w:rsid w:val="54FA6A32"/>
    <w:rsid w:val="55106C26"/>
    <w:rsid w:val="5524049C"/>
    <w:rsid w:val="555A0F92"/>
    <w:rsid w:val="556A671B"/>
    <w:rsid w:val="55805F3E"/>
    <w:rsid w:val="55C1559C"/>
    <w:rsid w:val="55E012E9"/>
    <w:rsid w:val="55F068CD"/>
    <w:rsid w:val="56220DA3"/>
    <w:rsid w:val="566556BF"/>
    <w:rsid w:val="566C3136"/>
    <w:rsid w:val="568D04F2"/>
    <w:rsid w:val="56913372"/>
    <w:rsid w:val="572813E4"/>
    <w:rsid w:val="573B467E"/>
    <w:rsid w:val="575C534A"/>
    <w:rsid w:val="576902D7"/>
    <w:rsid w:val="578D788D"/>
    <w:rsid w:val="5806097D"/>
    <w:rsid w:val="582C70D8"/>
    <w:rsid w:val="5830454C"/>
    <w:rsid w:val="58AE289F"/>
    <w:rsid w:val="58CC1B01"/>
    <w:rsid w:val="58D00315"/>
    <w:rsid w:val="58D04AE7"/>
    <w:rsid w:val="59174B6F"/>
    <w:rsid w:val="59266B6D"/>
    <w:rsid w:val="592A2449"/>
    <w:rsid w:val="593D6EE9"/>
    <w:rsid w:val="59417793"/>
    <w:rsid w:val="59A43D8B"/>
    <w:rsid w:val="59FC7866"/>
    <w:rsid w:val="5A413A7D"/>
    <w:rsid w:val="5A526582"/>
    <w:rsid w:val="5A584D94"/>
    <w:rsid w:val="5A5F5C77"/>
    <w:rsid w:val="5A711A0D"/>
    <w:rsid w:val="5A7725B2"/>
    <w:rsid w:val="5A8B33BB"/>
    <w:rsid w:val="5AA63D51"/>
    <w:rsid w:val="5AB436FB"/>
    <w:rsid w:val="5AC02939"/>
    <w:rsid w:val="5B1613E4"/>
    <w:rsid w:val="5B4D3559"/>
    <w:rsid w:val="5B78003B"/>
    <w:rsid w:val="5B8F37CB"/>
    <w:rsid w:val="5BC11A60"/>
    <w:rsid w:val="5BCE5E90"/>
    <w:rsid w:val="5BCF1086"/>
    <w:rsid w:val="5BD40D92"/>
    <w:rsid w:val="5BE332E9"/>
    <w:rsid w:val="5BF5648C"/>
    <w:rsid w:val="5C044ACF"/>
    <w:rsid w:val="5C1B126D"/>
    <w:rsid w:val="5C7A4D54"/>
    <w:rsid w:val="5C871960"/>
    <w:rsid w:val="5C872A07"/>
    <w:rsid w:val="5CC17396"/>
    <w:rsid w:val="5CD23B73"/>
    <w:rsid w:val="5D4606A7"/>
    <w:rsid w:val="5D4A2A18"/>
    <w:rsid w:val="5D6C63B9"/>
    <w:rsid w:val="5D9A10CF"/>
    <w:rsid w:val="5DD21301"/>
    <w:rsid w:val="5DD47834"/>
    <w:rsid w:val="5E096AA5"/>
    <w:rsid w:val="5E2960AF"/>
    <w:rsid w:val="5E6006BB"/>
    <w:rsid w:val="5E7B3747"/>
    <w:rsid w:val="5E960842"/>
    <w:rsid w:val="5E9D7F2A"/>
    <w:rsid w:val="5EAF519E"/>
    <w:rsid w:val="5EFA466C"/>
    <w:rsid w:val="5F127819"/>
    <w:rsid w:val="5F2A6503"/>
    <w:rsid w:val="5F7B3C2B"/>
    <w:rsid w:val="5FEB66AA"/>
    <w:rsid w:val="60350ED3"/>
    <w:rsid w:val="60475C45"/>
    <w:rsid w:val="60681AA9"/>
    <w:rsid w:val="60B72AEE"/>
    <w:rsid w:val="60FC2464"/>
    <w:rsid w:val="61025188"/>
    <w:rsid w:val="61057D5F"/>
    <w:rsid w:val="61354081"/>
    <w:rsid w:val="614D4977"/>
    <w:rsid w:val="618476F8"/>
    <w:rsid w:val="61A62889"/>
    <w:rsid w:val="620F25B2"/>
    <w:rsid w:val="622540F5"/>
    <w:rsid w:val="623054B0"/>
    <w:rsid w:val="62362A61"/>
    <w:rsid w:val="62377985"/>
    <w:rsid w:val="625B7B17"/>
    <w:rsid w:val="62C250A2"/>
    <w:rsid w:val="62CC631F"/>
    <w:rsid w:val="630D37FA"/>
    <w:rsid w:val="63273568"/>
    <w:rsid w:val="63746CCD"/>
    <w:rsid w:val="63984453"/>
    <w:rsid w:val="639A2453"/>
    <w:rsid w:val="63A46EF2"/>
    <w:rsid w:val="63C60FC0"/>
    <w:rsid w:val="63F52BD2"/>
    <w:rsid w:val="64055EC3"/>
    <w:rsid w:val="640E2AC9"/>
    <w:rsid w:val="642106C5"/>
    <w:rsid w:val="64351345"/>
    <w:rsid w:val="64393D7D"/>
    <w:rsid w:val="647B32BF"/>
    <w:rsid w:val="64801AB7"/>
    <w:rsid w:val="6497091C"/>
    <w:rsid w:val="64A81A58"/>
    <w:rsid w:val="64AA6F5E"/>
    <w:rsid w:val="64B47FC7"/>
    <w:rsid w:val="64BA3D7A"/>
    <w:rsid w:val="64BD0930"/>
    <w:rsid w:val="64F13D73"/>
    <w:rsid w:val="64F179BC"/>
    <w:rsid w:val="650531F2"/>
    <w:rsid w:val="65141AD3"/>
    <w:rsid w:val="65600071"/>
    <w:rsid w:val="656F2024"/>
    <w:rsid w:val="65B6475E"/>
    <w:rsid w:val="65C122DE"/>
    <w:rsid w:val="65DF1CC1"/>
    <w:rsid w:val="65ED4F2A"/>
    <w:rsid w:val="66154481"/>
    <w:rsid w:val="662C66AE"/>
    <w:rsid w:val="664D3D7E"/>
    <w:rsid w:val="665704D3"/>
    <w:rsid w:val="66BE2423"/>
    <w:rsid w:val="67220595"/>
    <w:rsid w:val="67231596"/>
    <w:rsid w:val="67535261"/>
    <w:rsid w:val="67784CC7"/>
    <w:rsid w:val="67920993"/>
    <w:rsid w:val="67A05409"/>
    <w:rsid w:val="67C065A4"/>
    <w:rsid w:val="67CA0521"/>
    <w:rsid w:val="67D359C9"/>
    <w:rsid w:val="67ED1853"/>
    <w:rsid w:val="68042537"/>
    <w:rsid w:val="685F3791"/>
    <w:rsid w:val="68C667CC"/>
    <w:rsid w:val="68CB7079"/>
    <w:rsid w:val="68E346FA"/>
    <w:rsid w:val="68EC771B"/>
    <w:rsid w:val="68FE36DD"/>
    <w:rsid w:val="694E60FC"/>
    <w:rsid w:val="69685470"/>
    <w:rsid w:val="69BD2E65"/>
    <w:rsid w:val="6A256904"/>
    <w:rsid w:val="6A2C3B47"/>
    <w:rsid w:val="6A647785"/>
    <w:rsid w:val="6A907960"/>
    <w:rsid w:val="6AC56093"/>
    <w:rsid w:val="6AD466B8"/>
    <w:rsid w:val="6B2457CA"/>
    <w:rsid w:val="6B3D24B0"/>
    <w:rsid w:val="6B4458C9"/>
    <w:rsid w:val="6B656832"/>
    <w:rsid w:val="6B9D187D"/>
    <w:rsid w:val="6BA71B66"/>
    <w:rsid w:val="6BAB7EA3"/>
    <w:rsid w:val="6BBD539F"/>
    <w:rsid w:val="6BFD1C3F"/>
    <w:rsid w:val="6C0F0DFC"/>
    <w:rsid w:val="6C4758A0"/>
    <w:rsid w:val="6C675CE6"/>
    <w:rsid w:val="6C747DD0"/>
    <w:rsid w:val="6CE26D5D"/>
    <w:rsid w:val="6CED1CB3"/>
    <w:rsid w:val="6D087F43"/>
    <w:rsid w:val="6D223EDD"/>
    <w:rsid w:val="6D233CCC"/>
    <w:rsid w:val="6D325F39"/>
    <w:rsid w:val="6D4D113F"/>
    <w:rsid w:val="6D4F2EDA"/>
    <w:rsid w:val="6D4F4321"/>
    <w:rsid w:val="6D590B37"/>
    <w:rsid w:val="6D6830E8"/>
    <w:rsid w:val="6D885538"/>
    <w:rsid w:val="6DB97DE8"/>
    <w:rsid w:val="6DBB76BC"/>
    <w:rsid w:val="6DDD523A"/>
    <w:rsid w:val="6DF110EA"/>
    <w:rsid w:val="6DF41B82"/>
    <w:rsid w:val="6DF708F5"/>
    <w:rsid w:val="6DF80F7B"/>
    <w:rsid w:val="6DFF7360"/>
    <w:rsid w:val="6E6021A9"/>
    <w:rsid w:val="6E755ABD"/>
    <w:rsid w:val="6E7A5F73"/>
    <w:rsid w:val="6E963C85"/>
    <w:rsid w:val="6EBD1212"/>
    <w:rsid w:val="6ECC19D7"/>
    <w:rsid w:val="6EE778C4"/>
    <w:rsid w:val="6EE90F9D"/>
    <w:rsid w:val="6F49551F"/>
    <w:rsid w:val="6F624C36"/>
    <w:rsid w:val="6F765F90"/>
    <w:rsid w:val="6FD74228"/>
    <w:rsid w:val="6FDC62BB"/>
    <w:rsid w:val="6FEA2C74"/>
    <w:rsid w:val="6FEE2E3B"/>
    <w:rsid w:val="701D465E"/>
    <w:rsid w:val="7021106F"/>
    <w:rsid w:val="702971F7"/>
    <w:rsid w:val="7061061C"/>
    <w:rsid w:val="706510B7"/>
    <w:rsid w:val="706E7173"/>
    <w:rsid w:val="70A26911"/>
    <w:rsid w:val="70F23777"/>
    <w:rsid w:val="70F4004C"/>
    <w:rsid w:val="71075032"/>
    <w:rsid w:val="7113776B"/>
    <w:rsid w:val="71633091"/>
    <w:rsid w:val="71705FB1"/>
    <w:rsid w:val="71866233"/>
    <w:rsid w:val="719B1620"/>
    <w:rsid w:val="71B22914"/>
    <w:rsid w:val="728D2BFB"/>
    <w:rsid w:val="729606F7"/>
    <w:rsid w:val="72D45379"/>
    <w:rsid w:val="73081CA5"/>
    <w:rsid w:val="730B2E93"/>
    <w:rsid w:val="731C0BFD"/>
    <w:rsid w:val="73256EFA"/>
    <w:rsid w:val="73282033"/>
    <w:rsid w:val="7372081D"/>
    <w:rsid w:val="73941822"/>
    <w:rsid w:val="73EA4C33"/>
    <w:rsid w:val="73F27BAF"/>
    <w:rsid w:val="740718AD"/>
    <w:rsid w:val="74201F7D"/>
    <w:rsid w:val="74463314"/>
    <w:rsid w:val="74835E86"/>
    <w:rsid w:val="7487762D"/>
    <w:rsid w:val="74896327"/>
    <w:rsid w:val="74C33AA4"/>
    <w:rsid w:val="74E76FE8"/>
    <w:rsid w:val="750000AA"/>
    <w:rsid w:val="750A65D3"/>
    <w:rsid w:val="75151DA7"/>
    <w:rsid w:val="75210D7A"/>
    <w:rsid w:val="75232716"/>
    <w:rsid w:val="753417B5"/>
    <w:rsid w:val="75385498"/>
    <w:rsid w:val="755D72AA"/>
    <w:rsid w:val="75986535"/>
    <w:rsid w:val="75F37776"/>
    <w:rsid w:val="760D54E2"/>
    <w:rsid w:val="763D575F"/>
    <w:rsid w:val="76435882"/>
    <w:rsid w:val="764F60FB"/>
    <w:rsid w:val="76796366"/>
    <w:rsid w:val="768071FE"/>
    <w:rsid w:val="769211D6"/>
    <w:rsid w:val="76A431DF"/>
    <w:rsid w:val="76B25658"/>
    <w:rsid w:val="76BC207F"/>
    <w:rsid w:val="76EB4904"/>
    <w:rsid w:val="76EF0FD2"/>
    <w:rsid w:val="76F36118"/>
    <w:rsid w:val="7703613C"/>
    <w:rsid w:val="77057F48"/>
    <w:rsid w:val="772265F9"/>
    <w:rsid w:val="772543D1"/>
    <w:rsid w:val="77400C32"/>
    <w:rsid w:val="775748F9"/>
    <w:rsid w:val="77645DCD"/>
    <w:rsid w:val="777378F5"/>
    <w:rsid w:val="777A2D3C"/>
    <w:rsid w:val="777B1796"/>
    <w:rsid w:val="777C7EBC"/>
    <w:rsid w:val="77C1482C"/>
    <w:rsid w:val="7802241A"/>
    <w:rsid w:val="78194573"/>
    <w:rsid w:val="784E34B8"/>
    <w:rsid w:val="785F5B8F"/>
    <w:rsid w:val="78683402"/>
    <w:rsid w:val="78D86D89"/>
    <w:rsid w:val="78F00B8F"/>
    <w:rsid w:val="78F13953"/>
    <w:rsid w:val="79074B81"/>
    <w:rsid w:val="79231B0D"/>
    <w:rsid w:val="79297BCF"/>
    <w:rsid w:val="79426EE3"/>
    <w:rsid w:val="794F0939"/>
    <w:rsid w:val="79824016"/>
    <w:rsid w:val="79AF0FCA"/>
    <w:rsid w:val="79D8521D"/>
    <w:rsid w:val="79E17320"/>
    <w:rsid w:val="79E81839"/>
    <w:rsid w:val="79F01948"/>
    <w:rsid w:val="7A2B1F18"/>
    <w:rsid w:val="7A377513"/>
    <w:rsid w:val="7A5A18D6"/>
    <w:rsid w:val="7A63380E"/>
    <w:rsid w:val="7AA008BF"/>
    <w:rsid w:val="7AA75440"/>
    <w:rsid w:val="7ADD450F"/>
    <w:rsid w:val="7AEE7323"/>
    <w:rsid w:val="7AF9279C"/>
    <w:rsid w:val="7B4F7695"/>
    <w:rsid w:val="7BA94FF8"/>
    <w:rsid w:val="7BB04C77"/>
    <w:rsid w:val="7BBD0CCF"/>
    <w:rsid w:val="7BC80F82"/>
    <w:rsid w:val="7BD345A9"/>
    <w:rsid w:val="7C077F70"/>
    <w:rsid w:val="7C15177B"/>
    <w:rsid w:val="7C3A4879"/>
    <w:rsid w:val="7C623E0B"/>
    <w:rsid w:val="7C6D627C"/>
    <w:rsid w:val="7CAD0B17"/>
    <w:rsid w:val="7CAE07A6"/>
    <w:rsid w:val="7CB42429"/>
    <w:rsid w:val="7CC51958"/>
    <w:rsid w:val="7CC6647D"/>
    <w:rsid w:val="7CC96E10"/>
    <w:rsid w:val="7CD53DF9"/>
    <w:rsid w:val="7CEA684B"/>
    <w:rsid w:val="7CF87F76"/>
    <w:rsid w:val="7D097C86"/>
    <w:rsid w:val="7D2D3A06"/>
    <w:rsid w:val="7D393F80"/>
    <w:rsid w:val="7D995BB2"/>
    <w:rsid w:val="7DA57A41"/>
    <w:rsid w:val="7DB75CAC"/>
    <w:rsid w:val="7DC07A2C"/>
    <w:rsid w:val="7E014D45"/>
    <w:rsid w:val="7E076B0E"/>
    <w:rsid w:val="7E282B4B"/>
    <w:rsid w:val="7E2936C3"/>
    <w:rsid w:val="7E3420E2"/>
    <w:rsid w:val="7E6411B9"/>
    <w:rsid w:val="7E9755DB"/>
    <w:rsid w:val="7E9D4019"/>
    <w:rsid w:val="7EA45F4A"/>
    <w:rsid w:val="7EAA7A04"/>
    <w:rsid w:val="7EB97C47"/>
    <w:rsid w:val="7EF667A6"/>
    <w:rsid w:val="7F132C5D"/>
    <w:rsid w:val="7F3823EB"/>
    <w:rsid w:val="7F8A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autoRedefine/>
    <w:qFormat/>
    <w:uiPriority w:val="99"/>
    <w:rPr>
      <w:rFonts w:ascii="宋体" w:hAnsi="Courier New" w:eastAsiaTheme="minorEastAsia" w:cstheme="minorBidi"/>
      <w:szCs w:val="22"/>
    </w:rPr>
  </w:style>
  <w:style w:type="paragraph" w:styleId="14">
    <w:name w:val="Date"/>
    <w:basedOn w:val="1"/>
    <w:next w:val="1"/>
    <w:link w:val="54"/>
    <w:autoRedefine/>
    <w:qFormat/>
    <w:uiPriority w:val="0"/>
    <w:rPr>
      <w:rFonts w:ascii="Arial" w:hAnsi="Arial" w:eastAsia="宋体" w:cs="Arial"/>
      <w:b/>
      <w:sz w:val="28"/>
    </w:rPr>
  </w:style>
  <w:style w:type="paragraph" w:styleId="15">
    <w:name w:val="Balloon Text"/>
    <w:basedOn w:val="1"/>
    <w:link w:val="41"/>
    <w:autoRedefine/>
    <w:semiHidden/>
    <w:unhideWhenUsed/>
    <w:qFormat/>
    <w:uiPriority w:val="99"/>
    <w:rPr>
      <w:sz w:val="18"/>
      <w:szCs w:val="18"/>
    </w:rPr>
  </w:style>
  <w:style w:type="paragraph" w:styleId="16">
    <w:name w:val="footer"/>
    <w:basedOn w:val="1"/>
    <w:link w:val="46"/>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annotation subject"/>
    <w:basedOn w:val="8"/>
    <w:next w:val="8"/>
    <w:link w:val="68"/>
    <w:autoRedefine/>
    <w:semiHidden/>
    <w:unhideWhenUsed/>
    <w:qFormat/>
    <w:uiPriority w:val="99"/>
    <w:rPr>
      <w:rFonts w:ascii="@仿宋_GB2312" w:hAnsi="@仿宋_GB2312" w:eastAsia="@仿宋_GB2312" w:cs="@仿宋_GB2312"/>
      <w:b/>
      <w:bCs/>
    </w:rPr>
  </w:style>
  <w:style w:type="paragraph" w:styleId="23">
    <w:name w:val="Body Text First Indent"/>
    <w:basedOn w:val="9"/>
    <w:autoRedefine/>
    <w:unhideWhenUsed/>
    <w:qFormat/>
    <w:uiPriority w:val="99"/>
    <w:pPr>
      <w:ind w:firstLine="420" w:firstLineChars="100"/>
    </w:pPr>
  </w:style>
  <w:style w:type="paragraph" w:styleId="24">
    <w:name w:val="Body Text First Indent 2"/>
    <w:basedOn w:val="10"/>
    <w:next w:val="1"/>
    <w:semiHidden/>
    <w:unhideWhenUsed/>
    <w:qFormat/>
    <w:uiPriority w:val="99"/>
    <w:pPr>
      <w:ind w:firstLine="420" w:firstLineChars="200"/>
    </w:pPr>
    <w:rPr>
      <w:rFonts w:ascii="Times New Roman" w:hAnsi="Times New Roman" w:cs="Times New Roman"/>
      <w:szCs w:val="21"/>
    </w:r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FollowedHyperlink"/>
    <w:basedOn w:val="27"/>
    <w:semiHidden/>
    <w:unhideWhenUsed/>
    <w:qFormat/>
    <w:uiPriority w:val="99"/>
    <w:rPr>
      <w:color w:val="5C5C5C"/>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autoRedefine/>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sz w:val="20"/>
    </w:rPr>
  </w:style>
  <w:style w:type="character" w:styleId="37">
    <w:name w:val="annotation reference"/>
    <w:basedOn w:val="27"/>
    <w:autoRedefine/>
    <w:semiHidden/>
    <w:unhideWhenUsed/>
    <w:qFormat/>
    <w:uiPriority w:val="99"/>
    <w:rPr>
      <w:sz w:val="21"/>
      <w:szCs w:val="21"/>
    </w:rPr>
  </w:style>
  <w:style w:type="character" w:styleId="38">
    <w:name w:val="HTML Cite"/>
    <w:basedOn w:val="27"/>
    <w:semiHidden/>
    <w:unhideWhenUsed/>
    <w:qFormat/>
    <w:uiPriority w:val="99"/>
  </w:style>
  <w:style w:type="character" w:styleId="39">
    <w:name w:val="HTML Keyboard"/>
    <w:basedOn w:val="27"/>
    <w:semiHidden/>
    <w:unhideWhenUsed/>
    <w:qFormat/>
    <w:uiPriority w:val="99"/>
    <w:rPr>
      <w:rFonts w:ascii="monospace" w:hAnsi="monospace" w:eastAsia="monospace" w:cs="monospace"/>
      <w:sz w:val="20"/>
    </w:rPr>
  </w:style>
  <w:style w:type="character" w:styleId="40">
    <w:name w:val="HTML Sample"/>
    <w:basedOn w:val="27"/>
    <w:semiHidden/>
    <w:unhideWhenUsed/>
    <w:qFormat/>
    <w:uiPriority w:val="99"/>
    <w:rPr>
      <w:rFonts w:hint="default" w:ascii="monospace" w:hAnsi="monospace" w:eastAsia="monospace" w:cs="monospace"/>
    </w:rPr>
  </w:style>
  <w:style w:type="character" w:customStyle="1" w:styleId="41">
    <w:name w:val="批注框文本 字符"/>
    <w:basedOn w:val="27"/>
    <w:link w:val="15"/>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7"/>
    <w:autoRedefine/>
    <w:qFormat/>
    <w:uiPriority w:val="99"/>
    <w:rPr>
      <w:rFonts w:ascii="@仿宋_GB2312" w:hAnsi="@仿宋_GB2312" w:eastAsia="@仿宋_GB2312" w:cs="@仿宋_GB2312"/>
      <w:sz w:val="18"/>
      <w:szCs w:val="18"/>
    </w:rPr>
  </w:style>
  <w:style w:type="character" w:customStyle="1" w:styleId="46">
    <w:name w:val="页脚 字符"/>
    <w:basedOn w:val="27"/>
    <w:link w:val="16"/>
    <w:autoRedefine/>
    <w:qFormat/>
    <w:uiPriority w:val="99"/>
    <w:rPr>
      <w:rFonts w:ascii="@仿宋_GB2312" w:hAnsi="@仿宋_GB2312" w:eastAsia="@仿宋_GB2312" w:cs="@仿宋_GB2312"/>
      <w:sz w:val="18"/>
      <w:szCs w:val="18"/>
    </w:rPr>
  </w:style>
  <w:style w:type="character" w:customStyle="1" w:styleId="47">
    <w:name w:val="纯文本 字符"/>
    <w:link w:val="13"/>
    <w:autoRedefine/>
    <w:qFormat/>
    <w:uiPriority w:val="0"/>
    <w:rPr>
      <w:rFonts w:ascii="宋体" w:hAnsi="Courier New"/>
    </w:rPr>
  </w:style>
  <w:style w:type="character" w:customStyle="1" w:styleId="48">
    <w:name w:val="纯文本 字符1"/>
    <w:basedOn w:val="27"/>
    <w:autoRedefine/>
    <w:semiHidden/>
    <w:qFormat/>
    <w:uiPriority w:val="99"/>
    <w:rPr>
      <w:rFonts w:hAnsi="Courier New" w:cs="Courier New" w:asciiTheme="minorEastAsia"/>
      <w:szCs w:val="20"/>
    </w:rPr>
  </w:style>
  <w:style w:type="character" w:customStyle="1" w:styleId="49">
    <w:name w:val="未处理的提及1"/>
    <w:basedOn w:val="27"/>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autoRedefine/>
    <w:semiHidden/>
    <w:qFormat/>
    <w:uiPriority w:val="99"/>
    <w:rPr>
      <w:rFonts w:ascii="@仿宋_GB2312" w:hAnsi="@仿宋_GB2312" w:eastAsia="@仿宋_GB2312" w:cs="@仿宋_GB2312"/>
      <w:szCs w:val="20"/>
    </w:rPr>
  </w:style>
  <w:style w:type="character" w:customStyle="1" w:styleId="54">
    <w:name w:val="日期 字符1"/>
    <w:link w:val="14"/>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7"/>
    <w:autoRedefine/>
    <w:semiHidden/>
    <w:qFormat/>
    <w:uiPriority w:val="99"/>
    <w:rPr>
      <w:rFonts w:ascii="@仿宋_GB2312" w:hAnsi="@仿宋_GB2312" w:eastAsia="@仿宋_GB2312" w:cs="@仿宋_GB2312"/>
      <w:szCs w:val="20"/>
    </w:rPr>
  </w:style>
  <w:style w:type="character" w:customStyle="1" w:styleId="57">
    <w:name w:val="批注文字 字符"/>
    <w:link w:val="8"/>
    <w:autoRedefine/>
    <w:qFormat/>
    <w:uiPriority w:val="0"/>
    <w:rPr>
      <w:rFonts w:ascii="Arial" w:hAnsi="Arial" w:eastAsia="黑体" w:cs="Arial"/>
      <w:szCs w:val="20"/>
    </w:rPr>
  </w:style>
  <w:style w:type="character" w:customStyle="1" w:styleId="58">
    <w:name w:val="标题 1 字符"/>
    <w:basedOn w:val="27"/>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7"/>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7"/>
    <w:autoRedefine/>
    <w:qFormat/>
    <w:uiPriority w:val="0"/>
    <w:rPr>
      <w:rFonts w:hint="eastAsia" w:ascii="宋体" w:hAnsi="宋体" w:eastAsia="宋体"/>
      <w:color w:val="000000"/>
      <w:sz w:val="22"/>
      <w:szCs w:val="22"/>
    </w:rPr>
  </w:style>
  <w:style w:type="character" w:customStyle="1" w:styleId="62">
    <w:name w:val="fontstyle21"/>
    <w:basedOn w:val="27"/>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5">
    <w:name w:val="标题 4 字符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2"/>
    <w:autoRedefine/>
    <w:semiHidden/>
    <w:qFormat/>
    <w:uiPriority w:val="99"/>
    <w:rPr>
      <w:rFonts w:ascii="@仿宋_GB2312" w:hAnsi="@仿宋_GB2312" w:eastAsia="@仿宋_GB2312" w:cs="@仿宋_GB2312"/>
      <w:b/>
      <w:bCs/>
      <w:szCs w:val="20"/>
    </w:rPr>
  </w:style>
  <w:style w:type="table" w:customStyle="1" w:styleId="69">
    <w:name w:val="Table Normal"/>
    <w:basedOn w:val="25"/>
    <w:autoRedefine/>
    <w:semiHidden/>
    <w:unhideWhenUsed/>
    <w:qFormat/>
    <w:uiPriority w:val="0"/>
    <w:tblPr>
      <w:tblCellMar>
        <w:left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17"/>
    <w:basedOn w:val="27"/>
    <w:qFormat/>
    <w:uiPriority w:val="0"/>
    <w:rPr>
      <w:rFonts w:hint="eastAsia" w:ascii="宋体" w:hAnsi="宋体" w:eastAsia="宋体" w:cs="宋体"/>
      <w:color w:val="000000"/>
      <w:sz w:val="18"/>
      <w:szCs w:val="18"/>
    </w:rPr>
  </w:style>
  <w:style w:type="character" w:customStyle="1" w:styleId="74">
    <w:name w:val="16"/>
    <w:basedOn w:val="27"/>
    <w:qFormat/>
    <w:uiPriority w:val="0"/>
    <w:rPr>
      <w:rFonts w:hint="eastAsia" w:ascii="宋体" w:hAnsi="宋体" w:eastAsia="宋体" w:cs="宋体"/>
      <w:b/>
      <w:color w:val="000000"/>
      <w:sz w:val="18"/>
      <w:szCs w:val="18"/>
    </w:rPr>
  </w:style>
  <w:style w:type="character" w:customStyle="1" w:styleId="75">
    <w:name w:val="15"/>
    <w:basedOn w:val="27"/>
    <w:qFormat/>
    <w:uiPriority w:val="0"/>
    <w:rPr>
      <w:rFonts w:hint="eastAsia" w:ascii="宋体" w:hAnsi="宋体" w:eastAsia="宋体" w:cs="宋体"/>
      <w:color w:val="FF0000"/>
      <w:sz w:val="18"/>
      <w:szCs w:val="18"/>
    </w:rPr>
  </w:style>
  <w:style w:type="character" w:customStyle="1" w:styleId="76">
    <w:name w:val="hover"/>
    <w:basedOn w:val="27"/>
    <w:qFormat/>
    <w:uiPriority w:val="0"/>
    <w:rPr>
      <w:color w:val="2590EB"/>
    </w:rPr>
  </w:style>
  <w:style w:type="character" w:customStyle="1" w:styleId="77">
    <w:name w:val="hover1"/>
    <w:basedOn w:val="27"/>
    <w:qFormat/>
    <w:uiPriority w:val="0"/>
  </w:style>
  <w:style w:type="character" w:customStyle="1" w:styleId="78">
    <w:name w:val="hover2"/>
    <w:basedOn w:val="27"/>
    <w:qFormat/>
    <w:uiPriority w:val="0"/>
    <w:rPr>
      <w:color w:val="2590EB"/>
      <w:shd w:val="clear" w:color="auto" w:fill="E9F4FD"/>
    </w:rPr>
  </w:style>
  <w:style w:type="character" w:customStyle="1" w:styleId="79">
    <w:name w:val="hover3"/>
    <w:basedOn w:val="27"/>
    <w:qFormat/>
    <w:uiPriority w:val="0"/>
    <w:rPr>
      <w:color w:val="2590EB"/>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1">
    <w:name w:val="layui-this"/>
    <w:basedOn w:val="27"/>
    <w:qFormat/>
    <w:uiPriority w:val="0"/>
    <w:rPr>
      <w:bdr w:val="single" w:color="EEEEEE" w:sz="6" w:space="0"/>
      <w:shd w:val="clear" w:fill="FFFFFF"/>
    </w:rPr>
  </w:style>
  <w:style w:type="character" w:customStyle="1" w:styleId="82">
    <w:name w:val="first-child"/>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134</Pages>
  <Words>2406</Words>
  <Characters>2769</Characters>
  <Lines>1</Lines>
  <Paragraphs>1</Paragraphs>
  <TotalTime>2</TotalTime>
  <ScaleCrop>false</ScaleCrop>
  <LinksUpToDate>false</LinksUpToDate>
  <CharactersWithSpaces>2856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2025-05-07T09:36:00Z</dcterms:created>
  <dc:creator>Anakin</dc:creator>
  <cp:lastModifiedBy>这不科学</cp:lastModifiedBy>
  <cp:lastPrinted>2024-08-01T03:39:00Z</cp:lastPrinted>
  <dcterms:modified xsi:type="dcterms:W3CDTF">2025-08-06T02:29:19Z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37E5456E1B5F4F5487DC57138E33FE89_13</vt:lpwstr>
  </property>
  <property fmtid="{D5CDD505-2E9C-101B-9397-08002B2CF9AE}" pid="4" name="KSOTemplateDocerSaveRecord">
    <vt:lpwstr>eyJoZGlkIjoiZmI5ZDY5ZDNjMmE2ZDcxYTFkMDY0Zjg5Mjg3YTE0YTgiLCJ1c2VySWQiOiI1MDM3MjkwOTMifQ==</vt:lpwstr>
  </property>
</Properties>
</file>