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147D9A">
      <w:pPr>
        <w:tabs>
          <w:tab w:val="left" w:pos="315"/>
          <w:tab w:val="left" w:pos="8820"/>
        </w:tabs>
        <w:spacing w:beforeLines="100" w:afterLines="50" w:line="500" w:lineRule="exact"/>
        <w:ind w:right="267" w:rightChars="127"/>
        <w:jc w:val="center"/>
        <w:rPr>
          <w:rFonts w:ascii="宋体" w:hAnsi="宋体" w:eastAsia="宋体"/>
          <w:b/>
          <w:bCs/>
          <w:color w:val="auto"/>
          <w:sz w:val="52"/>
          <w:szCs w:val="52"/>
          <w:highlight w:val="none"/>
        </w:rPr>
      </w:pPr>
    </w:p>
    <w:p w14:paraId="14E24BA6">
      <w:pPr>
        <w:tabs>
          <w:tab w:val="left" w:pos="315"/>
          <w:tab w:val="left" w:pos="8820"/>
        </w:tabs>
        <w:spacing w:beforeLines="100" w:afterLines="50" w:line="500" w:lineRule="exact"/>
        <w:ind w:right="267" w:rightChars="127"/>
        <w:jc w:val="center"/>
        <w:rPr>
          <w:rFonts w:ascii="宋体" w:hAnsi="宋体" w:eastAsia="宋体"/>
          <w:b/>
          <w:bCs/>
          <w:color w:val="auto"/>
          <w:sz w:val="52"/>
          <w:szCs w:val="52"/>
          <w:highlight w:val="none"/>
        </w:rPr>
      </w:pPr>
    </w:p>
    <w:p w14:paraId="26EEBDFD">
      <w:pPr>
        <w:pStyle w:val="9"/>
        <w:rPr>
          <w:rFonts w:ascii="宋体" w:hAnsi="宋体" w:eastAsia="宋体"/>
          <w:b/>
          <w:bCs/>
          <w:color w:val="auto"/>
          <w:sz w:val="52"/>
          <w:szCs w:val="52"/>
          <w:highlight w:val="none"/>
        </w:rPr>
      </w:pPr>
    </w:p>
    <w:p w14:paraId="44F8A0EB">
      <w:pPr>
        <w:tabs>
          <w:tab w:val="left" w:pos="315"/>
          <w:tab w:val="left" w:pos="8820"/>
        </w:tabs>
        <w:spacing w:beforeLines="100" w:afterLines="50" w:line="500" w:lineRule="exact"/>
        <w:ind w:right="267" w:rightChars="127"/>
        <w:jc w:val="center"/>
        <w:rPr>
          <w:rFonts w:ascii="宋体" w:hAnsi="宋体" w:eastAsia="宋体"/>
          <w:b/>
          <w:bCs/>
          <w:color w:val="auto"/>
          <w:sz w:val="52"/>
          <w:szCs w:val="52"/>
          <w:highlight w:val="none"/>
        </w:rPr>
      </w:pPr>
      <w:bookmarkStart w:id="0" w:name="_Hlk9544796"/>
      <w:r>
        <w:rPr>
          <w:rFonts w:hint="eastAsia" w:ascii="宋体" w:hAnsi="宋体" w:eastAsia="宋体"/>
          <w:b/>
          <w:bCs/>
          <w:color w:val="auto"/>
          <w:sz w:val="52"/>
          <w:szCs w:val="52"/>
          <w:highlight w:val="none"/>
        </w:rPr>
        <w:t>安徽省政府采购项目</w:t>
      </w:r>
    </w:p>
    <w:p w14:paraId="038FD5AB">
      <w:pPr>
        <w:tabs>
          <w:tab w:val="left" w:pos="315"/>
          <w:tab w:val="left" w:pos="8820"/>
        </w:tabs>
        <w:spacing w:beforeLines="100" w:afterLines="50" w:line="500" w:lineRule="exact"/>
        <w:ind w:right="267" w:rightChars="127"/>
        <w:jc w:val="center"/>
        <w:rPr>
          <w:rFonts w:ascii="宋体" w:hAnsi="宋体" w:eastAsia="宋体"/>
          <w:b/>
          <w:bCs/>
          <w:color w:val="auto"/>
          <w:sz w:val="52"/>
          <w:szCs w:val="52"/>
          <w:highlight w:val="none"/>
        </w:rPr>
      </w:pPr>
      <w:r>
        <w:rPr>
          <w:rFonts w:hint="eastAsia" w:ascii="宋体" w:hAnsi="宋体" w:eastAsia="宋体"/>
          <w:b/>
          <w:bCs/>
          <w:color w:val="auto"/>
          <w:sz w:val="52"/>
          <w:szCs w:val="52"/>
          <w:highlight w:val="none"/>
        </w:rPr>
        <w:t>竞争性磋商文件示范文本（服务类）</w:t>
      </w:r>
    </w:p>
    <w:bookmarkEnd w:id="0"/>
    <w:p w14:paraId="03E9729E">
      <w:pPr>
        <w:tabs>
          <w:tab w:val="left" w:pos="315"/>
          <w:tab w:val="left" w:pos="8820"/>
        </w:tabs>
        <w:spacing w:beforeLines="100" w:afterLines="50" w:line="500" w:lineRule="exact"/>
        <w:ind w:right="267" w:rightChars="127"/>
        <w:jc w:val="center"/>
        <w:rPr>
          <w:rFonts w:ascii="宋体" w:hAnsi="宋体" w:eastAsia="宋体"/>
          <w:bCs/>
          <w:color w:val="auto"/>
          <w:sz w:val="44"/>
          <w:szCs w:val="44"/>
          <w:highlight w:val="none"/>
        </w:rPr>
      </w:pPr>
      <w:r>
        <w:rPr>
          <w:rFonts w:hint="eastAsia" w:ascii="宋体" w:hAnsi="宋体" w:eastAsia="宋体"/>
          <w:b/>
          <w:bCs/>
          <w:color w:val="auto"/>
          <w:sz w:val="52"/>
          <w:szCs w:val="52"/>
          <w:highlight w:val="none"/>
        </w:rPr>
        <w:t>（2026版）</w:t>
      </w:r>
    </w:p>
    <w:p w14:paraId="0A9BFF5A">
      <w:pPr>
        <w:tabs>
          <w:tab w:val="left" w:pos="315"/>
          <w:tab w:val="left" w:pos="8820"/>
        </w:tabs>
        <w:spacing w:beforeLines="100" w:afterLines="50" w:line="500" w:lineRule="exact"/>
        <w:ind w:right="267" w:rightChars="127"/>
        <w:jc w:val="center"/>
        <w:rPr>
          <w:rFonts w:ascii="宋体" w:hAnsi="宋体" w:eastAsia="宋体"/>
          <w:b/>
          <w:bCs/>
          <w:color w:val="auto"/>
          <w:sz w:val="44"/>
          <w:szCs w:val="44"/>
          <w:highlight w:val="none"/>
        </w:rPr>
      </w:pPr>
    </w:p>
    <w:p w14:paraId="38B32174">
      <w:pPr>
        <w:tabs>
          <w:tab w:val="left" w:pos="315"/>
          <w:tab w:val="left" w:pos="8820"/>
        </w:tabs>
        <w:spacing w:beforeLines="100" w:afterLines="50" w:line="500" w:lineRule="exact"/>
        <w:ind w:right="267" w:rightChars="127"/>
        <w:jc w:val="center"/>
        <w:rPr>
          <w:rFonts w:ascii="宋体" w:hAnsi="宋体" w:eastAsia="宋体"/>
          <w:b/>
          <w:bCs/>
          <w:color w:val="auto"/>
          <w:sz w:val="44"/>
          <w:szCs w:val="44"/>
          <w:highlight w:val="none"/>
        </w:rPr>
      </w:pPr>
    </w:p>
    <w:p w14:paraId="7AE3B966">
      <w:pPr>
        <w:tabs>
          <w:tab w:val="left" w:pos="315"/>
          <w:tab w:val="left" w:pos="8820"/>
        </w:tabs>
        <w:spacing w:beforeLines="100" w:afterLines="50" w:line="500" w:lineRule="exact"/>
        <w:ind w:right="267" w:rightChars="127"/>
        <w:jc w:val="center"/>
        <w:rPr>
          <w:rFonts w:ascii="宋体" w:hAnsi="宋体" w:eastAsia="宋体"/>
          <w:b/>
          <w:bCs/>
          <w:color w:val="auto"/>
          <w:sz w:val="44"/>
          <w:szCs w:val="44"/>
          <w:highlight w:val="none"/>
        </w:rPr>
      </w:pPr>
    </w:p>
    <w:p w14:paraId="551BDB92">
      <w:pPr>
        <w:pStyle w:val="9"/>
        <w:rPr>
          <w:rFonts w:ascii="宋体" w:hAnsi="宋体" w:eastAsia="宋体"/>
          <w:b/>
          <w:bCs/>
          <w:color w:val="auto"/>
          <w:sz w:val="44"/>
          <w:szCs w:val="44"/>
          <w:highlight w:val="none"/>
        </w:rPr>
      </w:pPr>
    </w:p>
    <w:p w14:paraId="66E5F5B9">
      <w:pPr>
        <w:pStyle w:val="9"/>
        <w:rPr>
          <w:rFonts w:ascii="宋体" w:hAnsi="宋体" w:eastAsia="宋体"/>
          <w:b/>
          <w:bCs/>
          <w:color w:val="auto"/>
          <w:sz w:val="44"/>
          <w:szCs w:val="44"/>
          <w:highlight w:val="none"/>
        </w:rPr>
      </w:pPr>
    </w:p>
    <w:p w14:paraId="2BA832B3">
      <w:pPr>
        <w:tabs>
          <w:tab w:val="left" w:pos="315"/>
          <w:tab w:val="left" w:pos="8820"/>
        </w:tabs>
        <w:spacing w:beforeLines="100" w:afterLines="50" w:line="500" w:lineRule="exact"/>
        <w:ind w:right="267" w:rightChars="127"/>
        <w:jc w:val="both"/>
        <w:rPr>
          <w:rFonts w:ascii="宋体" w:hAnsi="宋体" w:eastAsia="宋体"/>
          <w:b/>
          <w:bCs/>
          <w:color w:val="auto"/>
          <w:sz w:val="44"/>
          <w:szCs w:val="44"/>
          <w:highlight w:val="none"/>
        </w:rPr>
      </w:pPr>
    </w:p>
    <w:p w14:paraId="5EE4A8B2">
      <w:pPr>
        <w:tabs>
          <w:tab w:val="left" w:pos="2410"/>
        </w:tabs>
        <w:autoSpaceDE w:val="0"/>
        <w:autoSpaceDN w:val="0"/>
        <w:adjustRightInd w:val="0"/>
        <w:snapToGrid w:val="0"/>
        <w:spacing w:line="360" w:lineRule="auto"/>
        <w:ind w:left="2244" w:leftChars="304" w:hanging="1606" w:hangingChars="500"/>
        <w:rPr>
          <w:rFonts w:hint="eastAsia" w:ascii="宋体" w:hAnsi="宋体" w:eastAsia="宋体" w:cs="宋体"/>
          <w:b/>
          <w:color w:val="auto"/>
          <w:kern w:val="0"/>
          <w:sz w:val="32"/>
          <w:szCs w:val="32"/>
          <w:highlight w:val="none"/>
          <w:lang w:eastAsia="zh-CN"/>
        </w:rPr>
      </w:pPr>
      <w:r>
        <w:rPr>
          <w:rFonts w:hint="eastAsia" w:ascii="宋体" w:hAnsi="宋体" w:eastAsia="宋体" w:cs="宋体"/>
          <w:b/>
          <w:color w:val="auto"/>
          <w:kern w:val="0"/>
          <w:sz w:val="32"/>
          <w:szCs w:val="32"/>
          <w:highlight w:val="none"/>
        </w:rPr>
        <w:t>项目名称：</w:t>
      </w:r>
      <w:r>
        <w:rPr>
          <w:rFonts w:hint="eastAsia" w:ascii="宋体" w:hAnsi="宋体" w:eastAsia="宋体" w:cs="宋体"/>
          <w:b/>
          <w:color w:val="auto"/>
          <w:kern w:val="0"/>
          <w:sz w:val="32"/>
          <w:szCs w:val="32"/>
          <w:highlight w:val="none"/>
          <w:u w:val="single"/>
          <w:lang w:eastAsia="zh-CN"/>
        </w:rPr>
        <w:t>2027年滁州市普通国省道交调站点建设设计项目</w:t>
      </w:r>
    </w:p>
    <w:p w14:paraId="5BAB736B">
      <w:pPr>
        <w:tabs>
          <w:tab w:val="left" w:pos="2410"/>
        </w:tabs>
        <w:autoSpaceDE w:val="0"/>
        <w:autoSpaceDN w:val="0"/>
        <w:adjustRightInd w:val="0"/>
        <w:snapToGrid w:val="0"/>
        <w:spacing w:line="360" w:lineRule="auto"/>
        <w:ind w:firstLine="643" w:firstLineChars="200"/>
        <w:rPr>
          <w:rFonts w:hint="default" w:ascii="宋体" w:hAnsi="宋体" w:eastAsia="宋体" w:cs="宋体"/>
          <w:b/>
          <w:color w:val="auto"/>
          <w:spacing w:val="-6"/>
          <w:kern w:val="0"/>
          <w:sz w:val="32"/>
          <w:szCs w:val="32"/>
          <w:highlight w:val="none"/>
          <w:u w:val="single"/>
          <w:lang w:val="en-US" w:eastAsia="zh-CN"/>
        </w:rPr>
      </w:pPr>
      <w:r>
        <w:rPr>
          <w:rFonts w:hint="eastAsia" w:ascii="宋体" w:hAnsi="宋体" w:eastAsia="宋体" w:cs="宋体"/>
          <w:b/>
          <w:color w:val="auto"/>
          <w:kern w:val="0"/>
          <w:sz w:val="32"/>
          <w:szCs w:val="32"/>
          <w:highlight w:val="none"/>
        </w:rPr>
        <w:t>项目编号：</w:t>
      </w:r>
      <w:r>
        <w:rPr>
          <w:rFonts w:hint="eastAsia" w:ascii="宋体" w:hAnsi="宋体" w:eastAsia="宋体" w:cs="宋体"/>
          <w:b/>
          <w:color w:val="auto"/>
          <w:spacing w:val="-6"/>
          <w:kern w:val="0"/>
          <w:sz w:val="32"/>
          <w:szCs w:val="32"/>
          <w:highlight w:val="none"/>
          <w:u w:val="single"/>
          <w:lang w:val="en-US" w:eastAsia="zh-CN"/>
        </w:rPr>
        <w:t xml:space="preserve">czsjcg202608-051 </w:t>
      </w:r>
    </w:p>
    <w:p w14:paraId="4538C7DE">
      <w:pPr>
        <w:tabs>
          <w:tab w:val="left" w:pos="2410"/>
        </w:tabs>
        <w:autoSpaceDE w:val="0"/>
        <w:autoSpaceDN w:val="0"/>
        <w:adjustRightInd w:val="0"/>
        <w:snapToGrid w:val="0"/>
        <w:spacing w:line="360" w:lineRule="auto"/>
        <w:ind w:firstLine="643" w:firstLineChars="200"/>
        <w:rPr>
          <w:rFonts w:hint="eastAsia" w:ascii="宋体" w:hAnsi="宋体" w:eastAsia="宋体" w:cs="宋体"/>
          <w:b/>
          <w:color w:val="auto"/>
          <w:kern w:val="0"/>
          <w:sz w:val="32"/>
          <w:szCs w:val="32"/>
          <w:highlight w:val="none"/>
          <w:lang w:eastAsia="zh-CN"/>
        </w:rPr>
      </w:pPr>
      <w:r>
        <w:rPr>
          <w:rFonts w:hint="eastAsia" w:ascii="宋体" w:hAnsi="宋体" w:eastAsia="宋体" w:cs="宋体"/>
          <w:b/>
          <w:color w:val="auto"/>
          <w:kern w:val="0"/>
          <w:sz w:val="32"/>
          <w:szCs w:val="32"/>
          <w:highlight w:val="none"/>
        </w:rPr>
        <w:t>采</w:t>
      </w:r>
      <w:r>
        <w:rPr>
          <w:rFonts w:hint="eastAsia" w:ascii="宋体" w:hAnsi="宋体" w:eastAsia="宋体" w:cs="宋体"/>
          <w:b/>
          <w:color w:val="auto"/>
          <w:kern w:val="0"/>
          <w:sz w:val="32"/>
          <w:szCs w:val="32"/>
          <w:highlight w:val="none"/>
          <w:lang w:val="en-US" w:eastAsia="zh-CN"/>
        </w:rPr>
        <w:t xml:space="preserve"> </w:t>
      </w:r>
      <w:r>
        <w:rPr>
          <w:rFonts w:hint="eastAsia" w:ascii="宋体" w:hAnsi="宋体" w:eastAsia="宋体" w:cs="宋体"/>
          <w:b/>
          <w:color w:val="auto"/>
          <w:kern w:val="0"/>
          <w:sz w:val="32"/>
          <w:szCs w:val="32"/>
          <w:highlight w:val="none"/>
        </w:rPr>
        <w:t>购</w:t>
      </w:r>
      <w:r>
        <w:rPr>
          <w:rFonts w:hint="eastAsia" w:ascii="宋体" w:hAnsi="宋体" w:eastAsia="宋体" w:cs="宋体"/>
          <w:b/>
          <w:color w:val="auto"/>
          <w:kern w:val="0"/>
          <w:sz w:val="32"/>
          <w:szCs w:val="32"/>
          <w:highlight w:val="none"/>
          <w:lang w:val="en-US" w:eastAsia="zh-CN"/>
        </w:rPr>
        <w:t xml:space="preserve"> </w:t>
      </w:r>
      <w:r>
        <w:rPr>
          <w:rFonts w:hint="eastAsia" w:ascii="宋体" w:hAnsi="宋体" w:eastAsia="宋体" w:cs="宋体"/>
          <w:b/>
          <w:color w:val="auto"/>
          <w:kern w:val="0"/>
          <w:sz w:val="32"/>
          <w:szCs w:val="32"/>
          <w:highlight w:val="none"/>
        </w:rPr>
        <w:t>人：</w:t>
      </w:r>
      <w:r>
        <w:rPr>
          <w:rFonts w:hint="eastAsia" w:ascii="宋体" w:hAnsi="宋体" w:eastAsia="宋体" w:cs="宋体"/>
          <w:b/>
          <w:color w:val="auto"/>
          <w:spacing w:val="-6"/>
          <w:kern w:val="0"/>
          <w:sz w:val="32"/>
          <w:szCs w:val="32"/>
          <w:highlight w:val="none"/>
          <w:u w:val="single"/>
          <w:lang w:eastAsia="zh-CN"/>
        </w:rPr>
        <w:t>滁州市公路管理服务中心</w:t>
      </w:r>
    </w:p>
    <w:p w14:paraId="470DF800">
      <w:pPr>
        <w:tabs>
          <w:tab w:val="left" w:pos="2410"/>
        </w:tabs>
        <w:autoSpaceDE w:val="0"/>
        <w:autoSpaceDN w:val="0"/>
        <w:adjustRightInd w:val="0"/>
        <w:snapToGrid w:val="0"/>
        <w:spacing w:line="360" w:lineRule="auto"/>
        <w:ind w:firstLine="643" w:firstLineChars="200"/>
        <w:rPr>
          <w:rFonts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采购代理机构：</w:t>
      </w:r>
      <w:r>
        <w:rPr>
          <w:rFonts w:hint="eastAsia" w:ascii="宋体" w:hAnsi="宋体" w:eastAsia="宋体" w:cs="宋体"/>
          <w:b/>
          <w:color w:val="auto"/>
          <w:kern w:val="0"/>
          <w:sz w:val="32"/>
          <w:szCs w:val="32"/>
          <w:highlight w:val="none"/>
          <w:u w:val="single"/>
        </w:rPr>
        <w:t>滁州市城投工程咨询管理有限公司</w:t>
      </w:r>
    </w:p>
    <w:p w14:paraId="472A026C">
      <w:pPr>
        <w:tabs>
          <w:tab w:val="left" w:pos="2410"/>
        </w:tabs>
        <w:autoSpaceDE w:val="0"/>
        <w:autoSpaceDN w:val="0"/>
        <w:adjustRightInd w:val="0"/>
        <w:snapToGrid w:val="0"/>
        <w:spacing w:line="360" w:lineRule="auto"/>
        <w:ind w:left="2244" w:leftChars="304" w:hanging="1606" w:hangingChars="500"/>
        <w:rPr>
          <w:rFonts w:hint="eastAsia" w:ascii="宋体" w:hAnsi="宋体" w:eastAsia="宋体" w:cs="宋体"/>
          <w:b/>
          <w:color w:val="auto"/>
          <w:kern w:val="0"/>
          <w:sz w:val="32"/>
          <w:szCs w:val="32"/>
          <w:highlight w:val="none"/>
        </w:rPr>
      </w:pPr>
    </w:p>
    <w:p w14:paraId="4EA4673A">
      <w:pPr>
        <w:tabs>
          <w:tab w:val="left" w:pos="2410"/>
        </w:tabs>
        <w:autoSpaceDE w:val="0"/>
        <w:autoSpaceDN w:val="0"/>
        <w:adjustRightInd w:val="0"/>
        <w:snapToGrid w:val="0"/>
        <w:spacing w:line="360" w:lineRule="auto"/>
        <w:jc w:val="center"/>
        <w:rPr>
          <w:rFonts w:ascii="宋体" w:hAnsi="宋体" w:eastAsia="宋体" w:cs="宋体"/>
          <w:b/>
          <w:color w:val="auto"/>
          <w:sz w:val="36"/>
          <w:highlight w:val="none"/>
        </w:rPr>
      </w:pPr>
      <w:r>
        <w:rPr>
          <w:rFonts w:hint="eastAsia" w:ascii="宋体" w:hAnsi="宋体" w:eastAsia="宋体" w:cs="宋体"/>
          <w:b/>
          <w:color w:val="auto"/>
          <w:sz w:val="36"/>
          <w:highlight w:val="none"/>
          <w:u w:val="single"/>
        </w:rPr>
        <w:t xml:space="preserve"> 2026 </w:t>
      </w:r>
      <w:r>
        <w:rPr>
          <w:rFonts w:hint="eastAsia" w:ascii="宋体" w:hAnsi="宋体" w:eastAsia="宋体" w:cs="宋体"/>
          <w:b/>
          <w:color w:val="auto"/>
          <w:sz w:val="36"/>
          <w:highlight w:val="none"/>
        </w:rPr>
        <w:t>年</w:t>
      </w:r>
      <w:r>
        <w:rPr>
          <w:rFonts w:hint="eastAsia" w:ascii="宋体" w:hAnsi="宋体" w:eastAsia="宋体" w:cs="宋体"/>
          <w:b/>
          <w:color w:val="auto"/>
          <w:sz w:val="36"/>
          <w:highlight w:val="none"/>
          <w:u w:val="single"/>
        </w:rPr>
        <w:t xml:space="preserve"> </w:t>
      </w:r>
      <w:r>
        <w:rPr>
          <w:rFonts w:hint="eastAsia" w:ascii="宋体" w:hAnsi="宋体" w:eastAsia="宋体" w:cs="宋体"/>
          <w:b/>
          <w:color w:val="auto"/>
          <w:sz w:val="36"/>
          <w:highlight w:val="none"/>
          <w:u w:val="single"/>
          <w:lang w:val="en-US" w:eastAsia="zh-CN"/>
        </w:rPr>
        <w:t>8</w:t>
      </w:r>
      <w:r>
        <w:rPr>
          <w:rFonts w:hint="eastAsia" w:ascii="宋体" w:hAnsi="宋体" w:eastAsia="宋体" w:cs="宋体"/>
          <w:b/>
          <w:color w:val="auto"/>
          <w:sz w:val="36"/>
          <w:highlight w:val="none"/>
          <w:u w:val="single"/>
        </w:rPr>
        <w:t xml:space="preserve"> </w:t>
      </w:r>
      <w:r>
        <w:rPr>
          <w:rFonts w:hint="eastAsia" w:ascii="宋体" w:hAnsi="宋体" w:eastAsia="宋体" w:cs="宋体"/>
          <w:b/>
          <w:color w:val="auto"/>
          <w:sz w:val="36"/>
          <w:highlight w:val="none"/>
        </w:rPr>
        <w:t>月</w:t>
      </w:r>
    </w:p>
    <w:p w14:paraId="719323A2">
      <w:pPr>
        <w:tabs>
          <w:tab w:val="left" w:pos="2410"/>
        </w:tabs>
        <w:autoSpaceDE w:val="0"/>
        <w:autoSpaceDN w:val="0"/>
        <w:adjustRightInd w:val="0"/>
        <w:snapToGrid w:val="0"/>
        <w:spacing w:line="360" w:lineRule="auto"/>
        <w:jc w:val="center"/>
        <w:rPr>
          <w:rFonts w:ascii="宋体" w:hAnsi="宋体" w:eastAsia="宋体"/>
          <w:b/>
          <w:color w:val="auto"/>
          <w:sz w:val="36"/>
          <w:highlight w:val="none"/>
        </w:rPr>
      </w:pPr>
      <w:r>
        <w:rPr>
          <w:rFonts w:ascii="宋体" w:hAnsi="宋体" w:eastAsia="宋体"/>
          <w:b/>
          <w:color w:val="auto"/>
          <w:sz w:val="36"/>
          <w:highlight w:val="none"/>
        </w:rPr>
        <w:br w:type="page"/>
      </w:r>
    </w:p>
    <w:p w14:paraId="47923830">
      <w:pPr>
        <w:tabs>
          <w:tab w:val="left" w:pos="2410"/>
        </w:tabs>
        <w:autoSpaceDE w:val="0"/>
        <w:autoSpaceDN w:val="0"/>
        <w:adjustRightInd w:val="0"/>
        <w:snapToGrid w:val="0"/>
        <w:spacing w:line="360" w:lineRule="auto"/>
        <w:jc w:val="center"/>
        <w:rPr>
          <w:rFonts w:ascii="宋体" w:hAnsi="宋体" w:eastAsia="宋体"/>
          <w:b/>
          <w:color w:val="auto"/>
          <w:sz w:val="28"/>
          <w:highlight w:val="none"/>
        </w:rPr>
      </w:pPr>
      <w:r>
        <w:rPr>
          <w:rFonts w:hint="eastAsia" w:ascii="宋体" w:hAnsi="宋体" w:eastAsia="宋体"/>
          <w:b/>
          <w:color w:val="auto"/>
          <w:sz w:val="28"/>
          <w:highlight w:val="none"/>
        </w:rPr>
        <w:t>目  录</w:t>
      </w:r>
    </w:p>
    <w:p w14:paraId="3DDABA00">
      <w:pPr>
        <w:tabs>
          <w:tab w:val="left" w:pos="2410"/>
        </w:tabs>
        <w:autoSpaceDE w:val="0"/>
        <w:autoSpaceDN w:val="0"/>
        <w:adjustRightInd w:val="0"/>
        <w:snapToGrid w:val="0"/>
        <w:spacing w:line="360" w:lineRule="auto"/>
        <w:jc w:val="center"/>
        <w:rPr>
          <w:rFonts w:ascii="宋体" w:hAnsi="宋体" w:eastAsia="宋体"/>
          <w:b/>
          <w:color w:val="auto"/>
          <w:sz w:val="28"/>
          <w:highlight w:val="none"/>
        </w:rPr>
      </w:pPr>
    </w:p>
    <w:p w14:paraId="7F36F96E">
      <w:pPr>
        <w:pStyle w:val="18"/>
        <w:tabs>
          <w:tab w:val="right" w:leader="dot" w:pos="8279"/>
        </w:tabs>
        <w:rPr>
          <w:rFonts w:hint="eastAsia" w:ascii="宋体" w:hAnsi="宋体" w:eastAsia="宋体" w:cs="宋体"/>
          <w:sz w:val="24"/>
          <w:szCs w:val="24"/>
          <w:highlight w:val="none"/>
        </w:rPr>
      </w:pPr>
      <w:r>
        <w:rPr>
          <w:rFonts w:asciiTheme="minorEastAsia" w:hAnsiTheme="minorEastAsia"/>
          <w:b/>
          <w:color w:val="auto"/>
          <w:sz w:val="32"/>
          <w:highlight w:val="none"/>
        </w:rPr>
        <w:fldChar w:fldCharType="begin"/>
      </w:r>
      <w:r>
        <w:rPr>
          <w:rFonts w:asciiTheme="minorEastAsia" w:hAnsiTheme="minorEastAsia"/>
          <w:b/>
          <w:color w:val="auto"/>
          <w:sz w:val="32"/>
          <w:highlight w:val="none"/>
        </w:rPr>
        <w:instrText xml:space="preserve">TOC \o "1-1" \h \u </w:instrText>
      </w:r>
      <w:r>
        <w:rPr>
          <w:rFonts w:asciiTheme="minorEastAsia" w:hAnsiTheme="minorEastAsia"/>
          <w:b/>
          <w:color w:val="auto"/>
          <w:sz w:val="32"/>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_Toc28808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第一章  磋商邀请</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_Toc28808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3</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14:paraId="4E45134A">
      <w:pPr>
        <w:pStyle w:val="18"/>
        <w:tabs>
          <w:tab w:val="right" w:leader="dot" w:pos="8279"/>
        </w:tabs>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_Toc17109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第二章  供应商须知</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_Toc17109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7</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14:paraId="07C8058D">
      <w:pPr>
        <w:pStyle w:val="18"/>
        <w:tabs>
          <w:tab w:val="right" w:leader="dot" w:pos="8279"/>
        </w:tabs>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_Toc14659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第三章  采购需求</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_Toc14659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27</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14:paraId="76B8DC88">
      <w:pPr>
        <w:pStyle w:val="18"/>
        <w:tabs>
          <w:tab w:val="right" w:leader="dot" w:pos="8279"/>
        </w:tabs>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_Toc30762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第四章 </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评审方法和标准</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_Toc30762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29</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14:paraId="47D52BDF">
      <w:pPr>
        <w:pStyle w:val="18"/>
        <w:tabs>
          <w:tab w:val="right" w:leader="dot" w:pos="8279"/>
        </w:tabs>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_Toc22097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 xml:space="preserve">第五章 </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政府采购合同</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_Toc22097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40</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14:paraId="193184F1">
      <w:pPr>
        <w:pStyle w:val="18"/>
        <w:tabs>
          <w:tab w:val="right" w:leader="dot" w:pos="8279"/>
        </w:tabs>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_Toc9979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第六章  响应文件格式</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_Toc9979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46</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14:paraId="76D11E52">
      <w:pPr>
        <w:pStyle w:val="18"/>
        <w:tabs>
          <w:tab w:val="right" w:leader="dot" w:pos="8279"/>
        </w:tabs>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_Toc145 </w:instrText>
      </w:r>
      <w:r>
        <w:rPr>
          <w:rFonts w:hint="eastAsia" w:ascii="宋体" w:hAnsi="宋体" w:eastAsia="宋体" w:cs="宋体"/>
          <w:sz w:val="24"/>
          <w:szCs w:val="24"/>
          <w:highlight w:val="none"/>
        </w:rPr>
        <w:fldChar w:fldCharType="separate"/>
      </w:r>
      <w:r>
        <w:rPr>
          <w:rFonts w:hint="eastAsia" w:ascii="宋体" w:hAnsi="宋体" w:eastAsia="宋体" w:cs="宋体"/>
          <w:bCs/>
          <w:sz w:val="24"/>
          <w:szCs w:val="24"/>
          <w:highlight w:val="none"/>
        </w:rPr>
        <w:t>第七章  政府采购</w:t>
      </w:r>
      <w:r>
        <w:rPr>
          <w:rFonts w:hint="eastAsia" w:ascii="宋体" w:hAnsi="宋体" w:eastAsia="宋体" w:cs="宋体"/>
          <w:sz w:val="24"/>
          <w:szCs w:val="24"/>
          <w:highlight w:val="none"/>
        </w:rPr>
        <w:t>供应</w:t>
      </w:r>
      <w:r>
        <w:rPr>
          <w:rFonts w:hint="eastAsia" w:ascii="宋体" w:hAnsi="宋体" w:eastAsia="宋体" w:cs="宋体"/>
          <w:bCs/>
          <w:sz w:val="24"/>
          <w:szCs w:val="24"/>
          <w:highlight w:val="none"/>
        </w:rPr>
        <w:t>商询问函和质疑函范本</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_Toc145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59</w:t>
      </w:r>
      <w:r>
        <w:rPr>
          <w:rFonts w:hint="eastAsia" w:ascii="宋体" w:hAnsi="宋体" w:eastAsia="宋体" w:cs="宋体"/>
          <w:sz w:val="24"/>
          <w:szCs w:val="24"/>
          <w:highlight w:val="none"/>
        </w:rPr>
        <w:fldChar w:fldCharType="end"/>
      </w:r>
      <w:r>
        <w:rPr>
          <w:rFonts w:hint="eastAsia" w:ascii="宋体" w:hAnsi="宋体" w:eastAsia="宋体" w:cs="宋体"/>
          <w:color w:val="auto"/>
          <w:sz w:val="24"/>
          <w:szCs w:val="24"/>
          <w:highlight w:val="none"/>
        </w:rPr>
        <w:fldChar w:fldCharType="end"/>
      </w:r>
    </w:p>
    <w:p w14:paraId="0D2F3BEE">
      <w:pPr>
        <w:pStyle w:val="19"/>
        <w:tabs>
          <w:tab w:val="right" w:leader="dot" w:pos="8296"/>
        </w:tabs>
        <w:rPr>
          <w:rFonts w:asciiTheme="minorEastAsia" w:hAnsiTheme="minorEastAsia"/>
          <w:b/>
          <w:color w:val="auto"/>
          <w:sz w:val="32"/>
          <w:highlight w:val="none"/>
        </w:rPr>
      </w:pPr>
      <w:r>
        <w:rPr>
          <w:rFonts w:asciiTheme="minorEastAsia" w:hAnsiTheme="minorEastAsia"/>
          <w:color w:val="auto"/>
          <w:highlight w:val="none"/>
        </w:rPr>
        <w:fldChar w:fldCharType="end"/>
      </w:r>
    </w:p>
    <w:p w14:paraId="07BDC853">
      <w:pPr>
        <w:spacing w:line="360" w:lineRule="auto"/>
        <w:jc w:val="center"/>
        <w:outlineLvl w:val="1"/>
        <w:rPr>
          <w:rFonts w:asciiTheme="minorEastAsia" w:hAnsiTheme="minorEastAsia" w:eastAsiaTheme="minorEastAsia"/>
          <w:b/>
          <w:color w:val="auto"/>
          <w:sz w:val="28"/>
          <w:highlight w:val="none"/>
        </w:rPr>
        <w:sectPr>
          <w:headerReference r:id="rId3" w:type="default"/>
          <w:footerReference r:id="rId4" w:type="default"/>
          <w:pgSz w:w="11907" w:h="16840"/>
          <w:pgMar w:top="1474" w:right="1814" w:bottom="1474" w:left="1814" w:header="851" w:footer="992" w:gutter="0"/>
          <w:cols w:space="720" w:num="1"/>
          <w:docGrid w:linePitch="462" w:charSpace="0"/>
        </w:sectPr>
      </w:pPr>
    </w:p>
    <w:p w14:paraId="09734234">
      <w:pPr>
        <w:spacing w:line="360" w:lineRule="auto"/>
        <w:jc w:val="center"/>
        <w:outlineLvl w:val="0"/>
        <w:rPr>
          <w:rFonts w:asciiTheme="minorEastAsia" w:hAnsiTheme="minorEastAsia" w:eastAsiaTheme="minorEastAsia"/>
          <w:b/>
          <w:color w:val="auto"/>
          <w:sz w:val="28"/>
          <w:highlight w:val="none"/>
        </w:rPr>
      </w:pPr>
      <w:bookmarkStart w:id="1" w:name="_Toc28808"/>
      <w:bookmarkStart w:id="2" w:name="_Toc19988"/>
      <w:bookmarkStart w:id="3" w:name="_Toc501"/>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磋商邀请</w:t>
      </w:r>
      <w:bookmarkEnd w:id="1"/>
      <w:bookmarkEnd w:id="2"/>
      <w:bookmarkEnd w:id="3"/>
    </w:p>
    <w:p w14:paraId="65CFC92C">
      <w:pPr>
        <w:autoSpaceDE w:val="0"/>
        <w:autoSpaceDN w:val="0"/>
        <w:adjustRightInd w:val="0"/>
        <w:spacing w:line="480" w:lineRule="exact"/>
        <w:ind w:firstLine="436" w:firstLineChars="182"/>
        <w:jc w:val="left"/>
        <w:rPr>
          <w:rFonts w:ascii="宋体" w:hAnsi="宋体" w:eastAsia="宋体" w:cs="宋体"/>
          <w:color w:val="auto"/>
          <w:sz w:val="24"/>
          <w:szCs w:val="24"/>
          <w:highlight w:val="none"/>
        </w:rPr>
      </w:pPr>
      <w:bookmarkStart w:id="4" w:name="_Toc7162"/>
      <w:r>
        <w:rPr>
          <w:rFonts w:hint="eastAsia" w:ascii="宋体" w:hAnsi="宋体" w:eastAsia="宋体" w:cs="宋体"/>
          <w:color w:val="auto"/>
          <w:sz w:val="24"/>
          <w:szCs w:val="24"/>
          <w:highlight w:val="none"/>
        </w:rPr>
        <w:t>项目概况</w:t>
      </w:r>
    </w:p>
    <w:p w14:paraId="648EA412">
      <w:pPr>
        <w:autoSpaceDE w:val="0"/>
        <w:autoSpaceDN w:val="0"/>
        <w:adjustRightInd w:val="0"/>
        <w:spacing w:line="480" w:lineRule="exact"/>
        <w:ind w:firstLine="436" w:firstLineChars="182"/>
        <w:jc w:val="left"/>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lang w:eastAsia="zh-CN"/>
        </w:rPr>
        <w:t>2027年滁州市普通国省道交调站点建设设计项目</w:t>
      </w:r>
      <w:r>
        <w:rPr>
          <w:rFonts w:hint="eastAsia" w:ascii="宋体" w:hAnsi="宋体" w:eastAsia="宋体" w:cs="宋体"/>
          <w:color w:val="auto"/>
          <w:sz w:val="24"/>
          <w:szCs w:val="24"/>
          <w:highlight w:val="none"/>
        </w:rPr>
        <w:t>的潜在供应商应在滁州市公共资源交易中心网（http://ggzy.chuzhou.gov.cn/）获取采购文件，并于</w:t>
      </w:r>
      <w:r>
        <w:rPr>
          <w:rFonts w:hint="eastAsia" w:ascii="宋体" w:hAnsi="宋体" w:eastAsia="宋体" w:cs="宋体"/>
          <w:color w:val="auto"/>
          <w:sz w:val="24"/>
          <w:szCs w:val="24"/>
          <w:highlight w:val="none"/>
          <w:lang w:eastAsia="zh-CN"/>
        </w:rPr>
        <w:t>2026年9月8日8点30分</w:t>
      </w:r>
      <w:r>
        <w:rPr>
          <w:rFonts w:hint="eastAsia" w:ascii="宋体" w:hAnsi="宋体" w:eastAsia="宋体" w:cs="宋体"/>
          <w:color w:val="auto"/>
          <w:sz w:val="24"/>
          <w:szCs w:val="24"/>
          <w:highlight w:val="none"/>
        </w:rPr>
        <w:t>（北京时间）前递交响应文件。</w:t>
      </w:r>
    </w:p>
    <w:p w14:paraId="4AE71D09">
      <w:pPr>
        <w:spacing w:line="480" w:lineRule="exact"/>
        <w:ind w:firstLine="435"/>
        <w:outlineLvl w:val="1"/>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一、项目名称及内容</w:t>
      </w:r>
    </w:p>
    <w:p w14:paraId="771014F7">
      <w:pPr>
        <w:autoSpaceDE w:val="0"/>
        <w:autoSpaceDN w:val="0"/>
        <w:adjustRightInd w:val="0"/>
        <w:spacing w:line="480" w:lineRule="exact"/>
        <w:ind w:firstLine="436" w:firstLineChars="182"/>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lang w:eastAsia="zh-CN"/>
        </w:rPr>
        <w:t>czsjcg202608-051</w:t>
      </w:r>
      <w:r>
        <w:rPr>
          <w:rFonts w:hint="eastAsia" w:ascii="宋体" w:hAnsi="宋体" w:eastAsia="宋体" w:cs="宋体"/>
          <w:color w:val="auto"/>
          <w:sz w:val="24"/>
          <w:szCs w:val="24"/>
          <w:highlight w:val="none"/>
        </w:rPr>
        <w:t xml:space="preserve"> </w:t>
      </w:r>
    </w:p>
    <w:p w14:paraId="58733C5A">
      <w:pPr>
        <w:autoSpaceDE w:val="0"/>
        <w:autoSpaceDN w:val="0"/>
        <w:adjustRightInd w:val="0"/>
        <w:spacing w:line="480" w:lineRule="exact"/>
        <w:ind w:firstLine="436" w:firstLineChars="182"/>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lang w:eastAsia="zh-CN"/>
        </w:rPr>
        <w:t>2027年滁州市普通国省道交调站点建设设计项目</w:t>
      </w:r>
    </w:p>
    <w:p w14:paraId="54489BFF">
      <w:pPr>
        <w:autoSpaceDE w:val="0"/>
        <w:autoSpaceDN w:val="0"/>
        <w:adjustRightInd w:val="0"/>
        <w:spacing w:line="480" w:lineRule="exact"/>
        <w:ind w:firstLine="436" w:firstLineChars="182"/>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采购方式：竞争性磋商</w:t>
      </w:r>
    </w:p>
    <w:p w14:paraId="731A8EFF">
      <w:pPr>
        <w:autoSpaceDE w:val="0"/>
        <w:autoSpaceDN w:val="0"/>
        <w:adjustRightInd w:val="0"/>
        <w:spacing w:line="480" w:lineRule="exact"/>
        <w:ind w:firstLine="436" w:firstLineChars="182"/>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预算金额：</w:t>
      </w:r>
      <w:r>
        <w:rPr>
          <w:rFonts w:hint="eastAsia" w:ascii="宋体" w:hAnsi="宋体" w:eastAsia="宋体" w:cs="宋体"/>
          <w:color w:val="auto"/>
          <w:sz w:val="24"/>
          <w:szCs w:val="24"/>
          <w:highlight w:val="none"/>
          <w:lang w:val="en-US" w:eastAsia="zh-CN"/>
        </w:rPr>
        <w:t>706700.00</w:t>
      </w:r>
      <w:r>
        <w:rPr>
          <w:rFonts w:hint="eastAsia" w:ascii="宋体" w:hAnsi="宋体" w:eastAsia="宋体" w:cs="宋体"/>
          <w:color w:val="auto"/>
          <w:sz w:val="24"/>
          <w:szCs w:val="24"/>
          <w:highlight w:val="none"/>
        </w:rPr>
        <w:t xml:space="preserve">元； </w:t>
      </w:r>
    </w:p>
    <w:p w14:paraId="02F497B7">
      <w:pPr>
        <w:autoSpaceDE w:val="0"/>
        <w:autoSpaceDN w:val="0"/>
        <w:adjustRightInd w:val="0"/>
        <w:spacing w:line="480" w:lineRule="exact"/>
        <w:ind w:firstLine="436" w:firstLineChars="182"/>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最高限价：</w:t>
      </w:r>
      <w:r>
        <w:rPr>
          <w:rFonts w:hint="eastAsia" w:ascii="宋体" w:hAnsi="宋体" w:eastAsia="宋体" w:cs="宋体"/>
          <w:color w:val="auto"/>
          <w:sz w:val="24"/>
          <w:szCs w:val="24"/>
          <w:highlight w:val="none"/>
          <w:lang w:val="en-US" w:eastAsia="zh-CN"/>
        </w:rPr>
        <w:t>706700.00元</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总价和综合单价报价均不得高于各最高限价，否则按无效响应处理。</w:t>
      </w:r>
    </w:p>
    <w:p w14:paraId="56BF59FA">
      <w:pPr>
        <w:pStyle w:val="72"/>
        <w:spacing w:line="500" w:lineRule="exact"/>
        <w:ind w:firstLine="48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采购需求：</w:t>
      </w:r>
      <w:r>
        <w:rPr>
          <w:rFonts w:hint="eastAsia" w:ascii="宋体" w:hAnsi="宋体" w:cs="宋体"/>
          <w:color w:val="auto"/>
          <w:kern w:val="2"/>
          <w:sz w:val="24"/>
          <w:szCs w:val="24"/>
          <w:highlight w:val="none"/>
          <w:lang w:val="en-US" w:eastAsia="zh-CN" w:bidi="ar-SA"/>
        </w:rPr>
        <w:t>新建省道交通量调查站点87处，升级省道交通量调查站点5处。新建国道交通量调查站点31处，升级国道交通量调查站点11处。本次共新建站点118处，升级站点16处，合计134处国省干线公路交通量调查站点建设的勘测、方案设计、施工图设计和概预算编制等全部费用。估算建设费用约3500万元。建设地点涉及滁州市及各县区</w:t>
      </w:r>
      <w:r>
        <w:rPr>
          <w:rFonts w:hint="eastAsia" w:ascii="宋体" w:hAnsi="宋体" w:eastAsia="宋体" w:cs="宋体"/>
          <w:color w:val="auto"/>
          <w:kern w:val="2"/>
          <w:sz w:val="24"/>
          <w:szCs w:val="24"/>
          <w:highlight w:val="none"/>
          <w:lang w:val="en-US" w:eastAsia="zh-CN" w:bidi="ar-SA"/>
        </w:rPr>
        <w:t>。</w:t>
      </w:r>
    </w:p>
    <w:p w14:paraId="347D6587">
      <w:pPr>
        <w:autoSpaceDE w:val="0"/>
        <w:autoSpaceDN w:val="0"/>
        <w:adjustRightInd w:val="0"/>
        <w:spacing w:line="480" w:lineRule="exact"/>
        <w:ind w:firstLine="436" w:firstLineChars="182"/>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合同履行期限：</w:t>
      </w:r>
      <w:r>
        <w:rPr>
          <w:rFonts w:hint="eastAsia" w:ascii="宋体" w:hAnsi="宋体" w:eastAsia="宋体" w:cs="宋体"/>
          <w:color w:val="auto"/>
          <w:sz w:val="24"/>
          <w:szCs w:val="24"/>
          <w:highlight w:val="none"/>
          <w:lang w:val="en-US" w:eastAsia="zh-CN"/>
        </w:rPr>
        <w:t>45天内完成设计任务并出具评审合格的施工图。</w:t>
      </w:r>
    </w:p>
    <w:p w14:paraId="0A4AA876">
      <w:pPr>
        <w:autoSpaceDE w:val="0"/>
        <w:autoSpaceDN w:val="0"/>
        <w:adjustRightInd w:val="0"/>
        <w:spacing w:line="480" w:lineRule="exact"/>
        <w:ind w:firstLine="436" w:firstLineChars="182"/>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本项目不接受联合体。</w:t>
      </w:r>
    </w:p>
    <w:p w14:paraId="563073A3">
      <w:pPr>
        <w:spacing w:line="480" w:lineRule="exact"/>
        <w:ind w:firstLine="435"/>
        <w:outlineLvl w:val="1"/>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w:t>
      </w:r>
      <w:r>
        <w:rPr>
          <w:rFonts w:hint="eastAsia" w:ascii="宋体" w:hAnsi="宋体" w:eastAsia="宋体" w:cs="宋体"/>
          <w:b/>
          <w:color w:val="auto"/>
          <w:sz w:val="24"/>
          <w:szCs w:val="24"/>
          <w:highlight w:val="none"/>
        </w:rPr>
        <w:t>、</w:t>
      </w:r>
      <w:r>
        <w:rPr>
          <w:rFonts w:hint="eastAsia" w:ascii="宋体" w:hAnsi="宋体" w:eastAsia="宋体" w:cs="宋体"/>
          <w:b/>
          <w:bCs/>
          <w:color w:val="auto"/>
          <w:sz w:val="24"/>
          <w:szCs w:val="24"/>
          <w:highlight w:val="none"/>
        </w:rPr>
        <w:t>申请人的资格要求</w:t>
      </w:r>
    </w:p>
    <w:p w14:paraId="3E6C11C2">
      <w:pPr>
        <w:spacing w:line="360" w:lineRule="auto"/>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1.满足《中华人民共和国政府采购法》第二十二条规定；</w:t>
      </w:r>
    </w:p>
    <w:p w14:paraId="404B104D">
      <w:pPr>
        <w:spacing w:line="360" w:lineRule="auto"/>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落实政府采购政策需满足的资格要求：本项目符合财政部、工业和信息化部制定的《政府采购促进中小企业发展管理办法》第六条第三款（按照本办法规定预留采购份额无法确保充分供应、充分竞争，或者存在可能影响政府采购目标实现的情形）之规定，为非专门面向中小企业采购项目。若中小企业对此有质疑，可按以下渠道递交质疑：①以书面材料递交至采购人或采购代理机构处；②在滁州市公共资源交易中心网电子交易系统中进行质疑，具体操作步骤和程序请参见服务指南&gt;交易须知&gt;在线异议、质疑和投诉操作手册；</w:t>
      </w:r>
    </w:p>
    <w:p w14:paraId="610E7B26">
      <w:pPr>
        <w:keepNext w:val="0"/>
        <w:keepLines w:val="0"/>
        <w:widowControl w:val="0"/>
        <w:suppressLineNumbers w:val="0"/>
        <w:autoSpaceDE w:val="0"/>
        <w:autoSpaceDN w:val="0"/>
        <w:adjustRightInd w:val="0"/>
        <w:spacing w:before="0" w:beforeAutospacing="0" w:after="0" w:afterAutospacing="0" w:line="480" w:lineRule="exact"/>
        <w:ind w:left="0" w:right="0" w:firstLine="436" w:firstLineChars="182"/>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3.本项目的特定资格要求：</w:t>
      </w:r>
      <w:r>
        <w:rPr>
          <w:rFonts w:hint="eastAsia" w:ascii="宋体" w:hAnsi="宋体" w:eastAsia="宋体" w:cs="宋体"/>
          <w:color w:val="auto"/>
          <w:sz w:val="24"/>
          <w:szCs w:val="24"/>
          <w:highlight w:val="none"/>
          <w:lang w:val="en-US" w:eastAsia="zh-CN"/>
        </w:rPr>
        <w:t>供应商具有工程设计综合甲级资质或公路行业甲级资质或公路行业（交通工程）专业设计甲级资质。拟派的项目负责人具有公路相关专业高级及以上职称</w:t>
      </w:r>
      <w:r>
        <w:rPr>
          <w:rFonts w:hint="eastAsia" w:ascii="宋体" w:hAnsi="宋体" w:eastAsia="宋体" w:cs="宋体"/>
          <w:color w:val="auto"/>
          <w:kern w:val="2"/>
          <w:sz w:val="24"/>
          <w:szCs w:val="24"/>
          <w:highlight w:val="none"/>
          <w:lang w:val="en-US" w:eastAsia="zh-CN" w:bidi="ar"/>
        </w:rPr>
        <w:t>。</w:t>
      </w:r>
    </w:p>
    <w:p w14:paraId="44C417BC">
      <w:pPr>
        <w:spacing w:line="360" w:lineRule="auto"/>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4.信誉要求：供应商不得存在以下情形：</w:t>
      </w:r>
    </w:p>
    <w:p w14:paraId="022E5FE8">
      <w:pPr>
        <w:spacing w:line="360" w:lineRule="auto"/>
        <w:ind w:firstLine="435"/>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①被列入“信用中国”网站（www.creditchina.gov.cn）“失信被执行人”的；</w:t>
      </w:r>
    </w:p>
    <w:p w14:paraId="59CEC530">
      <w:pPr>
        <w:spacing w:line="360" w:lineRule="auto"/>
        <w:ind w:firstLine="435"/>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②被列入“信用中国”网站（www.creditchina.gov.cn）“重大税收违法失信主体”的；</w:t>
      </w:r>
    </w:p>
    <w:p w14:paraId="739FBABF">
      <w:pPr>
        <w:spacing w:line="360" w:lineRule="auto"/>
        <w:ind w:firstLine="435"/>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③被列入“信用中国”网站（www.creditchina.gov.cn） “安全生产严重失信主体名单”的；</w:t>
      </w:r>
    </w:p>
    <w:p w14:paraId="679931CA">
      <w:pPr>
        <w:spacing w:line="360" w:lineRule="auto"/>
        <w:ind w:firstLine="435"/>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④被列入国家企业信用信息公示系统网站（www.gsxt.gov.cn）“严重违法失信名单”的。</w:t>
      </w:r>
    </w:p>
    <w:p w14:paraId="1F1CA97D">
      <w:pPr>
        <w:spacing w:line="360" w:lineRule="auto"/>
        <w:ind w:firstLine="435"/>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⑤被列入中国政府采购网站“政府采购严重违法失信行为信息记录”的。</w:t>
      </w:r>
    </w:p>
    <w:p w14:paraId="187D4E71">
      <w:pPr>
        <w:spacing w:line="360" w:lineRule="auto"/>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5.供应商所属分公司、办事处等分支机构存在第4条信誉要求①-⑤项情形之一的，接受供应商参加本项目</w:t>
      </w:r>
      <w:r>
        <w:rPr>
          <w:rFonts w:hint="eastAsia" w:ascii="宋体" w:hAnsi="宋体" w:eastAsia="宋体" w:cs="宋体"/>
          <w:color w:val="auto"/>
          <w:sz w:val="24"/>
          <w:szCs w:val="24"/>
          <w:highlight w:val="none"/>
        </w:rPr>
        <w:t>。</w:t>
      </w:r>
    </w:p>
    <w:p w14:paraId="7E48817D">
      <w:pPr>
        <w:spacing w:line="480" w:lineRule="exact"/>
        <w:ind w:firstLine="435"/>
        <w:outlineLvl w:val="1"/>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w:t>
      </w:r>
      <w:r>
        <w:rPr>
          <w:rFonts w:hint="eastAsia" w:ascii="宋体" w:hAnsi="宋体" w:eastAsia="宋体" w:cs="宋体"/>
          <w:b/>
          <w:color w:val="auto"/>
          <w:sz w:val="24"/>
          <w:szCs w:val="24"/>
          <w:highlight w:val="none"/>
        </w:rPr>
        <w:t>、获取采购文件</w:t>
      </w:r>
    </w:p>
    <w:p w14:paraId="4A114082">
      <w:pPr>
        <w:adjustRightInd w:val="0"/>
        <w:snapToGrid w:val="0"/>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时间：</w:t>
      </w:r>
      <w:r>
        <w:rPr>
          <w:rFonts w:hint="eastAsia" w:ascii="宋体" w:hAnsi="宋体" w:eastAsia="宋体" w:cs="宋体"/>
          <w:color w:val="auto"/>
          <w:sz w:val="24"/>
          <w:szCs w:val="24"/>
          <w:highlight w:val="none"/>
          <w:u w:val="single"/>
        </w:rPr>
        <w:t>2026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8</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28</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日至</w:t>
      </w:r>
      <w:r>
        <w:rPr>
          <w:rFonts w:hint="eastAsia" w:ascii="宋体" w:hAnsi="宋体" w:eastAsia="宋体" w:cs="宋体"/>
          <w:color w:val="auto"/>
          <w:sz w:val="24"/>
          <w:szCs w:val="24"/>
          <w:highlight w:val="none"/>
          <w:u w:val="single"/>
        </w:rPr>
        <w:t>2026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9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8 </w:t>
      </w:r>
      <w:r>
        <w:rPr>
          <w:rFonts w:hint="eastAsia" w:ascii="宋体" w:hAnsi="宋体" w:eastAsia="宋体" w:cs="宋体"/>
          <w:color w:val="auto"/>
          <w:sz w:val="24"/>
          <w:szCs w:val="24"/>
          <w:highlight w:val="none"/>
        </w:rPr>
        <w:t>日（磋商文件的发售期限自开始之日起不得少于5个工作日）</w:t>
      </w:r>
    </w:p>
    <w:p w14:paraId="369C1945">
      <w:pPr>
        <w:adjustRightInd w:val="0"/>
        <w:snapToGrid w:val="0"/>
        <w:spacing w:line="480" w:lineRule="exact"/>
        <w:ind w:firstLine="480" w:firstLineChars="200"/>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地点：</w:t>
      </w:r>
      <w:r>
        <w:rPr>
          <w:rFonts w:hint="eastAsia" w:ascii="宋体" w:hAnsi="宋体" w:eastAsia="宋体" w:cs="宋体"/>
          <w:color w:val="auto"/>
          <w:sz w:val="24"/>
          <w:szCs w:val="24"/>
          <w:highlight w:val="none"/>
          <w:u w:val="single"/>
        </w:rPr>
        <w:t>滁州市公共资源交易中心网</w:t>
      </w:r>
    </w:p>
    <w:p w14:paraId="2F67AA7F">
      <w:pPr>
        <w:autoSpaceDE w:val="0"/>
        <w:spacing w:line="480" w:lineRule="exact"/>
        <w:ind w:firstLine="480" w:firstLineChars="200"/>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方式：</w:t>
      </w:r>
      <w:r>
        <w:rPr>
          <w:rFonts w:hint="eastAsia" w:ascii="宋体" w:hAnsi="宋体" w:eastAsia="宋体" w:cs="宋体"/>
          <w:color w:val="auto"/>
          <w:sz w:val="24"/>
          <w:szCs w:val="24"/>
          <w:highlight w:val="none"/>
          <w:u w:val="single"/>
        </w:rPr>
        <w:t>网上下载</w:t>
      </w:r>
    </w:p>
    <w:p w14:paraId="412CCB49">
      <w:pPr>
        <w:autoSpaceDE w:val="0"/>
        <w:spacing w:line="480" w:lineRule="exact"/>
        <w:ind w:firstLine="480" w:firstLineChars="200"/>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售价：</w:t>
      </w:r>
      <w:r>
        <w:rPr>
          <w:rFonts w:hint="eastAsia" w:ascii="宋体" w:hAnsi="宋体" w:eastAsia="宋体" w:cs="宋体"/>
          <w:color w:val="auto"/>
          <w:sz w:val="24"/>
          <w:szCs w:val="24"/>
          <w:highlight w:val="none"/>
          <w:u w:val="single"/>
        </w:rPr>
        <w:t>0元</w:t>
      </w:r>
    </w:p>
    <w:p w14:paraId="4F922194">
      <w:pPr>
        <w:spacing w:line="480" w:lineRule="exact"/>
        <w:ind w:firstLine="435"/>
        <w:outlineLvl w:val="1"/>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w:t>
      </w:r>
      <w:r>
        <w:rPr>
          <w:rFonts w:hint="eastAsia" w:ascii="宋体" w:hAnsi="宋体" w:eastAsia="宋体" w:cs="宋体"/>
          <w:b/>
          <w:color w:val="auto"/>
          <w:sz w:val="24"/>
          <w:szCs w:val="24"/>
          <w:highlight w:val="none"/>
        </w:rPr>
        <w:t>、</w:t>
      </w:r>
      <w:r>
        <w:rPr>
          <w:rFonts w:hint="eastAsia" w:ascii="宋体" w:hAnsi="宋体" w:eastAsia="宋体" w:cs="宋体"/>
          <w:b/>
          <w:bCs/>
          <w:color w:val="auto"/>
          <w:sz w:val="24"/>
          <w:szCs w:val="24"/>
          <w:highlight w:val="none"/>
        </w:rPr>
        <w:t>响应文件提交</w:t>
      </w:r>
    </w:p>
    <w:p w14:paraId="7D57F4D7">
      <w:pPr>
        <w:spacing w:line="480" w:lineRule="exac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截止时间：</w:t>
      </w:r>
      <w:r>
        <w:rPr>
          <w:rFonts w:hint="eastAsia" w:ascii="宋体" w:hAnsi="宋体" w:eastAsia="宋体" w:cs="宋体"/>
          <w:bCs/>
          <w:color w:val="auto"/>
          <w:sz w:val="24"/>
          <w:szCs w:val="24"/>
          <w:highlight w:val="none"/>
          <w:u w:val="single"/>
        </w:rPr>
        <w:t>2026年9月8日8点30分</w:t>
      </w:r>
      <w:r>
        <w:rPr>
          <w:rFonts w:hint="eastAsia" w:ascii="宋体" w:hAnsi="宋体" w:eastAsia="宋体" w:cs="宋体"/>
          <w:bCs/>
          <w:color w:val="auto"/>
          <w:sz w:val="24"/>
          <w:szCs w:val="24"/>
          <w:highlight w:val="none"/>
        </w:rPr>
        <w:t>（北京时间）（从磋商文件开始发出之日起至供应商提交首次响应文件截止之日止不得少于10日）</w:t>
      </w:r>
    </w:p>
    <w:p w14:paraId="7598B083">
      <w:pPr>
        <w:spacing w:line="480" w:lineRule="exact"/>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地点：滁州市公共资源交易平台电子交易系统</w:t>
      </w:r>
    </w:p>
    <w:p w14:paraId="37729193">
      <w:pPr>
        <w:spacing w:line="480" w:lineRule="exact"/>
        <w:ind w:firstLine="435"/>
        <w:outlineLvl w:val="1"/>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w:t>
      </w:r>
      <w:r>
        <w:rPr>
          <w:rFonts w:hint="eastAsia" w:ascii="宋体" w:hAnsi="宋体" w:eastAsia="宋体" w:cs="宋体"/>
          <w:b/>
          <w:color w:val="auto"/>
          <w:sz w:val="24"/>
          <w:szCs w:val="24"/>
          <w:highlight w:val="none"/>
        </w:rPr>
        <w:t>、</w:t>
      </w:r>
      <w:r>
        <w:rPr>
          <w:rFonts w:hint="eastAsia" w:ascii="宋体" w:hAnsi="宋体" w:eastAsia="宋体" w:cs="宋体"/>
          <w:b/>
          <w:bCs/>
          <w:color w:val="auto"/>
          <w:sz w:val="24"/>
          <w:szCs w:val="24"/>
          <w:highlight w:val="none"/>
        </w:rPr>
        <w:t>开启</w:t>
      </w:r>
    </w:p>
    <w:p w14:paraId="7AB04FE1">
      <w:pPr>
        <w:adjustRightInd w:val="0"/>
        <w:snapToGrid w:val="0"/>
        <w:spacing w:line="480" w:lineRule="exac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时间：</w:t>
      </w:r>
      <w:r>
        <w:rPr>
          <w:rFonts w:hint="eastAsia" w:ascii="宋体" w:hAnsi="宋体" w:eastAsia="宋体" w:cs="宋体"/>
          <w:bCs/>
          <w:color w:val="auto"/>
          <w:sz w:val="24"/>
          <w:szCs w:val="24"/>
          <w:highlight w:val="none"/>
          <w:u w:val="single"/>
        </w:rPr>
        <w:t>2026年9月8日8点30分</w:t>
      </w:r>
      <w:r>
        <w:rPr>
          <w:rFonts w:hint="eastAsia" w:ascii="宋体" w:hAnsi="宋体" w:eastAsia="宋体" w:cs="宋体"/>
          <w:bCs/>
          <w:color w:val="auto"/>
          <w:sz w:val="24"/>
          <w:szCs w:val="24"/>
          <w:highlight w:val="none"/>
        </w:rPr>
        <w:t>（北京时间）</w:t>
      </w:r>
    </w:p>
    <w:p w14:paraId="33F88DF8">
      <w:pPr>
        <w:adjustRightInd w:val="0"/>
        <w:snapToGrid w:val="0"/>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地点：滁州市公共资源交易平台电子交易系统</w:t>
      </w:r>
    </w:p>
    <w:p w14:paraId="1E53E748">
      <w:pPr>
        <w:spacing w:line="480" w:lineRule="exact"/>
        <w:ind w:firstLine="435"/>
        <w:outlineLvl w:val="1"/>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六、公告期限</w:t>
      </w:r>
    </w:p>
    <w:p w14:paraId="408AB06D">
      <w:pPr>
        <w:adjustRightInd w:val="0"/>
        <w:snapToGrid w:val="0"/>
        <w:spacing w:line="480" w:lineRule="exact"/>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自本公告发布之日起3个工作日。</w:t>
      </w:r>
    </w:p>
    <w:p w14:paraId="129AF461">
      <w:pPr>
        <w:spacing w:line="480" w:lineRule="exact"/>
        <w:ind w:firstLine="435"/>
        <w:outlineLvl w:val="1"/>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七、其他补充事宜</w:t>
      </w:r>
    </w:p>
    <w:p w14:paraId="03D49B27">
      <w:pPr>
        <w:wordWrap w:val="0"/>
        <w:autoSpaceDE w:val="0"/>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本项目只接受在安徽省公共资源交易市场主体库（http://ggzy.ah.gov.cn/ahggfwpt-zhutiku/dengludenglu）登记并进行信息确认提交的供应商参与，未登记的供应商请及时办理CA数字证书并登录安徽省公共资源交易市场主体库进行信息填写及确认提交；已办理过CA数字证书视为已在省库登记，进行信息更新及确认提交即可。办理流程为登录滁州市公共资源交易中心网&gt;服务指南&gt;办事指南中的“CA数字证书和电子签章”及“市场主体登记”。相关服务电话：1.安徽省公共资源交易市场主体库使用相关问题（系统登录、信息登记、录入及提交、数字证书关联等）：010-86483801转5-2 ；2.CA数字证书有关问题：安徽CA客服</w:t>
      </w:r>
      <w:r>
        <w:rPr>
          <w:rFonts w:hint="eastAsia" w:ascii="宋体" w:hAnsi="宋体" w:eastAsia="宋体" w:cs="宋体"/>
          <w:color w:val="auto"/>
          <w:sz w:val="24"/>
          <w:szCs w:val="24"/>
          <w:highlight w:val="none"/>
          <w:lang w:eastAsia="zh-CN"/>
        </w:rPr>
        <w:t>400-615-8899</w:t>
      </w:r>
      <w:r>
        <w:rPr>
          <w:rFonts w:hint="eastAsia" w:ascii="宋体" w:hAnsi="宋体" w:eastAsia="宋体" w:cs="宋体"/>
          <w:color w:val="auto"/>
          <w:sz w:val="24"/>
          <w:szCs w:val="24"/>
          <w:highlight w:val="none"/>
        </w:rPr>
        <w:t>、0550-3019013（工作日），CFCA客服025-66085508 、0550-3801669（工作日）；3.市场主体招标环节和投标环节系统使用问题：</w:t>
      </w:r>
      <w:r>
        <w:rPr>
          <w:rFonts w:hint="eastAsia" w:ascii="宋体" w:hAnsi="宋体" w:eastAsia="宋体" w:cs="宋体"/>
          <w:color w:val="auto"/>
          <w:sz w:val="24"/>
          <w:szCs w:val="24"/>
          <w:highlight w:val="none"/>
          <w:lang w:eastAsia="zh-CN"/>
        </w:rPr>
        <w:t>0512-58188516</w:t>
      </w:r>
      <w:r>
        <w:rPr>
          <w:rFonts w:hint="eastAsia" w:ascii="宋体" w:hAnsi="宋体" w:eastAsia="宋体" w:cs="宋体"/>
          <w:color w:val="auto"/>
          <w:sz w:val="24"/>
          <w:szCs w:val="24"/>
          <w:highlight w:val="none"/>
        </w:rPr>
        <w:t>（8：00-21：00）、0550-3801701（工作日）。因未及时通过CA数字证书登录省主体库对相关信息进行补充完善并确认提交，导致无法参与本项目的，责任自负。为保证系统使用过程中产生的问题能够及时得到解决，请各主体进行主体信息登记、更新、响应文件制作等相关操作。</w:t>
      </w:r>
    </w:p>
    <w:p w14:paraId="62A9DA4E">
      <w:pPr>
        <w:wordWrap w:val="0"/>
        <w:autoSpaceDE w:val="0"/>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2.请供应商登录滁州市公共资源交易中心网站查看参加本项目的程序。（具体操作步骤和程序请参见服务指南&gt;交易须知&gt;</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填写投标信息、下载文件及网上提问操作手册）。</w:t>
      </w:r>
    </w:p>
    <w:p w14:paraId="10B59280">
      <w:pPr>
        <w:wordWrap w:val="0"/>
        <w:autoSpaceDE w:val="0"/>
        <w:spacing w:line="480" w:lineRule="exact"/>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本项目采用不见面（远程解密)方式，开启时供应商无须至现场进行解密，采取远程解密方式解密响应文件，解密方式为：供应商在开启时间前使用CA数字证书登录滁州市“不见面开标系统”，网址为https://ggzy.chuzhou.gov.cn/BidOpening,等待开启并按系统提示进行相应的供应商解密等事项，无需到现场。采用本方式可以观看开启现场音视频直播并进行互动交流。具体操作方法见中心网站&gt;服务指南&gt;交易须知中的《滁州市不见面开标系统操作手册》。</w:t>
      </w:r>
    </w:p>
    <w:p w14:paraId="677F3327">
      <w:pPr>
        <w:wordWrap w:val="0"/>
        <w:autoSpaceDE w:val="0"/>
        <w:spacing w:line="480" w:lineRule="exact"/>
        <w:ind w:firstLine="480" w:firstLineChars="200"/>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4.供应商接到远程解密指令后，须在规定时间内解密。因供应商自身原因导致响应文件在规定时间内未能解密、解密失败或解密超时，响应文件无效；因采购代理机构原因或网上平台发生故障，导致无法按时完成响应文件解密的，经采购代理机构申请后可延迟解密时间。</w:t>
      </w:r>
    </w:p>
    <w:p w14:paraId="27668B59">
      <w:pPr>
        <w:spacing w:line="360" w:lineRule="auto"/>
        <w:ind w:firstLine="435"/>
        <w:outlineLvl w:val="1"/>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八</w:t>
      </w:r>
      <w:r>
        <w:rPr>
          <w:rFonts w:hint="eastAsia" w:ascii="宋体" w:hAnsi="宋体" w:eastAsia="宋体" w:cs="宋体"/>
          <w:b/>
          <w:color w:val="auto"/>
          <w:sz w:val="24"/>
          <w:szCs w:val="24"/>
          <w:highlight w:val="none"/>
        </w:rPr>
        <w:t>、</w:t>
      </w:r>
      <w:r>
        <w:rPr>
          <w:rFonts w:hint="eastAsia" w:ascii="宋体" w:hAnsi="宋体" w:eastAsia="宋体" w:cs="宋体"/>
          <w:b/>
          <w:bCs/>
          <w:color w:val="auto"/>
          <w:sz w:val="24"/>
          <w:szCs w:val="24"/>
          <w:highlight w:val="none"/>
        </w:rPr>
        <w:t>凡对本次采购提出询问，请按以下方式联系</w:t>
      </w:r>
    </w:p>
    <w:p w14:paraId="2ECFB497">
      <w:pPr>
        <w:spacing w:line="360" w:lineRule="auto"/>
        <w:ind w:firstLine="437"/>
        <w:outlineLvl w:val="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1.采购人信息</w:t>
      </w:r>
    </w:p>
    <w:p w14:paraId="4DDDFC55">
      <w:pPr>
        <w:spacing w:line="360" w:lineRule="auto"/>
        <w:ind w:firstLine="435"/>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名  称：</w:t>
      </w:r>
      <w:r>
        <w:rPr>
          <w:rFonts w:hint="eastAsia" w:ascii="宋体" w:hAnsi="宋体" w:eastAsia="宋体" w:cs="宋体"/>
          <w:color w:val="auto"/>
          <w:sz w:val="24"/>
          <w:szCs w:val="24"/>
          <w:highlight w:val="none"/>
          <w:u w:val="single"/>
          <w:lang w:eastAsia="zh-CN"/>
        </w:rPr>
        <w:t>滁州市公路管理服务中心</w:t>
      </w:r>
    </w:p>
    <w:p w14:paraId="7AFC25AA">
      <w:pPr>
        <w:spacing w:line="360" w:lineRule="auto"/>
        <w:ind w:firstLine="435"/>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lang w:eastAsia="zh-CN"/>
        </w:rPr>
        <w:t>滁州市龙蟠大道200号</w:t>
      </w:r>
    </w:p>
    <w:p w14:paraId="5634A82C">
      <w:pPr>
        <w:spacing w:line="360" w:lineRule="auto"/>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u w:val="single"/>
          <w:lang w:val="en-US" w:eastAsia="zh-CN"/>
        </w:rPr>
        <w:t>陆艳</w:t>
      </w:r>
    </w:p>
    <w:p w14:paraId="758B71D6">
      <w:pPr>
        <w:spacing w:line="360" w:lineRule="auto"/>
        <w:ind w:firstLine="437"/>
        <w:outlineLvl w:val="2"/>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rPr>
        <w:t>联系方式：</w:t>
      </w:r>
      <w:r>
        <w:rPr>
          <w:rFonts w:hint="eastAsia" w:ascii="宋体" w:hAnsi="宋体" w:eastAsia="宋体" w:cs="宋体"/>
          <w:color w:val="auto"/>
          <w:sz w:val="24"/>
          <w:szCs w:val="24"/>
          <w:highlight w:val="none"/>
          <w:u w:val="single"/>
          <w:lang w:eastAsia="zh-CN"/>
        </w:rPr>
        <w:t>0550-3218735</w:t>
      </w:r>
    </w:p>
    <w:p w14:paraId="66838953">
      <w:pPr>
        <w:spacing w:line="360" w:lineRule="auto"/>
        <w:ind w:firstLine="437"/>
        <w:outlineLvl w:val="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2.采购代理机构信息</w:t>
      </w:r>
    </w:p>
    <w:p w14:paraId="507D4E62">
      <w:pPr>
        <w:spacing w:line="360" w:lineRule="auto"/>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名  称：</w:t>
      </w:r>
      <w:r>
        <w:rPr>
          <w:rFonts w:hint="eastAsia" w:ascii="宋体" w:hAnsi="宋体" w:eastAsia="宋体" w:cs="宋体"/>
          <w:color w:val="auto"/>
          <w:sz w:val="24"/>
          <w:szCs w:val="24"/>
          <w:highlight w:val="none"/>
          <w:u w:val="single"/>
        </w:rPr>
        <w:t>滁州市城投工程咨询管理有限公司</w:t>
      </w:r>
    </w:p>
    <w:p w14:paraId="71F00B7D">
      <w:pPr>
        <w:spacing w:line="360" w:lineRule="auto"/>
        <w:ind w:firstLine="435"/>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滁州市龙蟠大道109号房产商务大厦6楼</w:t>
      </w:r>
    </w:p>
    <w:p w14:paraId="585D535A">
      <w:pPr>
        <w:spacing w:line="360" w:lineRule="auto"/>
        <w:ind w:firstLine="435"/>
        <w:rPr>
          <w:rFonts w:hint="eastAsia" w:ascii="宋体" w:hAnsi="宋体" w:eastAsia="宋体" w:cs="宋体"/>
          <w:color w:val="auto"/>
          <w:szCs w:val="21"/>
          <w:highlight w:val="none"/>
          <w:lang w:eastAsia="zh-CN"/>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u w:val="single"/>
          <w:lang w:eastAsia="zh-CN"/>
        </w:rPr>
        <w:t>曹思敏</w:t>
      </w:r>
    </w:p>
    <w:p w14:paraId="6AE6A654">
      <w:pPr>
        <w:spacing w:line="360" w:lineRule="auto"/>
        <w:ind w:firstLine="435"/>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联系方式：</w:t>
      </w:r>
      <w:r>
        <w:rPr>
          <w:rFonts w:hint="eastAsia" w:ascii="宋体" w:hAnsi="宋体" w:eastAsia="宋体" w:cs="宋体"/>
          <w:color w:val="auto"/>
          <w:sz w:val="24"/>
          <w:szCs w:val="24"/>
          <w:highlight w:val="none"/>
          <w:u w:val="single"/>
          <w:lang w:eastAsia="zh-CN"/>
        </w:rPr>
        <w:t>0550-3519516、18712012204</w:t>
      </w:r>
    </w:p>
    <w:p w14:paraId="4153D2A8">
      <w:pPr>
        <w:spacing w:line="360" w:lineRule="auto"/>
        <w:ind w:firstLine="437"/>
        <w:outlineLvl w:val="2"/>
        <w:rPr>
          <w:rFonts w:ascii="宋体" w:hAnsi="宋体" w:eastAsia="宋体" w:cs="宋体"/>
          <w:b/>
          <w:color w:val="auto"/>
          <w:sz w:val="24"/>
          <w:szCs w:val="24"/>
          <w:highlight w:val="none"/>
        </w:rPr>
      </w:pPr>
      <w:r>
        <w:rPr>
          <w:rFonts w:hint="eastAsia" w:ascii="宋体" w:hAnsi="宋体" w:eastAsia="宋体" w:cs="宋体"/>
          <w:bCs/>
          <w:color w:val="auto"/>
          <w:sz w:val="24"/>
          <w:szCs w:val="24"/>
          <w:highlight w:val="none"/>
        </w:rPr>
        <w:t>3</w:t>
      </w:r>
      <w:r>
        <w:rPr>
          <w:rFonts w:hint="eastAsia" w:ascii="宋体" w:hAnsi="宋体" w:eastAsia="宋体" w:cs="宋体"/>
          <w:b/>
          <w:color w:val="auto"/>
          <w:sz w:val="24"/>
          <w:szCs w:val="24"/>
          <w:highlight w:val="none"/>
        </w:rPr>
        <w:t>.</w:t>
      </w:r>
      <w:r>
        <w:rPr>
          <w:rFonts w:hint="eastAsia" w:ascii="宋体" w:hAnsi="宋体" w:eastAsia="宋体" w:cs="宋体"/>
          <w:color w:val="auto"/>
          <w:sz w:val="24"/>
          <w:szCs w:val="24"/>
          <w:highlight w:val="none"/>
        </w:rPr>
        <w:t>政府采购监督管理部门信息</w:t>
      </w:r>
    </w:p>
    <w:p w14:paraId="39D85075">
      <w:pPr>
        <w:spacing w:line="360" w:lineRule="auto"/>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名  称：</w:t>
      </w:r>
      <w:r>
        <w:rPr>
          <w:rFonts w:hint="eastAsia" w:ascii="宋体" w:hAnsi="宋体" w:eastAsia="宋体" w:cs="宋体"/>
          <w:color w:val="auto"/>
          <w:sz w:val="24"/>
          <w:szCs w:val="24"/>
          <w:highlight w:val="none"/>
          <w:u w:val="single"/>
        </w:rPr>
        <w:t>滁州市公共资源交易监督管理局</w:t>
      </w:r>
    </w:p>
    <w:p w14:paraId="385F7037">
      <w:pPr>
        <w:spacing w:line="360" w:lineRule="auto"/>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滁州市龙蟠大道109号房产大厦三楼</w:t>
      </w:r>
    </w:p>
    <w:p w14:paraId="36398658">
      <w:pPr>
        <w:spacing w:line="360" w:lineRule="auto"/>
        <w:ind w:firstLine="435"/>
        <w:rPr>
          <w:rFonts w:hint="default" w:ascii="宋体" w:hAnsi="宋体" w:eastAsia="宋体" w:cs="宋体"/>
          <w:color w:val="auto"/>
          <w:highlight w:val="none"/>
          <w:lang w:val="en-US" w:eastAsia="zh-CN"/>
        </w:rPr>
      </w:pPr>
      <w:r>
        <w:rPr>
          <w:rFonts w:hint="eastAsia" w:ascii="宋体" w:hAnsi="宋体" w:eastAsia="宋体" w:cs="宋体"/>
          <w:color w:val="auto"/>
          <w:sz w:val="24"/>
          <w:szCs w:val="24"/>
          <w:highlight w:val="none"/>
        </w:rPr>
        <w:t>联系方式：</w:t>
      </w:r>
      <w:r>
        <w:rPr>
          <w:rFonts w:hint="eastAsia" w:ascii="宋体" w:hAnsi="宋体" w:eastAsia="宋体" w:cs="宋体"/>
          <w:color w:val="auto"/>
          <w:sz w:val="24"/>
          <w:szCs w:val="24"/>
          <w:highlight w:val="none"/>
          <w:u w:val="single"/>
        </w:rPr>
        <w:t>0550-38016</w:t>
      </w:r>
      <w:r>
        <w:rPr>
          <w:rFonts w:hint="eastAsia" w:ascii="宋体" w:hAnsi="宋体" w:eastAsia="宋体" w:cs="宋体"/>
          <w:color w:val="auto"/>
          <w:sz w:val="24"/>
          <w:szCs w:val="24"/>
          <w:highlight w:val="none"/>
          <w:u w:val="single"/>
          <w:lang w:val="en-US" w:eastAsia="zh-CN"/>
        </w:rPr>
        <w:t>01</w:t>
      </w:r>
    </w:p>
    <w:p w14:paraId="465F2B34">
      <w:pPr>
        <w:rPr>
          <w:rFonts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br w:type="page"/>
      </w:r>
    </w:p>
    <w:p w14:paraId="3162F7FE">
      <w:pPr>
        <w:spacing w:line="360" w:lineRule="auto"/>
        <w:jc w:val="center"/>
        <w:outlineLvl w:val="0"/>
        <w:rPr>
          <w:rFonts w:asciiTheme="minorEastAsia" w:hAnsiTheme="minorEastAsia" w:eastAsiaTheme="minorEastAsia"/>
          <w:b/>
          <w:color w:val="auto"/>
          <w:sz w:val="28"/>
          <w:highlight w:val="none"/>
        </w:rPr>
      </w:pPr>
      <w:bookmarkStart w:id="5" w:name="_Toc17109"/>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供应商</w:t>
      </w:r>
      <w:r>
        <w:rPr>
          <w:rFonts w:asciiTheme="minorEastAsia" w:hAnsiTheme="minorEastAsia" w:eastAsiaTheme="minorEastAsia"/>
          <w:b/>
          <w:color w:val="auto"/>
          <w:sz w:val="28"/>
          <w:highlight w:val="none"/>
        </w:rPr>
        <w:t>须知</w:t>
      </w:r>
      <w:bookmarkEnd w:id="4"/>
      <w:bookmarkEnd w:id="5"/>
    </w:p>
    <w:p w14:paraId="19AC5941">
      <w:pPr>
        <w:spacing w:line="360" w:lineRule="auto"/>
        <w:jc w:val="center"/>
        <w:outlineLvl w:val="1"/>
        <w:rPr>
          <w:rFonts w:asciiTheme="minorEastAsia" w:hAnsiTheme="minorEastAsia" w:eastAsiaTheme="minorEastAsia"/>
          <w:b/>
          <w:color w:val="auto"/>
          <w:sz w:val="24"/>
          <w:highlight w:val="none"/>
        </w:rPr>
      </w:pPr>
      <w:bookmarkStart w:id="6" w:name="_Toc11709"/>
      <w:bookmarkStart w:id="7" w:name="_Toc11383"/>
      <w:r>
        <w:rPr>
          <w:rFonts w:hint="eastAsia" w:asciiTheme="minorEastAsia" w:hAnsiTheme="minorEastAsia" w:eastAsiaTheme="minorEastAsia"/>
          <w:b/>
          <w:color w:val="auto"/>
          <w:sz w:val="24"/>
          <w:highlight w:val="none"/>
        </w:rPr>
        <w:t>一、供应商</w:t>
      </w:r>
      <w:r>
        <w:rPr>
          <w:rFonts w:asciiTheme="minorEastAsia" w:hAnsiTheme="minorEastAsia" w:eastAsiaTheme="minorEastAsia"/>
          <w:b/>
          <w:color w:val="auto"/>
          <w:sz w:val="24"/>
          <w:highlight w:val="none"/>
        </w:rPr>
        <w:t>须知前附表</w:t>
      </w:r>
      <w:bookmarkEnd w:id="6"/>
      <w:bookmarkEnd w:id="7"/>
    </w:p>
    <w:p w14:paraId="500EE0D3">
      <w:pPr>
        <w:spacing w:line="360" w:lineRule="auto"/>
        <w:ind w:firstLine="435"/>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本表是本项目的具体要求，是对供应商须知的具体补充和修改，如有不一致，以本表为准。</w:t>
      </w:r>
    </w:p>
    <w:tbl>
      <w:tblPr>
        <w:tblStyle w:val="25"/>
        <w:tblW w:w="51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3"/>
        <w:gridCol w:w="2031"/>
        <w:gridCol w:w="5722"/>
      </w:tblGrid>
      <w:tr w14:paraId="0357B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Align w:val="center"/>
          </w:tcPr>
          <w:p w14:paraId="3E46B72F">
            <w:pPr>
              <w:pStyle w:val="44"/>
              <w:keepNext w:val="0"/>
              <w:keepLines w:val="0"/>
              <w:widowControl w:val="0"/>
              <w:suppressLineNumbers w:val="0"/>
              <w:spacing w:before="0" w:beforeAutospacing="0" w:after="0" w:afterAutospacing="0" w:line="360" w:lineRule="auto"/>
              <w:ind w:left="0" w:right="0"/>
              <w:rPr>
                <w:rFonts w:hint="default"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1160" w:type="pct"/>
            <w:vAlign w:val="center"/>
          </w:tcPr>
          <w:p w14:paraId="158038D3">
            <w:pPr>
              <w:pStyle w:val="44"/>
              <w:keepNext w:val="0"/>
              <w:keepLines w:val="0"/>
              <w:widowControl w:val="0"/>
              <w:suppressLineNumbers w:val="0"/>
              <w:spacing w:before="0" w:beforeAutospacing="0" w:after="0" w:afterAutospacing="0" w:line="360" w:lineRule="auto"/>
              <w:ind w:left="0" w:right="0"/>
              <w:rPr>
                <w:rFonts w:hint="default"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3267" w:type="pct"/>
            <w:vAlign w:val="center"/>
          </w:tcPr>
          <w:p w14:paraId="79195AFE">
            <w:pPr>
              <w:pStyle w:val="44"/>
              <w:keepNext w:val="0"/>
              <w:keepLines w:val="0"/>
              <w:widowControl w:val="0"/>
              <w:suppressLineNumbers w:val="0"/>
              <w:spacing w:before="0" w:beforeAutospacing="0" w:after="0" w:afterAutospacing="0" w:line="360" w:lineRule="auto"/>
              <w:ind w:left="0" w:right="0"/>
              <w:rPr>
                <w:rFonts w:hint="default"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428C7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Align w:val="center"/>
          </w:tcPr>
          <w:p w14:paraId="1F085B59">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36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rPr>
              <w:t>5</w:t>
            </w:r>
            <w:r>
              <w:rPr>
                <w:rFonts w:hint="default" w:ascii="宋体" w:hAnsi="宋体" w:eastAsia="宋体"/>
                <w:bCs/>
                <w:color w:val="auto"/>
                <w:kern w:val="2"/>
                <w:highlight w:val="none"/>
              </w:rPr>
              <w:t>.</w:t>
            </w:r>
            <w:r>
              <w:rPr>
                <w:rFonts w:hint="eastAsia" w:ascii="宋体" w:hAnsi="宋体" w:eastAsia="宋体"/>
                <w:bCs/>
                <w:color w:val="auto"/>
                <w:kern w:val="2"/>
                <w:highlight w:val="none"/>
              </w:rPr>
              <w:t>2</w:t>
            </w:r>
          </w:p>
        </w:tc>
        <w:tc>
          <w:tcPr>
            <w:tcW w:w="2227" w:type="dxa"/>
            <w:vAlign w:val="center"/>
          </w:tcPr>
          <w:p w14:paraId="326BA86C">
            <w:pPr>
              <w:pStyle w:val="44"/>
              <w:keepNext w:val="0"/>
              <w:keepLines w:val="0"/>
              <w:widowControl w:val="0"/>
              <w:suppressLineNumbers w:val="0"/>
              <w:spacing w:before="0" w:beforeAutospacing="0" w:after="0" w:afterAutospacing="0" w:line="360" w:lineRule="auto"/>
              <w:ind w:left="0" w:right="0"/>
              <w:jc w:val="left"/>
              <w:rPr>
                <w:rFonts w:hint="default" w:ascii="宋体" w:hAnsi="宋体" w:eastAsia="宋体"/>
                <w:b w:val="0"/>
                <w:color w:val="auto"/>
                <w:sz w:val="24"/>
                <w:highlight w:val="none"/>
              </w:rPr>
            </w:pPr>
            <w:r>
              <w:rPr>
                <w:rFonts w:hint="eastAsia" w:ascii="宋体" w:hAnsi="宋体" w:eastAsia="宋体" w:cs="宋体"/>
                <w:b w:val="0"/>
                <w:color w:val="auto"/>
                <w:kern w:val="2"/>
                <w:sz w:val="24"/>
                <w:szCs w:val="22"/>
                <w:highlight w:val="none"/>
              </w:rPr>
              <w:t>现场考察或标前答疑会</w:t>
            </w:r>
          </w:p>
        </w:tc>
        <w:tc>
          <w:tcPr>
            <w:tcW w:w="6274" w:type="dxa"/>
            <w:vAlign w:val="center"/>
          </w:tcPr>
          <w:p w14:paraId="651DE3E8">
            <w:pPr>
              <w:keepNext w:val="0"/>
              <w:keepLines w:val="0"/>
              <w:suppressLineNumbers w:val="0"/>
              <w:spacing w:before="0" w:beforeAutospacing="0" w:after="0" w:afterAutospacing="0" w:line="360" w:lineRule="auto"/>
              <w:ind w:left="0" w:right="0"/>
              <w:rPr>
                <w:rFonts w:hint="default" w:ascii="宋体" w:hAnsi="宋体" w:eastAsia="宋体" w:cs="宋体"/>
                <w:bCs/>
                <w:color w:val="auto"/>
                <w:sz w:val="24"/>
                <w:szCs w:val="20"/>
                <w:highlight w:val="none"/>
              </w:rPr>
            </w:pP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0"/>
                <w:highlight w:val="none"/>
              </w:rPr>
              <w:t>不组织或不召开</w:t>
            </w:r>
          </w:p>
          <w:p w14:paraId="50AC5CDF">
            <w:pPr>
              <w:keepNext w:val="0"/>
              <w:keepLines w:val="0"/>
              <w:suppressLineNumbers w:val="0"/>
              <w:spacing w:before="0" w:beforeAutospacing="0" w:after="0" w:afterAutospacing="0" w:line="360" w:lineRule="auto"/>
              <w:ind w:left="0" w:right="0"/>
              <w:rPr>
                <w:rFonts w:hint="default" w:ascii="宋体" w:hAnsi="宋体" w:eastAsia="宋体" w:cs="宋体"/>
                <w:bCs/>
                <w:color w:val="auto"/>
                <w:sz w:val="24"/>
                <w:szCs w:val="20"/>
                <w:highlight w:val="none"/>
              </w:rPr>
            </w:pPr>
            <w:r>
              <w:rPr>
                <w:rFonts w:hint="eastAsia" w:ascii="宋体" w:hAnsi="宋体" w:eastAsia="宋体" w:cs="宋体"/>
                <w:color w:val="auto"/>
                <w:sz w:val="24"/>
                <w:szCs w:val="20"/>
                <w:highlight w:val="none"/>
              </w:rPr>
              <w:t>□</w:t>
            </w:r>
            <w:r>
              <w:rPr>
                <w:rFonts w:hint="eastAsia" w:ascii="宋体" w:hAnsi="宋体" w:eastAsia="宋体" w:cs="宋体"/>
                <w:bCs/>
                <w:color w:val="auto"/>
                <w:sz w:val="24"/>
                <w:szCs w:val="20"/>
                <w:highlight w:val="none"/>
              </w:rPr>
              <w:t>统一组织</w:t>
            </w:r>
          </w:p>
          <w:p w14:paraId="4D6F8317">
            <w:pPr>
              <w:keepNext w:val="0"/>
              <w:keepLines w:val="0"/>
              <w:suppressLineNumbers w:val="0"/>
              <w:spacing w:before="0" w:beforeAutospacing="0" w:after="0" w:afterAutospacing="0" w:line="360" w:lineRule="auto"/>
              <w:ind w:left="0" w:right="0"/>
              <w:rPr>
                <w:rFonts w:hint="default" w:ascii="宋体" w:hAnsi="宋体" w:eastAsia="宋体" w:cs="宋体"/>
                <w:bCs/>
                <w:color w:val="auto"/>
                <w:sz w:val="24"/>
                <w:szCs w:val="20"/>
                <w:highlight w:val="none"/>
                <w:u w:val="single"/>
              </w:rPr>
            </w:pPr>
            <w:r>
              <w:rPr>
                <w:rFonts w:hint="eastAsia" w:ascii="宋体" w:hAnsi="宋体" w:eastAsia="宋体" w:cs="宋体"/>
                <w:bCs/>
                <w:color w:val="auto"/>
                <w:sz w:val="24"/>
                <w:szCs w:val="20"/>
                <w:highlight w:val="none"/>
              </w:rPr>
              <w:t>时间：</w:t>
            </w:r>
            <w:r>
              <w:rPr>
                <w:rFonts w:hint="eastAsia" w:ascii="宋体" w:hAnsi="宋体" w:eastAsia="宋体" w:cs="宋体"/>
                <w:bCs/>
                <w:color w:val="auto"/>
                <w:sz w:val="24"/>
                <w:szCs w:val="20"/>
                <w:highlight w:val="none"/>
                <w:u w:val="single"/>
              </w:rPr>
              <w:t xml:space="preserve"> /  </w:t>
            </w:r>
            <w:r>
              <w:rPr>
                <w:rFonts w:hint="eastAsia" w:ascii="宋体" w:hAnsi="宋体" w:eastAsia="宋体" w:cs="宋体"/>
                <w:bCs/>
                <w:color w:val="auto"/>
                <w:sz w:val="24"/>
                <w:szCs w:val="20"/>
                <w:highlight w:val="none"/>
              </w:rPr>
              <w:t>年</w:t>
            </w:r>
            <w:r>
              <w:rPr>
                <w:rFonts w:hint="eastAsia" w:ascii="宋体" w:hAnsi="宋体" w:eastAsia="宋体" w:cs="宋体"/>
                <w:bCs/>
                <w:color w:val="auto"/>
                <w:sz w:val="24"/>
                <w:szCs w:val="20"/>
                <w:highlight w:val="none"/>
                <w:u w:val="single"/>
              </w:rPr>
              <w:t xml:space="preserve"> /  </w:t>
            </w:r>
            <w:r>
              <w:rPr>
                <w:rFonts w:hint="eastAsia" w:ascii="宋体" w:hAnsi="宋体" w:eastAsia="宋体" w:cs="宋体"/>
                <w:bCs/>
                <w:color w:val="auto"/>
                <w:sz w:val="24"/>
                <w:szCs w:val="20"/>
                <w:highlight w:val="none"/>
              </w:rPr>
              <w:t>月</w:t>
            </w:r>
            <w:r>
              <w:rPr>
                <w:rFonts w:hint="eastAsia" w:ascii="宋体" w:hAnsi="宋体" w:eastAsia="宋体" w:cs="宋体"/>
                <w:bCs/>
                <w:color w:val="auto"/>
                <w:sz w:val="24"/>
                <w:szCs w:val="20"/>
                <w:highlight w:val="none"/>
                <w:u w:val="single"/>
              </w:rPr>
              <w:t xml:space="preserve"> /  </w:t>
            </w:r>
            <w:r>
              <w:rPr>
                <w:rFonts w:hint="eastAsia" w:ascii="宋体" w:hAnsi="宋体" w:eastAsia="宋体" w:cs="宋体"/>
                <w:bCs/>
                <w:color w:val="auto"/>
                <w:sz w:val="24"/>
                <w:szCs w:val="20"/>
                <w:highlight w:val="none"/>
              </w:rPr>
              <w:t>日</w:t>
            </w:r>
            <w:r>
              <w:rPr>
                <w:rFonts w:hint="eastAsia" w:ascii="宋体" w:hAnsi="宋体" w:eastAsia="宋体" w:cs="宋体"/>
                <w:bCs/>
                <w:color w:val="auto"/>
                <w:sz w:val="24"/>
                <w:szCs w:val="20"/>
                <w:highlight w:val="none"/>
                <w:u w:val="single"/>
              </w:rPr>
              <w:t xml:space="preserve"> /  </w:t>
            </w:r>
            <w:r>
              <w:rPr>
                <w:rFonts w:hint="eastAsia" w:ascii="宋体" w:hAnsi="宋体" w:eastAsia="宋体" w:cs="宋体"/>
                <w:bCs/>
                <w:color w:val="auto"/>
                <w:sz w:val="24"/>
                <w:szCs w:val="20"/>
                <w:highlight w:val="none"/>
              </w:rPr>
              <w:t>时</w:t>
            </w:r>
            <w:r>
              <w:rPr>
                <w:rFonts w:hint="eastAsia" w:ascii="宋体" w:hAnsi="宋体" w:eastAsia="宋体" w:cs="宋体"/>
                <w:bCs/>
                <w:color w:val="auto"/>
                <w:sz w:val="24"/>
                <w:szCs w:val="20"/>
                <w:highlight w:val="none"/>
                <w:u w:val="single"/>
              </w:rPr>
              <w:t xml:space="preserve"> /  </w:t>
            </w:r>
            <w:r>
              <w:rPr>
                <w:rFonts w:hint="eastAsia" w:ascii="宋体" w:hAnsi="宋体" w:eastAsia="宋体" w:cs="宋体"/>
                <w:bCs/>
                <w:color w:val="auto"/>
                <w:sz w:val="24"/>
                <w:szCs w:val="20"/>
                <w:highlight w:val="none"/>
              </w:rPr>
              <w:t>分</w:t>
            </w:r>
          </w:p>
          <w:p w14:paraId="22AA1763">
            <w:pPr>
              <w:keepNext w:val="0"/>
              <w:keepLines w:val="0"/>
              <w:suppressLineNumbers w:val="0"/>
              <w:spacing w:before="0" w:beforeAutospacing="0" w:after="0" w:afterAutospacing="0" w:line="360" w:lineRule="auto"/>
              <w:ind w:left="0" w:right="0"/>
              <w:rPr>
                <w:rFonts w:hint="default" w:ascii="宋体" w:hAnsi="宋体" w:eastAsia="宋体" w:cs="宋体"/>
                <w:bCs/>
                <w:color w:val="auto"/>
                <w:sz w:val="24"/>
                <w:szCs w:val="20"/>
                <w:highlight w:val="none"/>
                <w:u w:val="single"/>
              </w:rPr>
            </w:pPr>
            <w:r>
              <w:rPr>
                <w:rFonts w:hint="eastAsia" w:ascii="宋体" w:hAnsi="宋体" w:eastAsia="宋体" w:cs="宋体"/>
                <w:bCs/>
                <w:color w:val="auto"/>
                <w:sz w:val="24"/>
                <w:szCs w:val="20"/>
                <w:highlight w:val="none"/>
              </w:rPr>
              <w:t>地点：</w:t>
            </w:r>
            <w:r>
              <w:rPr>
                <w:rFonts w:hint="eastAsia" w:ascii="宋体" w:hAnsi="宋体" w:eastAsia="宋体" w:cs="宋体"/>
                <w:bCs/>
                <w:color w:val="auto"/>
                <w:sz w:val="24"/>
                <w:szCs w:val="20"/>
                <w:highlight w:val="none"/>
                <w:u w:val="single"/>
              </w:rPr>
              <w:t xml:space="preserve">  </w:t>
            </w:r>
            <w:r>
              <w:rPr>
                <w:rFonts w:hint="eastAsia" w:ascii="宋体" w:hAnsi="宋体" w:eastAsia="宋体" w:cs="宋体"/>
                <w:bCs/>
                <w:color w:val="auto"/>
                <w:sz w:val="24"/>
                <w:szCs w:val="20"/>
                <w:highlight w:val="none"/>
                <w:u w:val="single"/>
                <w:lang w:val="en-US" w:eastAsia="zh-CN"/>
              </w:rPr>
              <w:t>/</w:t>
            </w:r>
            <w:r>
              <w:rPr>
                <w:rFonts w:hint="eastAsia" w:ascii="宋体" w:hAnsi="宋体" w:eastAsia="宋体" w:cs="宋体"/>
                <w:bCs/>
                <w:color w:val="auto"/>
                <w:sz w:val="24"/>
                <w:szCs w:val="20"/>
                <w:highlight w:val="none"/>
                <w:u w:val="single"/>
              </w:rPr>
              <w:t xml:space="preserve">    </w:t>
            </w:r>
          </w:p>
          <w:p w14:paraId="501CC87E">
            <w:pPr>
              <w:keepNext w:val="0"/>
              <w:keepLines w:val="0"/>
              <w:suppressLineNumbers w:val="0"/>
              <w:spacing w:before="0" w:beforeAutospacing="0" w:after="0" w:afterAutospacing="0" w:line="360" w:lineRule="auto"/>
              <w:ind w:left="0" w:right="0"/>
              <w:rPr>
                <w:rFonts w:hint="default" w:ascii="宋体" w:hAnsi="宋体" w:eastAsia="宋体" w:cs="宋体"/>
                <w:bCs/>
                <w:color w:val="auto"/>
                <w:sz w:val="24"/>
                <w:szCs w:val="20"/>
                <w:highlight w:val="none"/>
                <w:u w:val="single"/>
                <w:lang w:val="en-US" w:eastAsia="zh-CN"/>
              </w:rPr>
            </w:pPr>
            <w:r>
              <w:rPr>
                <w:rFonts w:hint="eastAsia" w:ascii="宋体" w:hAnsi="宋体" w:eastAsia="宋体" w:cs="宋体"/>
                <w:bCs/>
                <w:color w:val="auto"/>
                <w:sz w:val="24"/>
                <w:szCs w:val="20"/>
                <w:highlight w:val="none"/>
              </w:rPr>
              <w:t>联系人及联系电话：</w:t>
            </w:r>
            <w:r>
              <w:rPr>
                <w:rFonts w:hint="eastAsia" w:ascii="宋体" w:hAnsi="宋体" w:eastAsia="宋体" w:cs="宋体"/>
                <w:bCs/>
                <w:color w:val="auto"/>
                <w:sz w:val="24"/>
                <w:szCs w:val="20"/>
                <w:highlight w:val="none"/>
                <w:u w:val="single"/>
              </w:rPr>
              <w:t xml:space="preserve"> </w:t>
            </w:r>
            <w:r>
              <w:rPr>
                <w:rFonts w:hint="eastAsia" w:ascii="宋体" w:hAnsi="宋体" w:eastAsia="宋体" w:cs="宋体"/>
                <w:bCs/>
                <w:color w:val="auto"/>
                <w:sz w:val="24"/>
                <w:szCs w:val="20"/>
                <w:highlight w:val="none"/>
                <w:u w:val="single"/>
                <w:lang w:val="en-US" w:eastAsia="zh-CN"/>
              </w:rPr>
              <w:t xml:space="preserve">/ </w:t>
            </w:r>
          </w:p>
          <w:p w14:paraId="7CCF13F5">
            <w:pPr>
              <w:pStyle w:val="44"/>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cs="宋体"/>
                <w:bCs w:val="0"/>
                <w:color w:val="auto"/>
                <w:sz w:val="24"/>
                <w:highlight w:val="none"/>
              </w:rPr>
              <w:t>注：如供应商未参加采购人统一组织的现场考察或采购人统一召开的标前答疑会，视同放弃现场考察或标前答疑会，由此引起的一切责任由供应商自行承担。</w:t>
            </w:r>
          </w:p>
        </w:tc>
      </w:tr>
      <w:tr w14:paraId="4D889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Align w:val="center"/>
          </w:tcPr>
          <w:p w14:paraId="791EB4E2">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36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rPr>
              <w:t>6</w:t>
            </w:r>
            <w:r>
              <w:rPr>
                <w:rFonts w:hint="default" w:ascii="宋体" w:hAnsi="宋体" w:eastAsia="宋体"/>
                <w:bCs/>
                <w:color w:val="auto"/>
                <w:kern w:val="2"/>
                <w:highlight w:val="none"/>
              </w:rPr>
              <w:t>.1</w:t>
            </w:r>
          </w:p>
        </w:tc>
        <w:tc>
          <w:tcPr>
            <w:tcW w:w="2227" w:type="dxa"/>
            <w:vAlign w:val="center"/>
          </w:tcPr>
          <w:p w14:paraId="7821C6A4">
            <w:pPr>
              <w:pStyle w:val="44"/>
              <w:keepNext w:val="0"/>
              <w:keepLines w:val="0"/>
              <w:widowControl w:val="0"/>
              <w:suppressLineNumbers w:val="0"/>
              <w:spacing w:before="0" w:beforeAutospacing="0" w:after="0" w:afterAutospacing="0" w:line="360" w:lineRule="auto"/>
              <w:ind w:left="0" w:right="0"/>
              <w:jc w:val="left"/>
              <w:rPr>
                <w:rFonts w:hint="default" w:ascii="宋体" w:hAnsi="宋体" w:eastAsia="宋体"/>
                <w:b w:val="0"/>
                <w:color w:val="auto"/>
                <w:sz w:val="24"/>
                <w:highlight w:val="none"/>
              </w:rPr>
            </w:pPr>
            <w:r>
              <w:rPr>
                <w:rFonts w:hint="eastAsia" w:ascii="宋体" w:hAnsi="宋体" w:eastAsia="宋体" w:cs="宋体"/>
                <w:b w:val="0"/>
                <w:color w:val="auto"/>
                <w:sz w:val="24"/>
                <w:highlight w:val="none"/>
              </w:rPr>
              <w:t>网上询问截止时间</w:t>
            </w:r>
          </w:p>
        </w:tc>
        <w:tc>
          <w:tcPr>
            <w:tcW w:w="6274" w:type="dxa"/>
            <w:vAlign w:val="center"/>
          </w:tcPr>
          <w:p w14:paraId="1FD31837">
            <w:pPr>
              <w:pStyle w:val="44"/>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cs="宋体"/>
                <w:b w:val="0"/>
                <w:color w:val="auto"/>
                <w:sz w:val="24"/>
                <w:highlight w:val="none"/>
                <w:u w:val="single"/>
              </w:rPr>
              <w:t xml:space="preserve"> 2026 </w:t>
            </w:r>
            <w:r>
              <w:rPr>
                <w:rFonts w:hint="eastAsia" w:ascii="宋体" w:hAnsi="宋体" w:eastAsia="宋体" w:cs="宋体"/>
                <w:b w:val="0"/>
                <w:color w:val="auto"/>
                <w:sz w:val="24"/>
                <w:highlight w:val="none"/>
              </w:rPr>
              <w:t>年</w:t>
            </w:r>
            <w:r>
              <w:rPr>
                <w:rFonts w:hint="eastAsia" w:ascii="宋体" w:hAnsi="宋体" w:eastAsia="宋体" w:cs="宋体"/>
                <w:b w:val="0"/>
                <w:color w:val="auto"/>
                <w:sz w:val="24"/>
                <w:highlight w:val="none"/>
                <w:u w:val="single"/>
                <w:lang w:val="en-US" w:eastAsia="zh-CN"/>
              </w:rPr>
              <w:t xml:space="preserve"> 9 </w:t>
            </w:r>
            <w:r>
              <w:rPr>
                <w:rFonts w:hint="eastAsia" w:ascii="宋体" w:hAnsi="宋体" w:eastAsia="宋体" w:cs="宋体"/>
                <w:b w:val="0"/>
                <w:color w:val="auto"/>
                <w:sz w:val="24"/>
                <w:highlight w:val="none"/>
              </w:rPr>
              <w:t>月</w:t>
            </w:r>
            <w:r>
              <w:rPr>
                <w:rFonts w:hint="eastAsia" w:ascii="宋体" w:hAnsi="宋体" w:eastAsia="宋体" w:cs="宋体"/>
                <w:b w:val="0"/>
                <w:color w:val="auto"/>
                <w:sz w:val="24"/>
                <w:highlight w:val="none"/>
                <w:u w:val="single"/>
              </w:rPr>
              <w:t xml:space="preserve"> </w:t>
            </w:r>
            <w:r>
              <w:rPr>
                <w:rFonts w:hint="eastAsia" w:ascii="宋体" w:hAnsi="宋体" w:eastAsia="宋体" w:cs="宋体"/>
                <w:b w:val="0"/>
                <w:color w:val="auto"/>
                <w:sz w:val="24"/>
                <w:highlight w:val="none"/>
                <w:u w:val="single"/>
                <w:lang w:val="en-US" w:eastAsia="zh-CN"/>
              </w:rPr>
              <w:t>2</w:t>
            </w:r>
            <w:r>
              <w:rPr>
                <w:rFonts w:hint="eastAsia" w:ascii="宋体" w:hAnsi="宋体" w:eastAsia="宋体" w:cs="宋体"/>
                <w:b w:val="0"/>
                <w:color w:val="auto"/>
                <w:sz w:val="24"/>
                <w:highlight w:val="none"/>
                <w:u w:val="single"/>
              </w:rPr>
              <w:t xml:space="preserve"> </w:t>
            </w:r>
            <w:r>
              <w:rPr>
                <w:rFonts w:hint="eastAsia" w:ascii="宋体" w:hAnsi="宋体" w:eastAsia="宋体" w:cs="宋体"/>
                <w:b w:val="0"/>
                <w:color w:val="auto"/>
                <w:sz w:val="24"/>
                <w:highlight w:val="none"/>
              </w:rPr>
              <w:t>日</w:t>
            </w:r>
            <w:r>
              <w:rPr>
                <w:rFonts w:hint="eastAsia" w:ascii="宋体" w:hAnsi="宋体" w:eastAsia="宋体" w:cs="宋体"/>
                <w:b w:val="0"/>
                <w:color w:val="auto"/>
                <w:sz w:val="24"/>
                <w:highlight w:val="none"/>
                <w:u w:val="single"/>
              </w:rPr>
              <w:t xml:space="preserve"> 17 </w:t>
            </w:r>
            <w:r>
              <w:rPr>
                <w:rFonts w:hint="eastAsia" w:ascii="宋体" w:hAnsi="宋体" w:eastAsia="宋体" w:cs="宋体"/>
                <w:b w:val="0"/>
                <w:color w:val="auto"/>
                <w:sz w:val="24"/>
                <w:highlight w:val="none"/>
              </w:rPr>
              <w:t>时</w:t>
            </w:r>
            <w:r>
              <w:rPr>
                <w:rFonts w:hint="eastAsia" w:ascii="宋体" w:hAnsi="宋体" w:eastAsia="宋体" w:cs="宋体"/>
                <w:b w:val="0"/>
                <w:color w:val="auto"/>
                <w:sz w:val="24"/>
                <w:highlight w:val="none"/>
                <w:u w:val="single"/>
              </w:rPr>
              <w:t xml:space="preserve"> 30 </w:t>
            </w:r>
            <w:r>
              <w:rPr>
                <w:rFonts w:hint="eastAsia" w:ascii="宋体" w:hAnsi="宋体" w:eastAsia="宋体" w:cs="宋体"/>
                <w:b w:val="0"/>
                <w:color w:val="auto"/>
                <w:sz w:val="24"/>
                <w:highlight w:val="none"/>
              </w:rPr>
              <w:t>分</w:t>
            </w:r>
          </w:p>
        </w:tc>
      </w:tr>
      <w:tr w14:paraId="66807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1002" w:type="dxa"/>
            <w:vAlign w:val="center"/>
          </w:tcPr>
          <w:p w14:paraId="15A6C1BD">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36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rPr>
              <w:t>7.1</w:t>
            </w:r>
          </w:p>
        </w:tc>
        <w:tc>
          <w:tcPr>
            <w:tcW w:w="1160" w:type="pct"/>
            <w:vAlign w:val="center"/>
          </w:tcPr>
          <w:p w14:paraId="1FB19F8B">
            <w:pPr>
              <w:pStyle w:val="44"/>
              <w:keepNext w:val="0"/>
              <w:keepLines w:val="0"/>
              <w:widowControl w:val="0"/>
              <w:suppressLineNumbers w:val="0"/>
              <w:spacing w:before="0" w:beforeAutospacing="0" w:after="0" w:afterAutospacing="0" w:line="360" w:lineRule="auto"/>
              <w:ind w:left="0" w:right="0"/>
              <w:jc w:val="left"/>
              <w:rPr>
                <w:rFonts w:hint="default"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3267" w:type="pct"/>
            <w:vAlign w:val="center"/>
          </w:tcPr>
          <w:p w14:paraId="20D8148D">
            <w:pPr>
              <w:pStyle w:val="44"/>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bCs w:val="0"/>
                <w:color w:val="auto"/>
                <w:sz w:val="24"/>
                <w:szCs w:val="24"/>
                <w:highlight w:val="none"/>
              </w:rPr>
              <w:t>☑</w:t>
            </w:r>
            <w:r>
              <w:rPr>
                <w:rFonts w:hint="default" w:ascii="宋体" w:hAnsi="宋体" w:eastAsia="宋体"/>
                <w:b w:val="0"/>
                <w:color w:val="auto"/>
                <w:sz w:val="24"/>
                <w:highlight w:val="none"/>
              </w:rPr>
              <w:t xml:space="preserve">不分包     □分为 </w:t>
            </w:r>
            <w:r>
              <w:rPr>
                <w:rFonts w:hint="eastAsia" w:ascii="宋体" w:hAnsi="宋体" w:eastAsia="宋体"/>
                <w:b w:val="0"/>
                <w:color w:val="auto"/>
                <w:sz w:val="24"/>
                <w:highlight w:val="none"/>
                <w:lang w:val="en-US" w:eastAsia="zh-CN"/>
              </w:rPr>
              <w:t>/</w:t>
            </w:r>
            <w:r>
              <w:rPr>
                <w:rFonts w:hint="default" w:ascii="宋体" w:hAnsi="宋体" w:eastAsia="宋体"/>
                <w:b w:val="0"/>
                <w:color w:val="auto"/>
                <w:sz w:val="24"/>
                <w:highlight w:val="none"/>
              </w:rPr>
              <w:t xml:space="preserve"> 个包</w:t>
            </w:r>
          </w:p>
          <w:p w14:paraId="7E174869">
            <w:pPr>
              <w:pStyle w:val="44"/>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bCs w:val="0"/>
                <w:color w:val="auto"/>
                <w:sz w:val="24"/>
                <w:szCs w:val="24"/>
                <w:highlight w:val="none"/>
              </w:rPr>
              <w:t>供应商参加多个包磋商的成交</w:t>
            </w:r>
            <w:r>
              <w:rPr>
                <w:rFonts w:hint="default" w:ascii="宋体" w:hAnsi="宋体" w:eastAsia="宋体"/>
                <w:b w:val="0"/>
                <w:bCs w:val="0"/>
                <w:color w:val="auto"/>
                <w:sz w:val="24"/>
                <w:szCs w:val="24"/>
                <w:highlight w:val="none"/>
              </w:rPr>
              <w:t>包</w:t>
            </w:r>
            <w:r>
              <w:rPr>
                <w:rFonts w:hint="eastAsia" w:ascii="宋体" w:hAnsi="宋体" w:eastAsia="宋体"/>
                <w:b w:val="0"/>
                <w:bCs w:val="0"/>
                <w:color w:val="auto"/>
                <w:sz w:val="24"/>
                <w:szCs w:val="24"/>
                <w:highlight w:val="none"/>
              </w:rPr>
              <w:t>数规定：</w:t>
            </w:r>
            <w:r>
              <w:rPr>
                <w:rFonts w:hint="eastAsia" w:ascii="宋体" w:hAnsi="宋体" w:eastAsia="宋体"/>
                <w:b w:val="0"/>
                <w:bCs w:val="0"/>
                <w:color w:val="auto"/>
                <w:sz w:val="24"/>
                <w:szCs w:val="18"/>
                <w:highlight w:val="none"/>
                <w:u w:val="single"/>
              </w:rPr>
              <w:t xml:space="preserve"> </w:t>
            </w:r>
            <w:r>
              <w:rPr>
                <w:rFonts w:hint="default" w:ascii="宋体" w:hAnsi="宋体" w:eastAsia="宋体"/>
                <w:b w:val="0"/>
                <w:bCs w:val="0"/>
                <w:color w:val="auto"/>
                <w:sz w:val="24"/>
                <w:szCs w:val="18"/>
                <w:highlight w:val="none"/>
                <w:u w:val="single"/>
              </w:rPr>
              <w:t xml:space="preserve">  </w:t>
            </w:r>
            <w:r>
              <w:rPr>
                <w:rFonts w:hint="eastAsia" w:ascii="宋体" w:hAnsi="宋体" w:eastAsia="宋体"/>
                <w:b w:val="0"/>
                <w:bCs w:val="0"/>
                <w:color w:val="auto"/>
                <w:sz w:val="24"/>
                <w:szCs w:val="18"/>
                <w:highlight w:val="none"/>
                <w:u w:val="single"/>
              </w:rPr>
              <w:t>/</w:t>
            </w:r>
            <w:r>
              <w:rPr>
                <w:rFonts w:hint="default" w:ascii="宋体" w:hAnsi="宋体" w:eastAsia="宋体"/>
                <w:b w:val="0"/>
                <w:bCs w:val="0"/>
                <w:color w:val="auto"/>
                <w:sz w:val="24"/>
                <w:szCs w:val="18"/>
                <w:highlight w:val="none"/>
                <w:u w:val="single"/>
              </w:rPr>
              <w:t xml:space="preserve">    </w:t>
            </w:r>
          </w:p>
        </w:tc>
      </w:tr>
      <w:tr w14:paraId="2E516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002" w:type="dxa"/>
            <w:vAlign w:val="center"/>
          </w:tcPr>
          <w:p w14:paraId="5B7793B7">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36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rPr>
              <w:t>10.1</w:t>
            </w:r>
          </w:p>
        </w:tc>
        <w:tc>
          <w:tcPr>
            <w:tcW w:w="1160" w:type="pct"/>
            <w:vAlign w:val="center"/>
          </w:tcPr>
          <w:p w14:paraId="2320995D">
            <w:pPr>
              <w:pStyle w:val="44"/>
              <w:keepNext w:val="0"/>
              <w:keepLines w:val="0"/>
              <w:widowControl w:val="0"/>
              <w:suppressLineNumbers w:val="0"/>
              <w:spacing w:before="0" w:beforeAutospacing="0" w:after="0" w:afterAutospacing="0" w:line="360" w:lineRule="auto"/>
              <w:ind w:left="0" w:right="0"/>
              <w:jc w:val="left"/>
              <w:rPr>
                <w:rFonts w:hint="default" w:ascii="宋体" w:hAnsi="宋体" w:eastAsia="宋体"/>
                <w:b w:val="0"/>
                <w:color w:val="auto"/>
                <w:sz w:val="24"/>
                <w:highlight w:val="none"/>
              </w:rPr>
            </w:pPr>
            <w:r>
              <w:rPr>
                <w:rFonts w:hint="eastAsia" w:ascii="宋体" w:hAnsi="宋体" w:eastAsia="宋体"/>
                <w:b w:val="0"/>
                <w:color w:val="auto"/>
                <w:sz w:val="24"/>
                <w:highlight w:val="none"/>
              </w:rPr>
              <w:t>磋商保证金</w:t>
            </w:r>
          </w:p>
        </w:tc>
        <w:tc>
          <w:tcPr>
            <w:tcW w:w="3267" w:type="pct"/>
            <w:vAlign w:val="center"/>
          </w:tcPr>
          <w:p w14:paraId="2773E891">
            <w:pPr>
              <w:pStyle w:val="44"/>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color w:val="auto"/>
                <w:sz w:val="24"/>
                <w:highlight w:val="none"/>
              </w:rPr>
              <w:t>不收取</w:t>
            </w:r>
          </w:p>
        </w:tc>
      </w:tr>
      <w:tr w14:paraId="08476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Align w:val="center"/>
          </w:tcPr>
          <w:p w14:paraId="7367EC1F">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36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rPr>
              <w:t>11</w:t>
            </w:r>
            <w:r>
              <w:rPr>
                <w:rFonts w:hint="default" w:ascii="宋体" w:hAnsi="宋体" w:eastAsia="宋体"/>
                <w:bCs/>
                <w:color w:val="auto"/>
                <w:kern w:val="2"/>
                <w:highlight w:val="none"/>
              </w:rPr>
              <w:t>.1</w:t>
            </w:r>
          </w:p>
        </w:tc>
        <w:tc>
          <w:tcPr>
            <w:tcW w:w="2227" w:type="dxa"/>
            <w:vAlign w:val="center"/>
          </w:tcPr>
          <w:p w14:paraId="7822E934">
            <w:pPr>
              <w:pStyle w:val="44"/>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cs="宋体"/>
                <w:b w:val="0"/>
                <w:color w:val="auto"/>
                <w:sz w:val="24"/>
                <w:highlight w:val="none"/>
              </w:rPr>
              <w:t>磋商有效期</w:t>
            </w:r>
          </w:p>
        </w:tc>
        <w:tc>
          <w:tcPr>
            <w:tcW w:w="6274" w:type="dxa"/>
            <w:vAlign w:val="center"/>
          </w:tcPr>
          <w:p w14:paraId="6FDFE9DF">
            <w:pPr>
              <w:pStyle w:val="44"/>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cs="宋体"/>
                <w:b w:val="0"/>
                <w:color w:val="auto"/>
                <w:sz w:val="24"/>
                <w:highlight w:val="none"/>
                <w:u w:val="single"/>
              </w:rPr>
              <w:t xml:space="preserve"> 90 </w:t>
            </w:r>
            <w:r>
              <w:rPr>
                <w:rFonts w:hint="eastAsia" w:ascii="宋体" w:hAnsi="宋体" w:eastAsia="宋体" w:cs="宋体"/>
                <w:b w:val="0"/>
                <w:color w:val="auto"/>
                <w:sz w:val="24"/>
                <w:highlight w:val="none"/>
              </w:rPr>
              <w:t>日历日</w:t>
            </w:r>
          </w:p>
        </w:tc>
      </w:tr>
      <w:tr w14:paraId="6B66D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Align w:val="center"/>
          </w:tcPr>
          <w:p w14:paraId="740A7BD8">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36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rPr>
              <w:t>12</w:t>
            </w:r>
            <w:r>
              <w:rPr>
                <w:rFonts w:hint="default" w:ascii="宋体" w:hAnsi="宋体" w:eastAsia="宋体"/>
                <w:bCs/>
                <w:color w:val="auto"/>
                <w:kern w:val="2"/>
                <w:highlight w:val="none"/>
              </w:rPr>
              <w:t>.</w:t>
            </w:r>
            <w:r>
              <w:rPr>
                <w:rFonts w:hint="eastAsia" w:ascii="宋体" w:hAnsi="宋体" w:eastAsia="宋体"/>
                <w:bCs/>
                <w:color w:val="auto"/>
                <w:kern w:val="2"/>
                <w:highlight w:val="none"/>
              </w:rPr>
              <w:t>3</w:t>
            </w:r>
          </w:p>
        </w:tc>
        <w:tc>
          <w:tcPr>
            <w:tcW w:w="2227" w:type="dxa"/>
            <w:vAlign w:val="center"/>
          </w:tcPr>
          <w:p w14:paraId="53DC1395">
            <w:pPr>
              <w:pStyle w:val="44"/>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cs="宋体"/>
                <w:b w:val="0"/>
                <w:color w:val="auto"/>
                <w:sz w:val="24"/>
                <w:highlight w:val="none"/>
              </w:rPr>
              <w:t>响应文件解密时间</w:t>
            </w:r>
          </w:p>
        </w:tc>
        <w:tc>
          <w:tcPr>
            <w:tcW w:w="6274" w:type="dxa"/>
            <w:vAlign w:val="center"/>
          </w:tcPr>
          <w:p w14:paraId="325DE702">
            <w:pPr>
              <w:pStyle w:val="44"/>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u w:val="single"/>
              </w:rPr>
            </w:pPr>
            <w:r>
              <w:rPr>
                <w:rFonts w:hint="eastAsia" w:ascii="宋体" w:hAnsi="宋体" w:eastAsia="宋体" w:cs="宋体"/>
                <w:b w:val="0"/>
                <w:color w:val="auto"/>
                <w:sz w:val="24"/>
                <w:highlight w:val="none"/>
              </w:rPr>
              <w:t>响应文件提交截止时间后</w:t>
            </w:r>
            <w:r>
              <w:rPr>
                <w:rFonts w:hint="eastAsia" w:ascii="宋体" w:hAnsi="宋体" w:eastAsia="宋体" w:cs="宋体"/>
                <w:b w:val="0"/>
                <w:color w:val="auto"/>
                <w:sz w:val="24"/>
                <w:highlight w:val="none"/>
                <w:u w:val="single"/>
              </w:rPr>
              <w:t xml:space="preserve"> 60 </w:t>
            </w:r>
            <w:r>
              <w:rPr>
                <w:rFonts w:hint="eastAsia" w:ascii="宋体" w:hAnsi="宋体" w:eastAsia="宋体" w:cs="宋体"/>
                <w:b w:val="0"/>
                <w:color w:val="auto"/>
                <w:sz w:val="24"/>
                <w:highlight w:val="none"/>
              </w:rPr>
              <w:t>分钟内（以本项目网上招投标系统解密倒计时为准）。</w:t>
            </w:r>
          </w:p>
        </w:tc>
      </w:tr>
      <w:tr w14:paraId="39532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Align w:val="center"/>
          </w:tcPr>
          <w:p w14:paraId="5EECC48A">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36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rPr>
              <w:t>14.2</w:t>
            </w:r>
          </w:p>
        </w:tc>
        <w:tc>
          <w:tcPr>
            <w:tcW w:w="1160" w:type="pct"/>
            <w:vAlign w:val="center"/>
          </w:tcPr>
          <w:p w14:paraId="727DFDD1">
            <w:pPr>
              <w:pStyle w:val="44"/>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color w:val="auto"/>
                <w:sz w:val="24"/>
                <w:highlight w:val="none"/>
              </w:rPr>
              <w:t>评审方法</w:t>
            </w:r>
          </w:p>
        </w:tc>
        <w:tc>
          <w:tcPr>
            <w:tcW w:w="3267" w:type="pct"/>
            <w:vAlign w:val="center"/>
          </w:tcPr>
          <w:p w14:paraId="56232816">
            <w:pPr>
              <w:pStyle w:val="44"/>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color w:val="auto"/>
                <w:sz w:val="24"/>
                <w:highlight w:val="none"/>
              </w:rPr>
              <w:t>综合评分法</w:t>
            </w:r>
          </w:p>
        </w:tc>
      </w:tr>
      <w:tr w14:paraId="3105E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Align w:val="center"/>
          </w:tcPr>
          <w:p w14:paraId="46D7C99E">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36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rPr>
              <w:t>17.4</w:t>
            </w:r>
          </w:p>
        </w:tc>
        <w:tc>
          <w:tcPr>
            <w:tcW w:w="2227" w:type="dxa"/>
            <w:vAlign w:val="center"/>
          </w:tcPr>
          <w:p w14:paraId="3FAF68DC">
            <w:pPr>
              <w:pStyle w:val="44"/>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cs="宋体"/>
                <w:b w:val="0"/>
                <w:color w:val="auto"/>
                <w:sz w:val="24"/>
                <w:highlight w:val="none"/>
              </w:rPr>
              <w:t>最后报价扣除</w:t>
            </w:r>
            <w:r>
              <w:rPr>
                <w:rFonts w:hint="eastAsia" w:ascii="宋体" w:hAnsi="宋体" w:eastAsia="宋体" w:cs="宋体"/>
                <w:b w:val="0"/>
                <w:i/>
                <w:color w:val="auto"/>
                <w:sz w:val="24"/>
                <w:highlight w:val="none"/>
              </w:rPr>
              <w:t>（非专门面向中小企业采购项目适用）</w:t>
            </w:r>
          </w:p>
        </w:tc>
        <w:tc>
          <w:tcPr>
            <w:tcW w:w="6274" w:type="dxa"/>
            <w:vAlign w:val="center"/>
          </w:tcPr>
          <w:p w14:paraId="4D17BD3C">
            <w:pPr>
              <w:pStyle w:val="44"/>
              <w:keepNext w:val="0"/>
              <w:keepLines w:val="0"/>
              <w:widowControl w:val="0"/>
              <w:suppressLineNumbers w:val="0"/>
              <w:spacing w:before="0" w:beforeAutospacing="0" w:after="0" w:afterAutospacing="0" w:line="500" w:lineRule="exact"/>
              <w:ind w:left="0" w:right="0"/>
              <w:jc w:val="both"/>
              <w:rPr>
                <w:rFonts w:hint="eastAsia" w:ascii="宋体" w:hAnsi="宋体" w:eastAsia="宋体" w:cs="宋体"/>
                <w:b/>
                <w:bCs w:val="0"/>
                <w:color w:val="auto"/>
                <w:sz w:val="24"/>
                <w:highlight w:val="none"/>
              </w:rPr>
            </w:pPr>
            <w:r>
              <w:rPr>
                <w:rFonts w:hint="eastAsia" w:ascii="宋体" w:hAnsi="宋体" w:eastAsia="宋体" w:cs="宋体"/>
                <w:b w:val="0"/>
                <w:color w:val="auto"/>
                <w:sz w:val="24"/>
                <w:highlight w:val="none"/>
              </w:rPr>
              <w:t>（1）小型和微型企业价格扣除：</w:t>
            </w:r>
            <w:r>
              <w:rPr>
                <w:rFonts w:hint="eastAsia" w:ascii="宋体" w:hAnsi="宋体" w:eastAsia="宋体" w:cs="宋体"/>
                <w:b/>
                <w:bCs w:val="0"/>
                <w:color w:val="auto"/>
                <w:sz w:val="24"/>
                <w:highlight w:val="none"/>
                <w:u w:val="single"/>
              </w:rPr>
              <w:t>对小型和微型企业的价格给予10%的扣除后参与评审；</w:t>
            </w:r>
          </w:p>
          <w:p w14:paraId="315B0F0F">
            <w:pPr>
              <w:pStyle w:val="44"/>
              <w:keepNext w:val="0"/>
              <w:keepLines w:val="0"/>
              <w:widowControl w:val="0"/>
              <w:suppressLineNumbers w:val="0"/>
              <w:spacing w:before="0" w:beforeAutospacing="0" w:after="0" w:afterAutospacing="0" w:line="500" w:lineRule="exact"/>
              <w:ind w:left="0" w:right="0"/>
              <w:jc w:val="left"/>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（2）监狱企业价格扣除：同小型和微型企业。</w:t>
            </w:r>
          </w:p>
          <w:p w14:paraId="44531BDB">
            <w:pPr>
              <w:pStyle w:val="44"/>
              <w:keepNext w:val="0"/>
              <w:keepLines w:val="0"/>
              <w:widowControl w:val="0"/>
              <w:suppressLineNumbers w:val="0"/>
              <w:spacing w:before="0" w:beforeAutospacing="0" w:after="0" w:afterAutospacing="0" w:line="500" w:lineRule="exact"/>
              <w:ind w:left="0" w:right="0"/>
              <w:jc w:val="left"/>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（3）残疾人福利性单位价格扣除：同小型和微型企业。</w:t>
            </w:r>
          </w:p>
          <w:p w14:paraId="44C3A5D6">
            <w:pPr>
              <w:pStyle w:val="44"/>
              <w:keepNext w:val="0"/>
              <w:keepLines w:val="0"/>
              <w:widowControl w:val="0"/>
              <w:suppressLineNumbers w:val="0"/>
              <w:spacing w:before="0" w:beforeAutospacing="0" w:after="0" w:afterAutospacing="0" w:line="500" w:lineRule="exact"/>
              <w:ind w:left="0" w:right="0"/>
              <w:jc w:val="left"/>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（4）符合条件的联合体价格扣除：</w:t>
            </w:r>
            <w:r>
              <w:rPr>
                <w:rFonts w:hint="eastAsia" w:ascii="宋体" w:hAnsi="宋体" w:eastAsia="宋体" w:cs="宋体"/>
                <w:b w:val="0"/>
                <w:color w:val="auto"/>
                <w:sz w:val="24"/>
                <w:highlight w:val="none"/>
                <w:u w:val="single"/>
                <w:lang w:val="en-US" w:eastAsia="zh-CN"/>
              </w:rPr>
              <w:t xml:space="preserve"> </w:t>
            </w:r>
            <w:r>
              <w:rPr>
                <w:rFonts w:hint="eastAsia" w:ascii="宋体" w:hAnsi="宋体" w:eastAsia="宋体" w:cs="宋体"/>
                <w:bCs/>
                <w:color w:val="auto"/>
                <w:sz w:val="24"/>
                <w:highlight w:val="none"/>
                <w:u w:val="single"/>
                <w:lang w:val="en-US" w:eastAsia="zh-CN"/>
              </w:rPr>
              <w:t>/</w:t>
            </w:r>
            <w:r>
              <w:rPr>
                <w:rFonts w:hint="eastAsia" w:ascii="宋体" w:hAnsi="宋体" w:eastAsia="宋体" w:cs="宋体"/>
                <w:b w:val="0"/>
                <w:color w:val="auto"/>
                <w:sz w:val="24"/>
                <w:highlight w:val="none"/>
                <w:u w:val="single"/>
                <w:lang w:val="en-US" w:eastAsia="zh-CN"/>
              </w:rPr>
              <w:t xml:space="preserve"> </w:t>
            </w:r>
            <w:r>
              <w:rPr>
                <w:rFonts w:hint="eastAsia" w:ascii="宋体" w:hAnsi="宋体" w:eastAsia="宋体" w:cs="宋体"/>
                <w:b w:val="0"/>
                <w:color w:val="auto"/>
                <w:sz w:val="24"/>
                <w:highlight w:val="none"/>
              </w:rPr>
              <w:t>。</w:t>
            </w:r>
          </w:p>
          <w:p w14:paraId="3DE87918">
            <w:pPr>
              <w:pStyle w:val="44"/>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cs="宋体"/>
                <w:b w:val="0"/>
                <w:color w:val="auto"/>
                <w:sz w:val="24"/>
                <w:highlight w:val="none"/>
              </w:rPr>
              <w:t>（5）符合条件的向小微企业分包的大中型企业价格扣除：</w:t>
            </w:r>
            <w:r>
              <w:rPr>
                <w:rFonts w:hint="eastAsia" w:ascii="宋体" w:hAnsi="宋体" w:eastAsia="宋体" w:cs="宋体"/>
                <w:b w:val="0"/>
                <w:color w:val="auto"/>
                <w:sz w:val="24"/>
                <w:highlight w:val="none"/>
                <w:u w:val="single"/>
                <w:lang w:val="en-US" w:eastAsia="zh-CN"/>
              </w:rPr>
              <w:t xml:space="preserve"> </w:t>
            </w:r>
            <w:r>
              <w:rPr>
                <w:rFonts w:hint="eastAsia" w:ascii="宋体" w:hAnsi="宋体" w:eastAsia="宋体" w:cs="宋体"/>
                <w:b w:val="0"/>
                <w:color w:val="auto"/>
                <w:sz w:val="24"/>
                <w:highlight w:val="none"/>
                <w:u w:val="single"/>
              </w:rPr>
              <w:t>/</w:t>
            </w:r>
            <w:r>
              <w:rPr>
                <w:rFonts w:hint="eastAsia" w:ascii="宋体" w:hAnsi="宋体" w:eastAsia="宋体" w:cs="宋体"/>
                <w:b w:val="0"/>
                <w:color w:val="auto"/>
                <w:sz w:val="24"/>
                <w:highlight w:val="none"/>
                <w:u w:val="single"/>
                <w:lang w:val="en-US" w:eastAsia="zh-CN"/>
              </w:rPr>
              <w:t xml:space="preserve"> </w:t>
            </w:r>
            <w:r>
              <w:rPr>
                <w:rFonts w:hint="eastAsia" w:ascii="宋体" w:hAnsi="宋体" w:eastAsia="宋体" w:cs="宋体"/>
                <w:b w:val="0"/>
                <w:color w:val="auto"/>
                <w:sz w:val="24"/>
                <w:highlight w:val="none"/>
              </w:rPr>
              <w:t>。</w:t>
            </w:r>
          </w:p>
        </w:tc>
      </w:tr>
      <w:tr w14:paraId="13F0C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Align w:val="center"/>
          </w:tcPr>
          <w:p w14:paraId="5B29FC43">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36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rPr>
              <w:t>17.5</w:t>
            </w:r>
          </w:p>
        </w:tc>
        <w:tc>
          <w:tcPr>
            <w:tcW w:w="2227" w:type="dxa"/>
            <w:vAlign w:val="center"/>
          </w:tcPr>
          <w:p w14:paraId="3221896D">
            <w:pPr>
              <w:pStyle w:val="44"/>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i/>
                <w:color w:val="auto"/>
                <w:sz w:val="24"/>
                <w:highlight w:val="none"/>
              </w:rPr>
            </w:pPr>
            <w:r>
              <w:rPr>
                <w:rFonts w:hint="eastAsia" w:ascii="宋体" w:hAnsi="宋体" w:eastAsia="宋体"/>
                <w:b w:val="0"/>
                <w:color w:val="auto"/>
                <w:sz w:val="24"/>
                <w:highlight w:val="none"/>
              </w:rPr>
              <w:t>本国产品价格扣除</w:t>
            </w:r>
            <w:r>
              <w:rPr>
                <w:rFonts w:hint="eastAsia" w:ascii="宋体" w:hAnsi="宋体" w:eastAsia="宋体" w:cs="Times New Roman"/>
                <w:b w:val="0"/>
                <w:bCs w:val="0"/>
                <w:i/>
                <w:iCs/>
                <w:color w:val="auto"/>
                <w:sz w:val="24"/>
                <w:highlight w:val="none"/>
              </w:rPr>
              <w:t>（本项目不适用）</w:t>
            </w:r>
          </w:p>
        </w:tc>
        <w:tc>
          <w:tcPr>
            <w:tcW w:w="6274" w:type="dxa"/>
            <w:vAlign w:val="center"/>
          </w:tcPr>
          <w:p w14:paraId="01EE5AEB">
            <w:pPr>
              <w:pStyle w:val="44"/>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color w:val="auto"/>
                <w:sz w:val="24"/>
                <w:highlight w:val="none"/>
              </w:rPr>
              <w:t>（1）项目或者采购包中采购内容为单一产品的，既有本国产品又有非本国产品参与竞争的，对本国产品给予价格扣除</w:t>
            </w:r>
            <w:r>
              <w:rPr>
                <w:rFonts w:hint="eastAsia" w:ascii="宋体" w:hAnsi="宋体" w:eastAsia="宋体"/>
                <w:b w:val="0"/>
                <w:color w:val="auto"/>
                <w:sz w:val="24"/>
                <w:highlight w:val="none"/>
                <w:u w:val="single"/>
              </w:rPr>
              <w:t>20%</w:t>
            </w:r>
            <w:r>
              <w:rPr>
                <w:rFonts w:hint="eastAsia" w:ascii="宋体" w:hAnsi="宋体" w:eastAsia="宋体"/>
                <w:b w:val="0"/>
                <w:color w:val="auto"/>
                <w:sz w:val="24"/>
                <w:highlight w:val="none"/>
              </w:rPr>
              <w:t>。</w:t>
            </w:r>
          </w:p>
          <w:p w14:paraId="5931484F">
            <w:pPr>
              <w:pStyle w:val="44"/>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color w:val="auto"/>
                <w:sz w:val="24"/>
                <w:highlight w:val="none"/>
              </w:rPr>
              <w:t>（2）项目或者采购包中含有多种产品的，符合本国产品标准的产品成本之和占该供应商提供的全部产品成本之和的比例≥80%，所有产品价格扣除</w:t>
            </w:r>
            <w:r>
              <w:rPr>
                <w:rFonts w:hint="eastAsia" w:ascii="宋体" w:hAnsi="宋体" w:eastAsia="宋体"/>
                <w:b w:val="0"/>
                <w:color w:val="auto"/>
                <w:sz w:val="24"/>
                <w:highlight w:val="none"/>
                <w:u w:val="single"/>
              </w:rPr>
              <w:t>20%</w:t>
            </w:r>
            <w:r>
              <w:rPr>
                <w:rFonts w:hint="eastAsia" w:ascii="宋体" w:hAnsi="宋体" w:eastAsia="宋体"/>
                <w:b w:val="0"/>
                <w:color w:val="auto"/>
                <w:sz w:val="24"/>
                <w:highlight w:val="none"/>
              </w:rPr>
              <w:t>。</w:t>
            </w:r>
          </w:p>
        </w:tc>
      </w:tr>
      <w:tr w14:paraId="141BE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Merge w:val="restart"/>
            <w:vAlign w:val="center"/>
          </w:tcPr>
          <w:p w14:paraId="7617C37D">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36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rPr>
              <w:t>19</w:t>
            </w:r>
            <w:r>
              <w:rPr>
                <w:rFonts w:hint="default" w:ascii="宋体" w:hAnsi="宋体" w:eastAsia="宋体"/>
                <w:bCs/>
                <w:color w:val="auto"/>
                <w:kern w:val="2"/>
                <w:highlight w:val="none"/>
              </w:rPr>
              <w:t>.</w:t>
            </w:r>
            <w:r>
              <w:rPr>
                <w:rFonts w:hint="eastAsia" w:ascii="宋体" w:hAnsi="宋体" w:eastAsia="宋体"/>
                <w:bCs/>
                <w:color w:val="auto"/>
                <w:kern w:val="2"/>
                <w:highlight w:val="none"/>
              </w:rPr>
              <w:t>1</w:t>
            </w:r>
          </w:p>
        </w:tc>
        <w:tc>
          <w:tcPr>
            <w:tcW w:w="1160" w:type="pct"/>
            <w:vMerge w:val="restart"/>
            <w:vAlign w:val="center"/>
          </w:tcPr>
          <w:p w14:paraId="13ED263F">
            <w:pPr>
              <w:pStyle w:val="44"/>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Theme="minorEastAsia" w:hAnsiTheme="minorEastAsia" w:eastAsiaTheme="minorEastAsia"/>
                <w:b w:val="0"/>
                <w:color w:val="auto"/>
                <w:sz w:val="24"/>
                <w:highlight w:val="none"/>
              </w:rPr>
              <w:t>确定成交候选供应商和成交供应商</w:t>
            </w:r>
          </w:p>
        </w:tc>
        <w:tc>
          <w:tcPr>
            <w:tcW w:w="3267" w:type="pct"/>
            <w:vAlign w:val="center"/>
          </w:tcPr>
          <w:p w14:paraId="0A825C66">
            <w:pPr>
              <w:pStyle w:val="44"/>
              <w:keepNext w:val="0"/>
              <w:keepLines w:val="0"/>
              <w:widowControl w:val="0"/>
              <w:suppressLineNumbers w:val="0"/>
              <w:spacing w:before="0" w:beforeAutospacing="0" w:after="0" w:afterAutospacing="0" w:line="360" w:lineRule="auto"/>
              <w:ind w:left="0" w:right="0"/>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rPr>
              <w:t>磋商小组推荐成交</w:t>
            </w:r>
            <w:r>
              <w:rPr>
                <w:rFonts w:hint="default" w:ascii="宋体" w:hAnsi="宋体" w:eastAsia="宋体"/>
                <w:b w:val="0"/>
                <w:color w:val="auto"/>
                <w:sz w:val="24"/>
                <w:highlight w:val="none"/>
              </w:rPr>
              <w:t>候选</w:t>
            </w:r>
            <w:r>
              <w:rPr>
                <w:rFonts w:hint="eastAsia" w:ascii="宋体" w:hAnsi="宋体" w:eastAsia="宋体"/>
                <w:b w:val="0"/>
                <w:color w:val="auto"/>
                <w:sz w:val="24"/>
                <w:highlight w:val="none"/>
              </w:rPr>
              <w:t>供应商的</w:t>
            </w:r>
            <w:r>
              <w:rPr>
                <w:rFonts w:hint="default" w:ascii="宋体" w:hAnsi="宋体" w:eastAsia="宋体"/>
                <w:b w:val="0"/>
                <w:color w:val="auto"/>
                <w:sz w:val="24"/>
                <w:highlight w:val="none"/>
              </w:rPr>
              <w:t>数</w:t>
            </w:r>
            <w:r>
              <w:rPr>
                <w:rFonts w:hint="eastAsia" w:ascii="宋体" w:hAnsi="宋体" w:eastAsia="宋体"/>
                <w:b w:val="0"/>
                <w:color w:val="auto"/>
                <w:sz w:val="24"/>
                <w:highlight w:val="none"/>
              </w:rPr>
              <w:t>量：3</w:t>
            </w:r>
            <w:r>
              <w:rPr>
                <w:rFonts w:hint="eastAsia" w:ascii="宋体" w:hAnsi="宋体" w:eastAsia="宋体"/>
                <w:b w:val="0"/>
                <w:color w:val="auto"/>
                <w:sz w:val="24"/>
                <w:highlight w:val="none"/>
                <w:lang w:val="en-US" w:eastAsia="zh-CN"/>
              </w:rPr>
              <w:t>名</w:t>
            </w:r>
          </w:p>
          <w:p w14:paraId="291C167E">
            <w:pPr>
              <w:pStyle w:val="44"/>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u w:val="single"/>
              </w:rPr>
            </w:pPr>
            <w:r>
              <w:rPr>
                <w:rFonts w:hint="eastAsia" w:ascii="宋体" w:hAnsi="宋体" w:eastAsia="宋体"/>
                <w:b w:val="0"/>
                <w:color w:val="auto"/>
                <w:sz w:val="24"/>
                <w:highlight w:val="none"/>
              </w:rPr>
              <w:t>注：法律、法规另有规定的，从其规定</w:t>
            </w:r>
          </w:p>
        </w:tc>
      </w:tr>
      <w:tr w14:paraId="6DD76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2" w:type="pct"/>
            <w:vMerge w:val="continue"/>
            <w:vAlign w:val="center"/>
          </w:tcPr>
          <w:p w14:paraId="7589C1B3">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360" w:lineRule="auto"/>
              <w:ind w:left="0" w:right="0"/>
              <w:textAlignment w:val="auto"/>
              <w:rPr>
                <w:rFonts w:hint="default" w:ascii="宋体" w:hAnsi="宋体" w:eastAsia="宋体"/>
                <w:bCs/>
                <w:color w:val="auto"/>
                <w:kern w:val="2"/>
                <w:highlight w:val="none"/>
              </w:rPr>
            </w:pPr>
          </w:p>
        </w:tc>
        <w:tc>
          <w:tcPr>
            <w:tcW w:w="1160" w:type="pct"/>
            <w:vMerge w:val="continue"/>
            <w:vAlign w:val="center"/>
          </w:tcPr>
          <w:p w14:paraId="638279C5">
            <w:pPr>
              <w:pStyle w:val="44"/>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p>
        </w:tc>
        <w:tc>
          <w:tcPr>
            <w:tcW w:w="3267" w:type="pct"/>
            <w:vAlign w:val="center"/>
          </w:tcPr>
          <w:p w14:paraId="4E7DAF05">
            <w:pPr>
              <w:pStyle w:val="44"/>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color w:val="auto"/>
                <w:sz w:val="24"/>
                <w:highlight w:val="none"/>
              </w:rPr>
              <w:t>确定成交供应商：</w:t>
            </w:r>
          </w:p>
          <w:p w14:paraId="28FCA1F1">
            <w:pPr>
              <w:pStyle w:val="44"/>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color w:val="auto"/>
                <w:sz w:val="24"/>
                <w:highlight w:val="none"/>
              </w:rPr>
              <w:sym w:font="Wingdings" w:char="00A8"/>
            </w:r>
            <w:r>
              <w:rPr>
                <w:rFonts w:hint="eastAsia" w:ascii="宋体" w:hAnsi="宋体" w:eastAsia="宋体"/>
                <w:b w:val="0"/>
                <w:color w:val="auto"/>
                <w:sz w:val="24"/>
                <w:highlight w:val="none"/>
              </w:rPr>
              <w:t xml:space="preserve">采购人委托磋商小组确定 </w:t>
            </w:r>
            <w:r>
              <w:rPr>
                <w:rFonts w:hint="default" w:ascii="宋体" w:hAnsi="宋体" w:eastAsia="宋体"/>
                <w:b w:val="0"/>
                <w:color w:val="auto"/>
                <w:sz w:val="24"/>
                <w:highlight w:val="none"/>
              </w:rPr>
              <w:t xml:space="preserve">   </w:t>
            </w:r>
            <w:r>
              <w:rPr>
                <w:rFonts w:hint="eastAsia" w:ascii="宋体" w:hAnsi="宋体" w:eastAsia="宋体"/>
                <w:b w:val="0"/>
                <w:color w:val="auto"/>
                <w:sz w:val="24"/>
                <w:highlight w:val="none"/>
              </w:rPr>
              <w:t xml:space="preserve"> ☑采购人确定</w:t>
            </w:r>
          </w:p>
        </w:tc>
      </w:tr>
      <w:tr w14:paraId="1B4C4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Align w:val="center"/>
          </w:tcPr>
          <w:p w14:paraId="0B2F02C4">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36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rPr>
              <w:t>22</w:t>
            </w:r>
            <w:r>
              <w:rPr>
                <w:rFonts w:hint="default" w:ascii="宋体" w:hAnsi="宋体" w:eastAsia="宋体"/>
                <w:bCs/>
                <w:color w:val="auto"/>
                <w:kern w:val="2"/>
                <w:highlight w:val="none"/>
              </w:rPr>
              <w:t>.</w:t>
            </w:r>
            <w:r>
              <w:rPr>
                <w:rFonts w:hint="eastAsia" w:ascii="宋体" w:hAnsi="宋体" w:eastAsia="宋体"/>
                <w:bCs/>
                <w:color w:val="auto"/>
                <w:kern w:val="2"/>
                <w:highlight w:val="none"/>
              </w:rPr>
              <w:t>2</w:t>
            </w:r>
          </w:p>
        </w:tc>
        <w:tc>
          <w:tcPr>
            <w:tcW w:w="1160" w:type="pct"/>
            <w:vAlign w:val="center"/>
          </w:tcPr>
          <w:p w14:paraId="4FB2868D">
            <w:pPr>
              <w:pStyle w:val="44"/>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color w:val="auto"/>
                <w:sz w:val="24"/>
                <w:highlight w:val="none"/>
              </w:rPr>
              <w:t>随成交结果公告同时公告的内容</w:t>
            </w:r>
          </w:p>
        </w:tc>
        <w:tc>
          <w:tcPr>
            <w:tcW w:w="3267" w:type="pct"/>
            <w:vAlign w:val="center"/>
          </w:tcPr>
          <w:p w14:paraId="2DA1F4D8">
            <w:pPr>
              <w:pStyle w:val="44"/>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color w:val="auto"/>
                <w:sz w:val="24"/>
                <w:highlight w:val="none"/>
              </w:rPr>
              <w:t>（1）中小企业声明函；</w:t>
            </w:r>
            <w:r>
              <w:rPr>
                <w:rFonts w:hint="eastAsia" w:ascii="宋体" w:hAnsi="宋体" w:eastAsia="宋体"/>
                <w:b w:val="0"/>
                <w:i/>
                <w:iCs/>
                <w:color w:val="auto"/>
                <w:sz w:val="24"/>
                <w:highlight w:val="none"/>
              </w:rPr>
              <w:t>（如有）</w:t>
            </w:r>
          </w:p>
          <w:p w14:paraId="5B6F8961">
            <w:pPr>
              <w:pStyle w:val="44"/>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i/>
                <w:color w:val="auto"/>
                <w:sz w:val="24"/>
                <w:highlight w:val="none"/>
              </w:rPr>
            </w:pPr>
            <w:r>
              <w:rPr>
                <w:rFonts w:hint="eastAsia" w:ascii="宋体" w:hAnsi="宋体" w:eastAsia="宋体"/>
                <w:b w:val="0"/>
                <w:color w:val="auto"/>
                <w:sz w:val="24"/>
                <w:highlight w:val="none"/>
              </w:rPr>
              <w:t>（2）残疾人福利性单位声明函；</w:t>
            </w:r>
            <w:r>
              <w:rPr>
                <w:rFonts w:hint="eastAsia" w:ascii="宋体" w:hAnsi="宋体" w:eastAsia="宋体"/>
                <w:b w:val="0"/>
                <w:i/>
                <w:iCs/>
                <w:color w:val="auto"/>
                <w:sz w:val="24"/>
                <w:highlight w:val="none"/>
              </w:rPr>
              <w:t>（如有）</w:t>
            </w:r>
          </w:p>
          <w:p w14:paraId="7463B793">
            <w:pPr>
              <w:pStyle w:val="44"/>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bCs w:val="0"/>
                <w:color w:val="auto"/>
                <w:sz w:val="24"/>
                <w:szCs w:val="24"/>
                <w:highlight w:val="none"/>
              </w:rPr>
            </w:pPr>
            <w:r>
              <w:rPr>
                <w:rFonts w:hint="eastAsia" w:ascii="宋体" w:hAnsi="宋体" w:eastAsia="宋体"/>
                <w:b w:val="0"/>
                <w:color w:val="auto"/>
                <w:sz w:val="24"/>
                <w:highlight w:val="none"/>
              </w:rPr>
              <w:t>（3）</w:t>
            </w:r>
            <w:r>
              <w:rPr>
                <w:rFonts w:hint="eastAsia" w:ascii="宋体" w:hAnsi="宋体" w:eastAsia="宋体" w:cs="宋体"/>
                <w:b w:val="0"/>
                <w:color w:val="auto"/>
                <w:sz w:val="24"/>
                <w:highlight w:val="none"/>
              </w:rPr>
              <w:t>成交供应商的评审总得分。</w:t>
            </w:r>
          </w:p>
        </w:tc>
      </w:tr>
      <w:tr w14:paraId="5DBA0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Align w:val="center"/>
          </w:tcPr>
          <w:p w14:paraId="53303C63">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36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rPr>
              <w:t>23</w:t>
            </w:r>
            <w:r>
              <w:rPr>
                <w:rFonts w:hint="default" w:ascii="宋体" w:hAnsi="宋体" w:eastAsia="宋体"/>
                <w:bCs/>
                <w:color w:val="auto"/>
                <w:kern w:val="2"/>
                <w:highlight w:val="none"/>
              </w:rPr>
              <w:t>.1</w:t>
            </w:r>
          </w:p>
        </w:tc>
        <w:tc>
          <w:tcPr>
            <w:tcW w:w="1160" w:type="pct"/>
            <w:vAlign w:val="center"/>
          </w:tcPr>
          <w:p w14:paraId="4EA8D79A">
            <w:pPr>
              <w:pStyle w:val="44"/>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color w:val="auto"/>
                <w:sz w:val="24"/>
                <w:highlight w:val="none"/>
              </w:rPr>
              <w:t>成交通知书发出的形式</w:t>
            </w:r>
          </w:p>
        </w:tc>
        <w:tc>
          <w:tcPr>
            <w:tcW w:w="3267" w:type="pct"/>
            <w:vAlign w:val="center"/>
          </w:tcPr>
          <w:p w14:paraId="4A1E7441">
            <w:pPr>
              <w:pStyle w:val="44"/>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color w:val="auto"/>
                <w:sz w:val="24"/>
                <w:highlight w:val="none"/>
              </w:rPr>
              <w:t xml:space="preserve">□书面 </w:t>
            </w:r>
            <w:r>
              <w:rPr>
                <w:rFonts w:hint="default" w:ascii="宋体" w:hAnsi="宋体" w:eastAsia="宋体"/>
                <w:b w:val="0"/>
                <w:color w:val="auto"/>
                <w:sz w:val="24"/>
                <w:highlight w:val="none"/>
              </w:rPr>
              <w:t xml:space="preserve">    </w:t>
            </w:r>
            <w:r>
              <w:rPr>
                <w:rFonts w:hint="eastAsia" w:ascii="宋体" w:hAnsi="宋体" w:eastAsia="宋体"/>
                <w:b w:val="0"/>
                <w:bCs w:val="0"/>
                <w:color w:val="auto"/>
                <w:sz w:val="24"/>
                <w:szCs w:val="24"/>
                <w:highlight w:val="none"/>
              </w:rPr>
              <w:sym w:font="Wingdings" w:char="00FE"/>
            </w:r>
            <w:r>
              <w:rPr>
                <w:rFonts w:hint="eastAsia" w:ascii="宋体" w:hAnsi="宋体" w:eastAsia="宋体"/>
                <w:b w:val="0"/>
                <w:color w:val="auto"/>
                <w:sz w:val="24"/>
                <w:highlight w:val="none"/>
              </w:rPr>
              <w:t>数据电文</w:t>
            </w:r>
          </w:p>
        </w:tc>
      </w:tr>
      <w:tr w14:paraId="0059B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Align w:val="center"/>
          </w:tcPr>
          <w:p w14:paraId="72E63DBD">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36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rPr>
              <w:t>24</w:t>
            </w:r>
            <w:r>
              <w:rPr>
                <w:rFonts w:hint="default" w:ascii="宋体" w:hAnsi="宋体" w:eastAsia="宋体"/>
                <w:bCs/>
                <w:color w:val="auto"/>
                <w:kern w:val="2"/>
                <w:highlight w:val="none"/>
              </w:rPr>
              <w:t>.1</w:t>
            </w:r>
          </w:p>
        </w:tc>
        <w:tc>
          <w:tcPr>
            <w:tcW w:w="2227" w:type="dxa"/>
            <w:vAlign w:val="center"/>
          </w:tcPr>
          <w:p w14:paraId="70E4E929">
            <w:pPr>
              <w:pStyle w:val="44"/>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cs="宋体"/>
                <w:b w:val="0"/>
                <w:color w:val="auto"/>
                <w:sz w:val="24"/>
                <w:highlight w:val="none"/>
              </w:rPr>
              <w:t>告知磋商结果的形式</w:t>
            </w:r>
          </w:p>
        </w:tc>
        <w:tc>
          <w:tcPr>
            <w:tcW w:w="6274" w:type="dxa"/>
            <w:vAlign w:val="center"/>
          </w:tcPr>
          <w:p w14:paraId="381B8820">
            <w:pPr>
              <w:pStyle w:val="44"/>
              <w:keepNext w:val="0"/>
              <w:keepLines w:val="0"/>
              <w:widowControl w:val="0"/>
              <w:suppressLineNumbers w:val="0"/>
              <w:spacing w:before="0" w:beforeAutospacing="0" w:after="0" w:afterAutospacing="0" w:line="360" w:lineRule="auto"/>
              <w:ind w:left="0" w:right="0"/>
              <w:jc w:val="both"/>
              <w:rPr>
                <w:rFonts w:hint="default"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sym w:font="Wingdings" w:char="00FE"/>
            </w:r>
            <w:r>
              <w:rPr>
                <w:rFonts w:hint="eastAsia" w:ascii="宋体" w:hAnsi="宋体" w:eastAsia="宋体" w:cs="宋体"/>
                <w:b w:val="0"/>
                <w:bCs w:val="0"/>
                <w:color w:val="auto"/>
                <w:sz w:val="24"/>
                <w:szCs w:val="24"/>
                <w:highlight w:val="none"/>
              </w:rPr>
              <w:t>供应商自行登录电子交易系统查看</w:t>
            </w:r>
          </w:p>
          <w:p w14:paraId="29D776EF">
            <w:pPr>
              <w:pStyle w:val="44"/>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cs="宋体"/>
                <w:b w:val="0"/>
                <w:color w:val="auto"/>
                <w:sz w:val="24"/>
                <w:highlight w:val="none"/>
              </w:rPr>
              <w:t>□磋商现场告知</w:t>
            </w:r>
          </w:p>
        </w:tc>
      </w:tr>
      <w:tr w14:paraId="4959D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Align w:val="center"/>
          </w:tcPr>
          <w:p w14:paraId="5DDA7A07">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36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rPr>
              <w:t>25</w:t>
            </w:r>
            <w:r>
              <w:rPr>
                <w:rFonts w:hint="default" w:ascii="宋体" w:hAnsi="宋体" w:eastAsia="宋体"/>
                <w:bCs/>
                <w:color w:val="auto"/>
                <w:kern w:val="2"/>
                <w:highlight w:val="none"/>
              </w:rPr>
              <w:t>.1</w:t>
            </w:r>
          </w:p>
        </w:tc>
        <w:tc>
          <w:tcPr>
            <w:tcW w:w="2227" w:type="dxa"/>
            <w:vAlign w:val="center"/>
          </w:tcPr>
          <w:p w14:paraId="0F8F630A">
            <w:pPr>
              <w:pStyle w:val="44"/>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cs="宋体"/>
                <w:b w:val="0"/>
                <w:color w:val="auto"/>
                <w:sz w:val="24"/>
                <w:highlight w:val="none"/>
              </w:rPr>
              <w:t>履约保证金</w:t>
            </w:r>
          </w:p>
        </w:tc>
        <w:tc>
          <w:tcPr>
            <w:tcW w:w="6274" w:type="dxa"/>
          </w:tcPr>
          <w:p w14:paraId="4C4E3A5B">
            <w:pPr>
              <w:keepNext w:val="0"/>
              <w:keepLines w:val="0"/>
              <w:suppressLineNumbers w:val="0"/>
              <w:spacing w:before="0" w:beforeAutospacing="0" w:after="0" w:afterAutospacing="0" w:line="360" w:lineRule="auto"/>
              <w:ind w:left="0" w:right="0"/>
              <w:rPr>
                <w:rFonts w:hint="default"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t>（1）金额：</w:t>
            </w:r>
          </w:p>
          <w:p w14:paraId="3B3C7279">
            <w:pPr>
              <w:keepNext w:val="0"/>
              <w:keepLines w:val="0"/>
              <w:suppressLineNumbers w:val="0"/>
              <w:spacing w:before="0" w:beforeAutospacing="0" w:after="0" w:afterAutospacing="0" w:line="360" w:lineRule="auto"/>
              <w:ind w:left="0" w:right="0"/>
              <w:rPr>
                <w:rFonts w:hint="default"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lang w:eastAsia="zh-CN"/>
              </w:rPr>
              <w:t>☑</w:t>
            </w:r>
            <w:r>
              <w:rPr>
                <w:rFonts w:hint="eastAsia" w:ascii="宋体" w:hAnsi="宋体" w:eastAsia="宋体" w:cs="宋体"/>
                <w:bCs/>
                <w:color w:val="auto"/>
                <w:kern w:val="0"/>
                <w:sz w:val="24"/>
                <w:szCs w:val="28"/>
                <w:highlight w:val="none"/>
              </w:rPr>
              <w:t>免收</w:t>
            </w:r>
          </w:p>
          <w:p w14:paraId="37C0D894">
            <w:pPr>
              <w:keepNext w:val="0"/>
              <w:keepLines w:val="0"/>
              <w:suppressLineNumbers w:val="0"/>
              <w:spacing w:before="0" w:beforeAutospacing="0" w:after="0" w:afterAutospacing="0" w:line="360" w:lineRule="auto"/>
              <w:ind w:left="0" w:right="0"/>
              <w:rPr>
                <w:rFonts w:hint="default"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lang w:eastAsia="zh-CN"/>
              </w:rPr>
              <w:t>□</w:t>
            </w:r>
            <w:r>
              <w:rPr>
                <w:rFonts w:hint="eastAsia" w:ascii="宋体" w:hAnsi="宋体" w:eastAsia="宋体" w:cs="宋体"/>
                <w:bCs/>
                <w:color w:val="auto"/>
                <w:kern w:val="0"/>
                <w:sz w:val="24"/>
                <w:szCs w:val="28"/>
                <w:highlight w:val="none"/>
              </w:rPr>
              <w:t>合同价的</w:t>
            </w:r>
            <w:r>
              <w:rPr>
                <w:rFonts w:hint="eastAsia" w:ascii="宋体" w:hAnsi="宋体" w:eastAsia="宋体" w:cs="宋体"/>
                <w:bCs/>
                <w:color w:val="auto"/>
                <w:kern w:val="0"/>
                <w:sz w:val="24"/>
                <w:szCs w:val="28"/>
                <w:highlight w:val="none"/>
                <w:u w:val="single"/>
              </w:rPr>
              <w:t xml:space="preserve"> </w:t>
            </w:r>
            <w:r>
              <w:rPr>
                <w:rFonts w:hint="eastAsia" w:ascii="宋体" w:hAnsi="宋体" w:eastAsia="宋体" w:cs="宋体"/>
                <w:bCs/>
                <w:color w:val="auto"/>
                <w:kern w:val="0"/>
                <w:sz w:val="24"/>
                <w:szCs w:val="28"/>
                <w:highlight w:val="none"/>
                <w:u w:val="single"/>
                <w:lang w:val="en-US" w:eastAsia="zh-CN"/>
              </w:rPr>
              <w:t>/</w:t>
            </w:r>
            <w:r>
              <w:rPr>
                <w:rFonts w:hint="eastAsia" w:ascii="宋体" w:hAnsi="宋体" w:eastAsia="宋体" w:cs="宋体"/>
                <w:bCs/>
                <w:color w:val="auto"/>
                <w:kern w:val="0"/>
                <w:sz w:val="24"/>
                <w:szCs w:val="28"/>
                <w:highlight w:val="none"/>
                <w:u w:val="single"/>
              </w:rPr>
              <w:t xml:space="preserve"> </w:t>
            </w:r>
            <w:r>
              <w:rPr>
                <w:rFonts w:hint="eastAsia" w:ascii="宋体" w:hAnsi="宋体" w:eastAsia="宋体" w:cs="宋体"/>
                <w:bCs/>
                <w:color w:val="auto"/>
                <w:kern w:val="0"/>
                <w:sz w:val="24"/>
                <w:szCs w:val="28"/>
                <w:highlight w:val="none"/>
              </w:rPr>
              <w:t>%</w:t>
            </w:r>
          </w:p>
          <w:p w14:paraId="1AEE2F52">
            <w:pPr>
              <w:keepNext w:val="0"/>
              <w:keepLines w:val="0"/>
              <w:suppressLineNumbers w:val="0"/>
              <w:spacing w:before="0" w:beforeAutospacing="0" w:after="0" w:afterAutospacing="0" w:line="360" w:lineRule="auto"/>
              <w:ind w:left="0" w:right="0"/>
              <w:rPr>
                <w:rFonts w:hint="default"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t>□定额收取：人民币</w:t>
            </w:r>
            <w:r>
              <w:rPr>
                <w:rFonts w:hint="eastAsia" w:ascii="宋体" w:hAnsi="宋体" w:eastAsia="宋体" w:cs="宋体"/>
                <w:bCs/>
                <w:color w:val="auto"/>
                <w:kern w:val="0"/>
                <w:sz w:val="24"/>
                <w:szCs w:val="28"/>
                <w:highlight w:val="none"/>
                <w:u w:val="single"/>
              </w:rPr>
              <w:t xml:space="preserve">      /        </w:t>
            </w:r>
            <w:r>
              <w:rPr>
                <w:rFonts w:hint="eastAsia" w:ascii="宋体" w:hAnsi="宋体" w:eastAsia="宋体" w:cs="宋体"/>
                <w:bCs/>
                <w:color w:val="auto"/>
                <w:kern w:val="0"/>
                <w:sz w:val="24"/>
                <w:szCs w:val="28"/>
                <w:highlight w:val="none"/>
              </w:rPr>
              <w:t>元</w:t>
            </w:r>
          </w:p>
          <w:p w14:paraId="04E9F8C5">
            <w:pPr>
              <w:keepNext w:val="0"/>
              <w:keepLines w:val="0"/>
              <w:suppressLineNumbers w:val="0"/>
              <w:spacing w:before="0" w:beforeAutospacing="0" w:after="0" w:afterAutospacing="0" w:line="360" w:lineRule="auto"/>
              <w:ind w:left="0" w:right="0"/>
              <w:rPr>
                <w:rFonts w:hint="default"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t>（2）支付方式：</w:t>
            </w:r>
          </w:p>
          <w:p w14:paraId="7675F139">
            <w:pPr>
              <w:keepNext w:val="0"/>
              <w:keepLines w:val="0"/>
              <w:suppressLineNumbers w:val="0"/>
              <w:spacing w:before="0" w:beforeAutospacing="0" w:after="0" w:afterAutospacing="0" w:line="360" w:lineRule="auto"/>
              <w:ind w:left="0" w:right="0"/>
              <w:rPr>
                <w:rFonts w:hint="default"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sym w:font="Wingdings" w:char="00A8"/>
            </w:r>
            <w:r>
              <w:rPr>
                <w:rFonts w:hint="eastAsia" w:ascii="宋体" w:hAnsi="宋体" w:eastAsia="宋体" w:cs="宋体"/>
                <w:bCs/>
                <w:color w:val="auto"/>
                <w:kern w:val="0"/>
                <w:sz w:val="24"/>
                <w:szCs w:val="28"/>
                <w:highlight w:val="none"/>
              </w:rPr>
              <w:t xml:space="preserve">转账/电汇 </w:t>
            </w:r>
            <w:r>
              <w:rPr>
                <w:rFonts w:hint="eastAsia" w:ascii="宋体" w:hAnsi="宋体" w:eastAsia="宋体" w:cs="宋体"/>
                <w:bCs/>
                <w:color w:val="auto"/>
                <w:kern w:val="0"/>
                <w:sz w:val="24"/>
                <w:szCs w:val="28"/>
                <w:highlight w:val="none"/>
              </w:rPr>
              <w:sym w:font="Wingdings" w:char="00A8"/>
            </w:r>
            <w:r>
              <w:rPr>
                <w:rFonts w:hint="eastAsia" w:ascii="宋体" w:hAnsi="宋体" w:eastAsia="宋体" w:cs="宋体"/>
                <w:bCs/>
                <w:color w:val="auto"/>
                <w:kern w:val="0"/>
                <w:sz w:val="24"/>
                <w:szCs w:val="28"/>
                <w:highlight w:val="none"/>
              </w:rPr>
              <w:t xml:space="preserve">支票 </w:t>
            </w:r>
            <w:r>
              <w:rPr>
                <w:rFonts w:hint="eastAsia" w:ascii="宋体" w:hAnsi="宋体" w:eastAsia="宋体" w:cs="宋体"/>
                <w:bCs/>
                <w:color w:val="auto"/>
                <w:kern w:val="0"/>
                <w:sz w:val="24"/>
                <w:szCs w:val="28"/>
                <w:highlight w:val="none"/>
              </w:rPr>
              <w:sym w:font="Wingdings" w:char="00A8"/>
            </w:r>
            <w:r>
              <w:rPr>
                <w:rFonts w:hint="eastAsia" w:ascii="宋体" w:hAnsi="宋体" w:eastAsia="宋体" w:cs="宋体"/>
                <w:bCs/>
                <w:color w:val="auto"/>
                <w:kern w:val="0"/>
                <w:sz w:val="24"/>
                <w:szCs w:val="28"/>
                <w:highlight w:val="none"/>
              </w:rPr>
              <w:t xml:space="preserve">汇票 </w:t>
            </w:r>
            <w:r>
              <w:rPr>
                <w:rFonts w:hint="eastAsia" w:ascii="宋体" w:hAnsi="宋体" w:eastAsia="宋体" w:cs="宋体"/>
                <w:bCs/>
                <w:color w:val="auto"/>
                <w:kern w:val="0"/>
                <w:sz w:val="24"/>
                <w:szCs w:val="28"/>
                <w:highlight w:val="none"/>
              </w:rPr>
              <w:sym w:font="Wingdings" w:char="00A8"/>
            </w:r>
            <w:r>
              <w:rPr>
                <w:rFonts w:hint="eastAsia" w:ascii="宋体" w:hAnsi="宋体" w:eastAsia="宋体" w:cs="宋体"/>
                <w:bCs/>
                <w:color w:val="auto"/>
                <w:kern w:val="0"/>
                <w:sz w:val="24"/>
                <w:szCs w:val="28"/>
                <w:highlight w:val="none"/>
              </w:rPr>
              <w:t xml:space="preserve">本票 </w:t>
            </w:r>
            <w:r>
              <w:rPr>
                <w:rFonts w:hint="eastAsia" w:ascii="宋体" w:hAnsi="宋体" w:eastAsia="宋体" w:cs="宋体"/>
                <w:bCs/>
                <w:color w:val="auto"/>
                <w:kern w:val="0"/>
                <w:sz w:val="24"/>
                <w:szCs w:val="28"/>
                <w:highlight w:val="none"/>
              </w:rPr>
              <w:sym w:font="Wingdings" w:char="00A8"/>
            </w:r>
            <w:r>
              <w:rPr>
                <w:rFonts w:hint="eastAsia" w:ascii="宋体" w:hAnsi="宋体" w:eastAsia="宋体" w:cs="宋体"/>
                <w:bCs/>
                <w:color w:val="auto"/>
                <w:kern w:val="0"/>
                <w:sz w:val="24"/>
                <w:szCs w:val="28"/>
                <w:highlight w:val="none"/>
              </w:rPr>
              <w:t>保险</w:t>
            </w:r>
            <w:r>
              <w:rPr>
                <w:rFonts w:hint="eastAsia" w:ascii="宋体" w:hAnsi="宋体" w:eastAsia="宋体" w:cs="宋体"/>
                <w:bCs/>
                <w:color w:val="auto"/>
                <w:kern w:val="0"/>
                <w:sz w:val="24"/>
                <w:szCs w:val="28"/>
                <w:highlight w:val="none"/>
                <w:lang w:eastAsia="zh-CN"/>
              </w:rPr>
              <w:t>□</w:t>
            </w:r>
            <w:r>
              <w:rPr>
                <w:rFonts w:hint="eastAsia" w:ascii="宋体" w:hAnsi="宋体" w:eastAsia="宋体" w:cs="宋体"/>
                <w:bCs/>
                <w:color w:val="auto"/>
                <w:kern w:val="0"/>
                <w:sz w:val="24"/>
                <w:szCs w:val="28"/>
                <w:highlight w:val="none"/>
              </w:rPr>
              <w:t>保函</w:t>
            </w:r>
          </w:p>
          <w:p w14:paraId="70B9D299">
            <w:pPr>
              <w:keepNext w:val="0"/>
              <w:keepLines w:val="0"/>
              <w:suppressLineNumbers w:val="0"/>
              <w:spacing w:before="0" w:beforeAutospacing="0" w:after="0" w:afterAutospacing="0" w:line="360" w:lineRule="auto"/>
              <w:ind w:left="0" w:right="0"/>
              <w:rPr>
                <w:rFonts w:hint="default"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t>（3）收取单位：</w:t>
            </w:r>
            <w:r>
              <w:rPr>
                <w:rFonts w:hint="eastAsia" w:ascii="宋体" w:hAnsi="宋体" w:eastAsia="宋体" w:cs="宋体"/>
                <w:bCs/>
                <w:color w:val="auto"/>
                <w:kern w:val="0"/>
                <w:sz w:val="24"/>
                <w:szCs w:val="28"/>
                <w:highlight w:val="none"/>
                <w:u w:val="single"/>
              </w:rPr>
              <w:t xml:space="preserve">     /         </w:t>
            </w:r>
            <w:r>
              <w:rPr>
                <w:rFonts w:hint="eastAsia" w:ascii="宋体" w:hAnsi="宋体" w:eastAsia="宋体" w:cs="宋体"/>
                <w:bCs/>
                <w:color w:val="auto"/>
                <w:kern w:val="0"/>
                <w:sz w:val="24"/>
                <w:szCs w:val="28"/>
                <w:highlight w:val="none"/>
              </w:rPr>
              <w:t xml:space="preserve">              </w:t>
            </w:r>
          </w:p>
          <w:p w14:paraId="76F00AC0">
            <w:pPr>
              <w:keepNext w:val="0"/>
              <w:keepLines w:val="0"/>
              <w:suppressLineNumbers w:val="0"/>
              <w:spacing w:before="0" w:beforeAutospacing="0" w:after="0" w:afterAutospacing="0" w:line="360" w:lineRule="auto"/>
              <w:ind w:left="0" w:right="0"/>
              <w:rPr>
                <w:rFonts w:hint="default"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t>（4）收取账号：</w:t>
            </w:r>
            <w:r>
              <w:rPr>
                <w:rFonts w:hint="eastAsia" w:ascii="宋体" w:hAnsi="宋体" w:eastAsia="宋体" w:cs="宋体"/>
                <w:bCs/>
                <w:color w:val="auto"/>
                <w:kern w:val="0"/>
                <w:sz w:val="24"/>
                <w:szCs w:val="28"/>
                <w:highlight w:val="none"/>
                <w:u w:val="single"/>
              </w:rPr>
              <w:t xml:space="preserve">     /         </w:t>
            </w:r>
          </w:p>
          <w:p w14:paraId="47E0CD77">
            <w:pPr>
              <w:keepNext w:val="0"/>
              <w:keepLines w:val="0"/>
              <w:suppressLineNumbers w:val="0"/>
              <w:spacing w:before="0" w:beforeAutospacing="0" w:after="0" w:afterAutospacing="0" w:line="360" w:lineRule="auto"/>
              <w:ind w:left="0" w:right="0"/>
              <w:rPr>
                <w:rFonts w:hint="default" w:ascii="宋体" w:hAnsi="宋体" w:eastAsia="宋体" w:cs="宋体"/>
                <w:color w:val="auto"/>
                <w:sz w:val="24"/>
                <w:szCs w:val="20"/>
                <w:highlight w:val="none"/>
              </w:rPr>
            </w:pPr>
            <w:r>
              <w:rPr>
                <w:rFonts w:hint="eastAsia" w:ascii="宋体" w:hAnsi="宋体" w:eastAsia="宋体" w:cs="宋体"/>
                <w:bCs/>
                <w:color w:val="auto"/>
                <w:kern w:val="0"/>
                <w:sz w:val="24"/>
                <w:szCs w:val="28"/>
                <w:highlight w:val="none"/>
              </w:rPr>
              <w:t>（5）</w:t>
            </w:r>
            <w:r>
              <w:rPr>
                <w:rFonts w:hint="eastAsia" w:ascii="宋体" w:hAnsi="宋体" w:eastAsia="宋体" w:cs="宋体"/>
                <w:color w:val="auto"/>
                <w:sz w:val="24"/>
                <w:szCs w:val="20"/>
                <w:highlight w:val="none"/>
              </w:rPr>
              <w:t>退还时间：</w:t>
            </w:r>
            <w:r>
              <w:rPr>
                <w:rFonts w:hint="eastAsia" w:ascii="宋体" w:hAnsi="宋体" w:eastAsia="宋体" w:cs="宋体"/>
                <w:bCs/>
                <w:color w:val="auto"/>
                <w:kern w:val="0"/>
                <w:sz w:val="24"/>
                <w:szCs w:val="28"/>
                <w:highlight w:val="none"/>
                <w:u w:val="single"/>
              </w:rPr>
              <w:t xml:space="preserve">     /         </w:t>
            </w:r>
          </w:p>
          <w:p w14:paraId="34225F60">
            <w:pPr>
              <w:keepNext w:val="0"/>
              <w:keepLines w:val="0"/>
              <w:suppressLineNumbers w:val="0"/>
              <w:spacing w:before="0" w:beforeAutospacing="0" w:after="0" w:afterAutospacing="0" w:line="360" w:lineRule="auto"/>
              <w:ind w:left="0" w:right="0"/>
              <w:rPr>
                <w:rFonts w:hint="default"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注意事项：</w:t>
            </w:r>
          </w:p>
          <w:p w14:paraId="481E15BD">
            <w:pPr>
              <w:keepNext w:val="0"/>
              <w:keepLines w:val="0"/>
              <w:suppressLineNumbers w:val="0"/>
              <w:spacing w:before="0" w:beforeAutospacing="0" w:after="0" w:afterAutospacing="0" w:line="360" w:lineRule="auto"/>
              <w:ind w:left="0" w:right="0"/>
              <w:rPr>
                <w:rFonts w:hint="default"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（1）以上各类机构出具的以担保函、保证保险承担责任的方式均须满足无条件见索即付条件。</w:t>
            </w:r>
          </w:p>
          <w:p w14:paraId="0B75A6DA">
            <w:pPr>
              <w:pStyle w:val="44"/>
              <w:keepNext w:val="0"/>
              <w:keepLines w:val="0"/>
              <w:widowControl w:val="0"/>
              <w:suppressLineNumbers w:val="0"/>
              <w:spacing w:before="0" w:beforeAutospacing="0" w:after="0" w:afterAutospacing="0" w:line="360" w:lineRule="auto"/>
              <w:ind w:left="0" w:right="0"/>
              <w:jc w:val="both"/>
              <w:rPr>
                <w:rFonts w:hint="default" w:ascii="宋体" w:hAnsi="宋体" w:eastAsia="宋体"/>
                <w:color w:val="auto"/>
                <w:sz w:val="24"/>
                <w:highlight w:val="none"/>
              </w:rPr>
            </w:pPr>
            <w:r>
              <w:rPr>
                <w:rFonts w:hint="eastAsia" w:ascii="宋体" w:hAnsi="宋体" w:eastAsia="宋体" w:cs="宋体"/>
                <w:bCs w:val="0"/>
                <w:color w:val="auto"/>
                <w:sz w:val="24"/>
                <w:szCs w:val="24"/>
                <w:highlight w:val="none"/>
              </w:rPr>
              <w:t>（2）以担保函、保证保险形式缴纳履约保证金的，受益人和收取单位须为采购人。</w:t>
            </w:r>
          </w:p>
        </w:tc>
      </w:tr>
      <w:tr w14:paraId="689CE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Align w:val="center"/>
          </w:tcPr>
          <w:p w14:paraId="60E9BBC3">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36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rPr>
              <w:t>26</w:t>
            </w:r>
            <w:r>
              <w:rPr>
                <w:rFonts w:hint="default" w:ascii="宋体" w:hAnsi="宋体" w:eastAsia="宋体"/>
                <w:bCs/>
                <w:color w:val="auto"/>
                <w:kern w:val="2"/>
                <w:highlight w:val="none"/>
              </w:rPr>
              <w:t>.1</w:t>
            </w:r>
          </w:p>
        </w:tc>
        <w:tc>
          <w:tcPr>
            <w:tcW w:w="2227" w:type="dxa"/>
            <w:vAlign w:val="center"/>
          </w:tcPr>
          <w:p w14:paraId="1AEC86FF">
            <w:pPr>
              <w:pStyle w:val="44"/>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cs="宋体"/>
                <w:b w:val="0"/>
                <w:color w:val="auto"/>
                <w:sz w:val="24"/>
                <w:highlight w:val="none"/>
              </w:rPr>
              <w:t>代理费用</w:t>
            </w:r>
          </w:p>
        </w:tc>
        <w:tc>
          <w:tcPr>
            <w:tcW w:w="6274" w:type="dxa"/>
            <w:vAlign w:val="center"/>
          </w:tcPr>
          <w:p w14:paraId="50DF78D5">
            <w:pPr>
              <w:keepNext w:val="0"/>
              <w:keepLines w:val="0"/>
              <w:suppressLineNumbers w:val="0"/>
              <w:spacing w:before="39" w:beforeAutospacing="0" w:after="0" w:afterAutospacing="0" w:line="360" w:lineRule="auto"/>
              <w:ind w:left="0" w:right="0"/>
              <w:rPr>
                <w:rFonts w:hint="default" w:ascii="宋体" w:hAnsi="宋体" w:eastAsia="宋体" w:cs="宋体"/>
                <w:color w:val="auto"/>
                <w:sz w:val="24"/>
                <w:szCs w:val="24"/>
                <w:highlight w:val="none"/>
              </w:rPr>
            </w:pPr>
            <w:r>
              <w:rPr>
                <w:rFonts w:hint="eastAsia" w:ascii="宋体" w:hAnsi="宋体" w:eastAsia="宋体" w:cs="宋体"/>
                <w:bCs/>
                <w:color w:val="auto"/>
                <w:kern w:val="0"/>
                <w:sz w:val="24"/>
                <w:szCs w:val="28"/>
                <w:highlight w:val="none"/>
              </w:rPr>
              <w:t>（1）收费对象</w:t>
            </w:r>
            <w:r>
              <w:rPr>
                <w:rFonts w:hint="eastAsia" w:ascii="宋体" w:hAnsi="宋体" w:eastAsia="宋体" w:cs="宋体"/>
                <w:color w:val="auto"/>
                <w:spacing w:val="-12"/>
                <w:sz w:val="24"/>
                <w:szCs w:val="24"/>
                <w:highlight w:val="none"/>
              </w:rPr>
              <w:t>：</w:t>
            </w:r>
            <w:r>
              <w:rPr>
                <w:rFonts w:hint="eastAsia" w:ascii="宋体" w:hAnsi="宋体" w:eastAsia="宋体" w:cs="宋体"/>
                <w:bCs/>
                <w:color w:val="auto"/>
                <w:kern w:val="0"/>
                <w:sz w:val="24"/>
                <w:szCs w:val="28"/>
                <w:highlight w:val="none"/>
              </w:rPr>
              <w:sym w:font="Wingdings" w:char="00A8"/>
            </w:r>
            <w:r>
              <w:rPr>
                <w:rFonts w:hint="eastAsia" w:ascii="宋体" w:hAnsi="宋体" w:eastAsia="宋体" w:cs="宋体"/>
                <w:color w:val="auto"/>
                <w:spacing w:val="14"/>
                <w:sz w:val="24"/>
                <w:szCs w:val="24"/>
                <w:highlight w:val="none"/>
              </w:rPr>
              <w:t xml:space="preserve">采购人   </w:t>
            </w:r>
            <w:r>
              <w:rPr>
                <w:rFonts w:hint="eastAsia" w:ascii="宋体" w:hAnsi="宋体" w:eastAsia="宋体" w:cs="宋体"/>
                <w:bCs/>
                <w:color w:val="auto"/>
                <w:kern w:val="0"/>
                <w:sz w:val="24"/>
                <w:szCs w:val="28"/>
                <w:highlight w:val="none"/>
              </w:rPr>
              <w:sym w:font="Wingdings" w:char="00FE"/>
            </w:r>
            <w:r>
              <w:rPr>
                <w:rFonts w:hint="eastAsia" w:ascii="宋体" w:hAnsi="宋体" w:eastAsia="宋体" w:cs="宋体"/>
                <w:color w:val="auto"/>
                <w:spacing w:val="14"/>
                <w:sz w:val="24"/>
                <w:szCs w:val="24"/>
                <w:highlight w:val="none"/>
              </w:rPr>
              <w:t>成交供应商</w:t>
            </w:r>
          </w:p>
          <w:p w14:paraId="2EA4B50E">
            <w:pPr>
              <w:keepNext w:val="0"/>
              <w:keepLines w:val="0"/>
              <w:suppressLineNumbers w:val="0"/>
              <w:spacing w:before="24" w:beforeAutospacing="0" w:after="0" w:afterAutospacing="0" w:line="360" w:lineRule="auto"/>
              <w:ind w:left="0" w:right="0"/>
              <w:rPr>
                <w:rFonts w:hint="default"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t>（2）收取方式</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eastAsia="zh-CN"/>
              </w:rPr>
              <w:t>银行转账</w:t>
            </w:r>
            <w:r>
              <w:rPr>
                <w:rFonts w:hint="eastAsia" w:ascii="宋体" w:hAnsi="宋体" w:eastAsia="宋体" w:cs="宋体"/>
                <w:color w:val="auto"/>
                <w:sz w:val="24"/>
                <w:szCs w:val="24"/>
                <w:highlight w:val="none"/>
                <w:u w:val="single"/>
              </w:rPr>
              <w:t>。</w:t>
            </w:r>
          </w:p>
          <w:p w14:paraId="5CBF569A">
            <w:pPr>
              <w:pStyle w:val="44"/>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cs="宋体"/>
                <w:b w:val="0"/>
                <w:bCs w:val="0"/>
                <w:color w:val="auto"/>
                <w:sz w:val="24"/>
                <w:highlight w:val="none"/>
              </w:rPr>
              <w:t>（3）</w:t>
            </w:r>
            <w:r>
              <w:rPr>
                <w:rFonts w:hint="eastAsia" w:ascii="宋体" w:hAnsi="宋体" w:eastAsia="宋体" w:cs="宋体"/>
                <w:b w:val="0"/>
                <w:color w:val="auto"/>
                <w:sz w:val="24"/>
                <w:highlight w:val="none"/>
              </w:rPr>
              <w:t>收费标准：</w:t>
            </w:r>
            <w:r>
              <w:rPr>
                <w:rFonts w:hint="eastAsia" w:ascii="宋体" w:hAnsi="宋体" w:eastAsia="宋体" w:cs="宋体"/>
                <w:b w:val="0"/>
                <w:color w:val="auto"/>
                <w:sz w:val="24"/>
                <w:highlight w:val="none"/>
                <w:u w:val="single"/>
                <w:lang w:eastAsia="zh-CN"/>
              </w:rPr>
              <w:t>代理费服务费</w:t>
            </w:r>
            <w:r>
              <w:rPr>
                <w:rFonts w:hint="eastAsia" w:ascii="宋体" w:hAnsi="宋体" w:eastAsia="宋体" w:cs="宋体"/>
                <w:b w:val="0"/>
                <w:color w:val="auto"/>
                <w:sz w:val="24"/>
                <w:highlight w:val="none"/>
                <w:u w:val="single"/>
                <w:lang w:val="en-US" w:eastAsia="zh-CN"/>
              </w:rPr>
              <w:t>5300元。参考《关于进一步明确代理费计取标准的通知》（滁公管综〔2023〕19号）标准</w:t>
            </w:r>
            <w:r>
              <w:rPr>
                <w:rFonts w:hint="eastAsia" w:ascii="宋体" w:hAnsi="宋体" w:eastAsia="宋体" w:cs="宋体"/>
                <w:b w:val="0"/>
                <w:bCs w:val="0"/>
                <w:color w:val="auto"/>
                <w:kern w:val="2"/>
                <w:sz w:val="24"/>
                <w:szCs w:val="24"/>
                <w:highlight w:val="none"/>
                <w:u w:val="single"/>
              </w:rPr>
              <w:t>。</w:t>
            </w:r>
          </w:p>
        </w:tc>
      </w:tr>
      <w:tr w14:paraId="7E387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Align w:val="center"/>
          </w:tcPr>
          <w:p w14:paraId="266954B2">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36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rPr>
              <w:t>27.1</w:t>
            </w:r>
          </w:p>
        </w:tc>
        <w:tc>
          <w:tcPr>
            <w:tcW w:w="1160" w:type="pct"/>
            <w:vAlign w:val="center"/>
          </w:tcPr>
          <w:p w14:paraId="28E1116A">
            <w:pPr>
              <w:pStyle w:val="44"/>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b w:val="0"/>
                <w:color w:val="auto"/>
                <w:sz w:val="24"/>
                <w:highlight w:val="none"/>
              </w:rPr>
              <w:t>签订合同和合同公告时间</w:t>
            </w:r>
          </w:p>
        </w:tc>
        <w:tc>
          <w:tcPr>
            <w:tcW w:w="3267" w:type="pct"/>
            <w:vAlign w:val="center"/>
          </w:tcPr>
          <w:p w14:paraId="3FFA7F11">
            <w:pPr>
              <w:pStyle w:val="44"/>
              <w:keepNext w:val="0"/>
              <w:keepLines w:val="0"/>
              <w:widowControl w:val="0"/>
              <w:suppressLineNumbers w:val="0"/>
              <w:spacing w:before="0" w:beforeAutospacing="0" w:after="0" w:afterAutospacing="0" w:line="360" w:lineRule="auto"/>
              <w:ind w:left="0" w:right="0"/>
              <w:jc w:val="both"/>
              <w:rPr>
                <w:rFonts w:hint="default" w:ascii="宋体" w:hAnsi="宋体" w:eastAsia="宋体"/>
                <w:bCs w:val="0"/>
                <w:color w:val="auto"/>
                <w:sz w:val="24"/>
                <w:highlight w:val="none"/>
              </w:rPr>
            </w:pPr>
            <w:r>
              <w:rPr>
                <w:rFonts w:hint="eastAsia" w:ascii="宋体" w:hAnsi="宋体" w:eastAsia="宋体"/>
                <w:bCs w:val="0"/>
                <w:color w:val="auto"/>
                <w:sz w:val="24"/>
                <w:highlight w:val="none"/>
              </w:rPr>
              <w:t>（1）采购人与成交供应商应当自发出成交通知书之日起7个工作日内签订合同，采购合同签订之日起2个工作日内完成政府采购合同公开。</w:t>
            </w:r>
          </w:p>
          <w:p w14:paraId="1FADE452">
            <w:pPr>
              <w:pStyle w:val="44"/>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default" w:ascii="宋体" w:hAnsi="宋体" w:eastAsia="宋体" w:cs="宋体"/>
                <w:bCs w:val="0"/>
                <w:color w:val="auto"/>
                <w:sz w:val="24"/>
                <w:szCs w:val="24"/>
                <w:highlight w:val="none"/>
              </w:rPr>
              <w:t>（2）采购人与</w:t>
            </w:r>
            <w:r>
              <w:rPr>
                <w:rFonts w:hint="eastAsia" w:ascii="宋体" w:hAnsi="宋体" w:eastAsia="宋体"/>
                <w:bCs w:val="0"/>
                <w:color w:val="auto"/>
                <w:sz w:val="24"/>
                <w:highlight w:val="none"/>
              </w:rPr>
              <w:t>成交供应商</w:t>
            </w:r>
            <w:r>
              <w:rPr>
                <w:rFonts w:hint="default" w:ascii="宋体" w:hAnsi="宋体" w:eastAsia="宋体" w:cs="宋体"/>
                <w:color w:val="auto"/>
                <w:sz w:val="24"/>
                <w:szCs w:val="24"/>
                <w:highlight w:val="none"/>
              </w:rPr>
              <w:t>不得擅自变更合同，依照政府采购法确需变更政府采购合同内容的，采购人应当自合同变更之日起2个工作日内在安徽省政府采购网发布政府采购合同变更公告，但涉及国家秘密、商业秘密的信息和其他依法不得公开的信息除外。</w:t>
            </w:r>
          </w:p>
        </w:tc>
      </w:tr>
      <w:tr w14:paraId="596E3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Align w:val="center"/>
          </w:tcPr>
          <w:p w14:paraId="2077A2F2">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36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rPr>
              <w:t>29.3</w:t>
            </w:r>
          </w:p>
        </w:tc>
        <w:tc>
          <w:tcPr>
            <w:tcW w:w="2227" w:type="dxa"/>
            <w:vAlign w:val="center"/>
          </w:tcPr>
          <w:p w14:paraId="262AAD49">
            <w:pPr>
              <w:pStyle w:val="44"/>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cs="宋体"/>
                <w:b w:val="0"/>
                <w:color w:val="auto"/>
                <w:sz w:val="24"/>
                <w:highlight w:val="none"/>
              </w:rPr>
              <w:t>质疑函递交方式、接收部门、联系电话和通讯地址</w:t>
            </w:r>
          </w:p>
        </w:tc>
        <w:tc>
          <w:tcPr>
            <w:tcW w:w="6274" w:type="dxa"/>
            <w:vAlign w:val="center"/>
          </w:tcPr>
          <w:p w14:paraId="56C987AB">
            <w:pPr>
              <w:pStyle w:val="44"/>
              <w:keepNext w:val="0"/>
              <w:keepLines w:val="0"/>
              <w:widowControl w:val="0"/>
              <w:suppressLineNumbers w:val="0"/>
              <w:spacing w:before="0" w:beforeAutospacing="0" w:after="0" w:afterAutospacing="0" w:line="360" w:lineRule="auto"/>
              <w:ind w:left="0" w:right="0"/>
              <w:jc w:val="both"/>
              <w:rPr>
                <w:rFonts w:hint="default" w:ascii="宋体" w:hAnsi="宋体" w:eastAsia="宋体" w:cs="宋体"/>
                <w:b w:val="0"/>
                <w:color w:val="auto"/>
                <w:sz w:val="24"/>
                <w:highlight w:val="none"/>
              </w:rPr>
            </w:pPr>
            <w:r>
              <w:rPr>
                <w:rFonts w:hint="eastAsia" w:ascii="宋体" w:hAnsi="宋体" w:eastAsia="宋体" w:cs="宋体"/>
                <w:b w:val="0"/>
                <w:color w:val="auto"/>
                <w:sz w:val="24"/>
                <w:highlight w:val="none"/>
              </w:rPr>
              <w:t>递交方式：</w:t>
            </w:r>
            <w:r>
              <w:rPr>
                <w:rFonts w:hint="eastAsia" w:ascii="宋体" w:hAnsi="宋体" w:eastAsia="宋体" w:cs="宋体"/>
                <w:color w:val="auto"/>
                <w:sz w:val="24"/>
                <w:highlight w:val="none"/>
                <w:u w:val="single"/>
              </w:rPr>
              <w:t>供应商可以通过书面形式提出，也可以通过线上提出质疑【通过线上向滁州市公共资源交易中心网电子交易系统提出质疑（具体操作步骤和程序请参见服务指南&gt;交易须知&gt;在线异议、质疑和投诉操作手册）】。一份质疑函只能针对一个项目提出质疑，且针对同一采购程序环节的质疑应当一次性提出。</w:t>
            </w:r>
          </w:p>
          <w:p w14:paraId="399506FD">
            <w:pPr>
              <w:pStyle w:val="44"/>
              <w:keepNext w:val="0"/>
              <w:keepLines w:val="0"/>
              <w:widowControl w:val="0"/>
              <w:suppressLineNumbers w:val="0"/>
              <w:spacing w:before="0" w:beforeAutospacing="0" w:after="0" w:afterAutospacing="0" w:line="360" w:lineRule="auto"/>
              <w:ind w:left="0" w:right="0"/>
              <w:jc w:val="both"/>
              <w:rPr>
                <w:rFonts w:hint="default" w:ascii="宋体" w:hAnsi="宋体" w:eastAsia="宋体" w:cs="宋体"/>
                <w:b w:val="0"/>
                <w:bCs w:val="0"/>
                <w:color w:val="auto"/>
                <w:sz w:val="24"/>
                <w:szCs w:val="18"/>
                <w:highlight w:val="none"/>
              </w:rPr>
            </w:pPr>
            <w:r>
              <w:rPr>
                <w:rFonts w:hint="eastAsia" w:ascii="宋体" w:hAnsi="宋体" w:eastAsia="宋体" w:cs="宋体"/>
                <w:b w:val="0"/>
                <w:color w:val="auto"/>
                <w:sz w:val="24"/>
                <w:highlight w:val="none"/>
              </w:rPr>
              <w:t>接收部门：</w:t>
            </w:r>
            <w:r>
              <w:rPr>
                <w:rFonts w:hint="eastAsia" w:ascii="宋体" w:hAnsi="宋体" w:eastAsia="宋体" w:cs="宋体"/>
                <w:color w:val="auto"/>
                <w:sz w:val="24"/>
                <w:highlight w:val="none"/>
                <w:u w:val="single"/>
                <w:lang w:eastAsia="zh-CN"/>
              </w:rPr>
              <w:t>滁州市公路管理服务中心</w:t>
            </w:r>
            <w:r>
              <w:rPr>
                <w:rFonts w:hint="eastAsia" w:ascii="宋体" w:hAnsi="宋体" w:eastAsia="宋体" w:cs="宋体"/>
                <w:color w:val="auto"/>
                <w:sz w:val="24"/>
                <w:highlight w:val="none"/>
                <w:u w:val="single"/>
              </w:rPr>
              <w:t>、滁州市城投工程咨询管理有限公司；</w:t>
            </w:r>
          </w:p>
          <w:p w14:paraId="0FD16930">
            <w:pPr>
              <w:pStyle w:val="44"/>
              <w:keepNext w:val="0"/>
              <w:keepLines w:val="0"/>
              <w:widowControl w:val="0"/>
              <w:suppressLineNumbers w:val="0"/>
              <w:spacing w:before="0" w:beforeAutospacing="0" w:after="0" w:afterAutospacing="0" w:line="360" w:lineRule="auto"/>
              <w:ind w:left="0" w:right="0"/>
              <w:jc w:val="both"/>
              <w:rPr>
                <w:rFonts w:hint="default" w:ascii="宋体" w:hAnsi="宋体" w:eastAsia="宋体" w:cs="宋体"/>
                <w:b w:val="0"/>
                <w:bCs w:val="0"/>
                <w:color w:val="auto"/>
                <w:sz w:val="24"/>
                <w:szCs w:val="18"/>
                <w:highlight w:val="none"/>
              </w:rPr>
            </w:pPr>
            <w:r>
              <w:rPr>
                <w:rFonts w:hint="eastAsia" w:ascii="宋体" w:hAnsi="宋体" w:eastAsia="宋体" w:cs="宋体"/>
                <w:b w:val="0"/>
                <w:color w:val="auto"/>
                <w:sz w:val="24"/>
                <w:highlight w:val="none"/>
              </w:rPr>
              <w:t>联系电话：</w:t>
            </w:r>
            <w:r>
              <w:rPr>
                <w:rFonts w:hint="eastAsia" w:ascii="宋体" w:hAnsi="宋体" w:eastAsia="宋体" w:cs="宋体"/>
                <w:b/>
                <w:bCs w:val="0"/>
                <w:color w:val="auto"/>
                <w:sz w:val="24"/>
                <w:highlight w:val="none"/>
                <w:u w:val="single"/>
                <w:lang w:eastAsia="zh-CN"/>
              </w:rPr>
              <w:t>0550-3218735</w:t>
            </w:r>
            <w:r>
              <w:rPr>
                <w:rFonts w:hint="eastAsia" w:ascii="宋体" w:hAnsi="宋体" w:eastAsia="宋体" w:cs="宋体"/>
                <w:color w:val="auto"/>
                <w:sz w:val="24"/>
                <w:highlight w:val="none"/>
                <w:u w:val="single"/>
              </w:rPr>
              <w:t>、</w:t>
            </w:r>
            <w:r>
              <w:rPr>
                <w:rFonts w:hint="eastAsia" w:ascii="宋体" w:hAnsi="宋体" w:eastAsia="宋体" w:cs="宋体"/>
                <w:color w:val="auto"/>
                <w:sz w:val="24"/>
                <w:highlight w:val="none"/>
                <w:u w:val="single"/>
                <w:lang w:eastAsia="zh-CN"/>
              </w:rPr>
              <w:t>0550-3519516</w:t>
            </w:r>
            <w:r>
              <w:rPr>
                <w:rFonts w:hint="eastAsia" w:ascii="宋体" w:hAnsi="宋体" w:eastAsia="宋体" w:cs="宋体"/>
                <w:color w:val="auto"/>
                <w:sz w:val="24"/>
                <w:highlight w:val="none"/>
                <w:u w:val="single"/>
              </w:rPr>
              <w:t>；</w:t>
            </w:r>
          </w:p>
          <w:p w14:paraId="4BF4546A">
            <w:pPr>
              <w:pStyle w:val="44"/>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cs="宋体"/>
                <w:b w:val="0"/>
                <w:color w:val="auto"/>
                <w:sz w:val="24"/>
                <w:highlight w:val="none"/>
              </w:rPr>
              <w:t>通讯地址：</w:t>
            </w:r>
            <w:r>
              <w:rPr>
                <w:rFonts w:hint="eastAsia" w:ascii="宋体" w:hAnsi="宋体" w:eastAsia="宋体" w:cs="宋体"/>
                <w:color w:val="auto"/>
                <w:sz w:val="24"/>
                <w:highlight w:val="none"/>
                <w:u w:val="single"/>
                <w:lang w:eastAsia="zh-CN"/>
              </w:rPr>
              <w:t>滁州市龙蟠大道200号</w:t>
            </w:r>
            <w:r>
              <w:rPr>
                <w:rFonts w:hint="eastAsia" w:ascii="宋体" w:hAnsi="宋体" w:eastAsia="宋体" w:cs="宋体"/>
                <w:color w:val="auto"/>
                <w:sz w:val="24"/>
                <w:highlight w:val="none"/>
                <w:u w:val="single"/>
              </w:rPr>
              <w:t>、滁州市龙蟠大道109号房产商务大厦6楼。</w:t>
            </w:r>
          </w:p>
        </w:tc>
      </w:tr>
      <w:tr w14:paraId="58FDA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Align w:val="center"/>
          </w:tcPr>
          <w:p w14:paraId="6D2366E2">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36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rPr>
              <w:t>30</w:t>
            </w:r>
          </w:p>
        </w:tc>
        <w:tc>
          <w:tcPr>
            <w:tcW w:w="2227" w:type="dxa"/>
            <w:vAlign w:val="center"/>
          </w:tcPr>
          <w:p w14:paraId="1DA563F0">
            <w:pPr>
              <w:pStyle w:val="44"/>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cs="宋体"/>
                <w:b w:val="0"/>
                <w:color w:val="auto"/>
                <w:sz w:val="24"/>
                <w:highlight w:val="none"/>
              </w:rPr>
              <w:t>其他内容</w:t>
            </w:r>
          </w:p>
        </w:tc>
        <w:tc>
          <w:tcPr>
            <w:tcW w:w="6274" w:type="dxa"/>
            <w:vAlign w:val="center"/>
          </w:tcPr>
          <w:p w14:paraId="1B510337">
            <w:pPr>
              <w:keepNext w:val="0"/>
              <w:keepLines w:val="0"/>
              <w:suppressLineNumbers w:val="0"/>
              <w:spacing w:before="0" w:beforeAutospacing="0" w:after="0" w:afterAutospacing="0" w:line="360" w:lineRule="auto"/>
              <w:ind w:left="0" w:right="0"/>
              <w:rPr>
                <w:rFonts w:hint="default"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1.解释权</w:t>
            </w:r>
          </w:p>
          <w:p w14:paraId="21779DD8">
            <w:pPr>
              <w:keepNext w:val="0"/>
              <w:keepLines w:val="0"/>
              <w:suppressLineNumbers w:val="0"/>
              <w:spacing w:before="0" w:beforeAutospacing="0" w:after="0" w:afterAutospacing="0" w:line="360" w:lineRule="auto"/>
              <w:ind w:left="0" w:right="0"/>
              <w:rPr>
                <w:rFonts w:hint="default"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（1）构成本磋商文件的各个组成文件应互为解释，互为说明；</w:t>
            </w:r>
          </w:p>
          <w:p w14:paraId="1C3A5BD0">
            <w:pPr>
              <w:keepNext w:val="0"/>
              <w:keepLines w:val="0"/>
              <w:suppressLineNumbers w:val="0"/>
              <w:spacing w:before="0" w:beforeAutospacing="0" w:after="0" w:afterAutospacing="0" w:line="360" w:lineRule="auto"/>
              <w:ind w:left="0" w:right="0"/>
              <w:rPr>
                <w:rFonts w:hint="default"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（2）同一组成文件中就同一事项的规定或约定不一致的，以编排顺序在后者为准；</w:t>
            </w:r>
          </w:p>
          <w:p w14:paraId="3EF5607B">
            <w:pPr>
              <w:keepNext w:val="0"/>
              <w:keepLines w:val="0"/>
              <w:suppressLineNumbers w:val="0"/>
              <w:spacing w:before="0" w:beforeAutospacing="0" w:after="0" w:afterAutospacing="0" w:line="360" w:lineRule="auto"/>
              <w:ind w:left="0" w:right="0"/>
              <w:rPr>
                <w:rFonts w:hint="default"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（3）如有不明确或不一致，构成合同文件组成内容的，以合同文件约定内容为准，且以专用合同条款约定的合同文件优先顺序解释；</w:t>
            </w:r>
          </w:p>
          <w:p w14:paraId="2E006883">
            <w:pPr>
              <w:keepNext w:val="0"/>
              <w:keepLines w:val="0"/>
              <w:suppressLineNumbers w:val="0"/>
              <w:spacing w:before="0" w:beforeAutospacing="0" w:after="0" w:afterAutospacing="0" w:line="360" w:lineRule="auto"/>
              <w:ind w:left="0" w:right="0"/>
              <w:rPr>
                <w:rFonts w:hint="default"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（4）除磋商文件中有特别规定外，仅适用于磋商及响应文件提交阶段的规定，按竞争性磋商公告、磋商邀请、供应商须知、评审方法和标准、响应文件格式的先后顺序解释；</w:t>
            </w:r>
          </w:p>
          <w:p w14:paraId="5D106AE9">
            <w:pPr>
              <w:keepNext w:val="0"/>
              <w:keepLines w:val="0"/>
              <w:suppressLineNumbers w:val="0"/>
              <w:spacing w:before="0" w:beforeAutospacing="0" w:after="0" w:afterAutospacing="0" w:line="360" w:lineRule="auto"/>
              <w:ind w:left="0" w:right="0"/>
              <w:rPr>
                <w:rFonts w:hint="default"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（5）按本款前述规定仍不能形成结论的，由采购人负责解释。</w:t>
            </w:r>
          </w:p>
          <w:p w14:paraId="50D0C056">
            <w:pPr>
              <w:keepNext w:val="0"/>
              <w:keepLines w:val="0"/>
              <w:suppressLineNumbers w:val="0"/>
              <w:spacing w:before="0" w:beforeAutospacing="0" w:after="0" w:afterAutospacing="0" w:line="360" w:lineRule="auto"/>
              <w:ind w:left="0" w:right="0"/>
              <w:rPr>
                <w:rFonts w:hint="default"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2.“政采贷”融资指引：有融资需求的</w:t>
            </w:r>
            <w:r>
              <w:rPr>
                <w:rFonts w:hint="eastAsia" w:ascii="宋体" w:hAnsi="宋体" w:eastAsia="宋体" w:cs="宋体"/>
                <w:color w:val="auto"/>
                <w:sz w:val="24"/>
                <w:szCs w:val="24"/>
                <w:highlight w:val="none"/>
              </w:rPr>
              <w:t>供应商</w:t>
            </w:r>
            <w:r>
              <w:rPr>
                <w:rFonts w:hint="eastAsia" w:ascii="宋体" w:hAnsi="宋体" w:eastAsia="宋体" w:cs="宋体"/>
                <w:bCs/>
                <w:color w:val="auto"/>
                <w:sz w:val="24"/>
                <w:szCs w:val="24"/>
                <w:highlight w:val="none"/>
              </w:rPr>
              <w:t>在取得政府采购中标或成交通知书后，可访问安徽省政府采购网“政采贷”栏目，查看和联系第三方平台或者金融机构，商洽融资事项，确定融资意向。</w:t>
            </w:r>
            <w:r>
              <w:rPr>
                <w:rFonts w:hint="eastAsia" w:ascii="宋体" w:hAnsi="宋体" w:eastAsia="宋体" w:cs="宋体"/>
                <w:color w:val="auto"/>
                <w:sz w:val="24"/>
                <w:szCs w:val="24"/>
                <w:highlight w:val="none"/>
              </w:rPr>
              <w:t>供应商</w:t>
            </w:r>
            <w:r>
              <w:rPr>
                <w:rFonts w:hint="eastAsia" w:ascii="宋体" w:hAnsi="宋体" w:eastAsia="宋体" w:cs="宋体"/>
                <w:bCs/>
                <w:color w:val="auto"/>
                <w:sz w:val="24"/>
                <w:szCs w:val="24"/>
                <w:highlight w:val="none"/>
              </w:rPr>
              <w:t>签署政府采购中标（成交）合同后，登录“徽采云”金融服务模块，选择意向产品进行申请，并填写相关信息，“徽采云”金融服务模块将</w:t>
            </w:r>
            <w:r>
              <w:rPr>
                <w:rFonts w:hint="eastAsia" w:ascii="宋体" w:hAnsi="宋体" w:eastAsia="宋体" w:cs="宋体"/>
                <w:color w:val="auto"/>
                <w:sz w:val="24"/>
                <w:szCs w:val="24"/>
                <w:highlight w:val="none"/>
              </w:rPr>
              <w:t>成交供应商</w:t>
            </w:r>
            <w:r>
              <w:rPr>
                <w:rFonts w:hint="eastAsia" w:ascii="宋体" w:hAnsi="宋体" w:eastAsia="宋体" w:cs="宋体"/>
                <w:bCs/>
                <w:color w:val="auto"/>
                <w:sz w:val="24"/>
                <w:szCs w:val="24"/>
                <w:highlight w:val="none"/>
              </w:rPr>
              <w:t>融资申请信息推送第三方平台、意向金融机构。</w:t>
            </w:r>
          </w:p>
          <w:p w14:paraId="02273703">
            <w:pPr>
              <w:keepNext w:val="0"/>
              <w:keepLines w:val="0"/>
              <w:suppressLineNumbers w:val="0"/>
              <w:spacing w:before="0" w:beforeAutospacing="0" w:after="0" w:afterAutospacing="0" w:line="360" w:lineRule="auto"/>
              <w:ind w:left="0" w:right="0"/>
              <w:rPr>
                <w:rFonts w:hint="default"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3.电子保函指引：成交供应商可访问安徽省政府采购网“融资/保函”栏目，申请办理电子保函（包括：履约保函、预付款保函）。</w:t>
            </w:r>
          </w:p>
          <w:p w14:paraId="6CFA3F08">
            <w:pPr>
              <w:keepNext w:val="0"/>
              <w:keepLines w:val="0"/>
              <w:suppressLineNumbers w:val="0"/>
              <w:spacing w:before="0" w:beforeAutospacing="0" w:after="0" w:afterAutospacing="0" w:line="360" w:lineRule="auto"/>
              <w:ind w:left="0" w:right="0"/>
              <w:rPr>
                <w:rFonts w:hint="default" w:ascii="宋体" w:hAnsi="宋体" w:eastAsia="宋体" w:cs="宋体"/>
                <w:color w:val="auto"/>
                <w:sz w:val="24"/>
                <w:szCs w:val="24"/>
                <w:highlight w:val="none"/>
              </w:rPr>
            </w:pPr>
            <w:r>
              <w:rPr>
                <w:rFonts w:hint="eastAsia" w:ascii="宋体" w:hAnsi="宋体" w:eastAsia="宋体" w:cs="宋体"/>
                <w:bCs/>
                <w:color w:val="auto"/>
                <w:sz w:val="24"/>
                <w:szCs w:val="24"/>
                <w:highlight w:val="none"/>
              </w:rPr>
              <w:t>4.</w:t>
            </w:r>
            <w:r>
              <w:rPr>
                <w:rFonts w:hint="eastAsia" w:ascii="宋体" w:hAnsi="宋体" w:eastAsia="宋体" w:cs="宋体"/>
                <w:color w:val="auto"/>
                <w:sz w:val="24"/>
                <w:szCs w:val="24"/>
                <w:highlight w:val="none"/>
              </w:rPr>
              <w:t>部分可提供线下政采贷的金融机构：</w:t>
            </w:r>
          </w:p>
          <w:p w14:paraId="537BC897">
            <w:pPr>
              <w:keepNext w:val="0"/>
              <w:keepLines w:val="0"/>
              <w:suppressLineNumbers w:val="0"/>
              <w:spacing w:before="0" w:beforeAutospacing="0" w:after="0" w:afterAutospacing="0" w:line="360" w:lineRule="auto"/>
              <w:ind w:left="0" w:right="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rPr>
              <w:t>市本级</w:t>
            </w:r>
          </w:p>
          <w:p w14:paraId="130C09F9">
            <w:pPr>
              <w:keepNext w:val="0"/>
              <w:keepLines w:val="0"/>
              <w:suppressLineNumbers w:val="0"/>
              <w:spacing w:before="0" w:beforeAutospacing="0" w:after="0" w:afterAutospacing="0" w:line="360" w:lineRule="auto"/>
              <w:ind w:left="0" w:right="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rPr>
              <w:t>金融机构名称：兴业银行滁州分行</w:t>
            </w:r>
          </w:p>
          <w:p w14:paraId="111671D2">
            <w:pPr>
              <w:keepNext w:val="0"/>
              <w:keepLines w:val="0"/>
              <w:suppressLineNumbers w:val="0"/>
              <w:spacing w:before="0" w:beforeAutospacing="0" w:after="0" w:afterAutospacing="0" w:line="360" w:lineRule="auto"/>
              <w:ind w:left="0" w:right="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rPr>
              <w:t>安徽省滁州市琅琊区丰乐大道1090号</w:t>
            </w:r>
          </w:p>
          <w:p w14:paraId="56E40B6F">
            <w:pPr>
              <w:pStyle w:val="44"/>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俞冉：18256950224</w:t>
            </w:r>
          </w:p>
          <w:p w14:paraId="54A1727C">
            <w:pPr>
              <w:keepNext w:val="0"/>
              <w:keepLines w:val="0"/>
              <w:suppressLineNumbers w:val="0"/>
              <w:spacing w:before="0" w:beforeAutospacing="0" w:after="0" w:afterAutospacing="0" w:line="360" w:lineRule="auto"/>
              <w:ind w:left="0" w:right="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rPr>
              <w:t>5.特别提示：</w:t>
            </w:r>
          </w:p>
          <w:p w14:paraId="62E83219">
            <w:pPr>
              <w:pStyle w:val="44"/>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bCs w:val="0"/>
                <w:color w:val="auto"/>
                <w:kern w:val="2"/>
                <w:sz w:val="24"/>
                <w:szCs w:val="24"/>
                <w:highlight w:val="none"/>
                <w:lang w:eastAsia="zh-CN"/>
              </w:rPr>
            </w:pPr>
            <w:r>
              <w:rPr>
                <w:rFonts w:hint="eastAsia" w:ascii="宋体" w:hAnsi="宋体" w:eastAsia="宋体" w:cs="宋体"/>
                <w:b w:val="0"/>
                <w:bCs w:val="0"/>
                <w:color w:val="auto"/>
                <w:kern w:val="2"/>
                <w:sz w:val="24"/>
                <w:szCs w:val="24"/>
                <w:highlight w:val="none"/>
              </w:rPr>
              <w:t>（1）供应商应填写投标信息并下载采购文件，否则无法上传响应文件</w:t>
            </w:r>
            <w:r>
              <w:rPr>
                <w:rFonts w:hint="eastAsia" w:ascii="宋体" w:hAnsi="宋体" w:eastAsia="宋体" w:cs="宋体"/>
                <w:b w:val="0"/>
                <w:bCs w:val="0"/>
                <w:color w:val="auto"/>
                <w:kern w:val="2"/>
                <w:sz w:val="24"/>
                <w:szCs w:val="24"/>
                <w:highlight w:val="none"/>
                <w:lang w:eastAsia="zh-CN"/>
              </w:rPr>
              <w:t>。</w:t>
            </w:r>
          </w:p>
          <w:p w14:paraId="2E42DCE2">
            <w:pPr>
              <w:keepNext w:val="0"/>
              <w:keepLines w:val="0"/>
              <w:suppressLineNumbers w:val="0"/>
              <w:spacing w:before="0" w:beforeAutospacing="0" w:after="0" w:afterAutospacing="0" w:line="360" w:lineRule="auto"/>
              <w:ind w:left="0" w:right="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rPr>
              <w:t>（2）本项目采用电子招标投标，请供应商在滁州市公共资源交易中心网&gt;服务指南&gt;软件下载栏目点击下载响应文件制作工具。供应商需采用最新版响应文件制作工具。软件运行需在国际互联网络通畅状态，供应商需注意更新，以免造成响应文件制作错误，如因此导致磋商小组否决其磋商资格，责任自负。如有技术问题请联系0550-3801701，</w:t>
            </w:r>
            <w:r>
              <w:rPr>
                <w:rFonts w:hint="eastAsia" w:ascii="宋体" w:hAnsi="宋体" w:eastAsia="宋体" w:cs="宋体"/>
                <w:color w:val="auto"/>
                <w:sz w:val="24"/>
                <w:szCs w:val="24"/>
                <w:highlight w:val="none"/>
                <w:lang w:eastAsia="zh-CN"/>
              </w:rPr>
              <w:t>0512-58188516</w:t>
            </w:r>
            <w:r>
              <w:rPr>
                <w:rFonts w:hint="eastAsia" w:ascii="宋体" w:hAnsi="宋体" w:eastAsia="宋体" w:cs="宋体"/>
                <w:color w:val="auto"/>
                <w:sz w:val="24"/>
                <w:szCs w:val="24"/>
                <w:highlight w:val="none"/>
              </w:rPr>
              <w:t>。</w:t>
            </w:r>
          </w:p>
          <w:p w14:paraId="388C4942">
            <w:pPr>
              <w:keepNext w:val="0"/>
              <w:keepLines w:val="0"/>
              <w:suppressLineNumbers w:val="0"/>
              <w:spacing w:before="0" w:beforeAutospacing="0" w:after="0" w:afterAutospacing="0" w:line="360" w:lineRule="auto"/>
              <w:ind w:left="0" w:right="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rPr>
              <w:t>（3）如果过程中出现采购文件更改，应以最后发布的招标答疑澄清文件中的模板制作本项目最新响应文件。</w:t>
            </w:r>
          </w:p>
          <w:p w14:paraId="0A70C6E6">
            <w:pPr>
              <w:keepNext w:val="0"/>
              <w:keepLines w:val="0"/>
              <w:suppressLineNumbers w:val="0"/>
              <w:spacing w:before="0" w:beforeAutospacing="0" w:after="0" w:afterAutospacing="0" w:line="360" w:lineRule="auto"/>
              <w:ind w:left="0" w:right="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（4）供应商应当用本单位CA数字证书制作响应文件，制作成功后进行响应文件上传。 </w:t>
            </w:r>
          </w:p>
          <w:p w14:paraId="4CB32FB9">
            <w:pPr>
              <w:keepNext w:val="0"/>
              <w:keepLines w:val="0"/>
              <w:suppressLineNumbers w:val="0"/>
              <w:spacing w:before="0" w:beforeAutospacing="0" w:after="0" w:afterAutospacing="0" w:line="360" w:lineRule="auto"/>
              <w:ind w:left="0" w:right="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rPr>
              <w:t>（5）供应商须用CA数字证书盖章和加密响应文件，建议使用主锁。（如未办理CA数字证书请及时办理，网上办理和窗口办理均可。查看办理所需资料请登录滁州市公共资源交易中心网&gt;服务指南&gt;办事指南&gt;CA数字证书和电子签章。因未及时办理CA数字证书手续导致无法投标的，责任自负。</w:t>
            </w:r>
          </w:p>
          <w:p w14:paraId="332B92F6">
            <w:pPr>
              <w:keepNext w:val="0"/>
              <w:keepLines w:val="0"/>
              <w:suppressLineNumbers w:val="0"/>
              <w:spacing w:before="0" w:beforeAutospacing="0" w:after="0" w:afterAutospacing="0" w:line="360" w:lineRule="auto"/>
              <w:ind w:left="0" w:right="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rPr>
              <w:t>（6）请供应商注意加密响应文件CA数字证书的有效期，不在有效期的CA数字证书无法解密响应文件。</w:t>
            </w:r>
          </w:p>
          <w:p w14:paraId="6DAA0BD3">
            <w:pPr>
              <w:pStyle w:val="20"/>
              <w:keepNext w:val="0"/>
              <w:keepLines w:val="0"/>
              <w:suppressLineNumbers w:val="0"/>
              <w:spacing w:before="0" w:beforeAutospacing="0" w:after="0" w:afterAutospacing="0" w:line="440" w:lineRule="exact"/>
              <w:ind w:left="0" w:right="0"/>
              <w:jc w:val="both"/>
              <w:rPr>
                <w:rFonts w:hint="default" w:ascii="宋体" w:hAnsi="宋体" w:eastAsia="宋体" w:cs="宋体"/>
                <w:bCs/>
                <w:color w:val="auto"/>
                <w:kern w:val="2"/>
                <w:szCs w:val="24"/>
                <w:highlight w:val="none"/>
              </w:rPr>
            </w:pPr>
            <w:r>
              <w:rPr>
                <w:rFonts w:hint="eastAsia" w:ascii="宋体" w:hAnsi="宋体" w:eastAsia="宋体" w:cs="宋体"/>
                <w:color w:val="auto"/>
                <w:kern w:val="2"/>
                <w:szCs w:val="24"/>
                <w:highlight w:val="none"/>
              </w:rPr>
              <w:t>（7）</w:t>
            </w:r>
            <w:r>
              <w:rPr>
                <w:rFonts w:hint="eastAsia" w:ascii="宋体" w:hAnsi="宋体" w:eastAsia="宋体" w:cs="宋体"/>
                <w:bCs/>
                <w:color w:val="auto"/>
                <w:kern w:val="2"/>
                <w:szCs w:val="24"/>
                <w:highlight w:val="none"/>
              </w:rPr>
              <w:t>供应商投标MAC地址或供应商联系人或联系电话相同的，由磋商小组否决其响应，并报告监管部门作不良行为处理和进一步调查。</w:t>
            </w:r>
          </w:p>
          <w:p w14:paraId="528EE096">
            <w:pPr>
              <w:keepNext w:val="0"/>
              <w:keepLines w:val="0"/>
              <w:suppressLineNumbers w:val="0"/>
              <w:spacing w:before="0" w:beforeAutospacing="0" w:after="0" w:afterAutospacing="0" w:line="360" w:lineRule="auto"/>
              <w:ind w:left="0" w:right="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rPr>
              <w:t>（8）供应商单方面出现其他供应商材料的，由磋商小组否决其响应。</w:t>
            </w:r>
          </w:p>
          <w:p w14:paraId="170CA1B9">
            <w:pPr>
              <w:keepNext w:val="0"/>
              <w:keepLines w:val="0"/>
              <w:suppressLineNumbers w:val="0"/>
              <w:spacing w:before="0" w:beforeAutospacing="0" w:after="0" w:afterAutospacing="0" w:line="360" w:lineRule="auto"/>
              <w:ind w:left="0" w:right="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rPr>
              <w:t>（9）评审时查询响应文件制作机器码、文件创建标识码及造价软件加密锁号。若存在响应文件制作机器码或创建标识码或造价软件加密锁号信息与其他供应商雷同的，由磋商小组否决其响应，依法依规予以处理。</w:t>
            </w:r>
          </w:p>
          <w:p w14:paraId="4E8D89FD">
            <w:pPr>
              <w:keepNext w:val="0"/>
              <w:keepLines w:val="0"/>
              <w:suppressLineNumbers w:val="0"/>
              <w:spacing w:before="0" w:beforeAutospacing="0" w:after="0" w:afterAutospacing="0" w:line="360" w:lineRule="auto"/>
              <w:ind w:left="0" w:right="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rPr>
              <w:t>（10）电子加密响应文件上传到系统后，需要供应商和采购代理公司到截止时间后共同解锁，不存在商务报价等投标信息通过系统泄密的风险；截止时间前，已上传的响应文件也可以撤回修改。集中到开标截止时间前上传电子加密响应文件，可能出现由于投标企业制作电子响应文件不熟练、网络拥堵等不可预知的情况而且无法及时解决，丧失投标机会，请各投标企业提前制作、上传电子加密响应文件，否则由于无法及时上传电子加密响应文件而无效响应的情况，责任自负！</w:t>
            </w:r>
          </w:p>
          <w:p w14:paraId="5A078BCB">
            <w:pPr>
              <w:keepNext w:val="0"/>
              <w:keepLines w:val="0"/>
              <w:suppressLineNumbers w:val="0"/>
              <w:spacing w:before="0" w:beforeAutospacing="0" w:after="0" w:afterAutospacing="0" w:line="360" w:lineRule="auto"/>
              <w:ind w:left="0" w:right="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rPr>
              <w:t>6.评审过程中的澄清、说明或补正：</w:t>
            </w:r>
          </w:p>
          <w:p w14:paraId="17EA49E7">
            <w:pPr>
              <w:keepNext w:val="0"/>
              <w:keepLines w:val="0"/>
              <w:suppressLineNumbers w:val="0"/>
              <w:spacing w:before="0" w:beforeAutospacing="0" w:after="0" w:afterAutospacing="0" w:line="360" w:lineRule="auto"/>
              <w:ind w:left="0" w:right="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rPr>
              <w:t>（1）磋商小组通过网上招投标系统将需要澄清、说明或补正的内容以询标函的形式发送给供应商，供应商应安排专人登录网上招投标系统并保持在线状态，以便及时接收磋商小组可能发出的询标函。</w:t>
            </w:r>
          </w:p>
          <w:p w14:paraId="0B4A0CBE">
            <w:pPr>
              <w:keepNext w:val="0"/>
              <w:keepLines w:val="0"/>
              <w:suppressLineNumbers w:val="0"/>
              <w:spacing w:before="0" w:beforeAutospacing="0" w:after="0" w:afterAutospacing="0" w:line="360" w:lineRule="auto"/>
              <w:ind w:left="0" w:right="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rPr>
              <w:t>（2）因供应商未登录网上招投标系统导致无法及时接收询标函（远程网上询标）或未在规定时间内按磋商小组要求进行澄清、说明或补正内容的视同供应商放弃澄清、说明或补正内容的权利，磋商小组可按对供应商不利的解释进行判定。</w:t>
            </w:r>
          </w:p>
          <w:p w14:paraId="5C0B869B">
            <w:pPr>
              <w:keepNext w:val="0"/>
              <w:keepLines w:val="0"/>
              <w:suppressLineNumbers w:val="0"/>
              <w:spacing w:before="0" w:beforeAutospacing="0" w:after="0" w:afterAutospacing="0" w:line="360" w:lineRule="auto"/>
              <w:ind w:left="0" w:right="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rPr>
              <w:t>7.同义词语：</w:t>
            </w:r>
          </w:p>
          <w:p w14:paraId="462B9B82">
            <w:pPr>
              <w:keepNext w:val="0"/>
              <w:keepLines w:val="0"/>
              <w:suppressLineNumbers w:val="0"/>
              <w:spacing w:before="0" w:beforeAutospacing="0" w:after="0" w:afterAutospacing="0" w:line="360" w:lineRule="auto"/>
              <w:ind w:left="0" w:right="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rPr>
              <w:t>磋商文件第六章  响应文件格式、附件1“关于联合惩戒失信行为 加强信用查询管理的通知”等章节中 “招标人”、“</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”，等同于“采购人”、“供应商”。</w:t>
            </w:r>
          </w:p>
          <w:p w14:paraId="691059E4">
            <w:pPr>
              <w:keepNext w:val="0"/>
              <w:keepLines w:val="0"/>
              <w:suppressLineNumbers w:val="0"/>
              <w:spacing w:before="0" w:beforeAutospacing="0" w:after="0" w:afterAutospacing="0" w:line="360" w:lineRule="auto"/>
              <w:ind w:left="0" w:right="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rPr>
              <w:t>8.落实政府采购支持节能产品、环境标志产品政策。</w:t>
            </w:r>
          </w:p>
          <w:p w14:paraId="60470432">
            <w:pPr>
              <w:keepNext w:val="0"/>
              <w:keepLines w:val="0"/>
              <w:suppressLineNumbers w:val="0"/>
              <w:spacing w:before="0" w:beforeAutospacing="0" w:after="0" w:afterAutospacing="0" w:line="360" w:lineRule="auto"/>
              <w:ind w:left="0" w:right="0"/>
              <w:rPr>
                <w:rFonts w:hint="default" w:asciiTheme="minorEastAsia" w:hAnsiTheme="minorEastAsia" w:eastAsiaTheme="minorEastAsia"/>
                <w:bCs/>
                <w:color w:val="auto"/>
                <w:sz w:val="24"/>
                <w:szCs w:val="24"/>
                <w:highlight w:val="none"/>
              </w:rPr>
            </w:pPr>
            <w:r>
              <w:rPr>
                <w:rFonts w:hint="eastAsia" w:ascii="宋体" w:hAnsi="宋体" w:eastAsia="宋体" w:cs="宋体"/>
                <w:color w:val="auto"/>
                <w:sz w:val="24"/>
                <w:szCs w:val="24"/>
                <w:highlight w:val="none"/>
              </w:rPr>
              <w:t>9.系统中提供的表格与采购文件中不一致时，以采购文件中提供的表格格式为准。</w:t>
            </w:r>
          </w:p>
        </w:tc>
      </w:tr>
    </w:tbl>
    <w:p w14:paraId="0B9BCA25">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8" w:name="_Toc14293"/>
      <w:bookmarkStart w:id="9" w:name="_Toc27470"/>
      <w:r>
        <w:rPr>
          <w:rFonts w:hint="eastAsia" w:asciiTheme="minorEastAsia" w:hAnsiTheme="minorEastAsia" w:eastAsiaTheme="minorEastAsia"/>
          <w:b/>
          <w:color w:val="auto"/>
          <w:sz w:val="24"/>
          <w:highlight w:val="none"/>
        </w:rPr>
        <w:t>二、供应商</w:t>
      </w:r>
      <w:r>
        <w:rPr>
          <w:rFonts w:asciiTheme="minorEastAsia" w:hAnsiTheme="minorEastAsia" w:eastAsiaTheme="minorEastAsia"/>
          <w:b/>
          <w:color w:val="auto"/>
          <w:sz w:val="24"/>
          <w:highlight w:val="none"/>
        </w:rPr>
        <w:t>须知</w:t>
      </w:r>
      <w:r>
        <w:rPr>
          <w:rFonts w:hint="eastAsia" w:asciiTheme="minorEastAsia" w:hAnsiTheme="minorEastAsia" w:eastAsiaTheme="minorEastAsia"/>
          <w:b/>
          <w:color w:val="auto"/>
          <w:sz w:val="24"/>
          <w:highlight w:val="none"/>
        </w:rPr>
        <w:t>正文</w:t>
      </w:r>
      <w:bookmarkEnd w:id="8"/>
      <w:bookmarkEnd w:id="9"/>
    </w:p>
    <w:p w14:paraId="2BBB94E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5FA0341F">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1.1采购人：是指依法开展政府采购活动的国家机关、事业单位、团体组织。</w:t>
      </w:r>
    </w:p>
    <w:p w14:paraId="5BA6DD64">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1.2采购代理机构：是指集中采购机构或从事采购代理业务的社会中介机构。</w:t>
      </w:r>
    </w:p>
    <w:p w14:paraId="5222A03C">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1.3政府采购监督管理部门：各级人民政府指定的有关部门依法履行与政府采购活动有关的监督管理职责。</w:t>
      </w:r>
    </w:p>
    <w:p w14:paraId="2D2652B8">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1.4供应商：是指向采购人提供货物、工程或者服务的法人、其他组织或者自然人。分支机构不得参加政府采购活动，但银行、保险、石油石化、电力、电信等特殊行业除外。本项目的供应商及其所投货物须满足以下条件：</w:t>
      </w:r>
    </w:p>
    <w:p w14:paraId="71EAC4E9">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1.4.1具备《中华人民共和国政府采购法》第二十二条关于供应商条件的规定，遵守本项目采购人本级和上级财政部门政府采购的有关规定。</w:t>
      </w:r>
    </w:p>
    <w:p w14:paraId="4D7CC37D">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1.4.2以采购代理机构认可的方式获得了本项目的磋商文件。</w:t>
      </w:r>
    </w:p>
    <w:p w14:paraId="5CCC0938">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1.4.3若采购需求中写明允许采购进口产品，供应商应保证所投产品可履行合法报通关手续进入中国关境内。</w:t>
      </w:r>
    </w:p>
    <w:p w14:paraId="56D6E103">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若采购需求中未写明允许采购进口产品，如供应商所投产品为进口产品，其响应文件将被认定为</w:t>
      </w:r>
      <w:r>
        <w:rPr>
          <w:rFonts w:hint="eastAsia" w:ascii="宋体" w:hAnsi="宋体" w:eastAsia="宋体" w:cs="宋体"/>
          <w:b/>
          <w:color w:val="auto"/>
          <w:sz w:val="24"/>
          <w:highlight w:val="none"/>
        </w:rPr>
        <w:t>响应无效</w:t>
      </w:r>
      <w:r>
        <w:rPr>
          <w:rFonts w:hint="eastAsia" w:ascii="宋体" w:hAnsi="宋体" w:eastAsia="宋体" w:cs="宋体"/>
          <w:color w:val="auto"/>
          <w:sz w:val="24"/>
          <w:highlight w:val="none"/>
        </w:rPr>
        <w:t>。</w:t>
      </w:r>
    </w:p>
    <w:p w14:paraId="5B7C3D9B">
      <w:pPr>
        <w:spacing w:line="360" w:lineRule="auto"/>
        <w:ind w:firstLine="435"/>
        <w:rPr>
          <w:rFonts w:ascii="宋体" w:hAnsi="宋体" w:eastAsia="宋体" w:cs="宋体"/>
          <w:color w:val="auto"/>
          <w:sz w:val="24"/>
          <w:highlight w:val="none"/>
        </w:rPr>
      </w:pPr>
      <w:bookmarkStart w:id="10" w:name="_Hlk60607583"/>
      <w:r>
        <w:rPr>
          <w:rFonts w:hint="eastAsia" w:ascii="宋体" w:hAnsi="宋体" w:eastAsia="宋体" w:cs="宋体"/>
          <w:bCs/>
          <w:color w:val="auto"/>
          <w:kern w:val="0"/>
          <w:sz w:val="24"/>
          <w:szCs w:val="28"/>
          <w:highlight w:val="none"/>
        </w:rPr>
        <w:t>1.5若竞争性磋商公告中允许联合体参加磋商，对联合体规定如下：</w:t>
      </w:r>
    </w:p>
    <w:bookmarkEnd w:id="10"/>
    <w:p w14:paraId="6771DBB9">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1.5.1两个以上供应商可以组成一个磋商联合体，以一个供应商的身份磋商。联合体参加磋商的，磋商文件获取手续由联合体中任一成员单位办理均可。</w:t>
      </w:r>
    </w:p>
    <w:p w14:paraId="0B01F92B">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1.5.2联合体各方均应符合《中华人民共和国政府采购法》第二十二条规定的条件。</w:t>
      </w:r>
    </w:p>
    <w:p w14:paraId="6A6FB7CE">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1.5.3采购人根据采购项目对供应商的特殊要求，联合体中至少应当有一方符合相关规定。</w:t>
      </w:r>
    </w:p>
    <w:p w14:paraId="3E21D75D">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1.5.4联合体各方应签订联合协议，明确约定联合体各方承担的工作和相应的责任，并将联合协议作为响应文件的一部分提交。</w:t>
      </w:r>
    </w:p>
    <w:p w14:paraId="4091BB9F">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1.5.5大中型企业、其他自然人、法人或者非法人组织与小型、微型企业组成联合体共同参加磋商，联合协议中应写明小型、微型企业的协议合同金额占到联合协议合同总金额的比例。</w:t>
      </w:r>
    </w:p>
    <w:p w14:paraId="07A369C2">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1.5.6联合体中有同类资质的供应商按照联合体分工承担相同工作的，应当按照资质等级较低的供应商确定资质等级。</w:t>
      </w:r>
    </w:p>
    <w:p w14:paraId="6C0BE263">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1.5.7以联合体形式参加政府采购活动的，联合体各方不得再单独参加或者与其他供应商另外组成联合体参加本项目磋商，否则相关响应文件将被认定为</w:t>
      </w:r>
      <w:r>
        <w:rPr>
          <w:rFonts w:hint="eastAsia" w:ascii="宋体" w:hAnsi="宋体" w:eastAsia="宋体" w:cs="宋体"/>
          <w:b/>
          <w:color w:val="auto"/>
          <w:sz w:val="24"/>
          <w:highlight w:val="none"/>
        </w:rPr>
        <w:t>响应无效</w:t>
      </w:r>
      <w:r>
        <w:rPr>
          <w:rFonts w:hint="eastAsia" w:ascii="宋体" w:hAnsi="宋体" w:eastAsia="宋体" w:cs="宋体"/>
          <w:color w:val="auto"/>
          <w:sz w:val="24"/>
          <w:highlight w:val="none"/>
        </w:rPr>
        <w:t>。</w:t>
      </w:r>
    </w:p>
    <w:p w14:paraId="45B3E2D8">
      <w:pPr>
        <w:spacing w:line="360" w:lineRule="auto"/>
        <w:ind w:firstLine="435"/>
        <w:rPr>
          <w:rFonts w:ascii="宋体" w:hAnsi="宋体" w:eastAsia="宋体"/>
          <w:color w:val="auto"/>
          <w:sz w:val="24"/>
          <w:highlight w:val="none"/>
        </w:rPr>
      </w:pPr>
      <w:r>
        <w:rPr>
          <w:rFonts w:hint="eastAsia" w:ascii="宋体" w:hAnsi="宋体" w:eastAsia="宋体" w:cs="宋体"/>
          <w:color w:val="auto"/>
          <w:sz w:val="24"/>
          <w:highlight w:val="none"/>
        </w:rPr>
        <w:t>1.5.8对联合体参加磋商的其他资格要求见申请人的资格要求</w:t>
      </w:r>
      <w:r>
        <w:rPr>
          <w:rFonts w:ascii="宋体" w:hAnsi="宋体" w:eastAsia="宋体"/>
          <w:color w:val="auto"/>
          <w:sz w:val="24"/>
          <w:highlight w:val="none"/>
        </w:rPr>
        <w:t>。</w:t>
      </w:r>
    </w:p>
    <w:p w14:paraId="16B06AB1">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资金落实情况</w:t>
      </w:r>
    </w:p>
    <w:p w14:paraId="2ECEBE6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.1本项目的采购人已获得足以支付本次磋商后所签订的合同项下的资金。</w:t>
      </w:r>
    </w:p>
    <w:p w14:paraId="74A6589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磋商费用</w:t>
      </w:r>
    </w:p>
    <w:p w14:paraId="4B6637AA">
      <w:pPr>
        <w:spacing w:line="360" w:lineRule="auto"/>
        <w:ind w:firstLine="480" w:firstLineChars="200"/>
        <w:outlineLvl w:val="2"/>
        <w:rPr>
          <w:rFonts w:ascii="宋体" w:hAnsi="宋体" w:eastAsia="宋体"/>
          <w:color w:val="auto"/>
          <w:sz w:val="24"/>
          <w:highlight w:val="none"/>
        </w:rPr>
      </w:pPr>
      <w:r>
        <w:rPr>
          <w:rFonts w:hint="eastAsia" w:ascii="宋体" w:hAnsi="宋体" w:eastAsia="宋体"/>
          <w:color w:val="auto"/>
          <w:sz w:val="24"/>
          <w:highlight w:val="none"/>
        </w:rPr>
        <w:t>不论磋商的结果如何，供应商应承担其所有与准备和参加磋商有关的费用</w:t>
      </w:r>
    </w:p>
    <w:p w14:paraId="01405494">
      <w:pPr>
        <w:spacing w:line="360" w:lineRule="auto"/>
        <w:ind w:firstLine="482" w:firstLineChars="200"/>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4.适用法律</w:t>
      </w:r>
    </w:p>
    <w:p w14:paraId="537ACAB6">
      <w:pPr>
        <w:spacing w:line="360" w:lineRule="auto"/>
        <w:ind w:firstLine="480" w:firstLineChars="200"/>
        <w:outlineLvl w:val="2"/>
        <w:rPr>
          <w:rFonts w:ascii="宋体" w:hAnsi="宋体" w:eastAsia="宋体"/>
          <w:color w:val="auto"/>
          <w:sz w:val="24"/>
          <w:highlight w:val="none"/>
        </w:rPr>
      </w:pPr>
      <w:r>
        <w:rPr>
          <w:rFonts w:hint="eastAsia" w:ascii="宋体" w:hAnsi="宋体" w:eastAsia="宋体"/>
          <w:color w:val="auto"/>
          <w:sz w:val="24"/>
          <w:highlight w:val="none"/>
        </w:rPr>
        <w:t>本项目采购人、采购代理机构、供应商、磋商小组的相关行为均受《中华人民共和国政府采购法》、《中华人民共和国政府采购法实施条例》及本项目本级和上级财政部门、政府采购监督管理部门的政府采购有关规定的约束，其权利受到上述法律法规的保护。</w:t>
      </w:r>
    </w:p>
    <w:p w14:paraId="0B60679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磋商文件构成</w:t>
      </w:r>
    </w:p>
    <w:p w14:paraId="292CDD6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5.1磋商文件包括下列内容：</w:t>
      </w:r>
    </w:p>
    <w:p w14:paraId="7785801D">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磋商邀请</w:t>
      </w:r>
    </w:p>
    <w:p w14:paraId="076988D1">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须知</w:t>
      </w:r>
    </w:p>
    <w:p w14:paraId="06AA75D0">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038E4DAB">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评审方法</w:t>
      </w:r>
      <w:r>
        <w:rPr>
          <w:rFonts w:asciiTheme="minorEastAsia" w:hAnsiTheme="minorEastAsia" w:eastAsiaTheme="minorEastAsia"/>
          <w:color w:val="auto"/>
          <w:sz w:val="24"/>
          <w:highlight w:val="none"/>
        </w:rPr>
        <w:t>和标准</w:t>
      </w:r>
    </w:p>
    <w:p w14:paraId="7FD4751B">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7EF814F1">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文件格式</w:t>
      </w:r>
    </w:p>
    <w:p w14:paraId="38DEC78E">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第七章</w:t>
      </w:r>
      <w:r>
        <w:rPr>
          <w:rFonts w:asciiTheme="minorEastAsia" w:hAnsiTheme="minorEastAsia" w:eastAsiaTheme="minorEastAsia"/>
          <w:color w:val="auto"/>
          <w:sz w:val="24"/>
          <w:highlight w:val="none"/>
        </w:rPr>
        <w:t xml:space="preserve">  政府采购供应商</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0206D99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5D9B90C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3供应商</w:t>
      </w:r>
      <w:r>
        <w:rPr>
          <w:rFonts w:asciiTheme="minorEastAsia" w:hAnsiTheme="minorEastAsia" w:eastAsiaTheme="minorEastAsia"/>
          <w:color w:val="auto"/>
          <w:sz w:val="24"/>
          <w:highlight w:val="none"/>
        </w:rPr>
        <w:t>应认真阅读</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文件所有的事项、格式、条款和技术规范等。</w:t>
      </w:r>
    </w:p>
    <w:p w14:paraId="50F1D52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磋商文件的澄清与修改</w:t>
      </w:r>
    </w:p>
    <w:p w14:paraId="55C0AAF9">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6.1供应商如对磋商文件内容有疑问，可在</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规定的网上询问截止时间前以网上提问形式（电子交易系统）提交给采购代理机构。</w:t>
      </w:r>
    </w:p>
    <w:p w14:paraId="5C64509C">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6.2采购人可主动地或在答复供应商提出的询问时对磋商文件进行澄清与修改。采购代理机构将在</w:t>
      </w:r>
      <w:bookmarkStart w:id="11" w:name="_Hlk16458572"/>
      <w:r>
        <w:rPr>
          <w:rFonts w:hint="eastAsia" w:ascii="宋体" w:hAnsi="宋体" w:eastAsia="宋体" w:cs="宋体"/>
          <w:color w:val="auto"/>
          <w:sz w:val="24"/>
          <w:szCs w:val="18"/>
          <w:highlight w:val="none"/>
        </w:rPr>
        <w:t>安徽省政府采购网</w:t>
      </w:r>
      <w:bookmarkEnd w:id="11"/>
      <w:r>
        <w:rPr>
          <w:rFonts w:hint="eastAsia" w:ascii="宋体" w:hAnsi="宋体" w:eastAsia="宋体" w:cs="宋体"/>
          <w:color w:val="auto"/>
          <w:sz w:val="24"/>
          <w:szCs w:val="18"/>
          <w:highlight w:val="none"/>
        </w:rPr>
        <w:t>和滁州市公共资源交易中心网</w:t>
      </w:r>
      <w:r>
        <w:rPr>
          <w:rFonts w:hint="eastAsia" w:ascii="宋体" w:hAnsi="宋体" w:eastAsia="宋体" w:cs="宋体"/>
          <w:color w:val="auto"/>
          <w:sz w:val="24"/>
          <w:highlight w:val="none"/>
        </w:rPr>
        <w:t>以发布更正公告的方式澄清或者修改磋商文件，更正公告的内容作为磋商文件的组成部分，对供应商起约束作用。供应商应主动上网查询。采购代理机构不承担供应商未及时关注相关信息引发的相关责任。</w:t>
      </w:r>
    </w:p>
    <w:p w14:paraId="3DFAA35D">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6.3任何人或任何组织向供应商提供的任何书面或口头资料，未经采购代理机构在网上发布或书面通知，均作无效处理，不得作为磋商文件的组成部分。采购代理机构对供应商由此而做出的推论、理解和结论概不负责。</w:t>
      </w:r>
    </w:p>
    <w:p w14:paraId="2BD4BF88">
      <w:pPr>
        <w:spacing w:line="360" w:lineRule="auto"/>
        <w:ind w:firstLine="435"/>
        <w:rPr>
          <w:rFonts w:asciiTheme="minorEastAsia" w:hAnsiTheme="minorEastAsia" w:eastAsiaTheme="minorEastAsia"/>
          <w:iCs/>
          <w:color w:val="auto"/>
          <w:sz w:val="24"/>
          <w:highlight w:val="none"/>
        </w:rPr>
      </w:pPr>
      <w:r>
        <w:rPr>
          <w:rFonts w:hint="eastAsia" w:ascii="宋体" w:hAnsi="宋体" w:eastAsia="宋体" w:cs="宋体"/>
          <w:color w:val="auto"/>
          <w:sz w:val="24"/>
          <w:highlight w:val="none"/>
        </w:rPr>
        <w:t>6.4对于没有提出询问又参与了本项目磋商的供应商将被视为完全认同本磋商文件（含更正公告的内容）</w:t>
      </w:r>
      <w:r>
        <w:rPr>
          <w:rFonts w:hint="eastAsia" w:asciiTheme="minorEastAsia" w:hAnsiTheme="minorEastAsia" w:eastAsiaTheme="minorEastAsia"/>
          <w:color w:val="auto"/>
          <w:sz w:val="24"/>
          <w:highlight w:val="none"/>
        </w:rPr>
        <w:t>。</w:t>
      </w:r>
    </w:p>
    <w:p w14:paraId="625BD40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磋商范围及响应文件中标准和计量单位的使用</w:t>
      </w:r>
    </w:p>
    <w:p w14:paraId="6F046ACE">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7.1项目有分包的，供应商可参与其中某一个或多个分包的磋商，成交包数详见</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中规定。</w:t>
      </w:r>
    </w:p>
    <w:p w14:paraId="21E55672">
      <w:pPr>
        <w:spacing w:line="360" w:lineRule="auto"/>
        <w:ind w:firstLine="435"/>
        <w:rPr>
          <w:rFonts w:ascii="宋体" w:hAnsi="宋体" w:eastAsia="宋体" w:cs="宋体"/>
          <w:color w:val="auto"/>
          <w:highlight w:val="none"/>
        </w:rPr>
      </w:pPr>
      <w:r>
        <w:rPr>
          <w:rFonts w:hint="eastAsia" w:ascii="宋体" w:hAnsi="宋体" w:eastAsia="宋体" w:cs="宋体"/>
          <w:color w:val="auto"/>
          <w:sz w:val="24"/>
          <w:highlight w:val="none"/>
        </w:rPr>
        <w:t>7.2 供应商应当对所投分包磋商文件中“采购需求”所列的所有内容进行响应，如仅响应所投包别中的部分内容，其所投包别的响应将被认定为</w:t>
      </w:r>
      <w:r>
        <w:rPr>
          <w:rFonts w:hint="eastAsia" w:ascii="宋体" w:hAnsi="宋体" w:eastAsia="宋体" w:cs="宋体"/>
          <w:b/>
          <w:color w:val="auto"/>
          <w:sz w:val="24"/>
          <w:highlight w:val="none"/>
        </w:rPr>
        <w:t>响应无效</w:t>
      </w:r>
      <w:r>
        <w:rPr>
          <w:rFonts w:hint="eastAsia" w:ascii="宋体" w:hAnsi="宋体" w:eastAsia="宋体" w:cs="宋体"/>
          <w:color w:val="auto"/>
          <w:sz w:val="24"/>
          <w:highlight w:val="none"/>
        </w:rPr>
        <w:t>。</w:t>
      </w:r>
    </w:p>
    <w:p w14:paraId="72EACBF5">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7.3无论磋商文件中是否要求，供应商所投货物及伴随的服务和工程均应符合国家强制性标准。</w:t>
      </w:r>
    </w:p>
    <w:p w14:paraId="63EFD029">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7.4供应商与采购代理机构之间与磋商有关的所有往来通知、函件和响应文件均用中文表述。供应商随响应文件提供的证明文件和资料可以为其它语言，但必须附中文译文。翻译的中文资料与外文资料如果出现差异时，以中文为准。</w:t>
      </w:r>
    </w:p>
    <w:p w14:paraId="30E0B18F">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highlight w:val="none"/>
        </w:rPr>
        <w:t>7.5除磋商文件中有特殊要求外，响应文件中所使用的计量单位，应采用中华人民共和国法定计量单位</w:t>
      </w:r>
      <w:r>
        <w:rPr>
          <w:rFonts w:asciiTheme="minorEastAsia" w:hAnsiTheme="minorEastAsia" w:eastAsiaTheme="minorEastAsia"/>
          <w:color w:val="auto"/>
          <w:sz w:val="24"/>
          <w:highlight w:val="none"/>
        </w:rPr>
        <w:t>。</w:t>
      </w:r>
    </w:p>
    <w:p w14:paraId="1E13EFA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响应文件构成</w:t>
      </w:r>
    </w:p>
    <w:p w14:paraId="435A077C">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8.1供应商应完整地按磋商文件提供的响应文件格式及要求编写响应文件，具体内容详见本项目响应文件格式的相关内容。</w:t>
      </w:r>
    </w:p>
    <w:p w14:paraId="63706A7C">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8.2供应商应提交磋商文件要求的证明文件，证明其响应内容符合磋商文件规定，该证明文件是响应文件的一部分。证明文件形式可以是文字资料、图纸和数据等。</w:t>
      </w:r>
    </w:p>
    <w:p w14:paraId="62099FCD">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highlight w:val="none"/>
        </w:rPr>
        <w:t>8.3为保证公平公正，除非另有规定或说明，供应商对同一项目磋商时，不得同时提供备选磋商方案</w:t>
      </w:r>
      <w:r>
        <w:rPr>
          <w:rFonts w:asciiTheme="minorEastAsia" w:hAnsiTheme="minorEastAsia" w:eastAsiaTheme="minorEastAsia"/>
          <w:color w:val="auto"/>
          <w:sz w:val="24"/>
          <w:highlight w:val="none"/>
        </w:rPr>
        <w:t>。</w:t>
      </w:r>
    </w:p>
    <w:p w14:paraId="312515D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报价</w:t>
      </w:r>
    </w:p>
    <w:p w14:paraId="3F2AD46E">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9.1供应商的报价应当包括满足本次磋商全部采购需求所应提供的货物，以及伴随的服务和工程。除磋商文件另有规定外，所有内容均应以人民币报价，供应商的磋商报价应遵守《中华人民共和国价格法》。</w:t>
      </w:r>
    </w:p>
    <w:p w14:paraId="35124E57">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9.2除非磋商文件另有规定或经采购人同意支付的，最后报价均不得高于磋商文件（公告）列明的项目预算，否则其响应文件将被认定为</w:t>
      </w:r>
      <w:r>
        <w:rPr>
          <w:rFonts w:hint="eastAsia" w:ascii="宋体" w:hAnsi="宋体" w:eastAsia="宋体" w:cs="宋体"/>
          <w:b/>
          <w:color w:val="auto"/>
          <w:sz w:val="24"/>
          <w:highlight w:val="none"/>
        </w:rPr>
        <w:t>响应无效</w:t>
      </w:r>
      <w:r>
        <w:rPr>
          <w:rFonts w:hint="eastAsia" w:ascii="宋体" w:hAnsi="宋体" w:eastAsia="宋体" w:cs="宋体"/>
          <w:color w:val="auto"/>
          <w:sz w:val="24"/>
          <w:highlight w:val="none"/>
        </w:rPr>
        <w:t>。</w:t>
      </w:r>
    </w:p>
    <w:p w14:paraId="23A5E3B6">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9.3报价在合同履行过程中是固定不变的，不得以任何理由予以变更。任何包含价格调整要求的磋商，其响应文件将被认定为</w:t>
      </w:r>
      <w:r>
        <w:rPr>
          <w:rFonts w:hint="eastAsia" w:ascii="宋体" w:hAnsi="宋体" w:eastAsia="宋体" w:cs="宋体"/>
          <w:b/>
          <w:color w:val="auto"/>
          <w:sz w:val="24"/>
          <w:highlight w:val="none"/>
        </w:rPr>
        <w:t>响应无效</w:t>
      </w:r>
      <w:r>
        <w:rPr>
          <w:rFonts w:hint="eastAsia" w:ascii="宋体" w:hAnsi="宋体" w:eastAsia="宋体" w:cs="宋体"/>
          <w:color w:val="auto"/>
          <w:sz w:val="24"/>
          <w:highlight w:val="none"/>
        </w:rPr>
        <w:t>。</w:t>
      </w:r>
    </w:p>
    <w:p w14:paraId="0E2D2A53">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highlight w:val="none"/>
        </w:rPr>
        <w:t>9.4采购人不接受具有附加条件的报价</w:t>
      </w:r>
      <w:r>
        <w:rPr>
          <w:rFonts w:asciiTheme="minorEastAsia" w:hAnsiTheme="minorEastAsia" w:eastAsiaTheme="minorEastAsia"/>
          <w:color w:val="auto"/>
          <w:sz w:val="24"/>
          <w:highlight w:val="none"/>
        </w:rPr>
        <w:t>。</w:t>
      </w:r>
    </w:p>
    <w:p w14:paraId="44CAC6B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磋商保证金</w:t>
      </w:r>
    </w:p>
    <w:p w14:paraId="560A1A6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10.1本项目不收取磋商保证金。</w:t>
      </w:r>
    </w:p>
    <w:p w14:paraId="47C0C1C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磋商有效期</w:t>
      </w:r>
    </w:p>
    <w:p w14:paraId="202BA220">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11.1磋商有效期为从响应文件提交截止之日算起的日历天数，磋商有效期详见</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w:t>
      </w:r>
    </w:p>
    <w:p w14:paraId="53E65A8D">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11.2在磋商有效期内，供应商的磋商保持有效，供应商不得要求撤销或修改其响应文件。磋商有效期不满足要求的响应，其响应文件将被认定为</w:t>
      </w:r>
      <w:r>
        <w:rPr>
          <w:rFonts w:hint="eastAsia" w:ascii="宋体" w:hAnsi="宋体" w:eastAsia="宋体" w:cs="宋体"/>
          <w:b/>
          <w:color w:val="auto"/>
          <w:sz w:val="24"/>
          <w:highlight w:val="none"/>
        </w:rPr>
        <w:t>响应无效</w:t>
      </w:r>
      <w:r>
        <w:rPr>
          <w:rFonts w:hint="eastAsia" w:ascii="宋体" w:hAnsi="宋体" w:eastAsia="宋体" w:cs="宋体"/>
          <w:color w:val="auto"/>
          <w:sz w:val="24"/>
          <w:highlight w:val="none"/>
        </w:rPr>
        <w:t>。</w:t>
      </w:r>
    </w:p>
    <w:p w14:paraId="03E3D65D">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highlight w:val="none"/>
        </w:rPr>
        <w:t>11.3为保证有充分时间签订合同，采购人或采购代理机构可根据实际情况，在原磋商有效期截止之前，要求供应商延长磋商有效期。接受该要求的供应商将不会被要求和允许修正其响应文件。供应商可以拒绝延长磋商有效期的要求，且不承担任何责任。上述要求和答复都应以书面形式提交</w:t>
      </w:r>
      <w:r>
        <w:rPr>
          <w:rFonts w:asciiTheme="minorEastAsia" w:hAnsiTheme="minorEastAsia" w:eastAsiaTheme="minorEastAsia"/>
          <w:color w:val="auto"/>
          <w:sz w:val="24"/>
          <w:highlight w:val="none"/>
        </w:rPr>
        <w:t>。</w:t>
      </w:r>
    </w:p>
    <w:p w14:paraId="1538880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响应文件的提交、修改与撤回</w:t>
      </w:r>
    </w:p>
    <w:p w14:paraId="5A043B8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.1响应文件的提交</w:t>
      </w:r>
    </w:p>
    <w:p w14:paraId="21556DE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供应商在滁州市公共资源交易中心网，利用用户名或CA锁登录下载磋商文件(.czzf格式)后，在下载“响应文件制作工具”安装后，在线制作响应文件，制作好的响应文件格式有2种:第一种.cztf格式加密响应文件；第二种.ncztf格式是非加密响应文件。请供应商将第一种响应文件通过系统“上传响应文件”上传到系统中。</w:t>
      </w:r>
    </w:p>
    <w:p w14:paraId="08F68BE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（2）如果一个项目有多个标段，则需按标段下载对应标段磋商文件分别生成对应的响应文件，通过系统“上传响应文件”按标段分别上传到系统中。</w:t>
      </w:r>
    </w:p>
    <w:p w14:paraId="4841318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（3）请供应商通过系统下载“响应文件制作工具”制作响应文件，并利用CA锁进行上传响应文件，上传已加密的响应文件，务必通过此方式上传响应文件。</w:t>
      </w:r>
    </w:p>
    <w:p w14:paraId="0F1874B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（4）供应商在响应文件编制、签章、上传过程中如有任何操作的疑问请及时联系技术支持，电话：0550-3801701。</w:t>
      </w:r>
    </w:p>
    <w:p w14:paraId="5BDAAE4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5）如果因供应商自身原因导致响应文件在规定时间内未能解密、解密失败或解密超时，响应文件无效；因采购代理机构原因或网上平台发生故障，导致无法按时完成响应文件解密的，经采购代理机构申请后可延迟解密时间。</w:t>
      </w:r>
    </w:p>
    <w:p w14:paraId="669CCD58">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12.2供应商应当在响应文件提交截止时间前完成响应文件的传输提交（以接收到电子签收凭证为准），并可以补充、修改或者撤回响应文件。响应文件提交截止时间前未完成响应文件传输的，视为撤回响应文件。未按规定加密或响应文件提交截止时间后送达的响应文件，电子交易系统应当拒收。</w:t>
      </w:r>
    </w:p>
    <w:p w14:paraId="42D63126">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highlight w:val="none"/>
        </w:rPr>
        <w:t>12.3供应商应在</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规定的解密时间前对其响应文件进行解密。未在规定时间内进行解密的，</w:t>
      </w:r>
      <w:r>
        <w:rPr>
          <w:rFonts w:hint="eastAsia" w:ascii="宋体" w:hAnsi="宋体" w:eastAsia="宋体" w:cs="宋体"/>
          <w:b/>
          <w:bCs/>
          <w:color w:val="auto"/>
          <w:sz w:val="24"/>
          <w:highlight w:val="none"/>
        </w:rPr>
        <w:t>响应无效</w:t>
      </w:r>
      <w:r>
        <w:rPr>
          <w:rFonts w:hint="eastAsia" w:asciiTheme="minorEastAsia" w:hAnsiTheme="minorEastAsia" w:eastAsiaTheme="minorEastAsia"/>
          <w:b/>
          <w:bCs/>
          <w:color w:val="auto"/>
          <w:sz w:val="24"/>
          <w:highlight w:val="none"/>
        </w:rPr>
        <w:t>。</w:t>
      </w:r>
    </w:p>
    <w:p w14:paraId="0E5FE073">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12.4在响应文件提交截止时间之后，供应商不得对其响应文件做任何修改。</w:t>
      </w:r>
      <w:r>
        <w:rPr>
          <w:rFonts w:hint="eastAsia" w:ascii="宋体" w:hAnsi="宋体" w:eastAsia="宋体"/>
          <w:color w:val="auto"/>
          <w:sz w:val="24"/>
          <w:highlight w:val="none"/>
        </w:rPr>
        <w:t>但属于磋商小组在评审中发现的计算错误并进行核实的修改、按照磋商文件的变动情况和磋商小组的要求重新提交响应文件的，不在此列。</w:t>
      </w:r>
    </w:p>
    <w:p w14:paraId="69BC772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磋商小组</w:t>
      </w:r>
    </w:p>
    <w:p w14:paraId="25634F5E">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13.1本项目将依法组建磋商小组，磋商小组成员由3人以上（含）单数组成，磋商小组及其成员应当依照政府采购的有关规定履行相关职责和义务。</w:t>
      </w:r>
    </w:p>
    <w:p w14:paraId="3D4B8B19">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13.2磋商小组依法对响应文件进行评审，并根据磋商文件规定的程序、评定成交的标准等事项与实质性响应磋商文件要求的供应商进行磋商。</w:t>
      </w:r>
    </w:p>
    <w:p w14:paraId="52A9E99E">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highlight w:val="none"/>
        </w:rPr>
        <w:t>13.3磋商小组应当从质量和服务均能满足磋商文件实质性响应要求的供应商中，按照评审方法和标准推荐成交候选供应商，并编写评审报告</w:t>
      </w:r>
      <w:r>
        <w:rPr>
          <w:rFonts w:asciiTheme="minorEastAsia" w:hAnsiTheme="minorEastAsia" w:eastAsiaTheme="minorEastAsia"/>
          <w:color w:val="auto"/>
          <w:sz w:val="24"/>
          <w:highlight w:val="none"/>
        </w:rPr>
        <w:t>。</w:t>
      </w:r>
    </w:p>
    <w:p w14:paraId="22ACCC8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14</w:t>
      </w:r>
      <w:r>
        <w:rPr>
          <w:rFonts w:asciiTheme="minorEastAsia" w:hAnsiTheme="minorEastAsia" w:eastAsiaTheme="minorEastAsia"/>
          <w:b/>
          <w:color w:val="auto"/>
          <w:sz w:val="24"/>
          <w:highlight w:val="none"/>
        </w:rPr>
        <w:t>.响应文件的评审与磋商</w:t>
      </w:r>
    </w:p>
    <w:p w14:paraId="4A70C162">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14.1采购人和采购代理机构将在竞争性磋商公告规定的时间和地点组织磋商。</w:t>
      </w:r>
    </w:p>
    <w:p w14:paraId="305C202C">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14.2竞争性磋商活动采用综合评分法评审。</w:t>
      </w:r>
    </w:p>
    <w:p w14:paraId="2639F41E">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综合评分法，是指响应文件满足磋商文件全部实质性要求且按评审因素的量化指标评审得分最高的供应商为成交候选供应商的评审方法。</w:t>
      </w:r>
    </w:p>
    <w:p w14:paraId="48CF910C">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14.3磋商小组将按照磋商文件规定的评审方法和标准对供应商独立进行评审。评审程序如下：</w:t>
      </w:r>
    </w:p>
    <w:p w14:paraId="4FF26930">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14.3.1</w:t>
      </w:r>
      <w:r>
        <w:rPr>
          <w:rFonts w:hint="eastAsia" w:ascii="宋体" w:hAnsi="宋体" w:eastAsia="宋体" w:cs="宋体"/>
          <w:b/>
          <w:color w:val="auto"/>
          <w:sz w:val="24"/>
          <w:highlight w:val="none"/>
        </w:rPr>
        <w:t>初审</w:t>
      </w:r>
      <w:r>
        <w:rPr>
          <w:rFonts w:hint="eastAsia" w:ascii="宋体" w:hAnsi="宋体" w:eastAsia="宋体" w:cs="宋体"/>
          <w:color w:val="auto"/>
          <w:sz w:val="24"/>
          <w:highlight w:val="none"/>
        </w:rPr>
        <w:t>。磋商小组对供应商必须满足和实质性响应的内容进行评审，供应商未实质性响应磋商文件要求导致响应无效的，磋商小组将以书面询标的方式告知有关供应商。</w:t>
      </w:r>
    </w:p>
    <w:p w14:paraId="54952506">
      <w:pPr>
        <w:spacing w:line="360" w:lineRule="auto"/>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或采购代理机构将在响应文件提交截止时间后至评审结束前通过“信用中国”网站(www.creditchina.gov.cn)、中国政府采购网(www.ccgp.gov.cn)查询相关供应商信用记录，并对供应商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响应文件将被认定为</w:t>
      </w:r>
      <w:r>
        <w:rPr>
          <w:rFonts w:hint="eastAsia" w:ascii="宋体" w:hAnsi="宋体" w:eastAsia="宋体" w:cs="宋体"/>
          <w:b/>
          <w:color w:val="auto"/>
          <w:sz w:val="24"/>
          <w:szCs w:val="24"/>
          <w:highlight w:val="none"/>
        </w:rPr>
        <w:t>响应无效</w:t>
      </w:r>
      <w:r>
        <w:rPr>
          <w:rFonts w:hint="eastAsia" w:ascii="宋体" w:hAnsi="宋体" w:eastAsia="宋体" w:cs="宋体"/>
          <w:color w:val="auto"/>
          <w:sz w:val="24"/>
          <w:szCs w:val="24"/>
          <w:highlight w:val="none"/>
        </w:rPr>
        <w:t>。</w:t>
      </w:r>
    </w:p>
    <w:p w14:paraId="5F3BF626">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供应商不良信用记录以采购人或采购代理机构查询结果为准。在本采购文件规定的查询时间之外，网站信息发生的任何变更均不作为初审依据。供应商自行提供的与网站信息不一致的其他证明材料亦不作为初审依据。</w:t>
      </w:r>
    </w:p>
    <w:p w14:paraId="4E214655">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14.3.2</w:t>
      </w:r>
      <w:r>
        <w:rPr>
          <w:rFonts w:hint="eastAsia" w:ascii="宋体" w:hAnsi="宋体" w:eastAsia="宋体" w:cs="宋体"/>
          <w:b/>
          <w:color w:val="auto"/>
          <w:sz w:val="24"/>
          <w:highlight w:val="none"/>
        </w:rPr>
        <w:t>磋商</w:t>
      </w:r>
      <w:r>
        <w:rPr>
          <w:rFonts w:hint="eastAsia" w:ascii="宋体" w:hAnsi="宋体" w:eastAsia="宋体" w:cs="宋体"/>
          <w:color w:val="auto"/>
          <w:sz w:val="24"/>
          <w:highlight w:val="none"/>
        </w:rPr>
        <w:t>。初审合格后，磋商小组将按网上加密电子响应文件提交顺序集中与单一供应商分别进行磋商，并给予所有参加磋商的供应商平等的磋商机会。</w:t>
      </w:r>
    </w:p>
    <w:p w14:paraId="048A700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14.3.3</w:t>
      </w:r>
      <w:r>
        <w:rPr>
          <w:rFonts w:asciiTheme="minorEastAsia" w:hAnsiTheme="minorEastAsia" w:eastAsiaTheme="minorEastAsia"/>
          <w:b/>
          <w:color w:val="auto"/>
          <w:sz w:val="24"/>
          <w:highlight w:val="none"/>
        </w:rPr>
        <w:t>报价</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磋商结束后，磋商小组应当要求所有</w:t>
      </w:r>
      <w:r>
        <w:rPr>
          <w:rFonts w:hint="eastAsia" w:asciiTheme="minorEastAsia" w:hAnsiTheme="minorEastAsia" w:eastAsiaTheme="minorEastAsia"/>
          <w:color w:val="auto"/>
          <w:sz w:val="24"/>
          <w:highlight w:val="none"/>
        </w:rPr>
        <w:t>实质性响应</w:t>
      </w:r>
      <w:r>
        <w:rPr>
          <w:rFonts w:asciiTheme="minorEastAsia" w:hAnsiTheme="minorEastAsia" w:eastAsiaTheme="minorEastAsia"/>
          <w:color w:val="auto"/>
          <w:sz w:val="24"/>
          <w:highlight w:val="none"/>
        </w:rPr>
        <w:t>的供应商在规定时间内提交最后报价</w:t>
      </w:r>
      <w:r>
        <w:rPr>
          <w:rFonts w:hint="eastAsia" w:ascii="宋体" w:hAnsi="宋体" w:eastAsia="宋体"/>
          <w:color w:val="auto"/>
          <w:sz w:val="24"/>
          <w:highlight w:val="none"/>
        </w:rPr>
        <w:t>。</w:t>
      </w:r>
    </w:p>
    <w:p w14:paraId="0F049206">
      <w:pPr>
        <w:spacing w:line="360" w:lineRule="auto"/>
        <w:ind w:firstLine="435"/>
        <w:rPr>
          <w:color w:val="auto"/>
          <w:highlight w:val="none"/>
        </w:rPr>
      </w:pPr>
      <w:r>
        <w:rPr>
          <w:rFonts w:hint="eastAsia" w:asciiTheme="minorEastAsia" w:hAnsiTheme="minorEastAsia" w:eastAsiaTheme="minorEastAsia"/>
          <w:color w:val="auto"/>
          <w:sz w:val="24"/>
          <w:highlight w:val="none"/>
        </w:rPr>
        <w:t xml:space="preserve">14.3.4 </w:t>
      </w:r>
      <w:r>
        <w:rPr>
          <w:rFonts w:hint="eastAsia" w:asciiTheme="minorEastAsia" w:hAnsiTheme="minorEastAsia" w:eastAsiaTheme="minorEastAsia"/>
          <w:b/>
          <w:bCs/>
          <w:color w:val="auto"/>
          <w:sz w:val="24"/>
          <w:highlight w:val="none"/>
        </w:rPr>
        <w:t>异常低价响应审查。</w:t>
      </w:r>
      <w:r>
        <w:rPr>
          <w:rFonts w:hint="eastAsia" w:ascii="宋体" w:hAnsi="宋体" w:eastAsia="宋体"/>
          <w:color w:val="auto"/>
          <w:sz w:val="24"/>
          <w:highlight w:val="none"/>
        </w:rPr>
        <w:t>根据《关于推进解决政府采购异常低价问题的通知》（财库〔</w:t>
      </w:r>
      <w:r>
        <w:rPr>
          <w:rFonts w:ascii="宋体" w:hAnsi="宋体" w:eastAsia="宋体"/>
          <w:color w:val="auto"/>
          <w:sz w:val="24"/>
          <w:highlight w:val="none"/>
        </w:rPr>
        <w:t>202</w:t>
      </w:r>
      <w:r>
        <w:rPr>
          <w:rFonts w:hint="eastAsia" w:ascii="宋体" w:hAnsi="宋体" w:eastAsia="宋体"/>
          <w:color w:val="auto"/>
          <w:sz w:val="24"/>
          <w:highlight w:val="none"/>
        </w:rPr>
        <w:t>6</w:t>
      </w: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号</w:t>
      </w:r>
      <w:r>
        <w:rPr>
          <w:rFonts w:hint="eastAsia" w:ascii="宋体" w:hAnsi="宋体" w:eastAsia="宋体"/>
          <w:color w:val="auto"/>
          <w:sz w:val="24"/>
          <w:highlight w:val="none"/>
        </w:rPr>
        <w:t>），磋商小组进行异常低价响应审查。</w:t>
      </w:r>
    </w:p>
    <w:p w14:paraId="7A6C75A4">
      <w:pPr>
        <w:spacing w:line="360" w:lineRule="auto"/>
        <w:ind w:firstLine="435"/>
        <w:rPr>
          <w:rFonts w:ascii="宋体" w:hAnsi="宋体" w:eastAsia="宋体" w:cs="宋体"/>
          <w:color w:val="auto"/>
          <w:sz w:val="24"/>
          <w:highlight w:val="none"/>
        </w:rPr>
      </w:pPr>
      <w:r>
        <w:rPr>
          <w:rFonts w:hint="eastAsia" w:asciiTheme="minorEastAsia" w:hAnsiTheme="minorEastAsia" w:eastAsiaTheme="minorEastAsia"/>
          <w:color w:val="auto"/>
          <w:sz w:val="24"/>
          <w:highlight w:val="none"/>
        </w:rPr>
        <w:t>14.3.5</w:t>
      </w:r>
      <w:r>
        <w:rPr>
          <w:rFonts w:hint="eastAsia" w:asciiTheme="minorEastAsia" w:hAnsiTheme="minorEastAsia" w:eastAsiaTheme="minorEastAsia"/>
          <w:b/>
          <w:color w:val="auto"/>
          <w:sz w:val="24"/>
          <w:highlight w:val="none"/>
        </w:rPr>
        <w:t>综合评分</w:t>
      </w:r>
      <w:r>
        <w:rPr>
          <w:rFonts w:hint="eastAsia" w:asciiTheme="minorEastAsia" w:hAnsiTheme="minorEastAsia" w:eastAsiaTheme="minorEastAsia"/>
          <w:color w:val="auto"/>
          <w:sz w:val="24"/>
          <w:highlight w:val="none"/>
        </w:rPr>
        <w:t>。磋商小组只对通过初审、</w:t>
      </w:r>
      <w:r>
        <w:rPr>
          <w:rFonts w:hint="eastAsia" w:ascii="宋体" w:hAnsi="宋体" w:eastAsia="宋体"/>
          <w:color w:val="auto"/>
          <w:sz w:val="24"/>
          <w:highlight w:val="none"/>
        </w:rPr>
        <w:t>异常低价响应审查</w:t>
      </w:r>
      <w:r>
        <w:rPr>
          <w:rFonts w:hint="eastAsia" w:asciiTheme="minorEastAsia" w:hAnsiTheme="minorEastAsia" w:eastAsiaTheme="minorEastAsia"/>
          <w:color w:val="auto"/>
          <w:sz w:val="24"/>
          <w:highlight w:val="none"/>
        </w:rPr>
        <w:t>，实质上响应磋商文件要求的响应文件进行综合评分。经磋商确定最终采购需求和提交最后报价的供应商后，由磋商小组采用综合评分法对提交最后报价的供应商的响应文件和最后报价进行综合评分</w:t>
      </w:r>
      <w:r>
        <w:rPr>
          <w:rFonts w:hint="eastAsia" w:ascii="宋体" w:hAnsi="宋体" w:eastAsia="宋体" w:cs="宋体"/>
          <w:color w:val="auto"/>
          <w:sz w:val="24"/>
          <w:highlight w:val="none"/>
        </w:rPr>
        <w:t>。</w:t>
      </w:r>
    </w:p>
    <w:p w14:paraId="69B18189">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14.4相关说明。</w:t>
      </w:r>
    </w:p>
    <w:p w14:paraId="6D0F6501">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 xml:space="preserve">14.4.1为保证磋商活动顺利进行，供应商可派相关技术人员进行网上答疑； </w:t>
      </w:r>
    </w:p>
    <w:p w14:paraId="3FF94C0C">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14.4.2磋商小组根据与供应商磋商情况可能实质性变动磋商文件的内容，包括采购需求中的技术、服务要求以及合同草案条款。磋商文件有实质性变动的，经采购人代表确认作为磋商文件的有效组成部分，磋商小组将以书面形式通知所有参加磋商的供应商。</w:t>
      </w:r>
    </w:p>
    <w:p w14:paraId="39B7E952">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14.4.3磋商小组发现供应商的报价或者某些分项报价明显低于其他通过初审的供应商的报价，有可能影响产品质量和不能诚信履约的，应当要求其在合理的时间内提供书面说明，必要时提交相关证明材料；供应商不能证明其报价合理性的，其响应文件将被认定为</w:t>
      </w:r>
      <w:r>
        <w:rPr>
          <w:rFonts w:hint="eastAsia" w:ascii="宋体" w:hAnsi="宋体" w:eastAsia="宋体" w:cs="宋体"/>
          <w:b/>
          <w:color w:val="auto"/>
          <w:sz w:val="24"/>
          <w:highlight w:val="none"/>
        </w:rPr>
        <w:t>响应无效</w:t>
      </w:r>
      <w:r>
        <w:rPr>
          <w:rFonts w:hint="eastAsia" w:ascii="宋体" w:hAnsi="宋体" w:eastAsia="宋体" w:cs="宋体"/>
          <w:color w:val="auto"/>
          <w:sz w:val="24"/>
          <w:highlight w:val="none"/>
        </w:rPr>
        <w:t>。</w:t>
      </w:r>
    </w:p>
    <w:p w14:paraId="335D5C28">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14.4.4无论何种原因，即使供应商磋商时携带了证书材料的原件，但响应文件中未提供与之内容完全一致的扫描件的，磋商小组可以视同其未提供。</w:t>
      </w:r>
    </w:p>
    <w:p w14:paraId="28CC4CE6">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14.4.5磋商小组决定响应文件的响应性及符合性只根据响应文件本身的内容，而不寻求其他外部证据。</w:t>
      </w:r>
    </w:p>
    <w:p w14:paraId="1DC200B3">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 xml:space="preserve">14.5供应商授权代表对磋商过程有疑义，以及认为采购人、采购代理机构相关工作人员有需要回避的情形的，应当场提出询问或者回避申请，并说明理由。 </w:t>
      </w:r>
    </w:p>
    <w:p w14:paraId="7B0F58FA">
      <w:pPr>
        <w:spacing w:line="360" w:lineRule="auto"/>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15.终止竞争性磋商</w:t>
      </w:r>
    </w:p>
    <w:p w14:paraId="18FC5DDF">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15.1出现下列情况之一时，采购人和采购代理机构有权宣布终止竞争性磋商采购，并将理由通知所有供应商：</w:t>
      </w:r>
    </w:p>
    <w:p w14:paraId="0A9486A3">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（1）有效供应商数量不足，导致本次磋商缺乏竞争的；</w:t>
      </w:r>
    </w:p>
    <w:p w14:paraId="634D6320">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（2）出现影响采购公正的违法、违规行为的；</w:t>
      </w:r>
    </w:p>
    <w:p w14:paraId="6FE1FA27">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（3）因重大变故，采购任务取消的；</w:t>
      </w:r>
    </w:p>
    <w:p w14:paraId="6FDA4EA8">
      <w:pPr>
        <w:spacing w:line="360" w:lineRule="auto"/>
        <w:ind w:firstLine="437"/>
        <w:outlineLvl w:val="2"/>
        <w:rPr>
          <w:rFonts w:ascii="宋体" w:hAnsi="宋体" w:eastAsia="宋体" w:cs="宋体"/>
          <w:color w:val="auto"/>
          <w:sz w:val="24"/>
          <w:highlight w:val="none"/>
        </w:rPr>
      </w:pPr>
      <w:r>
        <w:rPr>
          <w:rFonts w:hint="eastAsia" w:ascii="宋体" w:hAnsi="宋体" w:eastAsia="宋体" w:cs="宋体"/>
          <w:color w:val="auto"/>
          <w:sz w:val="24"/>
          <w:highlight w:val="none"/>
        </w:rPr>
        <w:t>（4）政府采购法律法规规定的其他情形。</w:t>
      </w:r>
    </w:p>
    <w:p w14:paraId="3BD69205">
      <w:pPr>
        <w:spacing w:line="360" w:lineRule="auto"/>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16.响应文件的澄清、说明或更正</w:t>
      </w:r>
    </w:p>
    <w:p w14:paraId="3774E8F6">
      <w:pPr>
        <w:spacing w:line="360" w:lineRule="auto"/>
        <w:ind w:firstLine="470" w:firstLineChars="196"/>
        <w:rPr>
          <w:rFonts w:ascii="宋体" w:hAnsi="宋体" w:eastAsia="宋体" w:cs="宋体"/>
          <w:color w:val="auto"/>
          <w:sz w:val="24"/>
          <w:highlight w:val="none"/>
        </w:rPr>
      </w:pPr>
      <w:r>
        <w:rPr>
          <w:rFonts w:hint="eastAsia" w:ascii="宋体" w:hAnsi="宋体" w:eastAsia="宋体" w:cs="宋体"/>
          <w:color w:val="auto"/>
          <w:sz w:val="24"/>
          <w:highlight w:val="none"/>
        </w:rPr>
        <w:t>16.1磋商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4003025C">
      <w:pPr>
        <w:spacing w:line="360" w:lineRule="auto"/>
        <w:ind w:firstLine="470" w:firstLineChars="196"/>
        <w:rPr>
          <w:rFonts w:ascii="宋体" w:hAnsi="宋体" w:eastAsia="宋体" w:cs="宋体"/>
          <w:color w:val="auto"/>
          <w:sz w:val="24"/>
          <w:highlight w:val="none"/>
        </w:rPr>
      </w:pPr>
      <w:r>
        <w:rPr>
          <w:rFonts w:hint="eastAsia" w:ascii="宋体" w:hAnsi="宋体" w:eastAsia="宋体" w:cs="宋体"/>
          <w:color w:val="auto"/>
          <w:sz w:val="24"/>
          <w:highlight w:val="none"/>
        </w:rPr>
        <w:t>16.2磋商小组要求供应商澄清、说明或者更正响应文件应当以书面形式（询标）作出。供应商的澄清、说明或者更正应当由法定代表人或其授权代表签字或者加盖公章（电子签章）。</w:t>
      </w:r>
    </w:p>
    <w:p w14:paraId="07718E29">
      <w:pPr>
        <w:spacing w:line="360" w:lineRule="auto"/>
        <w:ind w:firstLine="435"/>
        <w:rPr>
          <w:rFonts w:ascii="宋体" w:hAnsi="宋体" w:eastAsia="宋体" w:cs="宋体"/>
          <w:b/>
          <w:color w:val="auto"/>
          <w:sz w:val="24"/>
          <w:highlight w:val="none"/>
        </w:rPr>
      </w:pPr>
      <w:r>
        <w:rPr>
          <w:rFonts w:hint="eastAsia" w:ascii="宋体" w:hAnsi="宋体" w:eastAsia="宋体" w:cs="宋体"/>
          <w:b/>
          <w:color w:val="auto"/>
          <w:sz w:val="24"/>
          <w:highlight w:val="none"/>
        </w:rPr>
        <w:t>如有询标，授权代表（或法定代表人）可通过远程登录的方式接受网上询标，也可凭本人有效身份证明参加询标。因授权代表联系不上</w:t>
      </w:r>
      <w:r>
        <w:rPr>
          <w:rFonts w:hint="eastAsia" w:ascii="宋体" w:hAnsi="宋体" w:eastAsia="宋体" w:cs="宋体"/>
          <w:b/>
          <w:bCs/>
          <w:color w:val="auto"/>
          <w:sz w:val="24"/>
          <w:highlight w:val="none"/>
        </w:rPr>
        <w:t>、没有及时登录系统等情形</w:t>
      </w:r>
      <w:r>
        <w:rPr>
          <w:rFonts w:hint="eastAsia" w:ascii="宋体" w:hAnsi="宋体" w:eastAsia="宋体" w:cs="宋体"/>
          <w:b/>
          <w:color w:val="auto"/>
          <w:sz w:val="24"/>
          <w:highlight w:val="none"/>
        </w:rPr>
        <w:t>而无法接受磋商小组询标的，供应商自行承担相关风险。</w:t>
      </w:r>
    </w:p>
    <w:p w14:paraId="725E5938">
      <w:pPr>
        <w:spacing w:line="360" w:lineRule="auto"/>
        <w:ind w:firstLine="435"/>
        <w:rPr>
          <w:rFonts w:ascii="宋体" w:hAnsi="宋体" w:eastAsia="宋体" w:cs="宋体"/>
          <w:color w:val="auto"/>
          <w:sz w:val="24"/>
          <w:highlight w:val="none"/>
        </w:rPr>
      </w:pPr>
      <w:r>
        <w:rPr>
          <w:rFonts w:hint="eastAsia" w:ascii="宋体" w:hAnsi="宋体" w:eastAsia="宋体" w:cs="宋体"/>
          <w:b/>
          <w:color w:val="auto"/>
          <w:sz w:val="24"/>
          <w:highlight w:val="none"/>
        </w:rPr>
        <w:t>本项目采用远程开标，具体操作方法详见服务指南&gt;交易须知&gt;开标大厅远程解密、质疑(异议)及回复以及评标过程中询标流程操作手册。</w:t>
      </w:r>
    </w:p>
    <w:p w14:paraId="7C6A98C8">
      <w:pPr>
        <w:spacing w:line="360" w:lineRule="auto"/>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17.最后报价</w:t>
      </w:r>
    </w:p>
    <w:p w14:paraId="3106F09C">
      <w:pPr>
        <w:spacing w:line="360" w:lineRule="auto"/>
        <w:ind w:firstLine="435"/>
        <w:rPr>
          <w:rFonts w:hint="eastAsia" w:ascii="宋体" w:hAnsi="宋体" w:eastAsia="宋体" w:cs="宋体"/>
          <w:color w:val="auto"/>
          <w:sz w:val="24"/>
          <w:highlight w:val="none"/>
          <w:lang w:eastAsia="zh-CN"/>
        </w:rPr>
      </w:pPr>
      <w:bookmarkStart w:id="12" w:name="_Hlk60607655"/>
      <w:bookmarkStart w:id="13" w:name="_Hlk60607673"/>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磋商并不限定只进行二轮报价，如果磋商小组认为有必要，可以要求供应商进行多轮报价。</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本项目约定为两次报价</w:t>
      </w:r>
      <w:r>
        <w:rPr>
          <w:rFonts w:hint="eastAsia" w:ascii="宋体" w:hAnsi="宋体" w:eastAsia="宋体" w:cs="宋体"/>
          <w:color w:val="auto"/>
          <w:sz w:val="24"/>
          <w:highlight w:val="none"/>
          <w:lang w:eastAsia="zh-CN"/>
        </w:rPr>
        <w:t>）</w:t>
      </w:r>
    </w:p>
    <w:p w14:paraId="7BA18922">
      <w:pPr>
        <w:spacing w:line="360" w:lineRule="auto"/>
        <w:ind w:firstLine="435"/>
        <w:rPr>
          <w:rFonts w:hint="eastAsia" w:ascii="宋体" w:hAnsi="宋体" w:eastAsia="宋体" w:cs="Times New Roman"/>
          <w:b/>
          <w:color w:val="auto"/>
          <w:kern w:val="0"/>
          <w:sz w:val="24"/>
          <w:szCs w:val="20"/>
          <w:highlight w:val="none"/>
          <w:lang w:val="en-US" w:eastAsia="zh-CN" w:bidi="ar-SA"/>
        </w:rPr>
      </w:pPr>
      <w:r>
        <w:rPr>
          <w:rFonts w:hint="eastAsia" w:ascii="宋体" w:hAnsi="宋体" w:eastAsia="宋体" w:cs="Times New Roman"/>
          <w:b/>
          <w:color w:val="auto"/>
          <w:kern w:val="0"/>
          <w:sz w:val="24"/>
          <w:szCs w:val="20"/>
          <w:highlight w:val="none"/>
          <w:lang w:val="en-US" w:eastAsia="zh-CN" w:bidi="ar-SA"/>
        </w:rPr>
        <w:t>本次磋商实行两次报价。第一次报价为供应商在响应文件中填报的报价，第二次报价在响应文件通过评审后，由磋商小组通过评标系统以询标方式，向响应文件评审有效的各供应商进行询标，各供应商应在评标系统询标规定的时间内，通过“评标澄清回复”进行二次报价。各供应商应及时查看系统质询问题并及时进行二次报价，第二次报价即为最后报价，即满足磋商文件要求且最后报价最低的供应商的价格为磋商基准价，其价格分为满分。供应商最后报价均不得高于磋商文件（公告）列明的项目预算、最高限价，否则其响应文件将被认定为响应无效。望各供应商务必全程在线，及时进行回复，否则，因此给其造成相关后果，自行承担。采用分项报价的项目，最后报价的各分项结合一次报价中的各项单价按总价同比例下浮，价款结算时按成交下浮比率进行调整。</w:t>
      </w:r>
    </w:p>
    <w:p w14:paraId="53752A4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17.2</w:t>
      </w:r>
      <w:r>
        <w:rPr>
          <w:rFonts w:asciiTheme="minorEastAsia" w:hAnsiTheme="minorEastAsia" w:eastAsiaTheme="minorEastAsia"/>
          <w:color w:val="auto"/>
          <w:sz w:val="24"/>
          <w:highlight w:val="none"/>
        </w:rPr>
        <w:t>在磋商内容不做实质性变更或重大调整的前提下，供应商下轮报价不得高于上一轮报价</w:t>
      </w:r>
      <w:r>
        <w:rPr>
          <w:rFonts w:hint="eastAsia" w:asciiTheme="minorEastAsia" w:hAnsiTheme="minorEastAsia" w:eastAsiaTheme="minorEastAsia"/>
          <w:color w:val="auto"/>
          <w:sz w:val="24"/>
          <w:highlight w:val="none"/>
        </w:rPr>
        <w:t>。</w:t>
      </w:r>
    </w:p>
    <w:p w14:paraId="72AA9A2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17.3</w:t>
      </w:r>
      <w:r>
        <w:rPr>
          <w:rFonts w:asciiTheme="minorEastAsia" w:hAnsiTheme="minorEastAsia" w:eastAsiaTheme="minorEastAsia"/>
          <w:color w:val="auto"/>
          <w:sz w:val="24"/>
          <w:highlight w:val="none"/>
        </w:rPr>
        <w:t>最后报价是供应商响应文件的有效组成部分，最后报价也是签订合同的依据。</w:t>
      </w:r>
    </w:p>
    <w:p w14:paraId="51A78079">
      <w:pPr>
        <w:spacing w:line="360" w:lineRule="auto"/>
        <w:ind w:firstLine="435"/>
        <w:rPr>
          <w:rFonts w:asciiTheme="majorEastAsia" w:hAnsiTheme="majorEastAsia" w:eastAsiaTheme="majorEastAsia"/>
          <w:color w:val="auto"/>
          <w:sz w:val="24"/>
          <w:highlight w:val="none"/>
        </w:rPr>
      </w:pPr>
      <w:r>
        <w:rPr>
          <w:rFonts w:hint="eastAsia" w:asciiTheme="majorEastAsia" w:hAnsiTheme="majorEastAsia" w:eastAsiaTheme="majorEastAsia"/>
          <w:color w:val="auto"/>
          <w:sz w:val="24"/>
          <w:highlight w:val="none"/>
        </w:rPr>
        <w:t>17.</w:t>
      </w:r>
      <w:r>
        <w:rPr>
          <w:rFonts w:asciiTheme="majorEastAsia" w:hAnsiTheme="majorEastAsia" w:eastAsiaTheme="majorEastAsia"/>
          <w:color w:val="auto"/>
          <w:sz w:val="24"/>
          <w:highlight w:val="none"/>
        </w:rPr>
        <w:t>4</w:t>
      </w:r>
      <w:r>
        <w:rPr>
          <w:rFonts w:hint="eastAsia" w:asciiTheme="majorEastAsia" w:hAnsiTheme="majorEastAsia" w:eastAsiaTheme="majorEastAsia"/>
          <w:color w:val="auto"/>
          <w:sz w:val="24"/>
          <w:highlight w:val="none"/>
        </w:rPr>
        <w:t>根据《政府采购促进中小企业发展管理办法》（财库〔</w:t>
      </w:r>
      <w:r>
        <w:rPr>
          <w:rFonts w:asciiTheme="majorEastAsia" w:hAnsiTheme="majorEastAsia" w:eastAsiaTheme="majorEastAsia"/>
          <w:color w:val="auto"/>
          <w:sz w:val="24"/>
          <w:highlight w:val="none"/>
        </w:rPr>
        <w:t>2020〕46号</w:t>
      </w:r>
      <w:r>
        <w:rPr>
          <w:rFonts w:hint="eastAsia" w:asciiTheme="majorEastAsia" w:hAnsiTheme="majorEastAsia" w:eastAsiaTheme="majorEastAsia"/>
          <w:color w:val="auto"/>
          <w:sz w:val="24"/>
          <w:highlight w:val="none"/>
        </w:rPr>
        <w:t>）、《三部门联合发布关于促进残疾人就业政府采购政策的通知》（财库〔2017〕141号）和《</w:t>
      </w:r>
      <w:r>
        <w:rPr>
          <w:rFonts w:asciiTheme="majorEastAsia" w:hAnsiTheme="majorEastAsia" w:eastAsiaTheme="majorEastAsia"/>
          <w:color w:val="auto"/>
          <w:sz w:val="24"/>
          <w:highlight w:val="none"/>
        </w:rPr>
        <w:t>财政部 司法部关于政府采购支持监狱企业发展有关问题的通知</w:t>
      </w:r>
      <w:r>
        <w:rPr>
          <w:rFonts w:hint="eastAsia" w:asciiTheme="majorEastAsia" w:hAnsiTheme="majorEastAsia" w:eastAsiaTheme="majorEastAsia"/>
          <w:color w:val="auto"/>
          <w:sz w:val="24"/>
          <w:highlight w:val="none"/>
        </w:rPr>
        <w:t>》（财库〔2014〕68号）的规定，对满足价格扣除条件且在响应文件中提交了</w:t>
      </w:r>
      <w:r>
        <w:rPr>
          <w:rFonts w:asciiTheme="majorEastAsia" w:hAnsiTheme="majorEastAsia" w:eastAsiaTheme="majorEastAsia"/>
          <w:color w:val="auto"/>
          <w:sz w:val="24"/>
          <w:highlight w:val="none"/>
        </w:rPr>
        <w:t>《中小企业声明函》</w:t>
      </w:r>
      <w:r>
        <w:rPr>
          <w:rFonts w:hint="eastAsia" w:asciiTheme="majorEastAsia" w:hAnsiTheme="majorEastAsia" w:eastAsiaTheme="majorEastAsia"/>
          <w:color w:val="auto"/>
          <w:sz w:val="24"/>
          <w:highlight w:val="none"/>
        </w:rPr>
        <w:t>、</w:t>
      </w:r>
      <w:r>
        <w:rPr>
          <w:rFonts w:asciiTheme="majorEastAsia" w:hAnsiTheme="majorEastAsia" w:eastAsiaTheme="majorEastAsia"/>
          <w:color w:val="auto"/>
          <w:sz w:val="24"/>
          <w:highlight w:val="none"/>
        </w:rPr>
        <w:t>《残疾人福利性单位声明函》</w:t>
      </w:r>
      <w:r>
        <w:rPr>
          <w:rFonts w:hint="eastAsia" w:asciiTheme="majorEastAsia" w:hAnsiTheme="majorEastAsia" w:eastAsiaTheme="majorEastAsia"/>
          <w:color w:val="auto"/>
          <w:sz w:val="24"/>
          <w:highlight w:val="none"/>
        </w:rPr>
        <w:t>或省级以上监狱管理局、戒毒管理局（含新疆生产建设兵团）出具的属于监狱企业的证明文件的供应商，其最后报价按照</w:t>
      </w:r>
      <w:r>
        <w:rPr>
          <w:rFonts w:hint="eastAsia" w:asciiTheme="majorEastAsia" w:hAnsiTheme="majorEastAsia" w:eastAsiaTheme="majorEastAsia"/>
          <w:color w:val="auto"/>
          <w:sz w:val="24"/>
          <w:highlight w:val="none"/>
          <w:u w:val="single"/>
        </w:rPr>
        <w:t>供应商须知前附表</w:t>
      </w:r>
      <w:r>
        <w:rPr>
          <w:rFonts w:hint="eastAsia" w:asciiTheme="majorEastAsia" w:hAnsiTheme="majorEastAsia" w:eastAsiaTheme="majorEastAsia"/>
          <w:color w:val="auto"/>
          <w:sz w:val="24"/>
          <w:highlight w:val="none"/>
        </w:rPr>
        <w:t>中规定的标准扣除后的价格参与评审。对于同时属于小微企业、监狱企业或残疾人福利性单位的，不重复进行最后报价扣除。</w:t>
      </w:r>
    </w:p>
    <w:p w14:paraId="4378D75F">
      <w:pPr>
        <w:spacing w:line="360" w:lineRule="auto"/>
        <w:ind w:firstLine="435"/>
        <w:rPr>
          <w:rFonts w:asciiTheme="majorEastAsia" w:hAnsiTheme="majorEastAsia" w:eastAsiaTheme="majorEastAsia"/>
          <w:color w:val="auto"/>
          <w:sz w:val="24"/>
          <w:highlight w:val="none"/>
        </w:rPr>
      </w:pPr>
      <w:r>
        <w:rPr>
          <w:rFonts w:hint="eastAsia" w:asciiTheme="majorEastAsia" w:hAnsiTheme="majorEastAsia" w:eastAsiaTheme="majorEastAsia"/>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Theme="majorEastAsia" w:hAnsiTheme="majorEastAsia" w:eastAsiaTheme="majorEastAsia"/>
          <w:color w:val="auto"/>
          <w:sz w:val="24"/>
          <w:highlight w:val="none"/>
        </w:rPr>
        <w:t>30%以上的，可给予联合体或者大中型企业的</w:t>
      </w:r>
      <w:r>
        <w:rPr>
          <w:rFonts w:hint="eastAsia" w:asciiTheme="majorEastAsia" w:hAnsiTheme="majorEastAsia" w:eastAsiaTheme="majorEastAsia"/>
          <w:color w:val="auto"/>
          <w:sz w:val="24"/>
          <w:highlight w:val="none"/>
        </w:rPr>
        <w:t>最后报价按照</w:t>
      </w:r>
      <w:r>
        <w:rPr>
          <w:rFonts w:hint="eastAsia" w:asciiTheme="majorEastAsia" w:hAnsiTheme="majorEastAsia" w:eastAsiaTheme="majorEastAsia"/>
          <w:color w:val="auto"/>
          <w:sz w:val="24"/>
          <w:highlight w:val="none"/>
          <w:u w:val="single"/>
        </w:rPr>
        <w:t>供应商须知前附表</w:t>
      </w:r>
      <w:r>
        <w:rPr>
          <w:rFonts w:hint="eastAsia" w:asciiTheme="majorEastAsia" w:hAnsiTheme="majorEastAsia" w:eastAsiaTheme="majorEastAsia"/>
          <w:color w:val="auto"/>
          <w:sz w:val="24"/>
          <w:highlight w:val="none"/>
        </w:rPr>
        <w:t>中规定的标准扣除后的价格参与评审</w:t>
      </w:r>
      <w:r>
        <w:rPr>
          <w:rFonts w:asciiTheme="majorEastAsia" w:hAnsiTheme="majorEastAsia" w:eastAsiaTheme="majorEastAsia"/>
          <w:color w:val="auto"/>
          <w:sz w:val="24"/>
          <w:highlight w:val="none"/>
        </w:rPr>
        <w:t>。</w:t>
      </w:r>
      <w:r>
        <w:rPr>
          <w:rFonts w:hint="eastAsia" w:asciiTheme="majorEastAsia" w:hAnsiTheme="majorEastAsia" w:eastAsiaTheme="majorEastAsia"/>
          <w:color w:val="auto"/>
          <w:sz w:val="24"/>
          <w:highlight w:val="none"/>
        </w:rPr>
        <w:t>组成联合体或者接受分包的小微企业与联合体内其他企业、分包企业之间存在直接控股、管理关系的，不享受价格扣除优惠政策。</w:t>
      </w:r>
    </w:p>
    <w:p w14:paraId="77E5ABA3">
      <w:pPr>
        <w:spacing w:line="360" w:lineRule="auto"/>
        <w:ind w:firstLine="435"/>
        <w:rPr>
          <w:rFonts w:asciiTheme="minorEastAsia" w:hAnsiTheme="minorEastAsia" w:eastAsiaTheme="minorEastAsia"/>
          <w:color w:val="auto"/>
          <w:sz w:val="24"/>
          <w:highlight w:val="none"/>
        </w:rPr>
      </w:pPr>
      <w:r>
        <w:rPr>
          <w:rFonts w:hint="eastAsia" w:asciiTheme="majorEastAsia" w:hAnsiTheme="majorEastAsia" w:eastAsiaTheme="majorEastAsia"/>
          <w:color w:val="auto"/>
          <w:sz w:val="24"/>
          <w:highlight w:val="none"/>
        </w:rPr>
        <w:t>以联合体形式参加政府采购活动，联合体各方均为中小企业的，联合体视同中小企业。其中，联合体各方均为小微企业的，联合体视同小微企业。</w:t>
      </w:r>
    </w:p>
    <w:p w14:paraId="379BC034">
      <w:pPr>
        <w:pStyle w:val="44"/>
        <w:widowControl w:val="0"/>
        <w:spacing w:before="0" w:beforeAutospacing="0" w:after="0" w:afterAutospacing="0" w:line="360" w:lineRule="auto"/>
        <w:ind w:firstLine="480" w:firstLineChars="200"/>
        <w:jc w:val="both"/>
        <w:rPr>
          <w:rFonts w:ascii="宋体" w:hAnsi="宋体" w:eastAsia="宋体"/>
          <w:b w:val="0"/>
          <w:color w:val="auto"/>
          <w:sz w:val="24"/>
          <w:highlight w:val="none"/>
        </w:rPr>
      </w:pPr>
      <w:r>
        <w:rPr>
          <w:rFonts w:hint="eastAsia" w:ascii="宋体" w:hAnsi="宋体" w:eastAsia="宋体"/>
          <w:b w:val="0"/>
          <w:bCs w:val="0"/>
          <w:color w:val="auto"/>
          <w:kern w:val="2"/>
          <w:sz w:val="24"/>
          <w:szCs w:val="20"/>
          <w:highlight w:val="none"/>
        </w:rPr>
        <w:t>17.5</w:t>
      </w:r>
      <w:r>
        <w:rPr>
          <w:rFonts w:hint="eastAsia" w:ascii="宋体" w:hAnsi="宋体" w:eastAsia="宋体"/>
          <w:b w:val="0"/>
          <w:color w:val="auto"/>
          <w:sz w:val="24"/>
          <w:highlight w:val="none"/>
        </w:rPr>
        <w:t>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AE664D2">
      <w:pPr>
        <w:pStyle w:val="44"/>
        <w:widowControl w:val="0"/>
        <w:spacing w:before="0" w:beforeAutospacing="0" w:after="0" w:afterAutospacing="0" w:line="360" w:lineRule="auto"/>
        <w:ind w:firstLine="480" w:firstLineChars="200"/>
        <w:jc w:val="both"/>
        <w:rPr>
          <w:rFonts w:ascii="宋体" w:hAnsi="宋体" w:eastAsia="宋体" w:cs="Times New Roman"/>
          <w:b w:val="0"/>
          <w:color w:val="auto"/>
          <w:sz w:val="24"/>
          <w:highlight w:val="none"/>
        </w:rPr>
      </w:pPr>
      <w:r>
        <w:rPr>
          <w:rFonts w:hint="eastAsia" w:ascii="宋体" w:hAnsi="宋体" w:eastAsia="宋体" w:cs="Times New Roman"/>
          <w:b w:val="0"/>
          <w:color w:val="auto"/>
          <w:sz w:val="24"/>
          <w:highlight w:val="none"/>
        </w:rPr>
        <w:t>磋商小组应当对</w:t>
      </w:r>
      <w:r>
        <w:rPr>
          <w:rFonts w:hint="eastAsia" w:ascii="宋体" w:hAnsi="宋体" w:eastAsia="宋体"/>
          <w:b w:val="0"/>
          <w:color w:val="auto"/>
          <w:sz w:val="24"/>
          <w:highlight w:val="none"/>
        </w:rPr>
        <w:t>供应商</w:t>
      </w:r>
      <w:r>
        <w:rPr>
          <w:rFonts w:hint="eastAsia" w:ascii="宋体" w:hAnsi="宋体" w:eastAsia="宋体" w:cs="Times New Roman"/>
          <w:b w:val="0"/>
          <w:color w:val="auto"/>
          <w:sz w:val="24"/>
          <w:highlight w:val="none"/>
        </w:rPr>
        <w:t>所出具的《关于符合本国产品标准的声明函》（以下简称《声明函》）的完整性、准确性进行审查，评审中发现《声明函》内容含义不明确、同类事项与响应文件表述不一致或者有明显文字错误等情况的，应当以书面形式要求</w:t>
      </w:r>
      <w:r>
        <w:rPr>
          <w:rFonts w:hint="eastAsia" w:ascii="宋体" w:hAnsi="宋体" w:eastAsia="宋体"/>
          <w:b w:val="0"/>
          <w:color w:val="auto"/>
          <w:sz w:val="24"/>
          <w:highlight w:val="none"/>
        </w:rPr>
        <w:t>供应商</w:t>
      </w:r>
      <w:r>
        <w:rPr>
          <w:rFonts w:hint="eastAsia" w:ascii="宋体" w:hAnsi="宋体" w:eastAsia="宋体" w:cs="Times New Roman"/>
          <w:b w:val="0"/>
          <w:color w:val="auto"/>
          <w:sz w:val="24"/>
          <w:highlight w:val="none"/>
        </w:rPr>
        <w:t>作出必要的澄清、说明或者补正。经澄清、说明或者补正的《声明函》仍然不符合规定要求的，</w:t>
      </w:r>
      <w:r>
        <w:rPr>
          <w:rFonts w:hint="eastAsia" w:ascii="宋体" w:hAnsi="宋体" w:eastAsia="宋体"/>
          <w:b w:val="0"/>
          <w:color w:val="auto"/>
          <w:sz w:val="24"/>
          <w:highlight w:val="none"/>
        </w:rPr>
        <w:t>供应商</w:t>
      </w:r>
      <w:r>
        <w:rPr>
          <w:rFonts w:hint="eastAsia" w:ascii="宋体" w:hAnsi="宋体" w:eastAsia="宋体" w:cs="Times New Roman"/>
          <w:b w:val="0"/>
          <w:color w:val="auto"/>
          <w:sz w:val="24"/>
          <w:highlight w:val="none"/>
        </w:rPr>
        <w:t>提供的相关产品视为不符合本国产品标准。</w:t>
      </w:r>
    </w:p>
    <w:p w14:paraId="3F89A8B8">
      <w:pPr>
        <w:spacing w:line="360" w:lineRule="auto"/>
        <w:ind w:firstLine="437"/>
        <w:rPr>
          <w:rFonts w:ascii="宋体" w:hAnsi="宋体" w:eastAsia="宋体" w:cs="宋体"/>
          <w:b w:val="0"/>
          <w:bCs w:val="0"/>
          <w:color w:val="auto"/>
          <w:sz w:val="24"/>
          <w:highlight w:val="none"/>
        </w:rPr>
      </w:pPr>
      <w:r>
        <w:rPr>
          <w:rFonts w:hint="eastAsia" w:ascii="宋体" w:hAnsi="宋体" w:eastAsia="宋体" w:cs="Times New Roman"/>
          <w:b w:val="0"/>
          <w:bCs w:val="0"/>
          <w:color w:val="auto"/>
          <w:sz w:val="24"/>
          <w:highlight w:val="none"/>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rPr>
          <w:rFonts w:hint="eastAsia" w:ascii="宋体" w:hAnsi="宋体" w:eastAsia="宋体" w:cs="宋体"/>
          <w:b w:val="0"/>
          <w:bCs w:val="0"/>
          <w:color w:val="auto"/>
          <w:sz w:val="24"/>
          <w:highlight w:val="none"/>
        </w:rPr>
        <w:t>。</w:t>
      </w:r>
      <w:bookmarkEnd w:id="12"/>
    </w:p>
    <w:bookmarkEnd w:id="13"/>
    <w:p w14:paraId="0F1A3706">
      <w:pPr>
        <w:spacing w:line="360" w:lineRule="auto"/>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18.成交候选供应商的推荐原则及标准</w:t>
      </w:r>
    </w:p>
    <w:p w14:paraId="5F6999F3">
      <w:pPr>
        <w:spacing w:line="360" w:lineRule="auto"/>
        <w:ind w:firstLine="435"/>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rPr>
        <w:t>18.1磋商小组依据本项目磋商文件所约定的评审方法和标准，按照有效供应商综合总得分由高到低依次推荐成交候选供应商。综合总得分出现两家或两家以上相同者，按最后报价由低到高排序推荐成交候选供应商；综合总得分且最后报价均相同的，由磋商小组按照技术指标优劣顺序推荐成交候选供应商；</w:t>
      </w:r>
      <w:r>
        <w:rPr>
          <w:rFonts w:hint="eastAsia" w:ascii="宋体" w:hAnsi="宋体" w:eastAsia="宋体" w:cs="宋体"/>
          <w:color w:val="auto"/>
          <w:sz w:val="24"/>
          <w:highlight w:val="none"/>
          <w:lang w:val="en-US" w:eastAsia="zh-CN"/>
        </w:rPr>
        <w:t>磋商小组认为技术指标优劣也一致的，可采取随机抽取的方式确定。</w:t>
      </w:r>
    </w:p>
    <w:p w14:paraId="6E21C31A">
      <w:pPr>
        <w:spacing w:line="360" w:lineRule="auto"/>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19.确定成交候选供应商和成交供应商</w:t>
      </w:r>
    </w:p>
    <w:p w14:paraId="4C07D7EE">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19.1磋商小组根据综合评分的结果和</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中规定确定成交候选供应商，并标明排列顺序。按</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中规定，由磋商小组或采购人确定成交供应商。</w:t>
      </w:r>
    </w:p>
    <w:p w14:paraId="53318F7E">
      <w:pPr>
        <w:spacing w:line="360" w:lineRule="auto"/>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20.编写评审报告</w:t>
      </w:r>
    </w:p>
    <w:p w14:paraId="4442E872">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20.1评审报告是根据全体磋商小组成员签字的原始评审记录和评审结果编写的报告，评审报告由磋商小组全体成员签字。对评审结论持有异议的磋商小组成员可以书面方式阐述其不同意见和理由。磋商小组成员拒绝在评审报告上签字且不陈述其不同意见和理由的，视为同意评审结论。</w:t>
      </w:r>
    </w:p>
    <w:p w14:paraId="56443C20">
      <w:pPr>
        <w:spacing w:line="360" w:lineRule="auto"/>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21.保密要求</w:t>
      </w:r>
    </w:p>
    <w:p w14:paraId="7FFDC1D0">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21.1评审将在严格保密的情况下进行。</w:t>
      </w:r>
    </w:p>
    <w:p w14:paraId="2041849B">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21.2有关人员应当遵守评审工作纪律，不得泄露评审文件、评审情况和评审中获悉的国家秘密、商业秘密。</w:t>
      </w:r>
    </w:p>
    <w:p w14:paraId="23095A12">
      <w:pPr>
        <w:spacing w:line="360" w:lineRule="auto"/>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22.成交结果公告</w:t>
      </w:r>
    </w:p>
    <w:p w14:paraId="3793E26F">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22.1为体现“公开、公平、公正”的原则，磋商结束后，</w:t>
      </w:r>
      <w:r>
        <w:rPr>
          <w:rFonts w:hint="eastAsia" w:ascii="宋体" w:hAnsi="宋体" w:eastAsia="宋体" w:cs="宋体"/>
          <w:color w:val="auto"/>
          <w:sz w:val="24"/>
          <w:szCs w:val="18"/>
          <w:highlight w:val="none"/>
        </w:rPr>
        <w:t>采购代理机构将在安徽省政府采购网（www.ccgp-anhui.gov.cn）和</w:t>
      </w:r>
      <w:r>
        <w:rPr>
          <w:rFonts w:hint="eastAsia" w:ascii="宋体" w:hAnsi="宋体" w:eastAsia="宋体" w:cs="宋体"/>
          <w:color w:val="auto"/>
          <w:sz w:val="24"/>
          <w:szCs w:val="24"/>
          <w:highlight w:val="none"/>
        </w:rPr>
        <w:t>滁州市公共资源交易中心网（http://ggzy.chuzhou.gov.cn/）</w:t>
      </w:r>
      <w:r>
        <w:rPr>
          <w:rFonts w:hint="eastAsia" w:ascii="宋体" w:hAnsi="宋体" w:eastAsia="宋体" w:cs="宋体"/>
          <w:color w:val="auto"/>
          <w:sz w:val="24"/>
          <w:highlight w:val="none"/>
        </w:rPr>
        <w:t>上发布成交结果公告。</w:t>
      </w:r>
    </w:p>
    <w:p w14:paraId="4C70ABC9">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22.2成交结果公告内容应当包括采购人及其委托的采购代理机构的名称、地址、联系方式，项目名称和项目编号，成交供应商名称、地址和成交金额，主要成交标的的名称、服务范围、服务要求、服务时间、服务标准，成交结果公告期限、评审专家名单以及</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中约定进行公告的内容。</w:t>
      </w:r>
    </w:p>
    <w:p w14:paraId="2A6E1620">
      <w:pPr>
        <w:spacing w:line="360" w:lineRule="auto"/>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23.成交通知书</w:t>
      </w:r>
    </w:p>
    <w:p w14:paraId="45868165">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23.1采购代理机构发布成交结果公告的同时以</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规定的形式向成交供应商发出成交通知书。成交通知书须加盖采购人、采购代理机构公章并经公共资源交易中心加盖见证章后，方可发出。</w:t>
      </w:r>
    </w:p>
    <w:p w14:paraId="48A9F9C8">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23.2成交通知书对采购人和成交供应商具有同等法律效力。成交通知书发出以后，采购人改变成交结果或者成交供应商放弃成交资格，应当承担相应的法律责任。</w:t>
      </w:r>
    </w:p>
    <w:p w14:paraId="019D676B">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23.3成交通知书是合同的组成部分。</w:t>
      </w:r>
    </w:p>
    <w:p w14:paraId="301ADDA4">
      <w:pPr>
        <w:spacing w:line="360" w:lineRule="auto"/>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24.告知磋商结果</w:t>
      </w:r>
    </w:p>
    <w:p w14:paraId="3660F278">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24.1在公告成交结果的同时，采购代理机构同时以</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规定的形式告知未成交供应商本人的评审得分和排序。</w:t>
      </w:r>
    </w:p>
    <w:p w14:paraId="589E212B">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24.2采购代理机构对未成交的供应商不做未成交原因的解释。</w:t>
      </w:r>
    </w:p>
    <w:p w14:paraId="00363163">
      <w:pPr>
        <w:spacing w:line="360" w:lineRule="auto"/>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25.履约保证金</w:t>
      </w:r>
    </w:p>
    <w:p w14:paraId="427A9CCC">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25.1成交供应商应按照</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规定缴纳履约保证金。</w:t>
      </w:r>
    </w:p>
    <w:p w14:paraId="51B66756">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25.2如果成交供应商没有按照上述履约保证金的规定执行，将视为放弃成交资格。在此情况下，采购人可确定下一成交候选供应商为成交供应商，也可以重新开展采购活动。</w:t>
      </w:r>
    </w:p>
    <w:p w14:paraId="37FFB918">
      <w:pPr>
        <w:spacing w:line="360" w:lineRule="auto"/>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26.代理费用</w:t>
      </w:r>
    </w:p>
    <w:p w14:paraId="12C8BD55">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26.1本项目代理费用的收取按</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的规定执行。</w:t>
      </w:r>
    </w:p>
    <w:p w14:paraId="4728C509">
      <w:pPr>
        <w:spacing w:line="360" w:lineRule="auto"/>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27.签订合同</w:t>
      </w:r>
    </w:p>
    <w:p w14:paraId="26C932B7">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27.1</w:t>
      </w:r>
      <w:r>
        <w:rPr>
          <w:rFonts w:hint="eastAsia" w:ascii="宋体" w:hAnsi="宋体" w:eastAsia="宋体" w:cs="宋体"/>
          <w:color w:val="auto"/>
          <w:sz w:val="24"/>
          <w:szCs w:val="24"/>
          <w:highlight w:val="none"/>
        </w:rPr>
        <w:t>采购人与成交供应商应当按照</w:t>
      </w:r>
      <w:r>
        <w:rPr>
          <w:rFonts w:hint="eastAsia" w:ascii="宋体" w:hAnsi="宋体" w:eastAsia="宋体" w:cs="宋体"/>
          <w:color w:val="auto"/>
          <w:sz w:val="24"/>
          <w:szCs w:val="24"/>
          <w:highlight w:val="none"/>
          <w:u w:val="single"/>
        </w:rPr>
        <w:t>供应商须知前附表</w:t>
      </w:r>
      <w:r>
        <w:rPr>
          <w:rFonts w:hint="eastAsia" w:ascii="宋体" w:hAnsi="宋体" w:eastAsia="宋体" w:cs="宋体"/>
          <w:color w:val="auto"/>
          <w:sz w:val="24"/>
          <w:szCs w:val="24"/>
          <w:highlight w:val="none"/>
        </w:rPr>
        <w:t>规定的时间内完成政府采购合同签订及合同公告。</w:t>
      </w:r>
    </w:p>
    <w:p w14:paraId="58D6939D">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27.2磋商文件、成交供应商的响应文件及其澄清文件等，均为签订合同的依据。</w:t>
      </w:r>
    </w:p>
    <w:p w14:paraId="3AE78554">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27.3成交供应商拒绝与采购人签订合同的，采购人可以按照评审报告推荐的成交候选供应商名单排序，确定下一成交候选供应商为成交供应商，也可以重新开展采购活动。成交供应商拒绝签订政府采购合同的不得参加对该项目重新开展的采购活动。</w:t>
      </w:r>
    </w:p>
    <w:p w14:paraId="4B01E0CD">
      <w:pPr>
        <w:spacing w:line="360" w:lineRule="auto"/>
        <w:ind w:firstLine="470" w:firstLineChars="196"/>
        <w:rPr>
          <w:rFonts w:ascii="宋体" w:hAnsi="宋体" w:eastAsia="宋体" w:cs="宋体"/>
          <w:color w:val="auto"/>
          <w:sz w:val="24"/>
          <w:highlight w:val="none"/>
        </w:rPr>
      </w:pPr>
      <w:bookmarkStart w:id="14" w:name="_Hlk60264926"/>
      <w:r>
        <w:rPr>
          <w:rFonts w:hint="eastAsia" w:ascii="宋体" w:hAnsi="宋体" w:eastAsia="宋体" w:cs="宋体"/>
          <w:color w:val="auto"/>
          <w:sz w:val="24"/>
          <w:highlight w:val="none"/>
        </w:rPr>
        <w:t>27.4依据《政府采购促进中小企业发展管理办法》（财库〔2020〕46号）规定享受扶持政策获得政府采购合同的，小微企业不得将合同分包给大中型企业，中型企业不得将合同分包给大型企业。</w:t>
      </w:r>
      <w:bookmarkEnd w:id="14"/>
    </w:p>
    <w:p w14:paraId="573CF42E">
      <w:pPr>
        <w:spacing w:line="360" w:lineRule="auto"/>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28.廉洁自律规定</w:t>
      </w:r>
    </w:p>
    <w:p w14:paraId="0A92C232">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28.1采购代理机构工作人员不得以不正当手段获取政府采购代理业务，不得与采购人、供应商恶意串通。</w:t>
      </w:r>
    </w:p>
    <w:p w14:paraId="7AA7B34C">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28.2采购代理机构工作人员不得接受采购人或者供应商组织的宴请、旅游、娱乐，不得收受礼品、现金、有价证券等，不得向采购人或者供应商报销应当由个人承担的费用。</w:t>
      </w:r>
    </w:p>
    <w:p w14:paraId="06CFC6EA">
      <w:pPr>
        <w:spacing w:line="360" w:lineRule="auto"/>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29.质疑的提出与接收</w:t>
      </w:r>
    </w:p>
    <w:p w14:paraId="21B7910C">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29.1供应商认为磋商文件、采购过程和成交结果使自己的权益受到损害的，可以在知道或者应知其权益受到损害之日起七个工作日内，以书面形式向采购人或其委托的采购代理机构提出质疑。</w:t>
      </w:r>
    </w:p>
    <w:p w14:paraId="63169F67">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29.2质疑供应商应按照财政部制定的《政府采购质疑函范本》格式（详见磋商文件）和《政府采购质疑和投诉办法》的要求，在法定质疑期内以书面形式提出质疑，超出法定质疑期提交的质疑将被拒绝。针对同一采购程序环节的质疑应一次性提出。</w:t>
      </w:r>
    </w:p>
    <w:p w14:paraId="26359A53">
      <w:pPr>
        <w:spacing w:line="360" w:lineRule="auto"/>
        <w:ind w:firstLine="435"/>
        <w:rPr>
          <w:rFonts w:ascii="宋体" w:hAnsi="宋体" w:eastAsia="宋体" w:cs="宋体"/>
          <w:color w:val="auto"/>
          <w:sz w:val="24"/>
          <w:highlight w:val="none"/>
          <w:u w:val="single"/>
        </w:rPr>
      </w:pPr>
      <w:r>
        <w:rPr>
          <w:rFonts w:hint="eastAsia" w:ascii="宋体" w:hAnsi="宋体" w:eastAsia="宋体" w:cs="宋体"/>
          <w:color w:val="auto"/>
          <w:sz w:val="24"/>
          <w:highlight w:val="none"/>
        </w:rPr>
        <w:t>29.3采购代理机构质疑函接收部门、联系电话和通讯地址，见</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w:t>
      </w:r>
    </w:p>
    <w:p w14:paraId="3FA16C3E">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29.4采购人或采购代理机构在收到供应商的质疑函后，将审查质疑函的格式、内容以及所附的证明文件是否符合要求。如不符合，说明原因退回供应商；如符合要求，则接受该质疑函。供应商对评审过程、成交结果提出质疑的，采购人、采购代理机构可以组织原磋商小组协助答复质疑。处理质疑的时间，从实际接受供应商质疑函的时间开始计算。</w:t>
      </w:r>
    </w:p>
    <w:p w14:paraId="6EA8B930">
      <w:pPr>
        <w:spacing w:line="360" w:lineRule="auto"/>
        <w:ind w:firstLine="435"/>
        <w:rPr>
          <w:rFonts w:ascii="宋体" w:hAnsi="宋体" w:eastAsia="宋体" w:cs="宋体"/>
          <w:color w:val="auto"/>
          <w:sz w:val="24"/>
          <w:highlight w:val="none"/>
        </w:rPr>
      </w:pPr>
      <w:r>
        <w:rPr>
          <w:rFonts w:hint="eastAsia" w:ascii="宋体" w:hAnsi="宋体" w:eastAsia="宋体" w:cs="宋体"/>
          <w:color w:val="auto"/>
          <w:sz w:val="24"/>
          <w:highlight w:val="none"/>
        </w:rPr>
        <w:t>注：上述条款中所要求的书面形式包含通过电子交易系统递交方式。</w:t>
      </w:r>
    </w:p>
    <w:p w14:paraId="459C1400">
      <w:pPr>
        <w:spacing w:line="360" w:lineRule="auto"/>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30.投诉</w:t>
      </w:r>
    </w:p>
    <w:p w14:paraId="717CC9C5">
      <w:pPr>
        <w:wordWrap w:val="0"/>
        <w:spacing w:line="360" w:lineRule="auto"/>
        <w:ind w:firstLine="437"/>
        <w:rPr>
          <w:rFonts w:ascii="宋体" w:hAnsi="宋体" w:eastAsia="宋体" w:cs="宋体"/>
          <w:color w:val="auto"/>
          <w:sz w:val="24"/>
          <w:highlight w:val="none"/>
        </w:rPr>
      </w:pPr>
      <w:r>
        <w:rPr>
          <w:rFonts w:hint="eastAsia" w:ascii="宋体" w:hAnsi="宋体" w:eastAsia="宋体" w:cs="宋体"/>
          <w:color w:val="auto"/>
          <w:sz w:val="24"/>
          <w:highlight w:val="none"/>
        </w:rPr>
        <w:t>30.1质疑供应商对采购人、采购代理机构的答复不满意，或者采购人、采购代理机构未在规定的时间内答复的，可以在答复期满后十五个工作日内按有关规定，以书面形式（http://ggzy.chuzhou.gov.cn/fwzn/011001/011001001/011001001003/20200727/7fb88e17-63dd-4f17-b17c-290526c6eda8.html）向同级政府采购监督管理部门提出投诉或者线上提交投诉材料（http://ggzy.chuzhou.gov.cn/fwzn/011001/011001001/011001001003/20200221/b079d9ca-90f2-4cce-aa7c-94a444e7ac91.html）。</w:t>
      </w:r>
    </w:p>
    <w:p w14:paraId="5F2B6B9F">
      <w:pPr>
        <w:wordWrap w:val="0"/>
        <w:spacing w:line="360" w:lineRule="auto"/>
        <w:ind w:firstLine="437"/>
        <w:rPr>
          <w:rFonts w:ascii="宋体" w:hAnsi="宋体" w:eastAsia="宋体" w:cs="宋体"/>
          <w:color w:val="auto"/>
          <w:sz w:val="24"/>
          <w:highlight w:val="none"/>
        </w:rPr>
      </w:pPr>
      <w:r>
        <w:rPr>
          <w:rFonts w:hint="eastAsia" w:ascii="宋体" w:hAnsi="宋体" w:eastAsia="宋体" w:cs="宋体"/>
          <w:color w:val="auto"/>
          <w:sz w:val="24"/>
          <w:highlight w:val="none"/>
        </w:rPr>
        <w:t>30.2政府采购监督管理部门应当在收到投诉后30个工作日内，对投诉事项作出处理决定，并以书面形式通知投诉人和与投诉事项有关的当事人，并在安徽省政府采购网公告。政府采购监督管理部门处理投诉事项，需要检验、检测、鉴定、专家评审以及需要投诉人补正材料的，所需时间不计算在投诉处理期限内。</w:t>
      </w:r>
    </w:p>
    <w:p w14:paraId="3751C8B6">
      <w:pPr>
        <w:wordWrap w:val="0"/>
        <w:spacing w:line="360" w:lineRule="auto"/>
        <w:ind w:firstLine="437"/>
        <w:rPr>
          <w:rFonts w:ascii="宋体" w:hAnsi="宋体" w:eastAsia="宋体" w:cs="宋体"/>
          <w:color w:val="auto"/>
          <w:sz w:val="24"/>
          <w:highlight w:val="none"/>
        </w:rPr>
      </w:pPr>
      <w:r>
        <w:rPr>
          <w:rFonts w:hint="eastAsia" w:ascii="宋体" w:hAnsi="宋体" w:eastAsia="宋体" w:cs="宋体"/>
          <w:color w:val="auto"/>
          <w:sz w:val="24"/>
          <w:highlight w:val="none"/>
        </w:rPr>
        <w:t>30.3政府采购监督管理部门在处理投诉事项期间，可以视具体情况书面通知采购人暂停采购活动，但暂停时间最长不得超过30日。</w:t>
      </w:r>
    </w:p>
    <w:p w14:paraId="2D345BE9">
      <w:pPr>
        <w:spacing w:line="360" w:lineRule="auto"/>
        <w:ind w:firstLine="437"/>
        <w:outlineLvl w:val="2"/>
        <w:rPr>
          <w:rFonts w:ascii="宋体" w:hAnsi="宋体" w:eastAsia="宋体" w:cs="宋体"/>
          <w:b/>
          <w:color w:val="auto"/>
          <w:sz w:val="24"/>
          <w:highlight w:val="none"/>
        </w:rPr>
      </w:pPr>
      <w:r>
        <w:rPr>
          <w:rFonts w:hint="eastAsia" w:ascii="宋体" w:hAnsi="宋体" w:eastAsia="宋体" w:cs="宋体"/>
          <w:b/>
          <w:color w:val="auto"/>
          <w:sz w:val="24"/>
          <w:highlight w:val="none"/>
        </w:rPr>
        <w:t>31.需要补充的其他内容</w:t>
      </w:r>
    </w:p>
    <w:p w14:paraId="45A56257">
      <w:pPr>
        <w:spacing w:line="360" w:lineRule="auto"/>
        <w:ind w:firstLine="437"/>
        <w:outlineLvl w:val="2"/>
        <w:rPr>
          <w:rFonts w:asciiTheme="minorEastAsia" w:hAnsiTheme="minorEastAsia" w:eastAsiaTheme="minorEastAsia"/>
          <w:b/>
          <w:color w:val="auto"/>
          <w:sz w:val="28"/>
          <w:highlight w:val="none"/>
        </w:rPr>
      </w:pPr>
      <w:r>
        <w:rPr>
          <w:rFonts w:hint="eastAsia" w:ascii="宋体" w:hAnsi="宋体" w:eastAsia="宋体" w:cs="宋体"/>
          <w:color w:val="auto"/>
          <w:sz w:val="24"/>
          <w:highlight w:val="none"/>
        </w:rPr>
        <w:t>需要补充的其他内容，见</w:t>
      </w:r>
      <w:r>
        <w:rPr>
          <w:rFonts w:hint="eastAsia" w:ascii="宋体" w:hAnsi="宋体" w:eastAsia="宋体" w:cs="宋体"/>
          <w:color w:val="auto"/>
          <w:sz w:val="24"/>
          <w:highlight w:val="none"/>
          <w:u w:val="single"/>
        </w:rPr>
        <w:t>供应商须知前附表</w:t>
      </w:r>
      <w:r>
        <w:rPr>
          <w:rFonts w:hint="eastAsia" w:ascii="宋体" w:hAnsi="宋体" w:eastAsia="宋体"/>
          <w:color w:val="auto"/>
          <w:sz w:val="24"/>
          <w:highlight w:val="none"/>
        </w:rPr>
        <w:t>。</w:t>
      </w:r>
      <w:r>
        <w:rPr>
          <w:rFonts w:asciiTheme="minorEastAsia" w:hAnsiTheme="minorEastAsia" w:eastAsiaTheme="minorEastAsia"/>
          <w:color w:val="auto"/>
          <w:sz w:val="24"/>
          <w:highlight w:val="none"/>
        </w:rPr>
        <w:br w:type="page"/>
      </w:r>
    </w:p>
    <w:p w14:paraId="16D706A6">
      <w:pPr>
        <w:spacing w:line="360" w:lineRule="auto"/>
        <w:jc w:val="center"/>
        <w:outlineLvl w:val="0"/>
        <w:rPr>
          <w:rFonts w:asciiTheme="minorEastAsia" w:hAnsiTheme="minorEastAsia" w:eastAsiaTheme="minorEastAsia"/>
          <w:b/>
          <w:color w:val="auto"/>
          <w:sz w:val="28"/>
          <w:highlight w:val="none"/>
        </w:rPr>
      </w:pPr>
      <w:bookmarkStart w:id="15" w:name="_Toc19440"/>
      <w:bookmarkStart w:id="16" w:name="_Toc14659"/>
      <w:r>
        <w:rPr>
          <w:rFonts w:hint="eastAsia" w:asciiTheme="minorEastAsia" w:hAnsiTheme="minorEastAsia" w:eastAsiaTheme="minorEastAsia"/>
          <w:b/>
          <w:color w:val="auto"/>
          <w:sz w:val="28"/>
          <w:highlight w:val="none"/>
        </w:rPr>
        <w:t>第三章  采购需求</w:t>
      </w:r>
      <w:bookmarkEnd w:id="15"/>
      <w:bookmarkEnd w:id="16"/>
    </w:p>
    <w:p w14:paraId="45360B46">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3E5A1A0C">
      <w:pPr>
        <w:spacing w:line="360" w:lineRule="auto"/>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1.本采购需求中提出的服务方案仅为参考，如无明确限制，供应商可以进行优化，提供满足采购人实际需要的更优（或者性能实质上不低于的）服务方案，且此方案须经磋商小组评审认可。</w:t>
      </w:r>
    </w:p>
    <w:p w14:paraId="5BDB5B13">
      <w:pPr>
        <w:spacing w:line="360" w:lineRule="auto"/>
        <w:ind w:firstLine="435"/>
        <w:rPr>
          <w:rFonts w:ascii="宋体" w:hAnsi="宋体" w:eastAsia="宋体" w:cs="宋体"/>
          <w:color w:val="auto"/>
          <w:sz w:val="24"/>
          <w:szCs w:val="18"/>
          <w:highlight w:val="none"/>
        </w:rPr>
      </w:pPr>
      <w:r>
        <w:rPr>
          <w:rFonts w:hint="eastAsia" w:ascii="宋体" w:hAnsi="宋体" w:eastAsia="宋体" w:cs="宋体"/>
          <w:color w:val="auto"/>
          <w:sz w:val="24"/>
          <w:szCs w:val="18"/>
          <w:highlight w:val="none"/>
        </w:rPr>
        <w:t>2.下列采购需求中</w:t>
      </w:r>
      <w:r>
        <w:rPr>
          <w:rFonts w:hint="eastAsia" w:ascii="宋体" w:hAnsi="宋体" w:eastAsia="宋体" w:cs="宋体"/>
          <w:color w:val="auto"/>
          <w:sz w:val="24"/>
          <w:szCs w:val="24"/>
          <w:highlight w:val="none"/>
        </w:rPr>
        <w:t>（包括但不限于下列具体政策要求）</w:t>
      </w:r>
      <w:r>
        <w:rPr>
          <w:rFonts w:hint="eastAsia" w:ascii="宋体" w:hAnsi="宋体" w:eastAsia="宋体" w:cs="宋体"/>
          <w:color w:val="auto"/>
          <w:sz w:val="24"/>
          <w:szCs w:val="18"/>
          <w:highlight w:val="none"/>
        </w:rPr>
        <w:t>：</w:t>
      </w:r>
    </w:p>
    <w:p w14:paraId="41028F7A">
      <w:pPr>
        <w:spacing w:line="360" w:lineRule="auto"/>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供应商在响应文件中提供所投产品须具有市场监管总局公布的《参与实施政府采购节能产品认证机构目录》中的认证机构出具的、处于有效期内的节能产品认证证书。</w:t>
      </w:r>
    </w:p>
    <w:p w14:paraId="3443E263">
      <w:pPr>
        <w:spacing w:line="360" w:lineRule="auto"/>
        <w:ind w:firstLine="4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供应商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7D5E29D7">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18"/>
          <w:highlight w:val="none"/>
        </w:rPr>
        <w:t>3.如采购人允许采用分包方式履行合同的，应当明确可以分包履行的相关内容：</w:t>
      </w:r>
      <w:r>
        <w:rPr>
          <w:rFonts w:hint="eastAsia" w:ascii="宋体" w:hAnsi="宋体" w:eastAsia="宋体" w:cs="宋体"/>
          <w:color w:val="auto"/>
          <w:sz w:val="24"/>
          <w:szCs w:val="18"/>
          <w:highlight w:val="none"/>
          <w:u w:val="single"/>
        </w:rPr>
        <w:t>本项目不允许分包</w:t>
      </w:r>
      <w:r>
        <w:rPr>
          <w:rFonts w:hint="eastAsia" w:ascii="宋体" w:hAnsi="宋体" w:eastAsia="宋体"/>
          <w:color w:val="auto"/>
          <w:sz w:val="24"/>
          <w:szCs w:val="18"/>
          <w:highlight w:val="none"/>
        </w:rPr>
        <w:t>。</w:t>
      </w:r>
    </w:p>
    <w:p w14:paraId="3981E801">
      <w:pPr>
        <w:spacing w:line="360" w:lineRule="auto"/>
        <w:ind w:firstLine="437"/>
        <w:outlineLvl w:val="1"/>
        <w:rPr>
          <w:rFonts w:ascii="宋体" w:hAnsi="宋体" w:eastAsia="宋体"/>
          <w:b/>
          <w:color w:val="auto"/>
          <w:sz w:val="24"/>
          <w:szCs w:val="18"/>
          <w:highlight w:val="none"/>
        </w:rPr>
      </w:pPr>
      <w:bookmarkStart w:id="17" w:name="_Toc7699"/>
      <w:bookmarkStart w:id="18" w:name="_Toc26349"/>
      <w:r>
        <w:rPr>
          <w:rFonts w:hint="eastAsia" w:ascii="宋体" w:hAnsi="宋体" w:eastAsia="宋体"/>
          <w:b/>
          <w:color w:val="auto"/>
          <w:sz w:val="24"/>
          <w:szCs w:val="18"/>
          <w:highlight w:val="none"/>
        </w:rPr>
        <w:t>一、采购需求前附表</w:t>
      </w:r>
      <w:bookmarkEnd w:id="17"/>
      <w:bookmarkEnd w:id="18"/>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124BA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4328F54">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b/>
                <w:color w:val="auto"/>
                <w:kern w:val="2"/>
                <w:highlight w:val="none"/>
              </w:rPr>
            </w:pPr>
            <w:bookmarkStart w:id="19" w:name="_Hlk16461016"/>
            <w:r>
              <w:rPr>
                <w:rFonts w:hint="eastAsia" w:ascii="宋体" w:hAnsi="宋体" w:eastAsia="宋体"/>
                <w:b/>
                <w:color w:val="auto"/>
                <w:kern w:val="2"/>
                <w:highlight w:val="none"/>
              </w:rPr>
              <w:t>序号</w:t>
            </w:r>
          </w:p>
        </w:tc>
        <w:tc>
          <w:tcPr>
            <w:tcW w:w="1192" w:type="pct"/>
            <w:vAlign w:val="center"/>
          </w:tcPr>
          <w:p w14:paraId="27290695">
            <w:pPr>
              <w:pStyle w:val="44"/>
              <w:keepNext w:val="0"/>
              <w:keepLines w:val="0"/>
              <w:widowControl w:val="0"/>
              <w:suppressLineNumbers w:val="0"/>
              <w:spacing w:before="0" w:beforeAutospacing="0" w:after="0" w:afterAutospacing="0" w:line="360" w:lineRule="auto"/>
              <w:ind w:left="0" w:right="0"/>
              <w:rPr>
                <w:rFonts w:hint="default"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1B52E074">
            <w:pPr>
              <w:pStyle w:val="44"/>
              <w:keepNext w:val="0"/>
              <w:keepLines w:val="0"/>
              <w:widowControl w:val="0"/>
              <w:suppressLineNumbers w:val="0"/>
              <w:spacing w:before="0" w:beforeAutospacing="0" w:after="0" w:afterAutospacing="0" w:line="360" w:lineRule="auto"/>
              <w:ind w:left="0" w:right="0"/>
              <w:rPr>
                <w:rFonts w:hint="default"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61E22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2A4C058">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12294256">
            <w:pPr>
              <w:pStyle w:val="44"/>
              <w:keepNext w:val="0"/>
              <w:keepLines w:val="0"/>
              <w:widowControl w:val="0"/>
              <w:suppressLineNumbers w:val="0"/>
              <w:spacing w:before="0" w:beforeAutospacing="0" w:after="0" w:afterAutospacing="0" w:line="360" w:lineRule="auto"/>
              <w:ind w:left="0" w:right="0"/>
              <w:rPr>
                <w:rFonts w:hint="default" w:ascii="宋体" w:hAnsi="宋体" w:eastAsia="宋体"/>
                <w:b w:val="0"/>
                <w:color w:val="auto"/>
                <w:sz w:val="24"/>
                <w:highlight w:val="none"/>
              </w:rPr>
            </w:pPr>
            <w:r>
              <w:rPr>
                <w:rFonts w:hint="eastAsia" w:ascii="宋体" w:hAnsi="宋体" w:eastAsia="宋体" w:cs="宋体"/>
                <w:b w:val="0"/>
                <w:color w:val="auto"/>
                <w:sz w:val="24"/>
                <w:highlight w:val="none"/>
              </w:rPr>
              <w:t>付款方式</w:t>
            </w:r>
          </w:p>
        </w:tc>
        <w:tc>
          <w:tcPr>
            <w:tcW w:w="3217" w:type="pct"/>
            <w:vAlign w:val="center"/>
          </w:tcPr>
          <w:p w14:paraId="45F2C9B2">
            <w:pPr>
              <w:pStyle w:val="44"/>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u w:val="single"/>
              </w:rPr>
            </w:pPr>
            <w:r>
              <w:rPr>
                <w:rFonts w:hint="default" w:ascii="宋体" w:hAnsi="宋体" w:eastAsia="宋体"/>
                <w:b w:val="0"/>
                <w:color w:val="auto"/>
                <w:sz w:val="24"/>
                <w:highlight w:val="none"/>
                <w:u w:val="single"/>
              </w:rPr>
              <w:t>合同签订生效并具备实施条件（计划下达）后支付合同价款的40%为预付款（预付款支付前，供应商须提供同等金额的见索即付保函），工程交竣工验收合格后，发包人一次性结清余款。</w:t>
            </w:r>
          </w:p>
        </w:tc>
      </w:tr>
      <w:tr w14:paraId="0E595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0830288">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2DD6C589">
            <w:pPr>
              <w:pStyle w:val="44"/>
              <w:keepNext w:val="0"/>
              <w:keepLines w:val="0"/>
              <w:widowControl w:val="0"/>
              <w:suppressLineNumbers w:val="0"/>
              <w:spacing w:before="0" w:beforeAutospacing="0" w:after="0" w:afterAutospacing="0" w:line="360" w:lineRule="auto"/>
              <w:ind w:left="0" w:right="0"/>
              <w:rPr>
                <w:rFonts w:hint="default" w:ascii="宋体" w:hAnsi="宋体" w:eastAsia="宋体"/>
                <w:b w:val="0"/>
                <w:color w:val="auto"/>
                <w:sz w:val="24"/>
                <w:highlight w:val="none"/>
              </w:rPr>
            </w:pPr>
            <w:r>
              <w:rPr>
                <w:rFonts w:hint="eastAsia" w:ascii="宋体" w:hAnsi="宋体" w:eastAsia="宋体" w:cs="宋体"/>
                <w:b w:val="0"/>
                <w:color w:val="auto"/>
                <w:sz w:val="24"/>
                <w:highlight w:val="none"/>
              </w:rPr>
              <w:t>服务地点</w:t>
            </w:r>
          </w:p>
        </w:tc>
        <w:tc>
          <w:tcPr>
            <w:tcW w:w="3217" w:type="pct"/>
            <w:vAlign w:val="center"/>
          </w:tcPr>
          <w:p w14:paraId="3955E5A5">
            <w:pPr>
              <w:pStyle w:val="44"/>
              <w:keepNext w:val="0"/>
              <w:keepLines w:val="0"/>
              <w:widowControl w:val="0"/>
              <w:suppressLineNumbers w:val="0"/>
              <w:spacing w:before="0" w:beforeAutospacing="0" w:after="0" w:afterAutospacing="0" w:line="360" w:lineRule="auto"/>
              <w:ind w:left="0" w:right="0"/>
              <w:jc w:val="both"/>
              <w:rPr>
                <w:rFonts w:hint="default" w:ascii="宋体" w:hAnsi="宋体" w:eastAsia="宋体"/>
                <w:b w:val="0"/>
                <w:color w:val="auto"/>
                <w:sz w:val="24"/>
                <w:highlight w:val="none"/>
              </w:rPr>
            </w:pPr>
            <w:r>
              <w:rPr>
                <w:rFonts w:hint="eastAsia" w:ascii="宋体" w:hAnsi="宋体" w:eastAsia="宋体" w:cs="宋体"/>
                <w:b w:val="0"/>
                <w:color w:val="auto"/>
                <w:sz w:val="24"/>
                <w:highlight w:val="none"/>
                <w:lang w:eastAsia="zh-CN"/>
              </w:rPr>
              <w:t>滁州市公路管理服务中心，采购人指定地点。</w:t>
            </w:r>
            <w:r>
              <w:rPr>
                <w:rFonts w:hint="eastAsia" w:ascii="宋体" w:hAnsi="宋体" w:eastAsia="宋体" w:cs="宋体"/>
                <w:b w:val="0"/>
                <w:color w:val="auto"/>
                <w:sz w:val="24"/>
                <w:highlight w:val="none"/>
              </w:rPr>
              <w:t xml:space="preserve"> </w:t>
            </w:r>
          </w:p>
        </w:tc>
      </w:tr>
      <w:tr w14:paraId="4F1BF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E330A29">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57B3D43F">
            <w:pPr>
              <w:pStyle w:val="44"/>
              <w:keepNext w:val="0"/>
              <w:keepLines w:val="0"/>
              <w:widowControl w:val="0"/>
              <w:suppressLineNumbers w:val="0"/>
              <w:spacing w:before="0" w:beforeAutospacing="0" w:after="0" w:afterAutospacing="0" w:line="360" w:lineRule="auto"/>
              <w:ind w:left="0" w:right="0"/>
              <w:rPr>
                <w:rFonts w:hint="default" w:ascii="宋体" w:hAnsi="宋体" w:eastAsia="宋体"/>
                <w:b w:val="0"/>
                <w:color w:val="auto"/>
                <w:sz w:val="24"/>
                <w:highlight w:val="none"/>
              </w:rPr>
            </w:pPr>
            <w:r>
              <w:rPr>
                <w:rFonts w:hint="eastAsia" w:ascii="宋体" w:hAnsi="宋体" w:eastAsia="宋体" w:cs="宋体"/>
                <w:b w:val="0"/>
                <w:color w:val="auto"/>
                <w:sz w:val="24"/>
                <w:highlight w:val="none"/>
              </w:rPr>
              <w:t>服务期限</w:t>
            </w:r>
          </w:p>
        </w:tc>
        <w:tc>
          <w:tcPr>
            <w:tcW w:w="3217" w:type="pct"/>
            <w:vAlign w:val="center"/>
          </w:tcPr>
          <w:p w14:paraId="74E6B6F8">
            <w:pPr>
              <w:keepNext w:val="0"/>
              <w:keepLines w:val="0"/>
              <w:widowControl/>
              <w:suppressLineNumbers w:val="0"/>
              <w:spacing w:before="0" w:beforeAutospacing="0" w:after="0" w:afterAutospacing="0"/>
              <w:ind w:left="0" w:right="0"/>
              <w:jc w:val="left"/>
              <w:rPr>
                <w:rFonts w:hint="default" w:ascii="宋体" w:hAnsi="宋体" w:eastAsia="宋体"/>
                <w:color w:val="auto"/>
                <w:sz w:val="24"/>
                <w:szCs w:val="20"/>
                <w:highlight w:val="none"/>
              </w:rPr>
            </w:pPr>
            <w:r>
              <w:rPr>
                <w:rFonts w:hint="eastAsia" w:ascii="宋体" w:hAnsi="宋体" w:eastAsia="宋体" w:cs="宋体"/>
                <w:b w:val="0"/>
                <w:color w:val="auto"/>
                <w:sz w:val="24"/>
                <w:szCs w:val="20"/>
                <w:highlight w:val="none"/>
              </w:rPr>
              <w:t xml:space="preserve">45天内完成设计任务并出具评审合格的施工图  </w:t>
            </w:r>
          </w:p>
        </w:tc>
      </w:tr>
      <w:tr w14:paraId="77A3D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556D8468">
            <w:pPr>
              <w:pStyle w:val="45"/>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default" w:ascii="宋体" w:hAnsi="宋体" w:eastAsia="宋体"/>
                <w:bCs/>
                <w:color w:val="auto"/>
                <w:kern w:val="2"/>
                <w:highlight w:val="none"/>
              </w:rPr>
            </w:pPr>
            <w:r>
              <w:rPr>
                <w:rFonts w:hint="eastAsia" w:ascii="宋体" w:hAnsi="宋体" w:eastAsia="宋体"/>
                <w:bCs/>
                <w:color w:val="auto"/>
                <w:kern w:val="2"/>
                <w:highlight w:val="none"/>
              </w:rPr>
              <w:t>4</w:t>
            </w:r>
          </w:p>
        </w:tc>
        <w:tc>
          <w:tcPr>
            <w:tcW w:w="1192" w:type="pct"/>
            <w:vAlign w:val="center"/>
          </w:tcPr>
          <w:p w14:paraId="5208A33B">
            <w:pPr>
              <w:pStyle w:val="44"/>
              <w:keepNext w:val="0"/>
              <w:keepLines w:val="0"/>
              <w:widowControl w:val="0"/>
              <w:suppressLineNumbers w:val="0"/>
              <w:spacing w:before="0" w:beforeAutospacing="0" w:after="0" w:afterAutospacing="0" w:line="360" w:lineRule="auto"/>
              <w:ind w:left="0" w:right="0"/>
              <w:rPr>
                <w:rFonts w:hint="default" w:ascii="宋体" w:hAnsi="宋体" w:eastAsia="宋体"/>
                <w:b w:val="0"/>
                <w:color w:val="auto"/>
                <w:sz w:val="24"/>
                <w:highlight w:val="none"/>
              </w:rPr>
            </w:pPr>
            <w:r>
              <w:rPr>
                <w:rFonts w:hint="eastAsia" w:ascii="宋体" w:hAnsi="宋体" w:eastAsia="宋体" w:cs="宋体"/>
                <w:b w:val="0"/>
                <w:color w:val="auto"/>
                <w:sz w:val="24"/>
                <w:highlight w:val="none"/>
              </w:rPr>
              <w:t>本项目采购标的名称及所属行业</w:t>
            </w:r>
          </w:p>
        </w:tc>
        <w:tc>
          <w:tcPr>
            <w:tcW w:w="3217" w:type="pct"/>
            <w:vAlign w:val="center"/>
          </w:tcPr>
          <w:p w14:paraId="040584D3">
            <w:pPr>
              <w:keepNext w:val="0"/>
              <w:keepLines w:val="0"/>
              <w:suppressLineNumbers w:val="0"/>
              <w:spacing w:before="0" w:beforeAutospacing="0" w:after="0" w:afterAutospacing="0" w:line="360" w:lineRule="auto"/>
              <w:ind w:left="0" w:right="0"/>
              <w:jc w:val="left"/>
              <w:rPr>
                <w:rFonts w:hint="eastAsia" w:ascii="宋体" w:hAnsi="宋体" w:eastAsia="宋体" w:cs="宋体"/>
                <w:color w:val="auto"/>
                <w:sz w:val="24"/>
                <w:szCs w:val="20"/>
                <w:highlight w:val="none"/>
                <w:lang w:eastAsia="zh-CN"/>
              </w:rPr>
            </w:pPr>
            <w:r>
              <w:rPr>
                <w:rFonts w:hint="eastAsia" w:ascii="宋体" w:hAnsi="宋体" w:eastAsia="宋体" w:cs="宋体"/>
                <w:color w:val="auto"/>
                <w:sz w:val="24"/>
                <w:szCs w:val="20"/>
                <w:highlight w:val="none"/>
              </w:rPr>
              <w:t>标的名称：</w:t>
            </w:r>
            <w:r>
              <w:rPr>
                <w:rFonts w:hint="eastAsia" w:ascii="宋体" w:hAnsi="宋体" w:eastAsia="宋体" w:cs="宋体"/>
                <w:color w:val="auto"/>
                <w:sz w:val="24"/>
                <w:szCs w:val="20"/>
                <w:highlight w:val="none"/>
                <w:lang w:eastAsia="zh-CN"/>
              </w:rPr>
              <w:t>2027年滁州市普通国省道交调站点建设设计项目</w:t>
            </w:r>
          </w:p>
          <w:p w14:paraId="32C23CA3">
            <w:pPr>
              <w:keepNext w:val="0"/>
              <w:keepLines w:val="0"/>
              <w:widowControl/>
              <w:suppressLineNumbers w:val="0"/>
              <w:spacing w:before="0" w:beforeAutospacing="0" w:after="0" w:afterAutospacing="0"/>
              <w:ind w:left="0" w:right="0"/>
              <w:jc w:val="left"/>
              <w:rPr>
                <w:rFonts w:hint="default" w:ascii="宋体" w:hAnsi="宋体" w:eastAsia="宋体"/>
                <w:color w:val="auto"/>
                <w:sz w:val="24"/>
                <w:szCs w:val="20"/>
                <w:highlight w:val="none"/>
                <w:u w:val="single"/>
              </w:rPr>
            </w:pPr>
            <w:r>
              <w:rPr>
                <w:rFonts w:hint="eastAsia" w:ascii="宋体" w:hAnsi="宋体" w:eastAsia="宋体" w:cs="宋体"/>
                <w:color w:val="auto"/>
                <w:sz w:val="24"/>
                <w:szCs w:val="20"/>
                <w:highlight w:val="none"/>
              </w:rPr>
              <w:t>所属行业：</w:t>
            </w:r>
            <w:r>
              <w:rPr>
                <w:rFonts w:hint="eastAsia" w:ascii="宋体" w:hAnsi="宋体" w:eastAsia="宋体" w:cs="宋体"/>
                <w:b/>
                <w:bCs/>
                <w:color w:val="auto"/>
                <w:kern w:val="0"/>
                <w:sz w:val="24"/>
                <w:szCs w:val="24"/>
                <w:highlight w:val="none"/>
              </w:rPr>
              <w:t>其他未列明行业</w:t>
            </w:r>
          </w:p>
        </w:tc>
      </w:tr>
      <w:bookmarkEnd w:id="19"/>
    </w:tbl>
    <w:p w14:paraId="359A4FB9">
      <w:pPr>
        <w:keepNext w:val="0"/>
        <w:keepLines w:val="0"/>
        <w:pageBreakBefore w:val="0"/>
        <w:widowControl w:val="0"/>
        <w:kinsoku/>
        <w:wordWrap/>
        <w:overflowPunct/>
        <w:topLinePunct w:val="0"/>
        <w:autoSpaceDE w:val="0"/>
        <w:autoSpaceDN w:val="0"/>
        <w:bidi w:val="0"/>
        <w:adjustRightInd w:val="0"/>
        <w:snapToGrid/>
        <w:spacing w:line="360" w:lineRule="auto"/>
        <w:ind w:firstLine="422" w:firstLineChars="200"/>
        <w:jc w:val="left"/>
        <w:textAlignment w:val="auto"/>
        <w:rPr>
          <w:rFonts w:hint="eastAsia" w:ascii="宋体" w:hAnsi="宋体" w:eastAsia="宋体" w:cs="宋体"/>
          <w:b/>
          <w:bCs/>
          <w:color w:val="auto"/>
          <w:szCs w:val="21"/>
          <w:highlight w:val="none"/>
        </w:rPr>
      </w:pPr>
      <w:bookmarkStart w:id="20" w:name="_Toc18794"/>
      <w:bookmarkStart w:id="21" w:name="_Toc8283"/>
      <w:bookmarkStart w:id="22" w:name="_Toc8668"/>
      <w:r>
        <w:rPr>
          <w:rFonts w:hint="eastAsia" w:ascii="宋体" w:hAnsi="宋体" w:eastAsia="宋体" w:cs="宋体"/>
          <w:b/>
          <w:bCs/>
          <w:color w:val="auto"/>
          <w:szCs w:val="21"/>
          <w:highlight w:val="none"/>
          <w:lang w:val="en-US" w:eastAsia="zh-CN"/>
        </w:rPr>
        <w:t>二</w:t>
      </w:r>
      <w:r>
        <w:rPr>
          <w:rFonts w:hint="eastAsia" w:ascii="宋体" w:hAnsi="宋体" w:eastAsia="宋体" w:cs="宋体"/>
          <w:b/>
          <w:bCs/>
          <w:color w:val="auto"/>
          <w:szCs w:val="21"/>
          <w:highlight w:val="none"/>
        </w:rPr>
        <w:t>、主要服务内容</w:t>
      </w:r>
    </w:p>
    <w:p w14:paraId="54E3B927">
      <w:pPr>
        <w:pStyle w:val="81"/>
        <w:keepNext w:val="0"/>
        <w:keepLines w:val="0"/>
        <w:pageBreakBefore w:val="0"/>
        <w:widowControl w:val="0"/>
        <w:kinsoku/>
        <w:wordWrap/>
        <w:overflowPunct/>
        <w:topLinePunct w:val="0"/>
        <w:bidi w:val="0"/>
        <w:snapToGrid/>
        <w:spacing w:line="360" w:lineRule="auto"/>
        <w:ind w:left="420" w:leftChars="200" w:firstLine="63" w:firstLineChars="30"/>
        <w:textAlignment w:val="auto"/>
        <w:rPr>
          <w:rFonts w:hint="eastAsia" w:ascii="宋体" w:hAnsi="宋体" w:eastAsia="宋体" w:cs="宋体"/>
          <w:b w:val="0"/>
          <w:bCs w:val="0"/>
          <w:color w:val="auto"/>
          <w:szCs w:val="21"/>
          <w:highlight w:val="none"/>
        </w:rPr>
      </w:pPr>
      <w:r>
        <w:rPr>
          <w:rFonts w:hint="eastAsia" w:ascii="宋体" w:hAnsi="宋体" w:eastAsia="宋体" w:cs="宋体"/>
          <w:b/>
          <w:bCs/>
          <w:color w:val="auto"/>
          <w:szCs w:val="21"/>
          <w:highlight w:val="none"/>
        </w:rPr>
        <w:t xml:space="preserve">   </w:t>
      </w:r>
      <w:r>
        <w:rPr>
          <w:rFonts w:hint="eastAsia" w:ascii="宋体" w:hAnsi="宋体" w:eastAsia="宋体" w:cs="宋体"/>
          <w:b w:val="0"/>
          <w:bCs w:val="0"/>
          <w:color w:val="auto"/>
          <w:szCs w:val="21"/>
          <w:highlight w:val="none"/>
        </w:rPr>
        <w:t>新建省道交通量调查站点87处，升级省道交通量调查站点5处。新建国道交通量调查站点31处，升级国道交通量调查站点11处.本次共新建站点118处，升级站点16处，合计134处国省干线公路交通量调查站点建设的勘测、方案设计、施工图设计和概预算编制等全部费用。估算建设费用约3</w:t>
      </w:r>
      <w:r>
        <w:rPr>
          <w:rFonts w:hint="eastAsia" w:ascii="宋体" w:hAnsi="宋体" w:eastAsia="宋体" w:cs="宋体"/>
          <w:b w:val="0"/>
          <w:bCs w:val="0"/>
          <w:color w:val="auto"/>
          <w:szCs w:val="21"/>
          <w:highlight w:val="none"/>
          <w:lang w:val="en-US" w:eastAsia="zh-CN"/>
        </w:rPr>
        <w:t>5</w:t>
      </w:r>
      <w:r>
        <w:rPr>
          <w:rFonts w:hint="eastAsia" w:ascii="宋体" w:hAnsi="宋体" w:eastAsia="宋体" w:cs="宋体"/>
          <w:b w:val="0"/>
          <w:bCs w:val="0"/>
          <w:color w:val="auto"/>
          <w:szCs w:val="21"/>
          <w:highlight w:val="none"/>
        </w:rPr>
        <w:t>00万元。建设地点涉及滁州市及各县区。</w:t>
      </w:r>
    </w:p>
    <w:p w14:paraId="3392172C">
      <w:pPr>
        <w:keepNext w:val="0"/>
        <w:keepLines w:val="0"/>
        <w:pageBreakBefore w:val="0"/>
        <w:widowControl w:val="0"/>
        <w:kinsoku/>
        <w:wordWrap/>
        <w:overflowPunct/>
        <w:topLinePunct w:val="0"/>
        <w:autoSpaceDE w:val="0"/>
        <w:autoSpaceDN w:val="0"/>
        <w:bidi w:val="0"/>
        <w:adjustRightInd w:val="0"/>
        <w:snapToGrid/>
        <w:spacing w:line="360" w:lineRule="auto"/>
        <w:ind w:firstLine="422" w:firstLineChars="200"/>
        <w:jc w:val="left"/>
        <w:textAlignment w:val="auto"/>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三、评审依据及相关要求</w:t>
      </w:r>
    </w:p>
    <w:p w14:paraId="438FC696">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1、供应商需根据招标人提供的基础资料，自行搜集相关资料并开展方案设计（形成最终供应商认为合理的方案），施工图设计、施工方案编制、交通组织方案编制、概算编制、工程设计必须的交通量观测和预测。中标人负责承担完成本项目涉及所需的全部技术支撑。</w:t>
      </w:r>
    </w:p>
    <w:p w14:paraId="63417A5A">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lang w:val="en-US" w:eastAsia="zh-CN"/>
        </w:rPr>
        <w:t>2、本项目工作内容包括但不限于：方案设计、施工图设计、施工方案编制、交通组织方案编制、概算编制、工程设计必须的交</w:t>
      </w:r>
      <w:r>
        <w:rPr>
          <w:rFonts w:hint="eastAsia" w:ascii="宋体" w:hAnsi="宋体" w:eastAsia="宋体" w:cs="宋体"/>
          <w:b w:val="0"/>
          <w:bCs w:val="0"/>
          <w:color w:val="auto"/>
          <w:szCs w:val="21"/>
          <w:highlight w:val="none"/>
        </w:rPr>
        <w:t>通量观测和预测、方案论证、物探、勘察、测绘、检测、洪水影响评价、方案设计等评审、施工图审查及备案、后期图纸调整、相应的设计技术交底，解决施工中的设计技术问题和竣工验收以及国家规定规范内所有设计成果和服务等工作，若在本项目范围增加服务内容，不予增加费用。</w:t>
      </w:r>
    </w:p>
    <w:p w14:paraId="49D02A4C">
      <w:pPr>
        <w:keepNext w:val="0"/>
        <w:keepLines w:val="0"/>
        <w:pageBreakBefore w:val="0"/>
        <w:widowControl w:val="0"/>
        <w:kinsoku/>
        <w:wordWrap/>
        <w:overflowPunct/>
        <w:topLinePunct w:val="0"/>
        <w:bidi w:val="0"/>
        <w:snapToGrid/>
        <w:spacing w:line="360" w:lineRule="auto"/>
        <w:ind w:firstLine="420" w:firstLineChars="200"/>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szCs w:val="21"/>
          <w:highlight w:val="none"/>
        </w:rPr>
        <w:t>3、中标人必须严格按照投标文件中提供的项目组负责人、专业负责人等组建设计机构，并满足招标人对工期、质量的要求。未经招标人许可，不得擅自更换项目组负责人和主要专业的负责人</w:t>
      </w:r>
      <w:r>
        <w:rPr>
          <w:rFonts w:hint="eastAsia" w:ascii="宋体" w:hAnsi="宋体" w:eastAsia="宋体" w:cs="宋体"/>
          <w:b w:val="0"/>
          <w:bCs w:val="0"/>
          <w:color w:val="auto"/>
          <w:spacing w:val="-3"/>
          <w:szCs w:val="22"/>
          <w:highlight w:val="none"/>
          <w:lang w:val="en-US" w:eastAsia="zh-CN"/>
        </w:rPr>
        <w:t>。</w:t>
      </w:r>
    </w:p>
    <w:p w14:paraId="408DF2BC">
      <w:pPr>
        <w:autoSpaceDE w:val="0"/>
        <w:autoSpaceDN w:val="0"/>
        <w:adjustRightInd w:val="0"/>
        <w:spacing w:line="42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四</w:t>
      </w:r>
      <w:r>
        <w:rPr>
          <w:rFonts w:hint="eastAsia" w:ascii="宋体" w:hAnsi="宋体" w:eastAsia="宋体" w:cs="宋体"/>
          <w:bCs/>
          <w:color w:val="auto"/>
          <w:szCs w:val="21"/>
          <w:highlight w:val="none"/>
        </w:rPr>
        <w:t>、工作要求</w:t>
      </w:r>
    </w:p>
    <w:p w14:paraId="401E227B">
      <w:pPr>
        <w:autoSpaceDE w:val="0"/>
        <w:autoSpaceDN w:val="0"/>
        <w:adjustRightInd w:val="0"/>
        <w:spacing w:line="42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（一）人员 、场地及机械设备要求：</w:t>
      </w:r>
    </w:p>
    <w:p w14:paraId="2D1A9F60">
      <w:pPr>
        <w:pStyle w:val="81"/>
        <w:spacing w:line="420" w:lineRule="exact"/>
        <w:ind w:left="420" w:leftChars="200" w:firstLine="63" w:firstLineChars="3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1、为本项目配备固定管理技术人员,班子人员齐备、搭配合理</w:t>
      </w:r>
    </w:p>
    <w:p w14:paraId="7FD213C3">
      <w:pPr>
        <w:spacing w:line="42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2、机械设备数量、配置种类充分、合适，主要设备落实，满足</w:t>
      </w:r>
      <w:r>
        <w:rPr>
          <w:rFonts w:hint="eastAsia" w:ascii="宋体" w:hAnsi="宋体" w:eastAsia="宋体" w:cs="宋体"/>
          <w:bCs/>
          <w:color w:val="auto"/>
          <w:szCs w:val="21"/>
          <w:highlight w:val="none"/>
          <w:lang w:val="en-US" w:eastAsia="zh-CN"/>
        </w:rPr>
        <w:t>设计</w:t>
      </w:r>
      <w:r>
        <w:rPr>
          <w:rFonts w:hint="eastAsia" w:ascii="宋体" w:hAnsi="宋体" w:eastAsia="宋体" w:cs="宋体"/>
          <w:bCs/>
          <w:color w:val="auto"/>
          <w:szCs w:val="21"/>
          <w:highlight w:val="none"/>
        </w:rPr>
        <w:t>需要。</w:t>
      </w:r>
    </w:p>
    <w:p w14:paraId="246FB194">
      <w:pPr>
        <w:autoSpaceDE w:val="0"/>
        <w:autoSpaceDN w:val="0"/>
        <w:adjustRightInd w:val="0"/>
        <w:spacing w:line="42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（二）服务要求</w:t>
      </w:r>
    </w:p>
    <w:p w14:paraId="2668413B">
      <w:pPr>
        <w:spacing w:line="42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 xml:space="preserve">1、服务期间，必须按招标人的要求以及实际需要配备足够的人员； </w:t>
      </w:r>
    </w:p>
    <w:p w14:paraId="6F3231A9">
      <w:pPr>
        <w:spacing w:line="42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2、若不符合相关质量要求，由中标人立即无条件进行整改。由此发生的费用业主不用另行计量支付。</w:t>
      </w:r>
    </w:p>
    <w:p w14:paraId="0E6D5759">
      <w:pPr>
        <w:spacing w:line="42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3、中标单位在承包期内工作人员发生各种事故：包括工程安全、治安、交通、防火和违法乱纪、劳资纠纷等事件，所造成一切后果及损失，由中标单位承担责任和负责赔偿。</w:t>
      </w:r>
    </w:p>
    <w:p w14:paraId="23FD9EF8">
      <w:pPr>
        <w:spacing w:line="42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4、在合同期内，中标人因各种原因，造成第三方的损失或经济损失，由中标人独自承担其法律和经济责任，与招标人无关。</w:t>
      </w:r>
    </w:p>
    <w:bookmarkEnd w:id="20"/>
    <w:bookmarkEnd w:id="21"/>
    <w:p w14:paraId="127B9B3D">
      <w:pPr>
        <w:spacing w:line="360" w:lineRule="auto"/>
        <w:ind w:firstLine="562" w:firstLineChars="200"/>
        <w:outlineLvl w:val="2"/>
        <w:rPr>
          <w:rFonts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br w:type="page"/>
      </w:r>
    </w:p>
    <w:p w14:paraId="56625177">
      <w:pPr>
        <w:spacing w:line="360" w:lineRule="auto"/>
        <w:jc w:val="center"/>
        <w:outlineLvl w:val="0"/>
        <w:rPr>
          <w:rFonts w:asciiTheme="minorEastAsia" w:hAnsiTheme="minorEastAsia" w:eastAsiaTheme="minorEastAsia"/>
          <w:b/>
          <w:color w:val="auto"/>
          <w:sz w:val="28"/>
          <w:highlight w:val="none"/>
        </w:rPr>
      </w:pPr>
      <w:bookmarkStart w:id="23" w:name="_Toc30762"/>
      <w:r>
        <w:rPr>
          <w:rFonts w:hint="eastAsia" w:asciiTheme="minorEastAsia" w:hAnsiTheme="minorEastAsia" w:eastAsiaTheme="minorEastAsia"/>
          <w:b/>
          <w:color w:val="auto"/>
          <w:sz w:val="28"/>
          <w:highlight w:val="none"/>
        </w:rPr>
        <w:t xml:space="preserve">第四章 </w:t>
      </w:r>
      <w:bookmarkEnd w:id="22"/>
      <w:r>
        <w:rPr>
          <w:rFonts w:hint="eastAsia" w:asciiTheme="minorEastAsia" w:hAnsiTheme="minorEastAsia" w:eastAsiaTheme="minorEastAsia"/>
          <w:b/>
          <w:color w:val="auto"/>
          <w:sz w:val="28"/>
          <w:highlight w:val="none"/>
        </w:rPr>
        <w:t>评审方法和标准</w:t>
      </w:r>
      <w:bookmarkEnd w:id="23"/>
    </w:p>
    <w:p w14:paraId="351D8618">
      <w:pPr>
        <w:spacing w:line="360" w:lineRule="auto"/>
        <w:ind w:firstLine="437"/>
        <w:outlineLvl w:val="1"/>
        <w:rPr>
          <w:rFonts w:asciiTheme="minorEastAsia" w:hAnsiTheme="minorEastAsia" w:eastAsiaTheme="minorEastAsia"/>
          <w:b/>
          <w:color w:val="auto"/>
          <w:sz w:val="24"/>
          <w:highlight w:val="none"/>
        </w:rPr>
      </w:pPr>
      <w:bookmarkStart w:id="24" w:name="_Toc12199"/>
      <w:bookmarkStart w:id="25" w:name="_Toc21211"/>
      <w:r>
        <w:rPr>
          <w:rFonts w:hint="eastAsia" w:asciiTheme="minorEastAsia" w:hAnsiTheme="minorEastAsia" w:eastAsiaTheme="minorEastAsia"/>
          <w:b/>
          <w:color w:val="auto"/>
          <w:sz w:val="24"/>
          <w:highlight w:val="none"/>
        </w:rPr>
        <w:t>一、总则</w:t>
      </w:r>
      <w:bookmarkEnd w:id="24"/>
      <w:bookmarkEnd w:id="25"/>
    </w:p>
    <w:p w14:paraId="40302E0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本项目将按照磋商文件第二章 供应商须知的相关要求</w:t>
      </w:r>
      <w:r>
        <w:rPr>
          <w:rFonts w:asciiTheme="minorEastAsia" w:hAnsiTheme="minorEastAsia" w:eastAsiaTheme="minorEastAsia"/>
          <w:color w:val="auto"/>
          <w:sz w:val="24"/>
          <w:highlight w:val="none"/>
        </w:rPr>
        <w:t>及本章的规定</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w:t>
      </w:r>
    </w:p>
    <w:p w14:paraId="6182ADD4">
      <w:pPr>
        <w:spacing w:line="360" w:lineRule="auto"/>
        <w:ind w:firstLine="437"/>
        <w:outlineLvl w:val="1"/>
        <w:rPr>
          <w:rFonts w:asciiTheme="minorEastAsia" w:hAnsiTheme="minorEastAsia" w:eastAsiaTheme="minorEastAsia"/>
          <w:b/>
          <w:color w:val="auto"/>
          <w:sz w:val="24"/>
          <w:highlight w:val="none"/>
        </w:rPr>
      </w:pPr>
      <w:bookmarkStart w:id="26" w:name="_Toc13039"/>
      <w:bookmarkStart w:id="27" w:name="_Toc16885"/>
      <w:r>
        <w:rPr>
          <w:rFonts w:hint="eastAsia" w:asciiTheme="minorEastAsia" w:hAnsiTheme="minorEastAsia" w:eastAsiaTheme="minorEastAsia"/>
          <w:b/>
          <w:color w:val="auto"/>
          <w:sz w:val="24"/>
          <w:highlight w:val="none"/>
        </w:rPr>
        <w:t>二、评审方法</w:t>
      </w:r>
      <w:bookmarkEnd w:id="26"/>
      <w:bookmarkEnd w:id="27"/>
    </w:p>
    <w:p w14:paraId="5F7ECC96">
      <w:pPr>
        <w:spacing w:line="360" w:lineRule="auto"/>
        <w:ind w:firstLine="435"/>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2.1初审</w:t>
      </w:r>
    </w:p>
    <w:p w14:paraId="21DEBB9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磋商小组对供应商的响应文件进行初审，以确定其是否满足磋商文件的实质性要求。初审表如下：</w:t>
      </w:r>
    </w:p>
    <w:tbl>
      <w:tblPr>
        <w:tblStyle w:val="25"/>
        <w:tblW w:w="51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9"/>
        <w:gridCol w:w="1651"/>
        <w:gridCol w:w="4556"/>
        <w:gridCol w:w="1915"/>
      </w:tblGrid>
      <w:tr w14:paraId="3203A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2A518E34">
            <w:pPr>
              <w:keepNext w:val="0"/>
              <w:keepLines w:val="0"/>
              <w:suppressLineNumbers w:val="0"/>
              <w:adjustRightInd w:val="0"/>
              <w:snapToGrid w:val="0"/>
              <w:spacing w:before="0" w:beforeAutospacing="0" w:after="0" w:afterAutospacing="0" w:line="360" w:lineRule="auto"/>
              <w:ind w:left="0" w:right="-10"/>
              <w:jc w:val="center"/>
              <w:rPr>
                <w:rFonts w:hint="default" w:ascii="宋体" w:hAnsi="宋体" w:eastAsia="宋体"/>
                <w:color w:val="auto"/>
                <w:sz w:val="24"/>
                <w:szCs w:val="20"/>
                <w:highlight w:val="none"/>
              </w:rPr>
            </w:pPr>
            <w:r>
              <w:rPr>
                <w:rFonts w:hint="eastAsia" w:ascii="宋体" w:hAnsi="宋体" w:eastAsia="宋体"/>
                <w:b/>
                <w:color w:val="auto"/>
                <w:sz w:val="24"/>
                <w:szCs w:val="22"/>
                <w:highlight w:val="none"/>
              </w:rPr>
              <w:t>初审表</w:t>
            </w:r>
          </w:p>
        </w:tc>
      </w:tr>
      <w:tr w14:paraId="4CC66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5" w:type="pct"/>
            <w:tcBorders>
              <w:bottom w:val="single" w:color="auto" w:sz="4" w:space="0"/>
            </w:tcBorders>
            <w:vAlign w:val="center"/>
          </w:tcPr>
          <w:p w14:paraId="5CAE3404">
            <w:pPr>
              <w:keepNext w:val="0"/>
              <w:keepLines w:val="0"/>
              <w:suppressLineNumbers w:val="0"/>
              <w:adjustRightInd w:val="0"/>
              <w:snapToGrid w:val="0"/>
              <w:spacing w:before="0" w:beforeAutospacing="0" w:after="0" w:afterAutospacing="0" w:line="360" w:lineRule="auto"/>
              <w:ind w:left="0" w:right="-1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rPr>
              <w:t>序号</w:t>
            </w:r>
          </w:p>
        </w:tc>
        <w:tc>
          <w:tcPr>
            <w:tcW w:w="942" w:type="pct"/>
            <w:tcBorders>
              <w:bottom w:val="single" w:color="auto" w:sz="4" w:space="0"/>
            </w:tcBorders>
            <w:vAlign w:val="center"/>
          </w:tcPr>
          <w:p w14:paraId="5482178F">
            <w:pPr>
              <w:pStyle w:val="45"/>
              <w:keepNext w:val="0"/>
              <w:keepLines w:val="0"/>
              <w:suppressLineNumbers w:val="0"/>
              <w:pBdr>
                <w:bottom w:val="none" w:color="auto" w:sz="0" w:space="0"/>
              </w:pBdr>
              <w:tabs>
                <w:tab w:val="clear" w:pos="4153"/>
                <w:tab w:val="clear" w:pos="8306"/>
              </w:tabs>
              <w:snapToGrid w:val="0"/>
              <w:spacing w:before="0" w:beforeAutospacing="0" w:after="0" w:afterAutospacing="0" w:line="360" w:lineRule="auto"/>
              <w:ind w:left="0" w:right="-10"/>
              <w:textAlignment w:val="auto"/>
              <w:rPr>
                <w:rFonts w:hint="default" w:ascii="宋体" w:hAnsi="宋体" w:eastAsia="宋体"/>
                <w:color w:val="auto"/>
                <w:kern w:val="2"/>
                <w:szCs w:val="24"/>
                <w:highlight w:val="none"/>
              </w:rPr>
            </w:pPr>
            <w:r>
              <w:rPr>
                <w:rFonts w:hint="eastAsia" w:ascii="宋体" w:hAnsi="宋体" w:eastAsia="宋体"/>
                <w:color w:val="auto"/>
                <w:kern w:val="2"/>
                <w:szCs w:val="24"/>
                <w:highlight w:val="none"/>
              </w:rPr>
              <w:t>审查指标</w:t>
            </w:r>
          </w:p>
        </w:tc>
        <w:tc>
          <w:tcPr>
            <w:tcW w:w="2600" w:type="pct"/>
            <w:tcBorders>
              <w:bottom w:val="single" w:color="auto" w:sz="4" w:space="0"/>
            </w:tcBorders>
            <w:vAlign w:val="center"/>
          </w:tcPr>
          <w:p w14:paraId="22A24B92">
            <w:pPr>
              <w:keepNext w:val="0"/>
              <w:keepLines w:val="0"/>
              <w:suppressLineNumbers w:val="0"/>
              <w:adjustRightInd w:val="0"/>
              <w:snapToGrid w:val="0"/>
              <w:spacing w:before="0" w:beforeAutospacing="0" w:after="0" w:afterAutospacing="0" w:line="360" w:lineRule="auto"/>
              <w:ind w:left="0" w:right="-1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rPr>
              <w:t>审查标准</w:t>
            </w:r>
          </w:p>
        </w:tc>
        <w:tc>
          <w:tcPr>
            <w:tcW w:w="1091" w:type="pct"/>
            <w:tcBorders>
              <w:bottom w:val="single" w:color="auto" w:sz="4" w:space="0"/>
            </w:tcBorders>
            <w:vAlign w:val="center"/>
          </w:tcPr>
          <w:p w14:paraId="2AF17E46">
            <w:pPr>
              <w:keepNext w:val="0"/>
              <w:keepLines w:val="0"/>
              <w:suppressLineNumbers w:val="0"/>
              <w:adjustRightInd w:val="0"/>
              <w:snapToGrid w:val="0"/>
              <w:spacing w:before="0" w:beforeAutospacing="0" w:after="0" w:afterAutospacing="0" w:line="360" w:lineRule="auto"/>
              <w:ind w:left="0" w:right="-1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rPr>
              <w:t>格式要求</w:t>
            </w:r>
          </w:p>
        </w:tc>
      </w:tr>
      <w:tr w14:paraId="1352A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365" w:type="pct"/>
            <w:tcBorders>
              <w:bottom w:val="single" w:color="auto" w:sz="4" w:space="0"/>
            </w:tcBorders>
            <w:vAlign w:val="center"/>
          </w:tcPr>
          <w:p w14:paraId="3F731189">
            <w:pPr>
              <w:keepNext w:val="0"/>
              <w:keepLines w:val="0"/>
              <w:suppressLineNumbers w:val="0"/>
              <w:adjustRightInd w:val="0"/>
              <w:snapToGrid w:val="0"/>
              <w:spacing w:before="0" w:beforeAutospacing="0" w:after="0" w:afterAutospacing="0" w:line="360" w:lineRule="auto"/>
              <w:ind w:left="0" w:right="-1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rPr>
              <w:t>1</w:t>
            </w:r>
          </w:p>
        </w:tc>
        <w:tc>
          <w:tcPr>
            <w:tcW w:w="942" w:type="pct"/>
            <w:tcBorders>
              <w:bottom w:val="single" w:color="auto" w:sz="4" w:space="0"/>
            </w:tcBorders>
            <w:vAlign w:val="center"/>
          </w:tcPr>
          <w:p w14:paraId="750EEA7D">
            <w:pPr>
              <w:keepNext w:val="0"/>
              <w:keepLines w:val="0"/>
              <w:suppressLineNumbers w:val="0"/>
              <w:spacing w:before="0" w:beforeAutospacing="0" w:after="50" w:afterAutospacing="0" w:line="360" w:lineRule="auto"/>
              <w:ind w:left="0" w:right="-10"/>
              <w:jc w:val="center"/>
              <w:rPr>
                <w:rFonts w:hint="default" w:ascii="宋体" w:hAnsi="宋体" w:eastAsia="宋体"/>
                <w:color w:val="auto"/>
                <w:sz w:val="24"/>
                <w:szCs w:val="28"/>
                <w:highlight w:val="none"/>
              </w:rPr>
            </w:pPr>
            <w:r>
              <w:rPr>
                <w:rFonts w:hint="default" w:ascii="宋体" w:hAnsi="宋体" w:eastAsia="宋体" w:cs="宋体"/>
                <w:color w:val="auto"/>
                <w:spacing w:val="9"/>
                <w:sz w:val="24"/>
                <w:szCs w:val="24"/>
                <w:highlight w:val="none"/>
              </w:rPr>
              <w:t>营业执照等证明</w:t>
            </w:r>
            <w:r>
              <w:rPr>
                <w:rFonts w:hint="default" w:ascii="宋体" w:hAnsi="宋体" w:eastAsia="宋体" w:cs="宋体"/>
                <w:color w:val="auto"/>
                <w:spacing w:val="-3"/>
                <w:sz w:val="24"/>
                <w:szCs w:val="24"/>
                <w:highlight w:val="none"/>
              </w:rPr>
              <w:t>文件</w:t>
            </w:r>
          </w:p>
        </w:tc>
        <w:tc>
          <w:tcPr>
            <w:tcW w:w="2600" w:type="pct"/>
            <w:tcBorders>
              <w:bottom w:val="single" w:color="auto" w:sz="4" w:space="0"/>
            </w:tcBorders>
            <w:vAlign w:val="center"/>
          </w:tcPr>
          <w:p w14:paraId="053804BD">
            <w:pPr>
              <w:keepNext w:val="0"/>
              <w:keepLines w:val="0"/>
              <w:suppressLineNumbers w:val="0"/>
              <w:spacing w:before="0" w:beforeAutospacing="0" w:after="50" w:afterAutospacing="0" w:line="360" w:lineRule="auto"/>
              <w:ind w:left="0" w:right="-10"/>
              <w:jc w:val="left"/>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w:t>
            </w:r>
            <w:r>
              <w:rPr>
                <w:rFonts w:hint="default" w:ascii="宋体" w:hAnsi="宋体" w:eastAsia="宋体" w:cs="宋体"/>
                <w:color w:val="auto"/>
                <w:sz w:val="24"/>
                <w:szCs w:val="24"/>
                <w:highlight w:val="none"/>
              </w:rPr>
              <w:t>为企业（包括合伙企业）的，应</w:t>
            </w:r>
            <w:r>
              <w:rPr>
                <w:rFonts w:hint="eastAsia" w:ascii="宋体" w:hAnsi="宋体" w:eastAsia="宋体" w:cs="宋体"/>
                <w:color w:val="auto"/>
                <w:sz w:val="24"/>
                <w:szCs w:val="24"/>
                <w:highlight w:val="none"/>
              </w:rPr>
              <w:t>提</w:t>
            </w:r>
            <w:r>
              <w:rPr>
                <w:rFonts w:hint="default" w:ascii="宋体" w:hAnsi="宋体" w:eastAsia="宋体" w:cs="宋体"/>
                <w:color w:val="auto"/>
                <w:sz w:val="24"/>
                <w:szCs w:val="24"/>
                <w:highlight w:val="none"/>
              </w:rPr>
              <w:t>供有效的营业执照；</w:t>
            </w:r>
          </w:p>
          <w:p w14:paraId="1A010158">
            <w:pPr>
              <w:keepNext w:val="0"/>
              <w:keepLines w:val="0"/>
              <w:suppressLineNumbers w:val="0"/>
              <w:spacing w:before="0" w:beforeAutospacing="0" w:after="50" w:afterAutospacing="0" w:line="360" w:lineRule="auto"/>
              <w:ind w:left="0" w:right="-10"/>
              <w:jc w:val="left"/>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w:t>
            </w:r>
            <w:r>
              <w:rPr>
                <w:rFonts w:hint="default" w:ascii="宋体" w:hAnsi="宋体" w:eastAsia="宋体" w:cs="宋体"/>
                <w:color w:val="auto"/>
                <w:sz w:val="24"/>
                <w:szCs w:val="24"/>
                <w:highlight w:val="none"/>
              </w:rPr>
              <w:t>为事业单位的，应</w:t>
            </w:r>
            <w:r>
              <w:rPr>
                <w:rFonts w:hint="eastAsia" w:ascii="宋体" w:hAnsi="宋体" w:eastAsia="宋体" w:cs="宋体"/>
                <w:color w:val="auto"/>
                <w:sz w:val="24"/>
                <w:szCs w:val="24"/>
                <w:highlight w:val="none"/>
              </w:rPr>
              <w:t>提</w:t>
            </w:r>
            <w:r>
              <w:rPr>
                <w:rFonts w:hint="default" w:ascii="宋体" w:hAnsi="宋体" w:eastAsia="宋体" w:cs="宋体"/>
                <w:color w:val="auto"/>
                <w:sz w:val="24"/>
                <w:szCs w:val="24"/>
                <w:highlight w:val="none"/>
              </w:rPr>
              <w:t>供有效的事业单位法人证书；</w:t>
            </w:r>
          </w:p>
          <w:p w14:paraId="1F912845">
            <w:pPr>
              <w:keepNext w:val="0"/>
              <w:keepLines w:val="0"/>
              <w:suppressLineNumbers w:val="0"/>
              <w:spacing w:before="0" w:beforeAutospacing="0" w:after="50" w:afterAutospacing="0" w:line="360" w:lineRule="auto"/>
              <w:ind w:left="0" w:right="-10"/>
              <w:jc w:val="left"/>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rPr>
              <w:t>（3）供应商</w:t>
            </w:r>
            <w:r>
              <w:rPr>
                <w:rFonts w:hint="default" w:ascii="宋体" w:hAnsi="宋体" w:eastAsia="宋体" w:cs="宋体"/>
                <w:color w:val="auto"/>
                <w:sz w:val="24"/>
                <w:szCs w:val="24"/>
                <w:highlight w:val="none"/>
              </w:rPr>
              <w:t>是非企业机构的，应</w:t>
            </w:r>
            <w:r>
              <w:rPr>
                <w:rFonts w:hint="eastAsia" w:ascii="宋体" w:hAnsi="宋体" w:eastAsia="宋体" w:cs="宋体"/>
                <w:color w:val="auto"/>
                <w:sz w:val="24"/>
                <w:szCs w:val="24"/>
                <w:highlight w:val="none"/>
              </w:rPr>
              <w:t>提</w:t>
            </w:r>
            <w:r>
              <w:rPr>
                <w:rFonts w:hint="default" w:ascii="宋体" w:hAnsi="宋体" w:eastAsia="宋体" w:cs="宋体"/>
                <w:color w:val="auto"/>
                <w:sz w:val="24"/>
                <w:szCs w:val="24"/>
                <w:highlight w:val="none"/>
              </w:rPr>
              <w:t>供有效的执业许可证</w:t>
            </w:r>
            <w:r>
              <w:rPr>
                <w:rFonts w:hint="eastAsia" w:ascii="宋体" w:hAnsi="宋体" w:eastAsia="宋体" w:cs="宋体"/>
                <w:color w:val="auto"/>
                <w:sz w:val="24"/>
                <w:szCs w:val="24"/>
                <w:highlight w:val="none"/>
              </w:rPr>
              <w:t>或</w:t>
            </w:r>
            <w:r>
              <w:rPr>
                <w:rFonts w:hint="default" w:ascii="宋体" w:hAnsi="宋体" w:eastAsia="宋体" w:cs="宋体"/>
                <w:color w:val="auto"/>
                <w:sz w:val="24"/>
                <w:szCs w:val="24"/>
                <w:highlight w:val="none"/>
              </w:rPr>
              <w:t>登记证书等证明文件；</w:t>
            </w:r>
          </w:p>
          <w:p w14:paraId="5698BF48">
            <w:pPr>
              <w:keepNext w:val="0"/>
              <w:keepLines w:val="0"/>
              <w:suppressLineNumbers w:val="0"/>
              <w:spacing w:before="0" w:beforeAutospacing="0" w:after="50" w:afterAutospacing="0" w:line="360" w:lineRule="auto"/>
              <w:ind w:left="0" w:right="-10"/>
              <w:jc w:val="left"/>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rPr>
              <w:t>（4）供应商</w:t>
            </w:r>
            <w:r>
              <w:rPr>
                <w:rFonts w:hint="default" w:ascii="宋体" w:hAnsi="宋体" w:eastAsia="宋体" w:cs="宋体"/>
                <w:color w:val="auto"/>
                <w:sz w:val="24"/>
                <w:szCs w:val="24"/>
                <w:highlight w:val="none"/>
              </w:rPr>
              <w:t>是个体工商户的，应</w:t>
            </w:r>
            <w:r>
              <w:rPr>
                <w:rFonts w:hint="eastAsia" w:ascii="宋体" w:hAnsi="宋体" w:eastAsia="宋体" w:cs="宋体"/>
                <w:color w:val="auto"/>
                <w:sz w:val="24"/>
                <w:szCs w:val="24"/>
                <w:highlight w:val="none"/>
              </w:rPr>
              <w:t>提</w:t>
            </w:r>
            <w:r>
              <w:rPr>
                <w:rFonts w:hint="default" w:ascii="宋体" w:hAnsi="宋体" w:eastAsia="宋体" w:cs="宋体"/>
                <w:color w:val="auto"/>
                <w:sz w:val="24"/>
                <w:szCs w:val="24"/>
                <w:highlight w:val="none"/>
              </w:rPr>
              <w:t>供有效的个体工商户营业执照；</w:t>
            </w:r>
          </w:p>
          <w:p w14:paraId="0742706E">
            <w:pPr>
              <w:keepNext w:val="0"/>
              <w:keepLines w:val="0"/>
              <w:suppressLineNumbers w:val="0"/>
              <w:spacing w:before="0" w:beforeAutospacing="0" w:after="50" w:afterAutospacing="0" w:line="360" w:lineRule="auto"/>
              <w:ind w:left="0" w:right="-10"/>
              <w:jc w:val="left"/>
              <w:rPr>
                <w:rFonts w:hint="default" w:ascii="宋体" w:hAnsi="宋体" w:eastAsia="宋体"/>
                <w:color w:val="auto"/>
                <w:sz w:val="24"/>
                <w:szCs w:val="28"/>
                <w:highlight w:val="none"/>
              </w:rPr>
            </w:pPr>
            <w:r>
              <w:rPr>
                <w:rFonts w:hint="eastAsia" w:ascii="宋体" w:hAnsi="宋体" w:eastAsia="宋体" w:cs="宋体"/>
                <w:color w:val="auto"/>
                <w:sz w:val="24"/>
                <w:szCs w:val="24"/>
                <w:highlight w:val="none"/>
              </w:rPr>
              <w:t>（5）供应商</w:t>
            </w:r>
            <w:r>
              <w:rPr>
                <w:rFonts w:hint="default" w:ascii="宋体" w:hAnsi="宋体" w:eastAsia="宋体" w:cs="宋体"/>
                <w:color w:val="auto"/>
                <w:sz w:val="24"/>
                <w:szCs w:val="24"/>
                <w:highlight w:val="none"/>
              </w:rPr>
              <w:t>是自然人的，应</w:t>
            </w:r>
            <w:r>
              <w:rPr>
                <w:rFonts w:hint="eastAsia" w:ascii="宋体" w:hAnsi="宋体" w:eastAsia="宋体" w:cs="宋体"/>
                <w:color w:val="auto"/>
                <w:sz w:val="24"/>
                <w:szCs w:val="24"/>
                <w:highlight w:val="none"/>
              </w:rPr>
              <w:t>提</w:t>
            </w:r>
            <w:r>
              <w:rPr>
                <w:rFonts w:hint="default" w:ascii="宋体" w:hAnsi="宋体" w:eastAsia="宋体" w:cs="宋体"/>
                <w:color w:val="auto"/>
                <w:sz w:val="24"/>
                <w:szCs w:val="24"/>
                <w:highlight w:val="none"/>
              </w:rPr>
              <w:t>供有效的自然人身份证明。</w:t>
            </w:r>
          </w:p>
        </w:tc>
        <w:tc>
          <w:tcPr>
            <w:tcW w:w="1091" w:type="pct"/>
            <w:vAlign w:val="center"/>
          </w:tcPr>
          <w:p w14:paraId="33150361">
            <w:pPr>
              <w:keepNext w:val="0"/>
              <w:keepLines w:val="0"/>
              <w:suppressLineNumbers w:val="0"/>
              <w:spacing w:before="0" w:beforeAutospacing="0" w:after="0" w:afterAutospacing="0" w:line="360" w:lineRule="auto"/>
              <w:ind w:left="0" w:right="0"/>
              <w:jc w:val="left"/>
              <w:rPr>
                <w:rFonts w:hint="default" w:ascii="宋体" w:hAnsi="宋体" w:eastAsia="宋体"/>
                <w:color w:val="auto"/>
                <w:sz w:val="24"/>
                <w:szCs w:val="20"/>
                <w:highlight w:val="none"/>
              </w:rPr>
            </w:pPr>
            <w:r>
              <w:rPr>
                <w:rFonts w:hint="eastAsia" w:ascii="宋体" w:hAnsi="宋体" w:eastAsia="宋体" w:cs="宋体"/>
                <w:color w:val="auto"/>
                <w:sz w:val="24"/>
                <w:szCs w:val="24"/>
                <w:highlight w:val="none"/>
              </w:rPr>
              <w:t>提供材料扫描件或电子证照，应完整的体现出材料或电子证照全部内容。联合体磋商的联合体各方均须提供。</w:t>
            </w:r>
          </w:p>
        </w:tc>
      </w:tr>
      <w:tr w14:paraId="55065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365" w:type="pct"/>
            <w:tcBorders>
              <w:bottom w:val="single" w:color="auto" w:sz="4" w:space="0"/>
            </w:tcBorders>
            <w:vAlign w:val="center"/>
          </w:tcPr>
          <w:p w14:paraId="552C96FD">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olor w:val="auto"/>
                <w:sz w:val="24"/>
                <w:szCs w:val="20"/>
                <w:highlight w:val="none"/>
              </w:rPr>
            </w:pPr>
            <w:r>
              <w:rPr>
                <w:rFonts w:hint="eastAsia" w:ascii="宋体" w:hAnsi="宋体" w:eastAsia="宋体"/>
                <w:color w:val="auto"/>
                <w:sz w:val="24"/>
                <w:szCs w:val="20"/>
                <w:highlight w:val="none"/>
              </w:rPr>
              <w:t>2</w:t>
            </w:r>
          </w:p>
        </w:tc>
        <w:tc>
          <w:tcPr>
            <w:tcW w:w="942" w:type="pct"/>
            <w:tcBorders>
              <w:bottom w:val="single" w:color="auto" w:sz="4" w:space="0"/>
            </w:tcBorders>
            <w:vAlign w:val="center"/>
          </w:tcPr>
          <w:p w14:paraId="620E56BE">
            <w:pPr>
              <w:keepNext w:val="0"/>
              <w:keepLines w:val="0"/>
              <w:suppressLineNumbers w:val="0"/>
              <w:spacing w:before="0" w:beforeAutospacing="0" w:after="50" w:afterAutospacing="0" w:line="360" w:lineRule="auto"/>
              <w:ind w:left="0" w:right="-10"/>
              <w:jc w:val="center"/>
              <w:rPr>
                <w:rFonts w:hint="default" w:ascii="宋体" w:hAnsi="宋体" w:eastAsia="宋体"/>
                <w:color w:val="auto"/>
                <w:sz w:val="24"/>
                <w:szCs w:val="28"/>
                <w:highlight w:val="none"/>
              </w:rPr>
            </w:pPr>
            <w:r>
              <w:rPr>
                <w:rFonts w:hint="eastAsia" w:ascii="宋体" w:hAnsi="宋体" w:eastAsia="宋体"/>
                <w:color w:val="auto"/>
                <w:sz w:val="24"/>
                <w:szCs w:val="18"/>
                <w:highlight w:val="none"/>
              </w:rPr>
              <w:t>供应商资格声明书</w:t>
            </w:r>
          </w:p>
        </w:tc>
        <w:tc>
          <w:tcPr>
            <w:tcW w:w="2600" w:type="pct"/>
            <w:tcBorders>
              <w:bottom w:val="single" w:color="auto" w:sz="4" w:space="0"/>
            </w:tcBorders>
            <w:vAlign w:val="center"/>
          </w:tcPr>
          <w:p w14:paraId="75B05D9D">
            <w:pPr>
              <w:keepNext w:val="0"/>
              <w:keepLines w:val="0"/>
              <w:suppressLineNumbers w:val="0"/>
              <w:spacing w:before="0" w:beforeAutospacing="0" w:after="50" w:afterAutospacing="0" w:line="360" w:lineRule="auto"/>
              <w:ind w:left="0" w:right="-10"/>
              <w:jc w:val="left"/>
              <w:rPr>
                <w:rFonts w:hint="default" w:ascii="宋体" w:hAnsi="宋体" w:eastAsia="宋体"/>
                <w:color w:val="auto"/>
                <w:sz w:val="24"/>
                <w:szCs w:val="28"/>
                <w:highlight w:val="none"/>
              </w:rPr>
            </w:pPr>
            <w:r>
              <w:rPr>
                <w:rFonts w:hint="eastAsia" w:ascii="宋体" w:hAnsi="宋体" w:eastAsia="宋体" w:cs="宋体"/>
                <w:color w:val="auto"/>
                <w:sz w:val="24"/>
                <w:szCs w:val="24"/>
                <w:highlight w:val="none"/>
              </w:rPr>
              <w:t>提</w:t>
            </w:r>
            <w:r>
              <w:rPr>
                <w:rFonts w:hint="default" w:ascii="宋体" w:hAnsi="宋体" w:eastAsia="宋体" w:cs="宋体"/>
                <w:color w:val="auto"/>
                <w:sz w:val="24"/>
                <w:szCs w:val="24"/>
                <w:highlight w:val="none"/>
              </w:rPr>
              <w:t>供符合</w:t>
            </w:r>
            <w:r>
              <w:rPr>
                <w:rFonts w:hint="eastAsia" w:ascii="宋体" w:hAnsi="宋体" w:eastAsia="宋体" w:cs="宋体"/>
                <w:color w:val="auto"/>
                <w:sz w:val="24"/>
                <w:szCs w:val="24"/>
                <w:highlight w:val="none"/>
              </w:rPr>
              <w:t>磋商</w:t>
            </w:r>
            <w:r>
              <w:rPr>
                <w:rFonts w:hint="default" w:ascii="宋体" w:hAnsi="宋体" w:eastAsia="宋体" w:cs="宋体"/>
                <w:color w:val="auto"/>
                <w:sz w:val="24"/>
                <w:szCs w:val="24"/>
                <w:highlight w:val="none"/>
              </w:rPr>
              <w:t>文件要求的《</w:t>
            </w:r>
            <w:r>
              <w:rPr>
                <w:rFonts w:hint="eastAsia" w:ascii="宋体" w:hAnsi="宋体" w:eastAsia="宋体" w:cs="宋体"/>
                <w:color w:val="auto"/>
                <w:sz w:val="24"/>
                <w:szCs w:val="24"/>
                <w:highlight w:val="none"/>
              </w:rPr>
              <w:t>供应商</w:t>
            </w:r>
            <w:r>
              <w:rPr>
                <w:rFonts w:hint="default" w:ascii="宋体" w:hAnsi="宋体" w:eastAsia="宋体" w:cs="宋体"/>
                <w:color w:val="auto"/>
                <w:sz w:val="24"/>
                <w:szCs w:val="24"/>
                <w:highlight w:val="none"/>
              </w:rPr>
              <w:t>资格声明书》</w:t>
            </w:r>
            <w:r>
              <w:rPr>
                <w:rFonts w:hint="eastAsia" w:ascii="宋体" w:hAnsi="宋体" w:eastAsia="宋体" w:cs="宋体"/>
                <w:color w:val="auto"/>
                <w:sz w:val="24"/>
                <w:szCs w:val="24"/>
                <w:highlight w:val="none"/>
              </w:rPr>
              <w:t>。</w:t>
            </w:r>
          </w:p>
        </w:tc>
        <w:tc>
          <w:tcPr>
            <w:tcW w:w="1091" w:type="pct"/>
            <w:vAlign w:val="center"/>
          </w:tcPr>
          <w:p w14:paraId="2AF9B4C9">
            <w:pPr>
              <w:keepNext w:val="0"/>
              <w:keepLines w:val="0"/>
              <w:suppressLineNumbers w:val="0"/>
              <w:spacing w:before="0" w:beforeAutospacing="0" w:after="0" w:afterAutospacing="0" w:line="360" w:lineRule="auto"/>
              <w:ind w:left="0" w:right="0"/>
              <w:jc w:val="left"/>
              <w:rPr>
                <w:rFonts w:hint="default" w:ascii="宋体" w:hAnsi="宋体" w:eastAsia="宋体" w:cs="宋体"/>
                <w:color w:val="auto"/>
                <w:sz w:val="24"/>
                <w:szCs w:val="24"/>
                <w:highlight w:val="none"/>
              </w:rPr>
            </w:pPr>
            <w:r>
              <w:rPr>
                <w:rFonts w:hint="eastAsia" w:ascii="宋体" w:hAnsi="宋体" w:eastAsia="宋体"/>
                <w:color w:val="auto"/>
                <w:sz w:val="24"/>
                <w:szCs w:val="20"/>
                <w:highlight w:val="none"/>
              </w:rPr>
              <w:t>详见第六章响应文件格式。</w:t>
            </w:r>
          </w:p>
        </w:tc>
      </w:tr>
      <w:tr w14:paraId="607B4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5" w:type="pct"/>
            <w:tcBorders>
              <w:bottom w:val="single" w:color="auto" w:sz="4" w:space="0"/>
            </w:tcBorders>
            <w:vAlign w:val="center"/>
          </w:tcPr>
          <w:p w14:paraId="0A323467">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olor w:val="auto"/>
                <w:sz w:val="24"/>
                <w:szCs w:val="20"/>
                <w:highlight w:val="none"/>
              </w:rPr>
            </w:pPr>
            <w:r>
              <w:rPr>
                <w:rFonts w:hint="eastAsia" w:ascii="宋体" w:hAnsi="宋体" w:eastAsia="宋体"/>
                <w:color w:val="auto"/>
                <w:sz w:val="24"/>
                <w:szCs w:val="20"/>
                <w:highlight w:val="none"/>
              </w:rPr>
              <w:t>3</w:t>
            </w:r>
          </w:p>
        </w:tc>
        <w:tc>
          <w:tcPr>
            <w:tcW w:w="942" w:type="pct"/>
            <w:tcBorders>
              <w:bottom w:val="single" w:color="auto" w:sz="4" w:space="0"/>
            </w:tcBorders>
            <w:vAlign w:val="center"/>
          </w:tcPr>
          <w:p w14:paraId="4470E181">
            <w:pPr>
              <w:keepNext w:val="0"/>
              <w:keepLines w:val="0"/>
              <w:suppressLineNumbers w:val="0"/>
              <w:spacing w:before="0" w:beforeAutospacing="0" w:after="50" w:afterAutospacing="0" w:line="360" w:lineRule="auto"/>
              <w:ind w:left="0" w:right="-10"/>
              <w:jc w:val="center"/>
              <w:rPr>
                <w:rFonts w:hint="default" w:ascii="宋体" w:hAnsi="宋体" w:eastAsia="宋体"/>
                <w:color w:val="auto"/>
                <w:sz w:val="24"/>
                <w:szCs w:val="28"/>
                <w:highlight w:val="none"/>
              </w:rPr>
            </w:pPr>
            <w:r>
              <w:rPr>
                <w:rFonts w:hint="eastAsia" w:ascii="宋体" w:hAnsi="宋体" w:eastAsia="宋体"/>
                <w:color w:val="auto"/>
                <w:sz w:val="24"/>
                <w:szCs w:val="18"/>
                <w:highlight w:val="none"/>
              </w:rPr>
              <w:t>供应商</w:t>
            </w:r>
            <w:r>
              <w:rPr>
                <w:rFonts w:hint="eastAsia" w:ascii="宋体" w:hAnsi="宋体" w:eastAsia="宋体" w:cs="宋体"/>
                <w:color w:val="auto"/>
                <w:sz w:val="24"/>
                <w:szCs w:val="24"/>
                <w:highlight w:val="none"/>
              </w:rPr>
              <w:t>信用记录</w:t>
            </w:r>
          </w:p>
        </w:tc>
        <w:tc>
          <w:tcPr>
            <w:tcW w:w="2600" w:type="pct"/>
            <w:tcBorders>
              <w:bottom w:val="single" w:color="auto" w:sz="4" w:space="0"/>
            </w:tcBorders>
            <w:vAlign w:val="center"/>
          </w:tcPr>
          <w:p w14:paraId="745791FA">
            <w:pPr>
              <w:keepNext w:val="0"/>
              <w:keepLines w:val="0"/>
              <w:suppressLineNumbers w:val="0"/>
              <w:spacing w:before="0" w:beforeAutospacing="0" w:after="50" w:afterAutospacing="0" w:line="360" w:lineRule="auto"/>
              <w:ind w:left="0" w:right="-10"/>
              <w:jc w:val="left"/>
              <w:rPr>
                <w:rFonts w:hint="default"/>
                <w:color w:val="auto"/>
                <w:szCs w:val="20"/>
                <w:highlight w:val="none"/>
              </w:rPr>
            </w:pP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lang w:val="zh-CN" w:eastAsia="zh-CN"/>
              </w:rPr>
              <w:t>不得存在《</w:t>
            </w:r>
            <w:r>
              <w:rPr>
                <w:rFonts w:hint="eastAsia" w:ascii="宋体" w:hAnsi="宋体" w:eastAsia="宋体" w:cs="宋体"/>
                <w:sz w:val="24"/>
                <w:szCs w:val="24"/>
                <w:highlight w:val="none"/>
                <w:lang w:val="en-US" w:eastAsia="zh-CN"/>
              </w:rPr>
              <w:t>磋商邀请</w:t>
            </w:r>
            <w:r>
              <w:rPr>
                <w:rFonts w:hint="eastAsia" w:ascii="宋体" w:hAnsi="宋体" w:eastAsia="宋体" w:cs="宋体"/>
                <w:sz w:val="24"/>
                <w:szCs w:val="24"/>
                <w:highlight w:val="none"/>
                <w:lang w:val="zh-CN" w:eastAsia="zh-CN"/>
              </w:rPr>
              <w:t>》</w:t>
            </w:r>
            <w:r>
              <w:rPr>
                <w:rFonts w:hint="eastAsia" w:ascii="宋体" w:hAnsi="宋体" w:eastAsia="宋体" w:cs="宋体"/>
                <w:sz w:val="24"/>
                <w:szCs w:val="24"/>
                <w:highlight w:val="none"/>
                <w:lang w:val="en-US" w:eastAsia="zh-CN"/>
              </w:rPr>
              <w:t>中信誉要求和供应商</w:t>
            </w:r>
            <w:r>
              <w:rPr>
                <w:rFonts w:hint="eastAsia" w:ascii="宋体" w:hAnsi="宋体" w:eastAsia="宋体" w:cs="宋体"/>
                <w:sz w:val="24"/>
                <w:szCs w:val="24"/>
                <w:highlight w:val="none"/>
                <w:lang w:val="zh-CN" w:eastAsia="zh-CN"/>
              </w:rPr>
              <w:t>须知正文第1</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val="zh-CN" w:eastAsia="zh-CN"/>
              </w:rPr>
              <w:t>.</w:t>
            </w:r>
            <w:r>
              <w:rPr>
                <w:rFonts w:hint="eastAsia" w:ascii="宋体" w:hAnsi="宋体" w:eastAsia="宋体" w:cs="宋体"/>
                <w:sz w:val="24"/>
                <w:szCs w:val="24"/>
                <w:highlight w:val="none"/>
                <w:lang w:val="en-US" w:eastAsia="zh-CN"/>
              </w:rPr>
              <w:t>3条中</w:t>
            </w:r>
            <w:r>
              <w:rPr>
                <w:rFonts w:hint="eastAsia" w:ascii="宋体" w:hAnsi="宋体" w:eastAsia="宋体" w:cs="宋体"/>
                <w:sz w:val="24"/>
                <w:szCs w:val="24"/>
                <w:highlight w:val="none"/>
                <w:lang w:val="zh-CN" w:eastAsia="zh-CN"/>
              </w:rPr>
              <w:t>的不良信用记录情形</w:t>
            </w:r>
          </w:p>
        </w:tc>
        <w:tc>
          <w:tcPr>
            <w:tcW w:w="1091" w:type="pct"/>
            <w:tcBorders>
              <w:bottom w:val="single" w:color="auto" w:sz="4" w:space="0"/>
            </w:tcBorders>
            <w:vAlign w:val="center"/>
          </w:tcPr>
          <w:p w14:paraId="45DD964D">
            <w:pPr>
              <w:keepNext w:val="0"/>
              <w:keepLines w:val="0"/>
              <w:suppressLineNumbers w:val="0"/>
              <w:spacing w:before="0" w:beforeAutospacing="0" w:after="0" w:afterAutospacing="0" w:line="360" w:lineRule="auto"/>
              <w:ind w:left="0" w:right="0"/>
              <w:jc w:val="left"/>
              <w:rPr>
                <w:rFonts w:hint="default"/>
                <w:color w:val="auto"/>
                <w:szCs w:val="20"/>
                <w:highlight w:val="none"/>
              </w:rPr>
            </w:pPr>
            <w:r>
              <w:rPr>
                <w:rFonts w:hint="eastAsia" w:ascii="宋体" w:hAnsi="宋体" w:eastAsia="宋体" w:cs="宋体"/>
                <w:color w:val="auto"/>
                <w:sz w:val="24"/>
                <w:szCs w:val="24"/>
                <w:highlight w:val="none"/>
              </w:rPr>
              <w:t>无须供应商提供，由采购人或采购代理机构查询。</w:t>
            </w:r>
          </w:p>
        </w:tc>
      </w:tr>
      <w:tr w14:paraId="21345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5" w:type="pct"/>
            <w:tcBorders>
              <w:bottom w:val="single" w:color="auto" w:sz="4" w:space="0"/>
            </w:tcBorders>
            <w:vAlign w:val="center"/>
          </w:tcPr>
          <w:p w14:paraId="1ED2255B">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olor w:val="auto"/>
                <w:sz w:val="24"/>
                <w:szCs w:val="20"/>
                <w:highlight w:val="none"/>
              </w:rPr>
            </w:pPr>
            <w:r>
              <w:rPr>
                <w:rFonts w:hint="eastAsia" w:ascii="宋体" w:hAnsi="宋体" w:eastAsia="宋体"/>
                <w:color w:val="auto"/>
                <w:sz w:val="24"/>
                <w:szCs w:val="20"/>
                <w:highlight w:val="none"/>
              </w:rPr>
              <w:t>4</w:t>
            </w:r>
          </w:p>
        </w:tc>
        <w:tc>
          <w:tcPr>
            <w:tcW w:w="942" w:type="pct"/>
            <w:tcBorders>
              <w:bottom w:val="single" w:color="auto" w:sz="4" w:space="0"/>
            </w:tcBorders>
            <w:shd w:val="clear" w:color="auto" w:fill="auto"/>
            <w:vAlign w:val="center"/>
          </w:tcPr>
          <w:p w14:paraId="10C0379D">
            <w:pPr>
              <w:keepNext w:val="0"/>
              <w:keepLines w:val="0"/>
              <w:suppressLineNumbers w:val="0"/>
              <w:spacing w:before="0" w:beforeAutospacing="0" w:after="50" w:afterAutospacing="0" w:line="360" w:lineRule="auto"/>
              <w:ind w:left="0" w:right="-10" w:rightChars="0"/>
              <w:rPr>
                <w:rFonts w:hint="eastAsia" w:ascii="宋体" w:hAnsi="宋体" w:eastAsia="宋体" w:cs="宋体"/>
                <w:color w:val="auto"/>
                <w:kern w:val="2"/>
                <w:sz w:val="24"/>
                <w:szCs w:val="24"/>
                <w:highlight w:val="none"/>
                <w:lang w:val="en-US" w:eastAsia="zh-CN" w:bidi="ar-SA"/>
              </w:rPr>
            </w:pPr>
            <w:r>
              <w:rPr>
                <w:rFonts w:hint="default" w:ascii="宋体" w:hAnsi="宋体" w:eastAsia="宋体" w:cs="宋体"/>
                <w:color w:val="auto"/>
                <w:spacing w:val="10"/>
                <w:sz w:val="24"/>
                <w:szCs w:val="24"/>
                <w:highlight w:val="none"/>
              </w:rPr>
              <w:t>其它落实政府采</w:t>
            </w:r>
            <w:r>
              <w:rPr>
                <w:rFonts w:hint="default" w:ascii="宋体" w:hAnsi="宋体" w:eastAsia="宋体" w:cs="宋体"/>
                <w:color w:val="auto"/>
                <w:spacing w:val="11"/>
                <w:sz w:val="24"/>
                <w:szCs w:val="24"/>
                <w:highlight w:val="none"/>
              </w:rPr>
              <w:t>购政策的资格要</w:t>
            </w:r>
            <w:r>
              <w:rPr>
                <w:rFonts w:hint="default" w:ascii="宋体" w:hAnsi="宋体" w:eastAsia="宋体" w:cs="宋体"/>
                <w:color w:val="auto"/>
                <w:sz w:val="24"/>
                <w:szCs w:val="24"/>
                <w:highlight w:val="none"/>
              </w:rPr>
              <w:t>求</w:t>
            </w:r>
          </w:p>
        </w:tc>
        <w:tc>
          <w:tcPr>
            <w:tcW w:w="2600" w:type="pct"/>
            <w:tcBorders>
              <w:bottom w:val="single" w:color="auto" w:sz="4" w:space="0"/>
            </w:tcBorders>
            <w:shd w:val="clear" w:color="auto" w:fill="auto"/>
            <w:vAlign w:val="center"/>
          </w:tcPr>
          <w:p w14:paraId="7B7BAC81">
            <w:pPr>
              <w:keepNext w:val="0"/>
              <w:keepLines w:val="0"/>
              <w:suppressLineNumbers w:val="0"/>
              <w:spacing w:before="0" w:beforeAutospacing="0" w:after="50" w:afterAutospacing="0" w:line="360" w:lineRule="auto"/>
              <w:ind w:left="0" w:right="-10" w:rightChars="0"/>
              <w:jc w:val="left"/>
              <w:rPr>
                <w:rFonts w:hint="default" w:ascii="宋体" w:hAnsi="宋体" w:eastAsia="宋体" w:cs="宋体"/>
                <w:color w:val="auto"/>
                <w:kern w:val="2"/>
                <w:sz w:val="24"/>
                <w:szCs w:val="24"/>
                <w:highlight w:val="none"/>
                <w:lang w:val="en-US" w:eastAsia="en-US" w:bidi="ar-SA"/>
              </w:rPr>
            </w:pPr>
            <w:r>
              <w:rPr>
                <w:rFonts w:hint="default" w:ascii="宋体" w:hAnsi="宋体" w:eastAsia="宋体" w:cs="宋体"/>
                <w:color w:val="auto"/>
                <w:spacing w:val="-2"/>
                <w:sz w:val="24"/>
                <w:szCs w:val="24"/>
                <w:highlight w:val="none"/>
              </w:rPr>
              <w:t>如有，见第一章《</w:t>
            </w:r>
            <w:r>
              <w:rPr>
                <w:rFonts w:hint="eastAsia" w:ascii="宋体" w:hAnsi="宋体" w:eastAsia="宋体" w:cs="宋体"/>
                <w:color w:val="auto"/>
                <w:spacing w:val="-2"/>
                <w:sz w:val="24"/>
                <w:szCs w:val="24"/>
                <w:highlight w:val="none"/>
              </w:rPr>
              <w:t>磋商</w:t>
            </w:r>
            <w:r>
              <w:rPr>
                <w:rFonts w:hint="default" w:ascii="宋体" w:hAnsi="宋体" w:eastAsia="宋体" w:cs="宋体"/>
                <w:color w:val="auto"/>
                <w:spacing w:val="-2"/>
                <w:sz w:val="24"/>
                <w:szCs w:val="24"/>
                <w:highlight w:val="none"/>
              </w:rPr>
              <w:t>邀请》</w:t>
            </w:r>
          </w:p>
        </w:tc>
        <w:tc>
          <w:tcPr>
            <w:tcW w:w="1091" w:type="pct"/>
            <w:tcBorders>
              <w:bottom w:val="single" w:color="auto" w:sz="4" w:space="0"/>
            </w:tcBorders>
            <w:shd w:val="clear" w:color="auto" w:fill="auto"/>
            <w:vAlign w:val="center"/>
          </w:tcPr>
          <w:p w14:paraId="4D86BADF">
            <w:pPr>
              <w:keepNext w:val="0"/>
              <w:keepLines w:val="0"/>
              <w:suppressLineNumbers w:val="0"/>
              <w:spacing w:before="0" w:beforeAutospacing="0" w:after="50" w:afterAutospacing="0" w:line="360" w:lineRule="auto"/>
              <w:ind w:left="0" w:right="-10" w:rightChars="0"/>
              <w:jc w:val="left"/>
              <w:rPr>
                <w:rFonts w:hint="eastAsia" w:ascii="宋体" w:hAnsi="宋体" w:eastAsia="宋体" w:cs="@仿宋_GB2312"/>
                <w:color w:val="auto"/>
                <w:kern w:val="2"/>
                <w:sz w:val="24"/>
                <w:szCs w:val="20"/>
                <w:highlight w:val="none"/>
                <w:lang w:val="en-US" w:eastAsia="zh-CN" w:bidi="ar-SA"/>
              </w:rPr>
            </w:pPr>
            <w:r>
              <w:rPr>
                <w:rFonts w:hint="eastAsia" w:ascii="宋体" w:hAnsi="宋体" w:eastAsia="宋体" w:cs="宋体"/>
                <w:color w:val="auto"/>
                <w:sz w:val="24"/>
                <w:szCs w:val="24"/>
                <w:highlight w:val="none"/>
              </w:rPr>
              <w:t>提供材料扫描件或电子证照，应完整的体现出材料或电子证照全部内容。</w:t>
            </w:r>
          </w:p>
        </w:tc>
      </w:tr>
      <w:tr w14:paraId="68B8E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5" w:type="pct"/>
            <w:tcBorders>
              <w:bottom w:val="single" w:color="auto" w:sz="4" w:space="0"/>
            </w:tcBorders>
            <w:vAlign w:val="center"/>
          </w:tcPr>
          <w:p w14:paraId="0849BC18">
            <w:pPr>
              <w:keepNext w:val="0"/>
              <w:keepLines w:val="0"/>
              <w:suppressLineNumbers w:val="0"/>
              <w:adjustRightInd w:val="0"/>
              <w:snapToGrid w:val="0"/>
              <w:spacing w:before="0" w:beforeAutospacing="0" w:after="0" w:afterAutospacing="0" w:line="360" w:lineRule="auto"/>
              <w:ind w:left="0" w:right="-10"/>
              <w:jc w:val="center"/>
              <w:rPr>
                <w:rFonts w:hint="default" w:ascii="宋体" w:hAnsi="宋体" w:eastAsia="宋体"/>
                <w:color w:val="auto"/>
                <w:sz w:val="24"/>
                <w:szCs w:val="20"/>
                <w:highlight w:val="none"/>
                <w:lang w:val="en-US" w:eastAsia="zh-CN"/>
              </w:rPr>
            </w:pPr>
            <w:r>
              <w:rPr>
                <w:rFonts w:hint="eastAsia" w:ascii="宋体" w:hAnsi="宋体" w:eastAsia="宋体"/>
                <w:color w:val="auto"/>
                <w:sz w:val="24"/>
                <w:szCs w:val="20"/>
                <w:highlight w:val="none"/>
                <w:lang w:val="en-US" w:eastAsia="zh-CN"/>
              </w:rPr>
              <w:t>5</w:t>
            </w:r>
          </w:p>
        </w:tc>
        <w:tc>
          <w:tcPr>
            <w:tcW w:w="942" w:type="pct"/>
            <w:tcBorders>
              <w:bottom w:val="single" w:color="auto" w:sz="4" w:space="0"/>
            </w:tcBorders>
            <w:shd w:val="clear" w:color="auto" w:fill="auto"/>
            <w:vAlign w:val="center"/>
          </w:tcPr>
          <w:p w14:paraId="1139186E">
            <w:pPr>
              <w:keepNext w:val="0"/>
              <w:keepLines w:val="0"/>
              <w:suppressLineNumbers w:val="0"/>
              <w:spacing w:before="0" w:beforeAutospacing="0" w:after="50" w:afterAutospacing="0" w:line="360" w:lineRule="auto"/>
              <w:ind w:left="0" w:right="-10" w:right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spacing w:val="10"/>
                <w:sz w:val="24"/>
                <w:szCs w:val="24"/>
                <w:highlight w:val="none"/>
                <w:lang w:eastAsia="zh-CN"/>
              </w:rPr>
              <w:t>本项目的</w:t>
            </w:r>
            <w:r>
              <w:rPr>
                <w:rFonts w:hint="default" w:ascii="宋体" w:hAnsi="宋体" w:eastAsia="宋体" w:cs="宋体"/>
                <w:spacing w:val="10"/>
                <w:sz w:val="24"/>
                <w:szCs w:val="24"/>
                <w:highlight w:val="none"/>
              </w:rPr>
              <w:t>特定资格要求</w:t>
            </w:r>
          </w:p>
        </w:tc>
        <w:tc>
          <w:tcPr>
            <w:tcW w:w="2600" w:type="pct"/>
            <w:tcBorders>
              <w:bottom w:val="single" w:color="auto" w:sz="4" w:space="0"/>
            </w:tcBorders>
            <w:shd w:val="clear" w:color="auto" w:fill="auto"/>
            <w:vAlign w:val="center"/>
          </w:tcPr>
          <w:p w14:paraId="14EB6BDC">
            <w:pPr>
              <w:keepNext w:val="0"/>
              <w:keepLines w:val="0"/>
              <w:suppressLineNumbers w:val="0"/>
              <w:spacing w:before="0" w:beforeAutospacing="0" w:after="50" w:afterAutospacing="0" w:line="360" w:lineRule="auto"/>
              <w:ind w:left="0" w:right="-10" w:rightChars="0"/>
              <w:jc w:val="both"/>
              <w:rPr>
                <w:rFonts w:hint="eastAsia" w:ascii="宋体" w:hAnsi="宋体" w:eastAsia="宋体" w:cs="宋体"/>
                <w:color w:val="auto"/>
                <w:kern w:val="2"/>
                <w:sz w:val="24"/>
                <w:szCs w:val="24"/>
                <w:highlight w:val="none"/>
                <w:lang w:val="en-US" w:eastAsia="zh-CN" w:bidi="ar-SA"/>
              </w:rPr>
            </w:pPr>
            <w:r>
              <w:rPr>
                <w:rFonts w:hint="default" w:ascii="宋体" w:hAnsi="宋体" w:eastAsia="宋体" w:cs="宋体"/>
                <w:spacing w:val="10"/>
                <w:sz w:val="24"/>
                <w:szCs w:val="24"/>
                <w:highlight w:val="none"/>
              </w:rPr>
              <w:t>见第一章《</w:t>
            </w:r>
            <w:r>
              <w:rPr>
                <w:rFonts w:hint="eastAsia" w:ascii="宋体" w:hAnsi="宋体" w:eastAsia="宋体" w:cs="宋体"/>
                <w:spacing w:val="10"/>
                <w:sz w:val="24"/>
                <w:szCs w:val="24"/>
                <w:highlight w:val="none"/>
                <w:lang w:val="en-US" w:eastAsia="zh-CN"/>
              </w:rPr>
              <w:t>磋商</w:t>
            </w:r>
            <w:r>
              <w:rPr>
                <w:rFonts w:hint="default" w:ascii="宋体" w:hAnsi="宋体" w:eastAsia="宋体" w:cs="宋体"/>
                <w:spacing w:val="10"/>
                <w:sz w:val="24"/>
                <w:szCs w:val="24"/>
                <w:highlight w:val="none"/>
              </w:rPr>
              <w:t>邀请》</w:t>
            </w:r>
          </w:p>
        </w:tc>
        <w:tc>
          <w:tcPr>
            <w:tcW w:w="1091" w:type="pct"/>
            <w:tcBorders>
              <w:bottom w:val="single" w:color="auto" w:sz="4" w:space="0"/>
            </w:tcBorders>
            <w:shd w:val="clear" w:color="auto" w:fill="auto"/>
            <w:vAlign w:val="center"/>
          </w:tcPr>
          <w:p w14:paraId="3A3B3AA8">
            <w:pPr>
              <w:keepNext w:val="0"/>
              <w:keepLines w:val="0"/>
              <w:suppressLineNumbers w:val="0"/>
              <w:spacing w:before="0" w:beforeAutospacing="0" w:after="50" w:afterAutospacing="0" w:line="360" w:lineRule="auto"/>
              <w:ind w:left="0" w:right="-10" w:rightChars="0"/>
              <w:jc w:val="left"/>
              <w:rPr>
                <w:rFonts w:hint="eastAsia" w:ascii="宋体" w:hAnsi="宋体" w:eastAsia="宋体" w:cs="@仿宋_GB2312"/>
                <w:color w:val="auto"/>
                <w:kern w:val="2"/>
                <w:sz w:val="24"/>
                <w:szCs w:val="20"/>
                <w:highlight w:val="none"/>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1EDF8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5" w:type="pct"/>
            <w:tcBorders>
              <w:bottom w:val="single" w:color="auto" w:sz="4" w:space="0"/>
            </w:tcBorders>
            <w:vAlign w:val="center"/>
          </w:tcPr>
          <w:p w14:paraId="08F5261C">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olor w:val="auto"/>
                <w:sz w:val="24"/>
                <w:szCs w:val="20"/>
                <w:highlight w:val="none"/>
              </w:rPr>
            </w:pPr>
            <w:r>
              <w:rPr>
                <w:rFonts w:hint="eastAsia" w:ascii="宋体" w:hAnsi="宋体" w:eastAsia="宋体"/>
                <w:color w:val="auto"/>
                <w:sz w:val="24"/>
                <w:szCs w:val="20"/>
                <w:highlight w:val="none"/>
                <w:lang w:val="en-US" w:eastAsia="zh-CN"/>
              </w:rPr>
              <w:t>6</w:t>
            </w:r>
          </w:p>
        </w:tc>
        <w:tc>
          <w:tcPr>
            <w:tcW w:w="942" w:type="pct"/>
            <w:tcBorders>
              <w:bottom w:val="single" w:color="auto" w:sz="4" w:space="0"/>
            </w:tcBorders>
            <w:shd w:val="clear" w:color="auto" w:fill="auto"/>
            <w:vAlign w:val="center"/>
          </w:tcPr>
          <w:p w14:paraId="4944CD5D">
            <w:pPr>
              <w:keepNext w:val="0"/>
              <w:keepLines w:val="0"/>
              <w:suppressLineNumbers w:val="0"/>
              <w:spacing w:before="0" w:beforeAutospacing="0" w:after="50" w:afterAutospacing="0" w:line="360" w:lineRule="auto"/>
              <w:ind w:left="0" w:right="-10" w:rightChars="0"/>
              <w:jc w:val="center"/>
              <w:rPr>
                <w:rFonts w:hint="eastAsia" w:cs="@仿宋_GB2312" w:asciiTheme="minorEastAsia" w:hAnsiTheme="minorEastAsia" w:eastAsiaTheme="minorEastAsia"/>
                <w:color w:val="auto"/>
                <w:kern w:val="2"/>
                <w:sz w:val="24"/>
                <w:szCs w:val="28"/>
                <w:highlight w:val="none"/>
                <w:lang w:val="en-US" w:eastAsia="zh-CN" w:bidi="ar-SA"/>
              </w:rPr>
            </w:pPr>
            <w:r>
              <w:rPr>
                <w:rFonts w:hint="eastAsia" w:asciiTheme="minorEastAsia" w:hAnsiTheme="minorEastAsia" w:eastAsiaTheme="minorEastAsia"/>
                <w:color w:val="auto"/>
                <w:sz w:val="24"/>
                <w:szCs w:val="28"/>
                <w:highlight w:val="none"/>
              </w:rPr>
              <w:t>磋商响应函</w:t>
            </w:r>
          </w:p>
        </w:tc>
        <w:tc>
          <w:tcPr>
            <w:tcW w:w="2600" w:type="pct"/>
            <w:tcBorders>
              <w:bottom w:val="single" w:color="auto" w:sz="4" w:space="0"/>
            </w:tcBorders>
            <w:shd w:val="clear" w:color="auto" w:fill="auto"/>
            <w:vAlign w:val="center"/>
          </w:tcPr>
          <w:p w14:paraId="7EB64E78">
            <w:pPr>
              <w:keepNext w:val="0"/>
              <w:keepLines w:val="0"/>
              <w:suppressLineNumbers w:val="0"/>
              <w:spacing w:before="0" w:beforeAutospacing="0" w:after="50" w:afterAutospacing="0" w:line="360" w:lineRule="auto"/>
              <w:ind w:left="0" w:right="-10" w:rightChars="0"/>
              <w:jc w:val="left"/>
              <w:rPr>
                <w:rFonts w:hint="eastAsia" w:cs="@仿宋_GB2312" w:asciiTheme="minorEastAsia" w:hAnsiTheme="minorEastAsia" w:eastAsiaTheme="minorEastAsia"/>
                <w:color w:val="auto"/>
                <w:kern w:val="2"/>
                <w:sz w:val="24"/>
                <w:szCs w:val="28"/>
                <w:highlight w:val="none"/>
                <w:lang w:val="en-US" w:eastAsia="zh-CN" w:bidi="ar-SA"/>
              </w:rPr>
            </w:pPr>
            <w:r>
              <w:rPr>
                <w:rFonts w:hint="eastAsia" w:asciiTheme="minorEastAsia" w:hAnsiTheme="minorEastAsia" w:eastAsiaTheme="minorEastAsia"/>
                <w:color w:val="auto"/>
                <w:sz w:val="24"/>
                <w:szCs w:val="28"/>
                <w:highlight w:val="none"/>
              </w:rPr>
              <w:t>格式、填写要求符合磋商文件规定并加盖供应商电子签章</w:t>
            </w:r>
          </w:p>
        </w:tc>
        <w:tc>
          <w:tcPr>
            <w:tcW w:w="1091" w:type="pct"/>
            <w:tcBorders>
              <w:bottom w:val="single" w:color="auto" w:sz="4" w:space="0"/>
            </w:tcBorders>
            <w:shd w:val="clear" w:color="auto" w:fill="auto"/>
            <w:vAlign w:val="center"/>
          </w:tcPr>
          <w:p w14:paraId="134288DF">
            <w:pPr>
              <w:keepNext w:val="0"/>
              <w:keepLines w:val="0"/>
              <w:suppressLineNumbers w:val="0"/>
              <w:adjustRightInd w:val="0"/>
              <w:snapToGrid w:val="0"/>
              <w:spacing w:before="0" w:beforeAutospacing="0" w:after="0" w:afterAutospacing="0" w:line="360" w:lineRule="auto"/>
              <w:ind w:left="0" w:right="-10" w:rightChars="0"/>
              <w:jc w:val="left"/>
              <w:rPr>
                <w:rFonts w:hint="eastAsia" w:cs="@仿宋_GB2312" w:asciiTheme="minorEastAsia" w:hAnsiTheme="minorEastAsia" w:eastAsiaTheme="minorEastAsia"/>
                <w:color w:val="auto"/>
                <w:kern w:val="2"/>
                <w:sz w:val="24"/>
                <w:szCs w:val="20"/>
                <w:highlight w:val="none"/>
                <w:lang w:val="en-US" w:eastAsia="zh-CN" w:bidi="ar-SA"/>
              </w:rPr>
            </w:pPr>
            <w:r>
              <w:rPr>
                <w:rFonts w:hint="eastAsia" w:ascii="宋体" w:hAnsi="宋体" w:eastAsia="宋体"/>
                <w:color w:val="auto"/>
                <w:sz w:val="24"/>
                <w:szCs w:val="20"/>
                <w:highlight w:val="none"/>
              </w:rPr>
              <w:t>详见第六章响应文件格式。</w:t>
            </w:r>
          </w:p>
        </w:tc>
      </w:tr>
      <w:tr w14:paraId="174C2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5" w:type="pct"/>
            <w:vAlign w:val="center"/>
          </w:tcPr>
          <w:p w14:paraId="7194B441">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olor w:val="auto"/>
                <w:sz w:val="24"/>
                <w:szCs w:val="20"/>
                <w:highlight w:val="none"/>
                <w:lang w:eastAsia="zh-CN"/>
              </w:rPr>
            </w:pPr>
            <w:r>
              <w:rPr>
                <w:rFonts w:hint="eastAsia" w:ascii="宋体" w:hAnsi="宋体" w:eastAsia="宋体"/>
                <w:color w:val="auto"/>
                <w:sz w:val="24"/>
                <w:szCs w:val="20"/>
                <w:highlight w:val="none"/>
                <w:lang w:val="en-US" w:eastAsia="zh-CN"/>
              </w:rPr>
              <w:t>7</w:t>
            </w:r>
          </w:p>
        </w:tc>
        <w:tc>
          <w:tcPr>
            <w:tcW w:w="942" w:type="pct"/>
            <w:shd w:val="clear" w:color="auto" w:fill="auto"/>
            <w:vAlign w:val="center"/>
          </w:tcPr>
          <w:p w14:paraId="3630853D">
            <w:pPr>
              <w:keepNext w:val="0"/>
              <w:keepLines w:val="0"/>
              <w:suppressLineNumbers w:val="0"/>
              <w:spacing w:before="0" w:beforeAutospacing="0" w:after="50" w:afterAutospacing="0" w:line="360" w:lineRule="auto"/>
              <w:ind w:left="0" w:right="-10" w:rightChars="0"/>
              <w:jc w:val="center"/>
              <w:rPr>
                <w:rFonts w:hint="default" w:ascii="宋体" w:hAnsi="宋体" w:eastAsia="宋体" w:cs="宋体"/>
                <w:color w:val="auto"/>
                <w:spacing w:val="10"/>
                <w:kern w:val="2"/>
                <w:sz w:val="24"/>
                <w:szCs w:val="24"/>
                <w:highlight w:val="none"/>
                <w:lang w:val="en-US" w:eastAsia="zh-CN" w:bidi="ar-SA"/>
              </w:rPr>
            </w:pPr>
            <w:r>
              <w:rPr>
                <w:rFonts w:hint="eastAsia" w:asciiTheme="minorEastAsia" w:hAnsiTheme="minorEastAsia" w:eastAsiaTheme="minorEastAsia"/>
                <w:color w:val="auto"/>
                <w:sz w:val="24"/>
                <w:szCs w:val="28"/>
                <w:highlight w:val="none"/>
              </w:rPr>
              <w:t>授权书</w:t>
            </w:r>
          </w:p>
        </w:tc>
        <w:tc>
          <w:tcPr>
            <w:tcW w:w="2600" w:type="pct"/>
            <w:shd w:val="clear" w:color="auto" w:fill="auto"/>
            <w:vAlign w:val="center"/>
          </w:tcPr>
          <w:p w14:paraId="06E7C339">
            <w:pPr>
              <w:keepNext w:val="0"/>
              <w:keepLines w:val="0"/>
              <w:suppressLineNumbers w:val="0"/>
              <w:spacing w:before="0" w:beforeAutospacing="0" w:after="50" w:afterAutospacing="0" w:line="360" w:lineRule="auto"/>
              <w:ind w:left="0" w:right="-10" w:rightChars="0"/>
              <w:jc w:val="left"/>
              <w:rPr>
                <w:rFonts w:hint="default" w:ascii="宋体" w:hAnsi="宋体" w:eastAsia="宋体" w:cs="宋体"/>
                <w:color w:val="auto"/>
                <w:spacing w:val="10"/>
                <w:kern w:val="2"/>
                <w:sz w:val="24"/>
                <w:szCs w:val="24"/>
                <w:highlight w:val="none"/>
                <w:lang w:val="en-US" w:eastAsia="zh-CN" w:bidi="ar-SA"/>
              </w:rPr>
            </w:pPr>
            <w:r>
              <w:rPr>
                <w:rFonts w:hint="eastAsia" w:asciiTheme="minorEastAsia" w:hAnsiTheme="minorEastAsia" w:eastAsiaTheme="minorEastAsia"/>
                <w:color w:val="auto"/>
                <w:sz w:val="24"/>
                <w:szCs w:val="28"/>
                <w:highlight w:val="none"/>
              </w:rPr>
              <w:t>格式、填写要求符合</w:t>
            </w:r>
            <w:r>
              <w:rPr>
                <w:rFonts w:hint="eastAsia" w:ascii="宋体" w:hAnsi="宋体" w:eastAsia="宋体" w:cs="宋体"/>
                <w:color w:val="auto"/>
                <w:spacing w:val="10"/>
                <w:sz w:val="24"/>
                <w:szCs w:val="24"/>
                <w:highlight w:val="none"/>
              </w:rPr>
              <w:t>磋商</w:t>
            </w:r>
            <w:r>
              <w:rPr>
                <w:rFonts w:hint="eastAsia" w:asciiTheme="minorEastAsia" w:hAnsiTheme="minorEastAsia" w:eastAsiaTheme="minorEastAsia"/>
                <w:color w:val="auto"/>
                <w:sz w:val="24"/>
                <w:szCs w:val="28"/>
                <w:highlight w:val="none"/>
              </w:rPr>
              <w:t>文件规定并加盖</w:t>
            </w:r>
            <w:r>
              <w:rPr>
                <w:rFonts w:hint="eastAsia" w:asciiTheme="minorEastAsia" w:hAnsiTheme="minorEastAsia" w:eastAsiaTheme="minorEastAsia"/>
                <w:color w:val="auto"/>
                <w:sz w:val="24"/>
                <w:szCs w:val="20"/>
                <w:highlight w:val="none"/>
              </w:rPr>
              <w:t>供应商</w:t>
            </w:r>
            <w:r>
              <w:rPr>
                <w:rFonts w:hint="eastAsia" w:asciiTheme="minorEastAsia" w:hAnsiTheme="minorEastAsia" w:eastAsiaTheme="minorEastAsia"/>
                <w:color w:val="auto"/>
                <w:sz w:val="24"/>
                <w:szCs w:val="28"/>
                <w:highlight w:val="none"/>
              </w:rPr>
              <w:t>电子签章</w:t>
            </w:r>
          </w:p>
        </w:tc>
        <w:tc>
          <w:tcPr>
            <w:tcW w:w="1091" w:type="pct"/>
            <w:shd w:val="clear" w:color="auto" w:fill="auto"/>
            <w:vAlign w:val="center"/>
          </w:tcPr>
          <w:p w14:paraId="29FBFD60">
            <w:pPr>
              <w:keepNext w:val="0"/>
              <w:keepLines w:val="0"/>
              <w:suppressLineNumbers w:val="0"/>
              <w:adjustRightInd w:val="0"/>
              <w:snapToGrid w:val="0"/>
              <w:spacing w:before="0" w:beforeAutospacing="0" w:after="0" w:afterAutospacing="0" w:line="360" w:lineRule="auto"/>
              <w:ind w:left="0" w:right="-10" w:rightChars="0"/>
              <w:jc w:val="left"/>
              <w:rPr>
                <w:rFonts w:hint="default" w:ascii="宋体" w:hAnsi="宋体" w:eastAsia="宋体" w:cs="宋体"/>
                <w:color w:val="auto"/>
                <w:kern w:val="2"/>
                <w:sz w:val="24"/>
                <w:szCs w:val="24"/>
                <w:highlight w:val="none"/>
                <w:lang w:val="en-US" w:eastAsia="zh-CN" w:bidi="ar-SA"/>
              </w:rPr>
            </w:pPr>
            <w:r>
              <w:rPr>
                <w:rFonts w:hint="eastAsia" w:asciiTheme="minorEastAsia" w:hAnsiTheme="minorEastAsia" w:eastAsiaTheme="minorEastAsia"/>
                <w:color w:val="auto"/>
                <w:sz w:val="24"/>
                <w:szCs w:val="20"/>
                <w:highlight w:val="none"/>
              </w:rPr>
              <w:t>法定代表人参加磋商的无需此件，提供身份证明即可。详见第六章响应文件格式。</w:t>
            </w:r>
          </w:p>
        </w:tc>
      </w:tr>
      <w:tr w14:paraId="7FCD3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5" w:type="pct"/>
            <w:vAlign w:val="center"/>
          </w:tcPr>
          <w:p w14:paraId="29F57598">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olor w:val="auto"/>
                <w:sz w:val="24"/>
                <w:szCs w:val="20"/>
                <w:highlight w:val="none"/>
                <w:lang w:eastAsia="zh-CN"/>
              </w:rPr>
            </w:pPr>
            <w:r>
              <w:rPr>
                <w:rFonts w:hint="eastAsia" w:ascii="宋体" w:hAnsi="宋体" w:eastAsia="宋体"/>
                <w:color w:val="auto"/>
                <w:sz w:val="24"/>
                <w:szCs w:val="20"/>
                <w:highlight w:val="none"/>
                <w:lang w:val="en-US" w:eastAsia="zh-CN"/>
              </w:rPr>
              <w:t>8</w:t>
            </w:r>
          </w:p>
        </w:tc>
        <w:tc>
          <w:tcPr>
            <w:tcW w:w="942" w:type="pct"/>
            <w:shd w:val="clear" w:color="auto" w:fill="auto"/>
            <w:vAlign w:val="center"/>
          </w:tcPr>
          <w:p w14:paraId="2B9435D8">
            <w:pPr>
              <w:keepNext w:val="0"/>
              <w:keepLines w:val="0"/>
              <w:suppressLineNumbers w:val="0"/>
              <w:spacing w:before="0" w:beforeAutospacing="0" w:after="50" w:afterAutospacing="0" w:line="360" w:lineRule="auto"/>
              <w:ind w:left="0" w:right="-10" w:rightChars="0"/>
              <w:jc w:val="center"/>
              <w:rPr>
                <w:rFonts w:hint="default" w:ascii="宋体" w:hAnsi="宋体" w:eastAsia="宋体" w:cs="宋体"/>
                <w:color w:val="auto"/>
                <w:spacing w:val="10"/>
                <w:kern w:val="2"/>
                <w:sz w:val="24"/>
                <w:szCs w:val="24"/>
                <w:highlight w:val="none"/>
                <w:lang w:val="en-US" w:eastAsia="zh-CN" w:bidi="ar-SA"/>
              </w:rPr>
            </w:pPr>
            <w:r>
              <w:rPr>
                <w:rFonts w:hint="eastAsia" w:asciiTheme="minorEastAsia" w:hAnsiTheme="minorEastAsia" w:eastAsiaTheme="minorEastAsia"/>
                <w:color w:val="auto"/>
                <w:sz w:val="24"/>
                <w:szCs w:val="28"/>
                <w:highlight w:val="none"/>
              </w:rPr>
              <w:t>磋商报价</w:t>
            </w:r>
          </w:p>
        </w:tc>
        <w:tc>
          <w:tcPr>
            <w:tcW w:w="2600" w:type="pct"/>
            <w:shd w:val="clear" w:color="auto" w:fill="auto"/>
            <w:vAlign w:val="center"/>
          </w:tcPr>
          <w:p w14:paraId="2E8EE41B">
            <w:pPr>
              <w:keepNext w:val="0"/>
              <w:keepLines w:val="0"/>
              <w:suppressLineNumbers w:val="0"/>
              <w:spacing w:before="0" w:beforeAutospacing="0" w:after="50" w:afterAutospacing="0" w:line="360" w:lineRule="auto"/>
              <w:ind w:left="0" w:right="-10" w:rightChars="0"/>
              <w:jc w:val="left"/>
              <w:rPr>
                <w:rFonts w:hint="default" w:ascii="宋体" w:hAnsi="宋体" w:eastAsia="宋体" w:cs="宋体"/>
                <w:color w:val="auto"/>
                <w:spacing w:val="10"/>
                <w:kern w:val="2"/>
                <w:sz w:val="24"/>
                <w:szCs w:val="24"/>
                <w:highlight w:val="none"/>
                <w:lang w:val="en-US" w:eastAsia="zh-CN" w:bidi="ar-SA"/>
              </w:rPr>
            </w:pPr>
            <w:r>
              <w:rPr>
                <w:rFonts w:hint="eastAsia" w:asciiTheme="minorEastAsia" w:hAnsiTheme="minorEastAsia" w:eastAsiaTheme="minorEastAsia"/>
                <w:color w:val="auto"/>
                <w:sz w:val="24"/>
                <w:szCs w:val="28"/>
                <w:highlight w:val="none"/>
              </w:rPr>
              <w:t>符合</w:t>
            </w:r>
            <w:r>
              <w:rPr>
                <w:rFonts w:hint="eastAsia" w:ascii="宋体" w:hAnsi="宋体" w:eastAsia="宋体" w:cs="宋体"/>
                <w:color w:val="auto"/>
                <w:spacing w:val="10"/>
                <w:sz w:val="24"/>
                <w:szCs w:val="24"/>
                <w:highlight w:val="none"/>
              </w:rPr>
              <w:t>磋商</w:t>
            </w:r>
            <w:r>
              <w:rPr>
                <w:rFonts w:hint="eastAsia" w:asciiTheme="minorEastAsia" w:hAnsiTheme="minorEastAsia" w:eastAsiaTheme="minorEastAsia"/>
                <w:color w:val="auto"/>
                <w:sz w:val="24"/>
                <w:szCs w:val="20"/>
                <w:highlight w:val="none"/>
              </w:rPr>
              <w:t>文件供应商须知正文第9条要求</w:t>
            </w:r>
          </w:p>
        </w:tc>
        <w:tc>
          <w:tcPr>
            <w:tcW w:w="1091" w:type="pct"/>
            <w:shd w:val="clear" w:color="auto" w:fill="auto"/>
            <w:vAlign w:val="center"/>
          </w:tcPr>
          <w:p w14:paraId="4099BB60">
            <w:pPr>
              <w:keepNext w:val="0"/>
              <w:keepLines w:val="0"/>
              <w:suppressLineNumbers w:val="0"/>
              <w:adjustRightInd w:val="0"/>
              <w:snapToGrid w:val="0"/>
              <w:spacing w:before="0" w:beforeAutospacing="0" w:after="0" w:afterAutospacing="0" w:line="360" w:lineRule="auto"/>
              <w:ind w:left="0" w:right="-10" w:rightChars="0"/>
              <w:jc w:val="left"/>
              <w:rPr>
                <w:rFonts w:hint="default" w:ascii="宋体" w:hAnsi="宋体" w:eastAsia="宋体" w:cs="宋体"/>
                <w:color w:val="auto"/>
                <w:kern w:val="2"/>
                <w:sz w:val="24"/>
                <w:szCs w:val="24"/>
                <w:highlight w:val="none"/>
                <w:lang w:val="en-US" w:eastAsia="zh-CN" w:bidi="ar-SA"/>
              </w:rPr>
            </w:pPr>
            <w:r>
              <w:rPr>
                <w:rFonts w:hint="eastAsia" w:asciiTheme="minorEastAsia" w:hAnsiTheme="minorEastAsia" w:eastAsiaTheme="minorEastAsia"/>
                <w:color w:val="auto"/>
                <w:sz w:val="24"/>
                <w:szCs w:val="20"/>
                <w:highlight w:val="none"/>
              </w:rPr>
              <w:t>详见第六章响应文件格式。</w:t>
            </w:r>
          </w:p>
        </w:tc>
      </w:tr>
      <w:tr w14:paraId="7F232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5" w:type="pct"/>
            <w:vAlign w:val="center"/>
          </w:tcPr>
          <w:p w14:paraId="48462D67">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olor w:val="auto"/>
                <w:sz w:val="24"/>
                <w:szCs w:val="20"/>
                <w:highlight w:val="none"/>
                <w:lang w:eastAsia="zh-CN"/>
              </w:rPr>
            </w:pPr>
            <w:r>
              <w:rPr>
                <w:rFonts w:hint="eastAsia" w:ascii="宋体" w:hAnsi="宋体" w:eastAsia="宋体"/>
                <w:color w:val="auto"/>
                <w:sz w:val="24"/>
                <w:szCs w:val="20"/>
                <w:highlight w:val="none"/>
                <w:lang w:val="en-US" w:eastAsia="zh-CN"/>
              </w:rPr>
              <w:t>9</w:t>
            </w:r>
          </w:p>
        </w:tc>
        <w:tc>
          <w:tcPr>
            <w:tcW w:w="942" w:type="pct"/>
            <w:shd w:val="clear" w:color="auto" w:fill="auto"/>
            <w:vAlign w:val="center"/>
          </w:tcPr>
          <w:p w14:paraId="72ADE6DE">
            <w:pPr>
              <w:keepNext w:val="0"/>
              <w:keepLines w:val="0"/>
              <w:suppressLineNumbers w:val="0"/>
              <w:spacing w:before="0" w:beforeAutospacing="0" w:after="50" w:afterAutospacing="0" w:line="360" w:lineRule="auto"/>
              <w:ind w:left="0" w:right="-10" w:rightChars="0"/>
              <w:jc w:val="center"/>
              <w:rPr>
                <w:rFonts w:hint="default" w:ascii="宋体" w:hAnsi="宋体" w:eastAsia="宋体" w:cs="宋体"/>
                <w:color w:val="auto"/>
                <w:spacing w:val="10"/>
                <w:kern w:val="2"/>
                <w:sz w:val="24"/>
                <w:szCs w:val="24"/>
                <w:highlight w:val="none"/>
                <w:lang w:val="en-US" w:eastAsia="zh-CN" w:bidi="ar-SA"/>
              </w:rPr>
            </w:pPr>
            <w:r>
              <w:rPr>
                <w:rFonts w:hint="eastAsia" w:asciiTheme="minorEastAsia" w:hAnsiTheme="minorEastAsia" w:eastAsiaTheme="minorEastAsia"/>
                <w:color w:val="auto"/>
                <w:sz w:val="24"/>
                <w:szCs w:val="28"/>
                <w:highlight w:val="none"/>
              </w:rPr>
              <w:t>商务响应情况</w:t>
            </w:r>
          </w:p>
        </w:tc>
        <w:tc>
          <w:tcPr>
            <w:tcW w:w="2600" w:type="pct"/>
            <w:shd w:val="clear" w:color="auto" w:fill="auto"/>
            <w:vAlign w:val="center"/>
          </w:tcPr>
          <w:p w14:paraId="12F6F650">
            <w:pPr>
              <w:keepNext w:val="0"/>
              <w:keepLines w:val="0"/>
              <w:suppressLineNumbers w:val="0"/>
              <w:spacing w:before="0" w:beforeAutospacing="0" w:after="50" w:afterAutospacing="0" w:line="360" w:lineRule="auto"/>
              <w:ind w:left="0" w:right="-10" w:rightChars="0"/>
              <w:jc w:val="left"/>
              <w:rPr>
                <w:rFonts w:hint="default" w:ascii="宋体" w:hAnsi="宋体" w:eastAsia="宋体" w:cs="宋体"/>
                <w:color w:val="auto"/>
                <w:spacing w:val="10"/>
                <w:kern w:val="2"/>
                <w:sz w:val="24"/>
                <w:szCs w:val="24"/>
                <w:highlight w:val="none"/>
                <w:lang w:val="en-US" w:eastAsia="zh-CN" w:bidi="ar-SA"/>
              </w:rPr>
            </w:pPr>
            <w:r>
              <w:rPr>
                <w:rFonts w:hint="eastAsia" w:asciiTheme="minorEastAsia" w:hAnsiTheme="minorEastAsia" w:eastAsiaTheme="minorEastAsia"/>
                <w:color w:val="auto"/>
                <w:sz w:val="24"/>
                <w:szCs w:val="28"/>
                <w:highlight w:val="none"/>
              </w:rPr>
              <w:t>符合</w:t>
            </w:r>
            <w:r>
              <w:rPr>
                <w:rFonts w:hint="eastAsia" w:ascii="宋体" w:hAnsi="宋体" w:eastAsia="宋体" w:cs="宋体"/>
                <w:color w:val="auto"/>
                <w:spacing w:val="10"/>
                <w:sz w:val="24"/>
                <w:szCs w:val="24"/>
                <w:highlight w:val="none"/>
              </w:rPr>
              <w:t>磋商</w:t>
            </w:r>
            <w:r>
              <w:rPr>
                <w:rFonts w:hint="eastAsia" w:asciiTheme="minorEastAsia" w:hAnsiTheme="minorEastAsia" w:eastAsiaTheme="minorEastAsia"/>
                <w:color w:val="auto"/>
                <w:sz w:val="24"/>
                <w:szCs w:val="28"/>
                <w:highlight w:val="none"/>
              </w:rPr>
              <w:t>文件采购需求中对付款方式、服务地点、服务期限等实质性要求</w:t>
            </w:r>
          </w:p>
        </w:tc>
        <w:tc>
          <w:tcPr>
            <w:tcW w:w="1091" w:type="pct"/>
            <w:shd w:val="clear" w:color="auto" w:fill="auto"/>
            <w:vAlign w:val="center"/>
          </w:tcPr>
          <w:p w14:paraId="6C138528">
            <w:pPr>
              <w:keepNext w:val="0"/>
              <w:keepLines w:val="0"/>
              <w:suppressLineNumbers w:val="0"/>
              <w:adjustRightInd w:val="0"/>
              <w:snapToGrid w:val="0"/>
              <w:spacing w:before="0" w:beforeAutospacing="0" w:after="0" w:afterAutospacing="0" w:line="360" w:lineRule="auto"/>
              <w:ind w:left="0" w:right="-10" w:rightChars="0"/>
              <w:jc w:val="left"/>
              <w:rPr>
                <w:rFonts w:hint="default" w:ascii="宋体" w:hAnsi="宋体" w:eastAsia="宋体" w:cs="宋体"/>
                <w:color w:val="auto"/>
                <w:kern w:val="2"/>
                <w:sz w:val="24"/>
                <w:szCs w:val="24"/>
                <w:highlight w:val="none"/>
                <w:lang w:val="en-US" w:eastAsia="zh-CN" w:bidi="ar-SA"/>
              </w:rPr>
            </w:pPr>
            <w:r>
              <w:rPr>
                <w:rFonts w:hint="eastAsia" w:asciiTheme="minorEastAsia" w:hAnsiTheme="minorEastAsia" w:eastAsiaTheme="minorEastAsia"/>
                <w:color w:val="auto"/>
                <w:sz w:val="24"/>
                <w:szCs w:val="20"/>
                <w:highlight w:val="none"/>
              </w:rPr>
              <w:t>详见第六章响应文件格式。</w:t>
            </w:r>
          </w:p>
        </w:tc>
      </w:tr>
      <w:tr w14:paraId="2D6A0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5" w:type="pct"/>
            <w:vAlign w:val="center"/>
          </w:tcPr>
          <w:p w14:paraId="2B872AB6">
            <w:pPr>
              <w:keepNext w:val="0"/>
              <w:keepLines w:val="0"/>
              <w:suppressLineNumbers w:val="0"/>
              <w:adjustRightInd w:val="0"/>
              <w:snapToGrid w:val="0"/>
              <w:spacing w:before="0" w:beforeAutospacing="0" w:after="0" w:afterAutospacing="0" w:line="360" w:lineRule="auto"/>
              <w:ind w:left="0" w:right="-10"/>
              <w:jc w:val="center"/>
              <w:rPr>
                <w:rFonts w:hint="default" w:ascii="宋体" w:hAnsi="宋体" w:eastAsia="宋体"/>
                <w:color w:val="auto"/>
                <w:sz w:val="24"/>
                <w:szCs w:val="20"/>
                <w:highlight w:val="none"/>
                <w:lang w:val="en-US" w:eastAsia="zh-CN"/>
              </w:rPr>
            </w:pPr>
            <w:r>
              <w:rPr>
                <w:rFonts w:hint="eastAsia" w:ascii="宋体" w:hAnsi="宋体" w:eastAsia="宋体"/>
                <w:color w:val="auto"/>
                <w:sz w:val="24"/>
                <w:szCs w:val="20"/>
                <w:highlight w:val="none"/>
                <w:lang w:val="en-US" w:eastAsia="zh-CN"/>
              </w:rPr>
              <w:t>10</w:t>
            </w:r>
          </w:p>
        </w:tc>
        <w:tc>
          <w:tcPr>
            <w:tcW w:w="942" w:type="pct"/>
            <w:shd w:val="clear" w:color="auto" w:fill="auto"/>
            <w:vAlign w:val="center"/>
          </w:tcPr>
          <w:p w14:paraId="3C8F9CDB">
            <w:pPr>
              <w:keepNext w:val="0"/>
              <w:keepLines w:val="0"/>
              <w:suppressLineNumbers w:val="0"/>
              <w:spacing w:before="0" w:beforeAutospacing="0" w:after="50" w:afterAutospacing="0" w:line="360" w:lineRule="auto"/>
              <w:ind w:left="0" w:right="-10" w:rightChars="0"/>
              <w:jc w:val="center"/>
              <w:rPr>
                <w:rFonts w:hint="default" w:ascii="宋体" w:hAnsi="宋体" w:eastAsia="宋体" w:cs="宋体"/>
                <w:color w:val="auto"/>
                <w:spacing w:val="10"/>
                <w:kern w:val="2"/>
                <w:sz w:val="24"/>
                <w:szCs w:val="24"/>
                <w:highlight w:val="none"/>
                <w:lang w:val="en-US" w:eastAsia="zh-CN" w:bidi="ar-SA"/>
              </w:rPr>
            </w:pPr>
            <w:r>
              <w:rPr>
                <w:rFonts w:hint="eastAsia" w:asciiTheme="minorEastAsia" w:hAnsiTheme="minorEastAsia" w:eastAsiaTheme="minorEastAsia"/>
                <w:color w:val="auto"/>
                <w:sz w:val="24"/>
                <w:szCs w:val="28"/>
                <w:highlight w:val="none"/>
              </w:rPr>
              <w:t>其他要求</w:t>
            </w:r>
          </w:p>
        </w:tc>
        <w:tc>
          <w:tcPr>
            <w:tcW w:w="2600" w:type="pct"/>
            <w:shd w:val="clear" w:color="auto" w:fill="auto"/>
            <w:vAlign w:val="center"/>
          </w:tcPr>
          <w:p w14:paraId="79406986">
            <w:pPr>
              <w:keepNext w:val="0"/>
              <w:keepLines w:val="0"/>
              <w:suppressLineNumbers w:val="0"/>
              <w:spacing w:before="0" w:beforeAutospacing="0" w:after="50" w:afterAutospacing="0" w:line="360" w:lineRule="auto"/>
              <w:ind w:left="0" w:right="-10" w:rightChars="0"/>
              <w:jc w:val="left"/>
              <w:rPr>
                <w:rFonts w:hint="default" w:ascii="宋体" w:hAnsi="宋体" w:eastAsia="宋体" w:cs="宋体"/>
                <w:color w:val="auto"/>
                <w:spacing w:val="10"/>
                <w:kern w:val="2"/>
                <w:sz w:val="24"/>
                <w:szCs w:val="24"/>
                <w:highlight w:val="none"/>
                <w:lang w:val="en-US" w:eastAsia="zh-CN" w:bidi="ar-SA"/>
              </w:rPr>
            </w:pPr>
            <w:r>
              <w:rPr>
                <w:rFonts w:hint="eastAsia" w:asciiTheme="minorEastAsia" w:hAnsiTheme="minorEastAsia" w:eastAsiaTheme="minorEastAsia"/>
                <w:color w:val="auto"/>
                <w:sz w:val="24"/>
                <w:szCs w:val="28"/>
                <w:highlight w:val="none"/>
              </w:rPr>
              <w:t>符合法律、行政法规规定的其他条件或磋商文件列明的其他实质性要求</w:t>
            </w:r>
          </w:p>
        </w:tc>
        <w:tc>
          <w:tcPr>
            <w:tcW w:w="1091" w:type="pct"/>
            <w:shd w:val="clear" w:color="auto" w:fill="auto"/>
            <w:vAlign w:val="center"/>
          </w:tcPr>
          <w:p w14:paraId="5BFC2B29">
            <w:pPr>
              <w:keepNext w:val="0"/>
              <w:keepLines w:val="0"/>
              <w:suppressLineNumbers w:val="0"/>
              <w:adjustRightInd w:val="0"/>
              <w:snapToGrid w:val="0"/>
              <w:spacing w:before="0" w:beforeAutospacing="0" w:after="0" w:afterAutospacing="0" w:line="360" w:lineRule="auto"/>
              <w:ind w:left="0" w:right="-10" w:rightChars="0"/>
              <w:jc w:val="left"/>
              <w:rPr>
                <w:rFonts w:hint="default" w:ascii="宋体" w:hAnsi="宋体" w:eastAsia="宋体" w:cs="宋体"/>
                <w:color w:val="auto"/>
                <w:kern w:val="2"/>
                <w:sz w:val="24"/>
                <w:szCs w:val="24"/>
                <w:highlight w:val="none"/>
                <w:lang w:val="en-US" w:eastAsia="zh-CN" w:bidi="ar-SA"/>
              </w:rPr>
            </w:pPr>
          </w:p>
        </w:tc>
      </w:tr>
    </w:tbl>
    <w:p w14:paraId="295FF43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初审指标通过标准：</w:t>
      </w:r>
      <w:r>
        <w:rPr>
          <w:rFonts w:hint="eastAsia" w:asciiTheme="minorEastAsia" w:hAnsiTheme="minorEastAsia" w:eastAsiaTheme="minorEastAsia"/>
          <w:color w:val="auto"/>
          <w:sz w:val="24"/>
          <w:highlight w:val="none"/>
        </w:rPr>
        <w:t>供应商必须通过初审表中的全部评审指标。</w:t>
      </w:r>
    </w:p>
    <w:p w14:paraId="67AA462D">
      <w:pPr>
        <w:spacing w:line="360" w:lineRule="auto"/>
        <w:ind w:firstLine="435"/>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2.2异常低价响应审查</w:t>
      </w:r>
    </w:p>
    <w:tbl>
      <w:tblPr>
        <w:tblStyle w:val="25"/>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450"/>
        <w:gridCol w:w="4438"/>
        <w:gridCol w:w="2260"/>
      </w:tblGrid>
      <w:tr w14:paraId="6BF2F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28816093">
            <w:pPr>
              <w:keepNext w:val="0"/>
              <w:keepLines w:val="0"/>
              <w:suppressLineNumbers w:val="0"/>
              <w:adjustRightInd w:val="0"/>
              <w:snapToGrid w:val="0"/>
              <w:spacing w:before="0" w:beforeAutospacing="0" w:after="0" w:afterAutospacing="0" w:line="360" w:lineRule="auto"/>
              <w:ind w:left="0" w:right="-10"/>
              <w:jc w:val="center"/>
              <w:rPr>
                <w:rFonts w:hint="default" w:ascii="宋体" w:hAnsi="宋体" w:eastAsia="宋体"/>
                <w:color w:val="auto"/>
                <w:sz w:val="24"/>
                <w:szCs w:val="20"/>
                <w:highlight w:val="none"/>
              </w:rPr>
            </w:pPr>
            <w:r>
              <w:rPr>
                <w:rFonts w:hint="eastAsia" w:ascii="宋体" w:hAnsi="宋体" w:eastAsia="宋体" w:cs="Times New Roman"/>
                <w:b/>
                <w:bCs/>
                <w:color w:val="auto"/>
                <w:sz w:val="24"/>
                <w:szCs w:val="20"/>
                <w:highlight w:val="none"/>
              </w:rPr>
              <w:t>异常低价响应审查表</w:t>
            </w:r>
          </w:p>
        </w:tc>
      </w:tr>
      <w:tr w14:paraId="5EF42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65E2F2F0">
            <w:pPr>
              <w:keepNext w:val="0"/>
              <w:keepLines w:val="0"/>
              <w:suppressLineNumbers w:val="0"/>
              <w:spacing w:before="0" w:beforeAutospacing="0" w:after="0" w:afterAutospacing="0" w:line="360" w:lineRule="auto"/>
              <w:ind w:left="0" w:right="0"/>
              <w:jc w:val="center"/>
              <w:rPr>
                <w:rFonts w:hint="default" w:ascii="宋体" w:hAnsi="宋体" w:eastAsia="宋体"/>
                <w:color w:val="auto"/>
                <w:sz w:val="24"/>
                <w:szCs w:val="20"/>
                <w:highlight w:val="none"/>
              </w:rPr>
            </w:pPr>
            <w:r>
              <w:rPr>
                <w:rFonts w:hint="eastAsia" w:ascii="宋体" w:hAnsi="宋体" w:eastAsia="宋体" w:cs="Times New Roman"/>
                <w:color w:val="auto"/>
                <w:sz w:val="24"/>
                <w:szCs w:val="20"/>
                <w:highlight w:val="none"/>
              </w:rPr>
              <w:t>序号</w:t>
            </w:r>
          </w:p>
        </w:tc>
        <w:tc>
          <w:tcPr>
            <w:tcW w:w="1450" w:type="dxa"/>
            <w:tcBorders>
              <w:bottom w:val="single" w:color="auto" w:sz="4" w:space="0"/>
            </w:tcBorders>
            <w:vAlign w:val="center"/>
          </w:tcPr>
          <w:p w14:paraId="32493D07">
            <w:pPr>
              <w:keepNext w:val="0"/>
              <w:keepLines w:val="0"/>
              <w:suppressLineNumbers w:val="0"/>
              <w:spacing w:before="0" w:beforeAutospacing="0" w:after="0" w:afterAutospacing="0" w:line="360" w:lineRule="auto"/>
              <w:ind w:left="0" w:right="0" w:firstLine="240" w:firstLineChars="100"/>
              <w:jc w:val="center"/>
              <w:rPr>
                <w:rFonts w:hint="default" w:ascii="宋体" w:hAnsi="宋体" w:eastAsia="宋体"/>
                <w:color w:val="auto"/>
                <w:szCs w:val="24"/>
                <w:highlight w:val="none"/>
              </w:rPr>
            </w:pPr>
            <w:r>
              <w:rPr>
                <w:rFonts w:hint="eastAsia" w:ascii="宋体" w:hAnsi="宋体" w:eastAsia="宋体" w:cs="Times New Roman"/>
                <w:color w:val="auto"/>
                <w:sz w:val="24"/>
                <w:szCs w:val="20"/>
                <w:highlight w:val="none"/>
              </w:rPr>
              <w:t>评审指标</w:t>
            </w:r>
          </w:p>
        </w:tc>
        <w:tc>
          <w:tcPr>
            <w:tcW w:w="4439" w:type="dxa"/>
            <w:tcBorders>
              <w:bottom w:val="single" w:color="auto" w:sz="4" w:space="0"/>
            </w:tcBorders>
            <w:vAlign w:val="center"/>
          </w:tcPr>
          <w:p w14:paraId="12335FBA">
            <w:pPr>
              <w:keepNext w:val="0"/>
              <w:keepLines w:val="0"/>
              <w:suppressLineNumbers w:val="0"/>
              <w:spacing w:before="0" w:beforeAutospacing="0" w:after="0" w:afterAutospacing="0" w:line="360" w:lineRule="auto"/>
              <w:ind w:left="0" w:right="0" w:firstLine="240" w:firstLineChars="100"/>
              <w:jc w:val="center"/>
              <w:rPr>
                <w:rFonts w:hint="default" w:ascii="宋体" w:hAnsi="宋体" w:eastAsia="宋体"/>
                <w:color w:val="auto"/>
                <w:sz w:val="24"/>
                <w:szCs w:val="20"/>
                <w:highlight w:val="none"/>
              </w:rPr>
            </w:pPr>
            <w:r>
              <w:rPr>
                <w:rFonts w:hint="eastAsia" w:ascii="宋体" w:hAnsi="宋体" w:eastAsia="宋体" w:cs="Times New Roman"/>
                <w:color w:val="auto"/>
                <w:sz w:val="24"/>
                <w:szCs w:val="20"/>
                <w:highlight w:val="none"/>
              </w:rPr>
              <w:t>评审标准</w:t>
            </w:r>
          </w:p>
        </w:tc>
        <w:tc>
          <w:tcPr>
            <w:tcW w:w="2260" w:type="dxa"/>
            <w:tcBorders>
              <w:bottom w:val="single" w:color="auto" w:sz="4" w:space="0"/>
            </w:tcBorders>
            <w:vAlign w:val="center"/>
          </w:tcPr>
          <w:p w14:paraId="4481B09B">
            <w:pPr>
              <w:keepNext w:val="0"/>
              <w:keepLines w:val="0"/>
              <w:suppressLineNumbers w:val="0"/>
              <w:spacing w:before="0" w:beforeAutospacing="0" w:after="0" w:afterAutospacing="0" w:line="360" w:lineRule="auto"/>
              <w:ind w:left="0" w:right="0"/>
              <w:jc w:val="center"/>
              <w:rPr>
                <w:rFonts w:hint="default" w:ascii="宋体" w:hAnsi="宋体" w:eastAsia="宋体"/>
                <w:color w:val="auto"/>
                <w:sz w:val="24"/>
                <w:szCs w:val="20"/>
                <w:highlight w:val="none"/>
              </w:rPr>
            </w:pPr>
            <w:r>
              <w:rPr>
                <w:rFonts w:hint="eastAsia" w:ascii="宋体" w:hAnsi="宋体" w:eastAsia="宋体" w:cs="Times New Roman"/>
                <w:color w:val="auto"/>
                <w:sz w:val="24"/>
                <w:szCs w:val="20"/>
                <w:highlight w:val="none"/>
              </w:rPr>
              <w:t>格式及材料要求</w:t>
            </w:r>
          </w:p>
        </w:tc>
      </w:tr>
      <w:tr w14:paraId="4E315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38C27F31">
            <w:pPr>
              <w:keepNext w:val="0"/>
              <w:keepLines w:val="0"/>
              <w:suppressLineNumbers w:val="0"/>
              <w:spacing w:before="0" w:beforeAutospacing="0" w:after="0" w:afterAutospacing="0" w:line="360" w:lineRule="auto"/>
              <w:ind w:left="0" w:right="0" w:firstLine="240" w:firstLineChars="100"/>
              <w:rPr>
                <w:rFonts w:hint="default" w:ascii="宋体" w:hAnsi="宋体" w:eastAsia="宋体" w:cs="宋体"/>
                <w:color w:val="auto"/>
                <w:sz w:val="24"/>
                <w:szCs w:val="20"/>
                <w:highlight w:val="none"/>
              </w:rPr>
            </w:pPr>
            <w:r>
              <w:rPr>
                <w:rFonts w:hint="eastAsia" w:ascii="宋体" w:hAnsi="宋体" w:eastAsia="宋体" w:cs="宋体"/>
                <w:color w:val="auto"/>
                <w:sz w:val="24"/>
                <w:szCs w:val="20"/>
                <w:highlight w:val="none"/>
              </w:rPr>
              <w:t>1</w:t>
            </w:r>
          </w:p>
        </w:tc>
        <w:tc>
          <w:tcPr>
            <w:tcW w:w="1450" w:type="dxa"/>
            <w:tcBorders>
              <w:bottom w:val="single" w:color="auto" w:sz="4" w:space="0"/>
            </w:tcBorders>
            <w:vAlign w:val="center"/>
          </w:tcPr>
          <w:p w14:paraId="03844D24">
            <w:pPr>
              <w:keepNext w:val="0"/>
              <w:keepLines w:val="0"/>
              <w:suppressLineNumbers w:val="0"/>
              <w:spacing w:before="0" w:beforeAutospacing="0" w:after="0" w:afterAutospacing="0" w:line="360" w:lineRule="auto"/>
              <w:ind w:left="0" w:right="0"/>
              <w:rPr>
                <w:rFonts w:hint="default" w:ascii="宋体" w:hAnsi="宋体" w:eastAsia="宋体" w:cs="宋体"/>
                <w:color w:val="auto"/>
                <w:sz w:val="24"/>
                <w:szCs w:val="28"/>
                <w:highlight w:val="none"/>
              </w:rPr>
            </w:pPr>
            <w:r>
              <w:rPr>
                <w:rFonts w:hint="eastAsia" w:ascii="宋体" w:hAnsi="宋体" w:eastAsia="宋体" w:cs="宋体"/>
                <w:color w:val="auto"/>
                <w:sz w:val="24"/>
                <w:szCs w:val="20"/>
                <w:highlight w:val="none"/>
              </w:rPr>
              <w:t>异常低价响应审查</w:t>
            </w:r>
          </w:p>
        </w:tc>
        <w:tc>
          <w:tcPr>
            <w:tcW w:w="4439" w:type="dxa"/>
            <w:tcBorders>
              <w:bottom w:val="single" w:color="auto" w:sz="4" w:space="0"/>
            </w:tcBorders>
            <w:vAlign w:val="center"/>
          </w:tcPr>
          <w:p w14:paraId="76A8F500">
            <w:pPr>
              <w:pStyle w:val="8"/>
              <w:keepNext w:val="0"/>
              <w:keepLines w:val="0"/>
              <w:suppressLineNumbers w:val="0"/>
              <w:spacing w:before="0" w:beforeAutospacing="0" w:after="0" w:afterAutospacing="0" w:line="360" w:lineRule="auto"/>
              <w:ind w:left="0" w:right="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rPr>
              <w:t>（1）报价＜全部通过初审供应商响应报价平均值×</w:t>
            </w:r>
            <w:r>
              <w:rPr>
                <w:rFonts w:hint="eastAsia" w:ascii="宋体" w:hAnsi="宋体" w:eastAsia="宋体" w:cs="宋体"/>
                <w:b w:val="0"/>
                <w:bCs w:val="0"/>
                <w:i w:val="0"/>
                <w:iCs w:val="0"/>
                <w:color w:val="auto"/>
                <w:sz w:val="24"/>
                <w:szCs w:val="24"/>
                <w:highlight w:val="none"/>
                <w:u w:val="single"/>
                <w:lang w:val="en-US" w:eastAsia="zh-CN"/>
              </w:rPr>
              <w:t>65</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p w14:paraId="612E7D74">
            <w:pPr>
              <w:pStyle w:val="8"/>
              <w:keepNext w:val="0"/>
              <w:keepLines w:val="0"/>
              <w:suppressLineNumbers w:val="0"/>
              <w:spacing w:before="0" w:beforeAutospacing="0" w:after="0" w:afterAutospacing="0" w:line="360" w:lineRule="auto"/>
              <w:ind w:left="0" w:right="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rPr>
              <w:t>（2）报价＜通过初审的次低报价供应商响应报价×</w:t>
            </w:r>
            <w:r>
              <w:rPr>
                <w:rFonts w:hint="eastAsia" w:ascii="宋体" w:hAnsi="宋体" w:eastAsia="宋体" w:cs="宋体"/>
                <w:b w:val="0"/>
                <w:bCs w:val="0"/>
                <w:i w:val="0"/>
                <w:iCs w:val="0"/>
                <w:color w:val="auto"/>
                <w:sz w:val="24"/>
                <w:szCs w:val="24"/>
                <w:highlight w:val="none"/>
                <w:u w:val="single"/>
                <w:lang w:val="en-US" w:eastAsia="zh-CN"/>
              </w:rPr>
              <w:t>65</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p w14:paraId="0D5ADB53">
            <w:pPr>
              <w:pStyle w:val="8"/>
              <w:keepNext w:val="0"/>
              <w:keepLines w:val="0"/>
              <w:suppressLineNumbers w:val="0"/>
              <w:spacing w:before="0" w:beforeAutospacing="0" w:after="0" w:afterAutospacing="0" w:line="360" w:lineRule="auto"/>
              <w:ind w:left="0" w:right="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rPr>
              <w:t>（3）报价＜采购项目最高限价（如采购项目未设定最高限价的，以采购项目预算金额作为最高限价）×</w:t>
            </w:r>
            <w:r>
              <w:rPr>
                <w:rFonts w:hint="eastAsia" w:ascii="宋体" w:hAnsi="宋体" w:eastAsia="宋体" w:cs="宋体"/>
                <w:b w:val="0"/>
                <w:bCs w:val="0"/>
                <w:i w:val="0"/>
                <w:iCs w:val="0"/>
                <w:color w:val="auto"/>
                <w:sz w:val="24"/>
                <w:szCs w:val="24"/>
                <w:highlight w:val="none"/>
                <w:u w:val="single"/>
                <w:lang w:val="en-US" w:eastAsia="zh-CN"/>
              </w:rPr>
              <w:t>65</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p w14:paraId="310AA514">
            <w:pPr>
              <w:pStyle w:val="8"/>
              <w:keepNext w:val="0"/>
              <w:keepLines w:val="0"/>
              <w:suppressLineNumbers w:val="0"/>
              <w:spacing w:before="0" w:beforeAutospacing="0" w:after="0" w:afterAutospacing="0" w:line="360" w:lineRule="auto"/>
              <w:ind w:left="0" w:right="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rPr>
              <w:t>（4）磋商小组基于专业判断，认为供应商报价过低，有可能影响产品质量或者不能诚信履约的其他情形。</w:t>
            </w:r>
          </w:p>
          <w:p w14:paraId="0774B5D3">
            <w:pPr>
              <w:pStyle w:val="8"/>
              <w:keepNext w:val="0"/>
              <w:keepLines w:val="0"/>
              <w:suppressLineNumbers w:val="0"/>
              <w:spacing w:before="0" w:beforeAutospacing="0" w:after="0" w:afterAutospacing="0" w:line="360" w:lineRule="auto"/>
              <w:ind w:left="0" w:right="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rPr>
              <w:t>提醒：</w:t>
            </w:r>
          </w:p>
          <w:p w14:paraId="33B1C4C6">
            <w:pPr>
              <w:pStyle w:val="8"/>
              <w:keepNext w:val="0"/>
              <w:keepLines w:val="0"/>
              <w:suppressLineNumbers w:val="0"/>
              <w:spacing w:before="0" w:beforeAutospacing="0" w:after="0" w:afterAutospacing="0" w:line="360" w:lineRule="auto"/>
              <w:ind w:left="0" w:right="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rPr>
              <w:t>（1）上述第（1）项数值计算：涉及总价、单价的精确到“分”并四舍五入，涉及费率的精确到小数点后两位，第三位四舍五入（例：如平均值为123.456元，即为123.46元；如平均值为80.126%，即为80.13%）。</w:t>
            </w:r>
          </w:p>
          <w:p w14:paraId="26B79019">
            <w:pPr>
              <w:pStyle w:val="8"/>
              <w:keepNext w:val="0"/>
              <w:keepLines w:val="0"/>
              <w:suppressLineNumbers w:val="0"/>
              <w:spacing w:before="0" w:beforeAutospacing="0" w:after="0" w:afterAutospacing="0" w:line="360" w:lineRule="auto"/>
              <w:ind w:left="0" w:right="0"/>
              <w:rPr>
                <w:rFonts w:hint="default" w:ascii="宋体" w:hAnsi="宋体" w:eastAsia="宋体" w:cs="宋体"/>
                <w:color w:val="auto"/>
                <w:sz w:val="24"/>
                <w:szCs w:val="24"/>
                <w:highlight w:val="none"/>
              </w:rPr>
            </w:pPr>
            <w:r>
              <w:rPr>
                <w:rFonts w:hint="eastAsia" w:ascii="宋体" w:hAnsi="宋体" w:eastAsia="宋体" w:cs="宋体"/>
                <w:color w:val="auto"/>
                <w:sz w:val="24"/>
                <w:szCs w:val="24"/>
                <w:highlight w:val="none"/>
              </w:rPr>
              <w:t>（2）上述报价均为供应商最后报价。</w:t>
            </w:r>
          </w:p>
        </w:tc>
        <w:tc>
          <w:tcPr>
            <w:tcW w:w="2260" w:type="dxa"/>
            <w:vAlign w:val="center"/>
          </w:tcPr>
          <w:p w14:paraId="436DC75C">
            <w:pPr>
              <w:keepNext w:val="0"/>
              <w:keepLines w:val="0"/>
              <w:suppressLineNumbers w:val="0"/>
              <w:spacing w:before="0" w:beforeAutospacing="0" w:after="0" w:afterAutospacing="0" w:line="360" w:lineRule="auto"/>
              <w:ind w:left="0" w:right="0" w:firstLine="240" w:firstLineChars="100"/>
              <w:rPr>
                <w:rFonts w:hint="default" w:ascii="宋体" w:hAnsi="宋体" w:eastAsia="宋体" w:cs="宋体"/>
                <w:color w:val="auto"/>
                <w:sz w:val="24"/>
                <w:szCs w:val="20"/>
                <w:highlight w:val="none"/>
              </w:rPr>
            </w:pPr>
            <w:r>
              <w:rPr>
                <w:rFonts w:hint="eastAsia" w:ascii="宋体" w:hAnsi="宋体" w:eastAsia="宋体" w:cs="宋体"/>
                <w:color w:val="auto"/>
                <w:sz w:val="24"/>
                <w:szCs w:val="20"/>
                <w:highlight w:val="none"/>
              </w:rPr>
              <w:t>供应商在评审现场合理的时间内对价格作出解释，提供项目具体成本测算等与报价合理性相关的书面说明及必要的证明材料，包括但不限于原材料成本、人工成本、制造费用等。</w:t>
            </w:r>
          </w:p>
        </w:tc>
      </w:tr>
    </w:tbl>
    <w:p w14:paraId="349D77F2">
      <w:pPr>
        <w:spacing w:line="360" w:lineRule="auto"/>
        <w:rPr>
          <w:rFonts w:ascii="宋体" w:hAnsi="宋体" w:eastAsia="宋体" w:cs="Arial"/>
          <w:color w:val="auto"/>
          <w:sz w:val="24"/>
          <w:highlight w:val="none"/>
        </w:rPr>
      </w:pPr>
      <w:r>
        <w:rPr>
          <w:rFonts w:hint="eastAsia" w:ascii="宋体" w:hAnsi="宋体" w:eastAsia="宋体" w:cs="Times New Roman"/>
          <w:color w:val="auto"/>
          <w:sz w:val="24"/>
          <w:highlight w:val="none"/>
        </w:rPr>
        <w:t>注：</w:t>
      </w:r>
    </w:p>
    <w:p w14:paraId="6E44A1D3">
      <w:pPr>
        <w:pStyle w:val="8"/>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磋商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3）项情形，供应商已随响应文件一并提交相关书面说明及必要的证明材料的，在评审现场可不再重复提交。</w:t>
      </w:r>
    </w:p>
    <w:p w14:paraId="6B663FEF">
      <w:pPr>
        <w:pStyle w:val="8"/>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 xml:space="preserve">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 </w:t>
      </w:r>
    </w:p>
    <w:p w14:paraId="3B9D632F">
      <w:pPr>
        <w:pStyle w:val="8"/>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磋商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磋商小组有关互联网浏览、查询历史一并归档。</w:t>
      </w:r>
    </w:p>
    <w:p w14:paraId="3F5A51F8">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2.3综合评分</w:t>
      </w:r>
    </w:p>
    <w:p w14:paraId="73FC15E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磋商小组按照下表对</w:t>
      </w:r>
      <w:r>
        <w:rPr>
          <w:rFonts w:hint="eastAsia" w:ascii="宋体" w:hAnsi="宋体" w:eastAsia="宋体"/>
          <w:color w:val="auto"/>
          <w:sz w:val="24"/>
          <w:highlight w:val="none"/>
        </w:rPr>
        <w:t>进入综合评分的所有供应商的</w:t>
      </w:r>
      <w:r>
        <w:rPr>
          <w:rFonts w:hint="eastAsia" w:asciiTheme="minorEastAsia" w:hAnsiTheme="minorEastAsia" w:eastAsiaTheme="minorEastAsia"/>
          <w:color w:val="auto"/>
          <w:sz w:val="24"/>
          <w:highlight w:val="none"/>
        </w:rPr>
        <w:t>响应文件进行综合评分。</w:t>
      </w:r>
    </w:p>
    <w:p w14:paraId="1552CE10">
      <w:pPr>
        <w:spacing w:line="360" w:lineRule="auto"/>
        <w:ind w:firstLine="435"/>
        <w:rPr>
          <w:color w:val="auto"/>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分，其中：技术资信分值占总分值的权重为</w:t>
      </w:r>
      <w:r>
        <w:rPr>
          <w:rFonts w:hint="eastAsia" w:asciiTheme="minorEastAsia" w:hAnsiTheme="minorEastAsia" w:eastAsiaTheme="minorEastAsia"/>
          <w:color w:val="auto"/>
          <w:sz w:val="24"/>
          <w:highlight w:val="none"/>
          <w:u w:val="single"/>
          <w:lang w:val="en-US" w:eastAsia="zh-CN"/>
        </w:rPr>
        <w:t>90</w:t>
      </w:r>
      <w:r>
        <w:rPr>
          <w:rFonts w:asciiTheme="minorEastAsia" w:hAnsiTheme="minorEastAsia" w:eastAsiaTheme="minorEastAsia"/>
          <w:color w:val="auto"/>
          <w:sz w:val="24"/>
          <w:highlight w:val="none"/>
        </w:rPr>
        <w:t>%，价格分值占总分值的权重为</w:t>
      </w:r>
      <w:r>
        <w:rPr>
          <w:rFonts w:hint="eastAsia" w:asciiTheme="minorEastAsia" w:hAnsiTheme="minorEastAsia" w:eastAsiaTheme="minorEastAsia"/>
          <w:color w:val="auto"/>
          <w:sz w:val="24"/>
          <w:highlight w:val="none"/>
          <w:u w:val="single"/>
          <w:lang w:val="en-US" w:eastAsia="zh-CN"/>
        </w:rPr>
        <w:t>10</w:t>
      </w:r>
      <w:r>
        <w:rPr>
          <w:rFonts w:asciiTheme="minorEastAsia" w:hAnsiTheme="minorEastAsia" w:eastAsiaTheme="minorEastAsia"/>
          <w:color w:val="auto"/>
          <w:sz w:val="24"/>
          <w:highlight w:val="none"/>
        </w:rPr>
        <w:t>%。具体评分细则如下：</w:t>
      </w:r>
    </w:p>
    <w:tbl>
      <w:tblPr>
        <w:tblStyle w:val="25"/>
        <w:tblW w:w="532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2"/>
        <w:gridCol w:w="1397"/>
        <w:gridCol w:w="4711"/>
        <w:gridCol w:w="1498"/>
      </w:tblGrid>
      <w:tr w14:paraId="3FF7F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11" w:type="pct"/>
            <w:tcBorders>
              <w:top w:val="single" w:color="auto" w:sz="4" w:space="0"/>
              <w:left w:val="single" w:color="auto" w:sz="4" w:space="0"/>
              <w:bottom w:val="single" w:color="auto" w:sz="4" w:space="0"/>
              <w:right w:val="single" w:color="auto" w:sz="4" w:space="0"/>
            </w:tcBorders>
            <w:vAlign w:val="center"/>
          </w:tcPr>
          <w:p w14:paraId="1AC61FEF">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b/>
                <w:bCs/>
                <w:color w:val="auto"/>
                <w:sz w:val="24"/>
                <w:szCs w:val="20"/>
                <w:highlight w:val="none"/>
              </w:rPr>
            </w:pPr>
            <w:r>
              <w:rPr>
                <w:rFonts w:hint="eastAsia" w:asciiTheme="minorEastAsia" w:hAnsiTheme="minorEastAsia" w:eastAsiaTheme="minorEastAsia"/>
                <w:b/>
                <w:bCs/>
                <w:color w:val="auto"/>
                <w:sz w:val="24"/>
                <w:szCs w:val="20"/>
                <w:highlight w:val="none"/>
              </w:rPr>
              <w:t>类别</w:t>
            </w:r>
          </w:p>
        </w:tc>
        <w:tc>
          <w:tcPr>
            <w:tcW w:w="769" w:type="pct"/>
            <w:tcBorders>
              <w:top w:val="single" w:color="auto" w:sz="4" w:space="0"/>
              <w:left w:val="single" w:color="auto" w:sz="4" w:space="0"/>
              <w:bottom w:val="single" w:color="auto" w:sz="4" w:space="0"/>
              <w:right w:val="single" w:color="auto" w:sz="4" w:space="0"/>
            </w:tcBorders>
            <w:vAlign w:val="center"/>
          </w:tcPr>
          <w:p w14:paraId="68604C97">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b/>
                <w:bCs/>
                <w:color w:val="auto"/>
                <w:sz w:val="24"/>
                <w:szCs w:val="20"/>
                <w:highlight w:val="none"/>
              </w:rPr>
            </w:pPr>
            <w:r>
              <w:rPr>
                <w:rFonts w:hint="eastAsia" w:asciiTheme="minorEastAsia" w:hAnsiTheme="minorEastAsia" w:eastAsiaTheme="minorEastAsia"/>
                <w:b/>
                <w:bCs/>
                <w:color w:val="auto"/>
                <w:sz w:val="24"/>
                <w:szCs w:val="20"/>
                <w:highlight w:val="none"/>
              </w:rPr>
              <w:t>评分内容</w:t>
            </w:r>
          </w:p>
        </w:tc>
        <w:tc>
          <w:tcPr>
            <w:tcW w:w="2594" w:type="pct"/>
            <w:tcBorders>
              <w:top w:val="single" w:color="auto" w:sz="4" w:space="0"/>
              <w:left w:val="single" w:color="auto" w:sz="4" w:space="0"/>
              <w:bottom w:val="single" w:color="auto" w:sz="4" w:space="0"/>
              <w:right w:val="single" w:color="auto" w:sz="4" w:space="0"/>
            </w:tcBorders>
            <w:vAlign w:val="center"/>
          </w:tcPr>
          <w:p w14:paraId="4CB34534">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b/>
                <w:bCs/>
                <w:color w:val="auto"/>
                <w:sz w:val="24"/>
                <w:szCs w:val="20"/>
                <w:highlight w:val="none"/>
              </w:rPr>
            </w:pPr>
            <w:r>
              <w:rPr>
                <w:rFonts w:hint="eastAsia" w:asciiTheme="minorEastAsia" w:hAnsiTheme="minorEastAsia" w:eastAsiaTheme="minorEastAsia"/>
                <w:b/>
                <w:bCs/>
                <w:color w:val="auto"/>
                <w:sz w:val="24"/>
                <w:szCs w:val="20"/>
                <w:highlight w:val="none"/>
              </w:rPr>
              <w:t>评分标准</w:t>
            </w:r>
          </w:p>
        </w:tc>
        <w:tc>
          <w:tcPr>
            <w:tcW w:w="823" w:type="pct"/>
            <w:tcBorders>
              <w:top w:val="single" w:color="auto" w:sz="4" w:space="0"/>
              <w:left w:val="single" w:color="auto" w:sz="4" w:space="0"/>
              <w:bottom w:val="single" w:color="auto" w:sz="4" w:space="0"/>
              <w:right w:val="single" w:color="auto" w:sz="4" w:space="0"/>
            </w:tcBorders>
            <w:vAlign w:val="center"/>
          </w:tcPr>
          <w:p w14:paraId="13B7A2F0">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b/>
                <w:bCs/>
                <w:color w:val="auto"/>
                <w:sz w:val="24"/>
                <w:szCs w:val="20"/>
                <w:highlight w:val="none"/>
              </w:rPr>
            </w:pPr>
            <w:r>
              <w:rPr>
                <w:rFonts w:hint="eastAsia" w:asciiTheme="minorEastAsia" w:hAnsiTheme="minorEastAsia" w:eastAsiaTheme="minorEastAsia"/>
                <w:b/>
                <w:bCs/>
                <w:color w:val="auto"/>
                <w:sz w:val="24"/>
                <w:szCs w:val="20"/>
                <w:highlight w:val="none"/>
              </w:rPr>
              <w:t>分值范围</w:t>
            </w:r>
          </w:p>
        </w:tc>
      </w:tr>
      <w:tr w14:paraId="2D7E7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pct"/>
            <w:vMerge w:val="restart"/>
            <w:tcBorders>
              <w:top w:val="single" w:color="auto" w:sz="4" w:space="0"/>
              <w:left w:val="single" w:color="auto" w:sz="4" w:space="0"/>
              <w:right w:val="single" w:color="auto" w:sz="4" w:space="0"/>
            </w:tcBorders>
            <w:vAlign w:val="center"/>
          </w:tcPr>
          <w:p w14:paraId="0301DC2B">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color w:val="auto"/>
                <w:sz w:val="24"/>
                <w:szCs w:val="20"/>
                <w:highlight w:val="none"/>
              </w:rPr>
            </w:pPr>
            <w:r>
              <w:rPr>
                <w:rFonts w:hint="eastAsia" w:asciiTheme="minorEastAsia" w:hAnsiTheme="minorEastAsia" w:eastAsiaTheme="minorEastAsia"/>
                <w:color w:val="auto"/>
                <w:sz w:val="24"/>
                <w:szCs w:val="20"/>
                <w:highlight w:val="none"/>
              </w:rPr>
              <w:t>技术资信分</w:t>
            </w:r>
          </w:p>
          <w:p w14:paraId="67F72AA2">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b/>
                <w:bCs/>
                <w:color w:val="auto"/>
                <w:sz w:val="24"/>
                <w:szCs w:val="20"/>
                <w:highlight w:val="none"/>
              </w:rPr>
            </w:pPr>
            <w:r>
              <w:rPr>
                <w:rFonts w:hint="eastAsia" w:asciiTheme="minorEastAsia" w:hAnsiTheme="minorEastAsia" w:eastAsiaTheme="minorEastAsia"/>
                <w:color w:val="auto"/>
                <w:sz w:val="24"/>
                <w:szCs w:val="20"/>
                <w:highlight w:val="none"/>
              </w:rPr>
              <w:t>（</w:t>
            </w:r>
            <w:r>
              <w:rPr>
                <w:rFonts w:hint="eastAsia" w:asciiTheme="minorEastAsia" w:hAnsiTheme="minorEastAsia" w:eastAsiaTheme="minorEastAsia"/>
                <w:color w:val="auto"/>
                <w:sz w:val="24"/>
                <w:szCs w:val="20"/>
                <w:highlight w:val="none"/>
                <w:u w:val="single"/>
                <w:lang w:val="en-US" w:eastAsia="zh-CN"/>
              </w:rPr>
              <w:t>90</w:t>
            </w:r>
            <w:r>
              <w:rPr>
                <w:rFonts w:hint="eastAsia" w:asciiTheme="minorEastAsia" w:hAnsiTheme="minorEastAsia" w:eastAsiaTheme="minorEastAsia"/>
                <w:color w:val="auto"/>
                <w:sz w:val="24"/>
                <w:szCs w:val="20"/>
                <w:highlight w:val="none"/>
              </w:rPr>
              <w:t>分）</w:t>
            </w:r>
          </w:p>
        </w:tc>
        <w:tc>
          <w:tcPr>
            <w:tcW w:w="4188" w:type="pct"/>
            <w:gridSpan w:val="3"/>
            <w:tcBorders>
              <w:top w:val="single" w:color="auto" w:sz="4" w:space="0"/>
              <w:left w:val="single" w:color="auto" w:sz="4" w:space="0"/>
              <w:bottom w:val="single" w:color="auto" w:sz="4" w:space="0"/>
              <w:right w:val="single" w:color="auto" w:sz="4" w:space="0"/>
            </w:tcBorders>
            <w:vAlign w:val="center"/>
          </w:tcPr>
          <w:p w14:paraId="39EB73CB">
            <w:pPr>
              <w:keepNext w:val="0"/>
              <w:keepLines w:val="0"/>
              <w:suppressLineNumbers w:val="0"/>
              <w:spacing w:before="0" w:beforeAutospacing="0" w:after="0" w:afterAutospacing="0" w:line="400" w:lineRule="exact"/>
              <w:ind w:left="0" w:right="0"/>
              <w:jc w:val="center"/>
              <w:rPr>
                <w:rFonts w:hint="eastAsia" w:asciiTheme="minorEastAsia" w:hAnsiTheme="minorEastAsia" w:eastAsiaTheme="minorEastAsia"/>
                <w:b/>
                <w:bCs/>
                <w:color w:val="auto"/>
                <w:sz w:val="24"/>
                <w:szCs w:val="20"/>
                <w:highlight w:val="none"/>
                <w:lang w:val="en-US" w:eastAsia="zh-CN"/>
              </w:rPr>
            </w:pPr>
            <w:r>
              <w:rPr>
                <w:rFonts w:hint="eastAsia" w:asciiTheme="minorEastAsia" w:hAnsiTheme="minorEastAsia" w:eastAsiaTheme="minorEastAsia"/>
                <w:b/>
                <w:bCs/>
                <w:color w:val="auto"/>
                <w:sz w:val="24"/>
                <w:szCs w:val="20"/>
                <w:highlight w:val="none"/>
                <w:lang w:val="en-US" w:eastAsia="zh-CN"/>
              </w:rPr>
              <w:t>资信部分</w:t>
            </w:r>
          </w:p>
        </w:tc>
      </w:tr>
      <w:tr w14:paraId="078B9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pct"/>
            <w:vMerge w:val="continue"/>
            <w:tcBorders>
              <w:left w:val="single" w:color="auto" w:sz="4" w:space="0"/>
              <w:right w:val="single" w:color="auto" w:sz="4" w:space="0"/>
            </w:tcBorders>
            <w:vAlign w:val="center"/>
          </w:tcPr>
          <w:p w14:paraId="7EB8AEAE">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color w:val="auto"/>
                <w:sz w:val="24"/>
                <w:szCs w:val="20"/>
                <w:highlight w:val="none"/>
              </w:rPr>
            </w:pPr>
          </w:p>
        </w:tc>
        <w:tc>
          <w:tcPr>
            <w:tcW w:w="769" w:type="pct"/>
            <w:tcBorders>
              <w:top w:val="single" w:color="auto" w:sz="4" w:space="0"/>
              <w:left w:val="single" w:color="auto" w:sz="4" w:space="0"/>
              <w:bottom w:val="single" w:color="auto" w:sz="4" w:space="0"/>
              <w:right w:val="single" w:color="auto" w:sz="4" w:space="0"/>
            </w:tcBorders>
            <w:vAlign w:val="center"/>
          </w:tcPr>
          <w:p w14:paraId="118B311C">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textAlignment w:val="auto"/>
              <w:rPr>
                <w:rFonts w:hint="default" w:ascii="宋体" w:hAnsi="宋体" w:eastAsia="宋体" w:cs="宋体"/>
                <w:bCs/>
                <w:color w:val="auto"/>
                <w:szCs w:val="21"/>
                <w:highlight w:val="none"/>
              </w:rPr>
            </w:pPr>
            <w:r>
              <w:rPr>
                <w:rFonts w:hint="eastAsia" w:ascii="宋体" w:hAnsi="宋体" w:eastAsia="宋体" w:cs="宋体"/>
                <w:b w:val="0"/>
                <w:bCs w:val="0"/>
                <w:color w:val="auto"/>
                <w:sz w:val="24"/>
                <w:szCs w:val="24"/>
                <w:highlight w:val="none"/>
                <w:lang w:val="en-US" w:eastAsia="zh-CN"/>
              </w:rPr>
              <w:t>供应商</w:t>
            </w:r>
            <w:r>
              <w:rPr>
                <w:rFonts w:hint="eastAsia" w:ascii="宋体" w:hAnsi="宋体" w:eastAsia="宋体" w:cs="宋体"/>
                <w:b w:val="0"/>
                <w:bCs w:val="0"/>
                <w:color w:val="auto"/>
                <w:sz w:val="24"/>
                <w:szCs w:val="24"/>
                <w:highlight w:val="none"/>
              </w:rPr>
              <w:t>业绩</w:t>
            </w:r>
          </w:p>
        </w:tc>
        <w:tc>
          <w:tcPr>
            <w:tcW w:w="2594" w:type="pct"/>
            <w:tcBorders>
              <w:top w:val="single" w:color="auto" w:sz="4" w:space="0"/>
              <w:left w:val="single" w:color="auto" w:sz="4" w:space="0"/>
              <w:bottom w:val="single" w:color="auto" w:sz="4" w:space="0"/>
              <w:right w:val="single" w:color="auto" w:sz="4" w:space="0"/>
            </w:tcBorders>
            <w:vAlign w:val="center"/>
          </w:tcPr>
          <w:p w14:paraId="434E9C17">
            <w:pPr>
              <w:keepNext w:val="0"/>
              <w:keepLines w:val="0"/>
              <w:widowControl/>
              <w:suppressLineNumbers w:val="0"/>
              <w:spacing w:before="0" w:beforeAutospacing="0" w:after="0" w:afterAutospacing="0" w:line="440" w:lineRule="exact"/>
              <w:ind w:left="0" w:right="0"/>
              <w:jc w:val="left"/>
              <w:textAlignment w:val="baseline"/>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供应商自2023年1月1日至今每提供1个国省干线（或高速）交调站点设计业绩的得2分，本项满分4分。最多提供两个业绩。提供的项目业绩只计算评标分值对应的项目数量，按照排列顺序从首个业绩开始评审至对应数量，超出部分不进行评审。对应数量内业绩不符合招标文件要求不得分的，不再补充评审超出部分业绩。如：提供2个业绩即得满分的，按照投标文件排序评审第一、第二项业绩，其余超出部分不再评审。</w:t>
            </w:r>
          </w:p>
          <w:p w14:paraId="19C1081A">
            <w:pPr>
              <w:keepNext w:val="0"/>
              <w:keepLines w:val="0"/>
              <w:pageBreakBefore w:val="0"/>
              <w:widowControl/>
              <w:suppressLineNumbers w:val="0"/>
              <w:kinsoku/>
              <w:wordWrap/>
              <w:overflowPunct/>
              <w:topLinePunct w:val="0"/>
              <w:bidi w:val="0"/>
              <w:spacing w:before="0" w:beforeAutospacing="0" w:after="0" w:afterAutospacing="0" w:line="440" w:lineRule="exact"/>
              <w:ind w:left="0" w:right="0"/>
              <w:jc w:val="left"/>
              <w:textAlignment w:val="baseline"/>
              <w:rPr>
                <w:rFonts w:hint="default" w:ascii="宋体" w:hAnsi="宋体" w:eastAsia="宋体" w:cs="宋体"/>
                <w:color w:val="auto"/>
                <w:szCs w:val="21"/>
                <w:highlight w:val="none"/>
              </w:rPr>
            </w:pPr>
            <w:r>
              <w:rPr>
                <w:rFonts w:hint="eastAsia" w:ascii="宋体" w:hAnsi="宋体" w:eastAsia="宋体" w:cs="宋体"/>
                <w:b w:val="0"/>
                <w:bCs w:val="0"/>
                <w:color w:val="auto"/>
                <w:sz w:val="21"/>
                <w:szCs w:val="21"/>
                <w:highlight w:val="none"/>
                <w:lang w:val="en-US" w:eastAsia="zh-CN"/>
              </w:rPr>
              <w:t>电子</w:t>
            </w:r>
            <w:r>
              <w:rPr>
                <w:rFonts w:hint="eastAsia" w:ascii="宋体" w:hAnsi="宋体" w:eastAsia="宋体" w:cs="宋体"/>
                <w:b w:val="0"/>
                <w:bCs w:val="0"/>
                <w:color w:val="auto"/>
                <w:sz w:val="21"/>
                <w:szCs w:val="21"/>
                <w:highlight w:val="none"/>
              </w:rPr>
              <w:t>投标文件中</w:t>
            </w:r>
            <w:r>
              <w:rPr>
                <w:rFonts w:hint="eastAsia" w:ascii="宋体" w:hAnsi="宋体" w:eastAsia="宋体" w:cs="宋体"/>
                <w:b w:val="0"/>
                <w:bCs w:val="0"/>
                <w:color w:val="auto"/>
                <w:sz w:val="21"/>
                <w:szCs w:val="21"/>
                <w:highlight w:val="none"/>
                <w:lang w:val="en-US" w:eastAsia="zh-CN"/>
              </w:rPr>
              <w:t>须</w:t>
            </w:r>
            <w:r>
              <w:rPr>
                <w:rFonts w:hint="eastAsia" w:ascii="宋体" w:hAnsi="宋体" w:eastAsia="宋体" w:cs="宋体"/>
                <w:b w:val="0"/>
                <w:bCs w:val="0"/>
                <w:color w:val="auto"/>
                <w:sz w:val="21"/>
                <w:szCs w:val="21"/>
                <w:highlight w:val="none"/>
              </w:rPr>
              <w:t>提供</w:t>
            </w:r>
            <w:r>
              <w:rPr>
                <w:rFonts w:hint="eastAsia" w:ascii="宋体" w:hAnsi="宋体" w:eastAsia="宋体" w:cs="宋体"/>
                <w:b w:val="0"/>
                <w:bCs w:val="0"/>
                <w:color w:val="auto"/>
                <w:sz w:val="21"/>
                <w:szCs w:val="21"/>
                <w:highlight w:val="none"/>
                <w:lang w:val="zh-CN" w:eastAsia="zh-CN"/>
              </w:rPr>
              <w:t>合同原件扫描件，</w:t>
            </w:r>
            <w:r>
              <w:rPr>
                <w:rFonts w:hint="eastAsia" w:ascii="宋体" w:hAnsi="宋体" w:eastAsia="宋体" w:cs="宋体"/>
                <w:b w:val="0"/>
                <w:bCs w:val="0"/>
                <w:color w:val="auto"/>
                <w:sz w:val="21"/>
                <w:szCs w:val="21"/>
                <w:highlight w:val="none"/>
                <w:lang w:val="en-US" w:eastAsia="zh-CN"/>
              </w:rPr>
              <w:t>若合同无法体现评审内容，须提供业主单位的证明材料。</w:t>
            </w:r>
          </w:p>
        </w:tc>
        <w:tc>
          <w:tcPr>
            <w:tcW w:w="823" w:type="pct"/>
            <w:tcBorders>
              <w:top w:val="single" w:color="auto" w:sz="4" w:space="0"/>
              <w:left w:val="single" w:color="auto" w:sz="4" w:space="0"/>
              <w:bottom w:val="single" w:color="auto" w:sz="4" w:space="0"/>
              <w:right w:val="single" w:color="auto" w:sz="4" w:space="0"/>
            </w:tcBorders>
            <w:vAlign w:val="center"/>
          </w:tcPr>
          <w:p w14:paraId="1DFD676F">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textAlignment w:val="auto"/>
              <w:rPr>
                <w:rFonts w:hint="eastAsia" w:eastAsia="宋体" w:asciiTheme="minorEastAsia" w:hAnsiTheme="minorEastAsia"/>
                <w:b/>
                <w:bCs/>
                <w:color w:val="auto"/>
                <w:sz w:val="24"/>
                <w:szCs w:val="20"/>
                <w:highlight w:val="none"/>
                <w:lang w:val="en-US" w:eastAsia="zh-CN"/>
              </w:rPr>
            </w:pPr>
            <w:r>
              <w:rPr>
                <w:rFonts w:hint="eastAsia" w:ascii="宋体" w:hAnsi="宋体" w:eastAsia="宋体" w:cs="宋体"/>
                <w:b w:val="0"/>
                <w:bCs w:val="0"/>
                <w:color w:val="auto"/>
                <w:sz w:val="24"/>
                <w:szCs w:val="24"/>
                <w:highlight w:val="none"/>
              </w:rPr>
              <w:t>0-</w:t>
            </w:r>
            <w:r>
              <w:rPr>
                <w:rFonts w:hint="eastAsia" w:ascii="宋体" w:hAnsi="宋体" w:eastAsia="宋体" w:cs="宋体"/>
                <w:b w:val="0"/>
                <w:bCs w:val="0"/>
                <w:color w:val="auto"/>
                <w:sz w:val="24"/>
                <w:szCs w:val="24"/>
                <w:highlight w:val="none"/>
                <w:lang w:val="en-US" w:eastAsia="zh-CN"/>
              </w:rPr>
              <w:t>4分</w:t>
            </w:r>
          </w:p>
        </w:tc>
      </w:tr>
      <w:tr w14:paraId="732B6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pct"/>
            <w:vMerge w:val="continue"/>
            <w:tcBorders>
              <w:left w:val="single" w:color="auto" w:sz="4" w:space="0"/>
              <w:right w:val="single" w:color="auto" w:sz="4" w:space="0"/>
            </w:tcBorders>
            <w:vAlign w:val="center"/>
          </w:tcPr>
          <w:p w14:paraId="3B1CDD77">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color w:val="auto"/>
                <w:sz w:val="24"/>
                <w:szCs w:val="20"/>
                <w:highlight w:val="none"/>
              </w:rPr>
            </w:pPr>
          </w:p>
        </w:tc>
        <w:tc>
          <w:tcPr>
            <w:tcW w:w="769" w:type="pct"/>
            <w:tcBorders>
              <w:top w:val="single" w:color="auto" w:sz="4" w:space="0"/>
              <w:left w:val="single" w:color="auto" w:sz="4" w:space="0"/>
              <w:bottom w:val="single" w:color="auto" w:sz="4" w:space="0"/>
              <w:right w:val="single" w:color="auto" w:sz="4" w:space="0"/>
            </w:tcBorders>
            <w:vAlign w:val="center"/>
          </w:tcPr>
          <w:p w14:paraId="627CBD81">
            <w:pPr>
              <w:keepNext w:val="0"/>
              <w:keepLines w:val="0"/>
              <w:suppressLineNumbers w:val="0"/>
              <w:spacing w:before="0" w:beforeAutospacing="0" w:after="0" w:afterAutospacing="0" w:line="500" w:lineRule="exact"/>
              <w:ind w:left="0" w:right="0"/>
              <w:rPr>
                <w:rFonts w:hint="eastAsia" w:ascii="宋体" w:hAnsi="宋体" w:eastAsia="宋体" w:cs="宋体"/>
                <w:b w:val="0"/>
                <w:bCs w:val="0"/>
                <w:color w:val="auto"/>
                <w:sz w:val="24"/>
                <w:szCs w:val="24"/>
                <w:highlight w:val="none"/>
              </w:rPr>
            </w:pPr>
            <w:r>
              <w:rPr>
                <w:rFonts w:hint="eastAsia" w:ascii="宋体" w:hAnsi="宋体" w:eastAsia="宋体" w:cs="宋体"/>
                <w:color w:val="auto"/>
                <w:sz w:val="21"/>
                <w:szCs w:val="21"/>
                <w:highlight w:val="none"/>
              </w:rPr>
              <w:t>人员配备</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除项目负责人外</w:t>
            </w:r>
            <w:r>
              <w:rPr>
                <w:rFonts w:hint="eastAsia" w:ascii="宋体" w:hAnsi="宋体" w:eastAsia="宋体" w:cs="宋体"/>
                <w:b/>
                <w:bCs/>
                <w:color w:val="auto"/>
                <w:sz w:val="21"/>
                <w:szCs w:val="21"/>
                <w:highlight w:val="none"/>
                <w:lang w:eastAsia="zh-CN"/>
              </w:rPr>
              <w:t>）</w:t>
            </w:r>
          </w:p>
        </w:tc>
        <w:tc>
          <w:tcPr>
            <w:tcW w:w="2594" w:type="pct"/>
            <w:tcBorders>
              <w:top w:val="single" w:color="auto" w:sz="4" w:space="0"/>
              <w:left w:val="single" w:color="auto" w:sz="4" w:space="0"/>
              <w:bottom w:val="single" w:color="auto" w:sz="4" w:space="0"/>
              <w:right w:val="single" w:color="auto" w:sz="4" w:space="0"/>
            </w:tcBorders>
            <w:vAlign w:val="center"/>
          </w:tcPr>
          <w:p w14:paraId="2F021510">
            <w:pPr>
              <w:keepNext w:val="0"/>
              <w:keepLines w:val="0"/>
              <w:numPr>
                <w:ilvl w:val="0"/>
                <w:numId w:val="0"/>
              </w:numPr>
              <w:suppressLineNumbers w:val="0"/>
              <w:spacing w:before="0" w:beforeAutospacing="0" w:after="0" w:afterAutospacing="0" w:line="500" w:lineRule="exact"/>
              <w:ind w:left="0" w:right="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lang w:eastAsia="zh-CN"/>
              </w:rPr>
              <w:t>供应商</w:t>
            </w:r>
            <w:r>
              <w:rPr>
                <w:rFonts w:hint="eastAsia" w:ascii="宋体" w:hAnsi="宋体" w:eastAsia="宋体" w:cs="宋体"/>
                <w:bCs/>
                <w:color w:val="auto"/>
                <w:sz w:val="21"/>
                <w:szCs w:val="21"/>
                <w:highlight w:val="none"/>
              </w:rPr>
              <w:t>拟配备人员中每有一个公路相关专业高级及以上职称的得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分，本项满分</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分；</w:t>
            </w:r>
          </w:p>
          <w:p w14:paraId="6321CA18">
            <w:pPr>
              <w:keepNext w:val="0"/>
              <w:keepLines w:val="0"/>
              <w:numPr>
                <w:ilvl w:val="0"/>
                <w:numId w:val="0"/>
              </w:numPr>
              <w:suppressLineNumbers w:val="0"/>
              <w:spacing w:before="0" w:beforeAutospacing="0" w:after="0" w:afterAutospacing="0" w:line="500" w:lineRule="exact"/>
              <w:ind w:left="0" w:right="0"/>
              <w:rPr>
                <w:rFonts w:hint="eastAsia" w:ascii="宋体" w:hAnsi="宋体" w:eastAsia="宋体" w:cs="宋体"/>
                <w:b/>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lang w:eastAsia="zh-CN"/>
              </w:rPr>
              <w:t>供应商</w:t>
            </w:r>
            <w:r>
              <w:rPr>
                <w:rFonts w:hint="eastAsia" w:ascii="宋体" w:hAnsi="宋体" w:eastAsia="宋体" w:cs="宋体"/>
                <w:bCs/>
                <w:color w:val="auto"/>
                <w:sz w:val="21"/>
                <w:szCs w:val="21"/>
                <w:highlight w:val="none"/>
              </w:rPr>
              <w:t>拟配</w:t>
            </w:r>
            <w:bookmarkStart w:id="104" w:name="_GoBack"/>
            <w:bookmarkEnd w:id="104"/>
            <w:r>
              <w:rPr>
                <w:rFonts w:hint="eastAsia" w:ascii="宋体" w:hAnsi="宋体" w:eastAsia="宋体" w:cs="宋体"/>
                <w:bCs/>
                <w:color w:val="auto"/>
                <w:sz w:val="21"/>
                <w:szCs w:val="21"/>
                <w:highlight w:val="none"/>
              </w:rPr>
              <w:t>备人员中每有一个公路相关专业</w:t>
            </w:r>
            <w:r>
              <w:rPr>
                <w:rFonts w:hint="eastAsia" w:ascii="宋体" w:hAnsi="宋体" w:eastAsia="宋体" w:cs="宋体"/>
                <w:bCs/>
                <w:color w:val="auto"/>
                <w:sz w:val="21"/>
                <w:szCs w:val="21"/>
                <w:highlight w:val="none"/>
                <w:lang w:val="en-US" w:eastAsia="zh-CN"/>
              </w:rPr>
              <w:t>中级</w:t>
            </w:r>
            <w:r>
              <w:rPr>
                <w:rFonts w:hint="eastAsia" w:ascii="宋体" w:hAnsi="宋体" w:eastAsia="宋体" w:cs="宋体"/>
                <w:bCs/>
                <w:color w:val="auto"/>
                <w:sz w:val="21"/>
                <w:szCs w:val="21"/>
                <w:highlight w:val="none"/>
              </w:rPr>
              <w:t>及以上职称的得</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分，本项满分</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w:t>
            </w:r>
          </w:p>
          <w:p w14:paraId="01E3993C">
            <w:pPr>
              <w:keepNext w:val="0"/>
              <w:keepLines w:val="0"/>
              <w:numPr>
                <w:ilvl w:val="0"/>
                <w:numId w:val="0"/>
              </w:numPr>
              <w:suppressLineNumbers w:val="0"/>
              <w:spacing w:before="0" w:beforeAutospacing="0" w:after="0" w:afterAutospacing="0" w:line="500" w:lineRule="exact"/>
              <w:ind w:left="0" w:leftChars="0" w:right="0"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Cs/>
                <w:color w:val="auto"/>
                <w:sz w:val="21"/>
                <w:szCs w:val="21"/>
                <w:highlight w:val="none"/>
              </w:rPr>
              <w:t>注:须提供职称证书，人员不累计得分。</w:t>
            </w:r>
          </w:p>
        </w:tc>
        <w:tc>
          <w:tcPr>
            <w:tcW w:w="823" w:type="pct"/>
            <w:tcBorders>
              <w:top w:val="single" w:color="auto" w:sz="4" w:space="0"/>
              <w:left w:val="single" w:color="auto" w:sz="4" w:space="0"/>
              <w:bottom w:val="single" w:color="auto" w:sz="4" w:space="0"/>
              <w:right w:val="single" w:color="auto" w:sz="4" w:space="0"/>
            </w:tcBorders>
            <w:vAlign w:val="center"/>
          </w:tcPr>
          <w:p w14:paraId="34410F70">
            <w:pPr>
              <w:keepNext w:val="0"/>
              <w:keepLines w:val="0"/>
              <w:pageBreakBefore w:val="0"/>
              <w:widowControl w:val="0"/>
              <w:suppressLineNumbers w:val="0"/>
              <w:kinsoku/>
              <w:wordWrap/>
              <w:overflowPunct/>
              <w:topLinePunct w:val="0"/>
              <w:bidi w:val="0"/>
              <w:spacing w:before="0" w:beforeAutospacing="0" w:after="0" w:afterAutospacing="0" w:line="440" w:lineRule="exact"/>
              <w:ind w:left="0" w:right="0"/>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0-6分</w:t>
            </w:r>
          </w:p>
        </w:tc>
      </w:tr>
      <w:tr w14:paraId="07683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pct"/>
            <w:vMerge w:val="continue"/>
            <w:tcBorders>
              <w:left w:val="single" w:color="auto" w:sz="4" w:space="0"/>
              <w:right w:val="single" w:color="auto" w:sz="4" w:space="0"/>
            </w:tcBorders>
            <w:vAlign w:val="center"/>
          </w:tcPr>
          <w:p w14:paraId="0669FC3F">
            <w:pPr>
              <w:keepNext w:val="0"/>
              <w:keepLines w:val="0"/>
              <w:suppressLineNumbers w:val="0"/>
              <w:spacing w:before="0" w:beforeAutospacing="0" w:after="0" w:afterAutospacing="0" w:line="360" w:lineRule="auto"/>
              <w:ind w:left="0" w:right="0" w:firstLine="435"/>
              <w:jc w:val="center"/>
              <w:rPr>
                <w:rFonts w:hint="default" w:asciiTheme="minorEastAsia" w:hAnsiTheme="minorEastAsia" w:eastAsiaTheme="minorEastAsia"/>
                <w:b/>
                <w:bCs/>
                <w:color w:val="auto"/>
                <w:sz w:val="24"/>
                <w:szCs w:val="20"/>
                <w:highlight w:val="none"/>
              </w:rPr>
            </w:pPr>
          </w:p>
        </w:tc>
        <w:tc>
          <w:tcPr>
            <w:tcW w:w="4188"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7646A892">
            <w:pPr>
              <w:pStyle w:val="71"/>
              <w:keepNext w:val="0"/>
              <w:keepLines w:val="0"/>
              <w:suppressLineNumbers w:val="0"/>
              <w:spacing w:before="241" w:beforeAutospacing="0" w:after="0" w:afterAutospacing="0" w:line="358" w:lineRule="auto"/>
              <w:ind w:left="111" w:right="95"/>
              <w:jc w:val="center"/>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技术部分</w:t>
            </w:r>
          </w:p>
        </w:tc>
      </w:tr>
      <w:tr w14:paraId="600D4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pct"/>
            <w:vMerge w:val="continue"/>
            <w:tcBorders>
              <w:left w:val="single" w:color="auto" w:sz="4" w:space="0"/>
              <w:right w:val="single" w:color="auto" w:sz="4" w:space="0"/>
            </w:tcBorders>
            <w:vAlign w:val="center"/>
          </w:tcPr>
          <w:p w14:paraId="750F9275">
            <w:pPr>
              <w:keepNext w:val="0"/>
              <w:keepLines w:val="0"/>
              <w:suppressLineNumbers w:val="0"/>
              <w:spacing w:before="0" w:beforeAutospacing="0" w:after="0" w:afterAutospacing="0" w:line="360" w:lineRule="auto"/>
              <w:ind w:left="0" w:right="0" w:firstLine="435"/>
              <w:jc w:val="center"/>
              <w:rPr>
                <w:rFonts w:hint="default" w:asciiTheme="minorEastAsia" w:hAnsiTheme="minorEastAsia" w:eastAsiaTheme="minorEastAsia"/>
                <w:b/>
                <w:bCs/>
                <w:color w:val="auto"/>
                <w:sz w:val="24"/>
                <w:szCs w:val="20"/>
                <w:highlight w:val="none"/>
              </w:rPr>
            </w:pPr>
          </w:p>
        </w:tc>
        <w:tc>
          <w:tcPr>
            <w:tcW w:w="769" w:type="pct"/>
            <w:tcBorders>
              <w:top w:val="single" w:color="auto" w:sz="4" w:space="0"/>
              <w:left w:val="single" w:color="auto" w:sz="4" w:space="0"/>
              <w:bottom w:val="single" w:color="auto" w:sz="4" w:space="0"/>
              <w:right w:val="single" w:color="auto" w:sz="4" w:space="0"/>
            </w:tcBorders>
            <w:shd w:val="clear" w:color="auto" w:fill="auto"/>
            <w:vAlign w:val="center"/>
          </w:tcPr>
          <w:p w14:paraId="406CC5F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50" w:lineRule="exact"/>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整体服务</w:t>
            </w:r>
          </w:p>
          <w:p w14:paraId="4204FFC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50" w:lineRule="exact"/>
              <w:ind w:left="0" w:right="0"/>
              <w:jc w:val="center"/>
              <w:textAlignment w:val="auto"/>
              <w:rPr>
                <w:rFonts w:hint="default" w:asciiTheme="minorEastAsia" w:hAnsiTheme="minorEastAsia" w:eastAsiaTheme="minorEastAsia"/>
                <w:color w:val="auto"/>
                <w:sz w:val="24"/>
                <w:szCs w:val="20"/>
                <w:highlight w:val="none"/>
                <w:lang w:eastAsia="zh-CN"/>
              </w:rPr>
            </w:pPr>
            <w:r>
              <w:rPr>
                <w:rFonts w:hint="eastAsia" w:ascii="宋体" w:hAnsi="宋体" w:eastAsia="宋体" w:cs="宋体"/>
                <w:color w:val="auto"/>
                <w:sz w:val="21"/>
                <w:szCs w:val="21"/>
                <w:highlight w:val="none"/>
                <w:lang w:val="en-US" w:eastAsia="zh-CN"/>
              </w:rPr>
              <w:t>方案</w:t>
            </w:r>
          </w:p>
        </w:tc>
        <w:tc>
          <w:tcPr>
            <w:tcW w:w="2594" w:type="pct"/>
            <w:tcBorders>
              <w:top w:val="single" w:color="auto" w:sz="4" w:space="0"/>
              <w:left w:val="single" w:color="auto" w:sz="4" w:space="0"/>
              <w:bottom w:val="single" w:color="auto" w:sz="4" w:space="0"/>
              <w:right w:val="single" w:color="auto" w:sz="4" w:space="0"/>
            </w:tcBorders>
            <w:shd w:val="clear" w:color="auto" w:fill="auto"/>
            <w:vAlign w:val="center"/>
          </w:tcPr>
          <w:p w14:paraId="46E26F3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5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根据本项目服务需求，供应商提供整体服务方案进行评审：</w:t>
            </w:r>
          </w:p>
          <w:p w14:paraId="6EF636A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5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1.整体服务方案理解深刻，总体思路清晰，方案具体详实，定位准确，工作目标、内容和要求分析合理、全面的，得5分；</w:t>
            </w:r>
          </w:p>
          <w:p w14:paraId="52F83BD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5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2.整体服务方案理解全面，总体思路清晰，定位准确，工作目标、内容和要求分析合理的，得4分；</w:t>
            </w:r>
          </w:p>
          <w:p w14:paraId="28CDB40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5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3.整体服务方案理解思路清晰，满足采购需求但需要进一步完善的，得3分；</w:t>
            </w:r>
          </w:p>
          <w:p w14:paraId="44CFF93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50" w:lineRule="exact"/>
              <w:ind w:left="0" w:right="0"/>
              <w:textAlignment w:val="auto"/>
              <w:rPr>
                <w:rFonts w:hint="default" w:ascii="宋体" w:hAnsi="宋体" w:eastAsia="宋体" w:cs="宋体"/>
                <w:color w:val="auto"/>
                <w:spacing w:val="4"/>
                <w:szCs w:val="20"/>
                <w:highlight w:val="none"/>
                <w:lang w:val="en-US" w:eastAsia="zh-CN"/>
              </w:rPr>
            </w:pPr>
            <w:r>
              <w:rPr>
                <w:rFonts w:hint="eastAsia" w:ascii="宋体" w:hAnsi="宋体" w:eastAsia="宋体" w:cs="宋体"/>
                <w:color w:val="auto"/>
                <w:sz w:val="21"/>
                <w:szCs w:val="21"/>
                <w:highlight w:val="none"/>
                <w:lang w:val="en-US" w:eastAsia="zh-CN"/>
              </w:rPr>
              <w:t>4.未提供的不得分。</w:t>
            </w:r>
          </w:p>
        </w:tc>
        <w:tc>
          <w:tcPr>
            <w:tcW w:w="823" w:type="pct"/>
            <w:tcBorders>
              <w:top w:val="single" w:color="auto" w:sz="4" w:space="0"/>
              <w:left w:val="single" w:color="auto" w:sz="4" w:space="0"/>
              <w:bottom w:val="single" w:color="auto" w:sz="4" w:space="0"/>
              <w:right w:val="single" w:color="auto" w:sz="4" w:space="0"/>
            </w:tcBorders>
            <w:shd w:val="clear" w:color="auto" w:fill="auto"/>
            <w:vAlign w:val="center"/>
          </w:tcPr>
          <w:p w14:paraId="4015D5C5">
            <w:pPr>
              <w:keepNext w:val="0"/>
              <w:keepLines w:val="0"/>
              <w:suppressLineNumbers w:val="0"/>
              <w:spacing w:before="0" w:beforeAutospacing="0" w:after="0" w:afterAutospacing="0" w:line="440" w:lineRule="exact"/>
              <w:ind w:left="0" w:right="0"/>
              <w:jc w:val="center"/>
              <w:rPr>
                <w:rFonts w:hint="default" w:asciiTheme="minorEastAsia" w:hAnsiTheme="minorEastAsia" w:eastAsiaTheme="minorEastAsia"/>
                <w:b/>
                <w:bCs/>
                <w:color w:val="auto"/>
                <w:sz w:val="24"/>
                <w:szCs w:val="20"/>
                <w:highlight w:val="none"/>
              </w:rPr>
            </w:pPr>
            <w:r>
              <w:rPr>
                <w:rFonts w:hint="eastAsia" w:ascii="宋体" w:hAnsi="宋体" w:eastAsia="宋体" w:cs="宋体"/>
                <w:b w:val="0"/>
                <w:bCs w:val="0"/>
                <w:color w:val="auto"/>
                <w:sz w:val="21"/>
                <w:szCs w:val="21"/>
                <w:highlight w:val="none"/>
                <w:lang w:val="en-US" w:eastAsia="zh-CN"/>
              </w:rPr>
              <w:t>5分</w:t>
            </w:r>
          </w:p>
        </w:tc>
      </w:tr>
      <w:tr w14:paraId="7BCA0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7" w:hRule="atLeast"/>
          <w:jc w:val="center"/>
        </w:trPr>
        <w:tc>
          <w:tcPr>
            <w:tcW w:w="811" w:type="pct"/>
            <w:vMerge w:val="continue"/>
            <w:tcBorders>
              <w:left w:val="single" w:color="auto" w:sz="4" w:space="0"/>
              <w:right w:val="single" w:color="auto" w:sz="4" w:space="0"/>
            </w:tcBorders>
            <w:vAlign w:val="center"/>
          </w:tcPr>
          <w:p w14:paraId="4D6C499C">
            <w:pPr>
              <w:keepNext w:val="0"/>
              <w:keepLines w:val="0"/>
              <w:suppressLineNumbers w:val="0"/>
              <w:spacing w:before="0" w:beforeAutospacing="0" w:after="0" w:afterAutospacing="0" w:line="360" w:lineRule="auto"/>
              <w:ind w:left="0" w:right="0" w:firstLine="435"/>
              <w:jc w:val="center"/>
              <w:rPr>
                <w:rFonts w:hint="default" w:asciiTheme="minorEastAsia" w:hAnsiTheme="minorEastAsia" w:eastAsiaTheme="minorEastAsia"/>
                <w:b/>
                <w:bCs/>
                <w:color w:val="auto"/>
                <w:sz w:val="24"/>
                <w:szCs w:val="20"/>
                <w:highlight w:val="none"/>
              </w:rPr>
            </w:pPr>
          </w:p>
        </w:tc>
        <w:tc>
          <w:tcPr>
            <w:tcW w:w="769" w:type="pct"/>
            <w:tcBorders>
              <w:top w:val="single" w:color="auto" w:sz="4" w:space="0"/>
              <w:left w:val="single" w:color="auto" w:sz="4" w:space="0"/>
              <w:bottom w:val="single" w:color="auto" w:sz="4" w:space="0"/>
              <w:right w:val="single" w:color="auto" w:sz="4" w:space="0"/>
            </w:tcBorders>
            <w:shd w:val="clear" w:color="auto" w:fill="auto"/>
            <w:vAlign w:val="center"/>
          </w:tcPr>
          <w:p w14:paraId="7B7931E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50" w:lineRule="exact"/>
              <w:ind w:left="0" w:right="0"/>
              <w:jc w:val="center"/>
              <w:textAlignment w:val="auto"/>
              <w:rPr>
                <w:rFonts w:hint="default" w:asciiTheme="minorEastAsia" w:hAnsiTheme="minorEastAsia" w:eastAsiaTheme="minorEastAsia"/>
                <w:color w:val="auto"/>
                <w:sz w:val="24"/>
                <w:szCs w:val="20"/>
                <w:highlight w:val="none"/>
                <w:lang w:eastAsia="zh-CN"/>
              </w:rPr>
            </w:pPr>
            <w:r>
              <w:rPr>
                <w:rFonts w:hint="eastAsia" w:ascii="宋体" w:hAnsi="宋体" w:eastAsia="宋体" w:cs="宋体"/>
                <w:color w:val="auto"/>
                <w:sz w:val="21"/>
                <w:szCs w:val="21"/>
                <w:highlight w:val="none"/>
                <w:lang w:val="en-US" w:eastAsia="zh-CN"/>
              </w:rPr>
              <w:t>设计服务内容及保证措施</w:t>
            </w:r>
          </w:p>
        </w:tc>
        <w:tc>
          <w:tcPr>
            <w:tcW w:w="2594" w:type="pct"/>
            <w:tcBorders>
              <w:top w:val="single" w:color="auto" w:sz="4" w:space="0"/>
              <w:left w:val="single" w:color="auto" w:sz="4" w:space="0"/>
              <w:bottom w:val="single" w:color="auto" w:sz="4" w:space="0"/>
              <w:right w:val="single" w:color="auto" w:sz="4" w:space="0"/>
            </w:tcBorders>
            <w:shd w:val="clear" w:color="auto" w:fill="auto"/>
            <w:vAlign w:val="center"/>
          </w:tcPr>
          <w:p w14:paraId="27A659EE">
            <w:pPr>
              <w:keepNext w:val="0"/>
              <w:keepLines w:val="0"/>
              <w:widowControl/>
              <w:suppressLineNumbers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设计</w:t>
            </w:r>
            <w:r>
              <w:rPr>
                <w:rFonts w:hint="eastAsia" w:ascii="宋体" w:hAnsi="宋体" w:eastAsia="宋体" w:cs="宋体"/>
                <w:color w:val="auto"/>
                <w:sz w:val="21"/>
                <w:szCs w:val="21"/>
                <w:highlight w:val="none"/>
                <w:lang w:val="en-US" w:eastAsia="zh-CN"/>
              </w:rPr>
              <w:t>服务服务内容</w:t>
            </w:r>
            <w:r>
              <w:rPr>
                <w:rFonts w:hint="eastAsia" w:ascii="宋体" w:hAnsi="宋体" w:eastAsia="宋体" w:cs="宋体"/>
                <w:color w:val="auto"/>
                <w:kern w:val="0"/>
                <w:sz w:val="21"/>
                <w:szCs w:val="21"/>
                <w:highlight w:val="none"/>
                <w:lang w:val="en-US" w:eastAsia="zh-CN" w:bidi="ar"/>
              </w:rPr>
              <w:t xml:space="preserve">、专门的质量技术管理班子和制度，质量技术保证措施、自控体系；确保质量验收合格措施等方面进行评审： </w:t>
            </w:r>
          </w:p>
          <w:p w14:paraId="5EF08FCD">
            <w:pPr>
              <w:keepNext w:val="0"/>
              <w:keepLines w:val="0"/>
              <w:widowControl/>
              <w:suppressLineNumbers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①目标明确具体、制度合理、内容完善且详细、各项措施全面可行，得5分； </w:t>
            </w:r>
          </w:p>
          <w:p w14:paraId="0BCDB11F">
            <w:pPr>
              <w:keepNext w:val="0"/>
              <w:keepLines w:val="0"/>
              <w:widowControl/>
              <w:suppressLineNumbers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②目标清晰、制度合理、内容完善、各项措施可行，得4分； </w:t>
            </w:r>
          </w:p>
          <w:p w14:paraId="4B2FFEDB">
            <w:pPr>
              <w:keepNext w:val="0"/>
              <w:keepLines w:val="0"/>
              <w:widowControl/>
              <w:suppressLineNumbers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③目标具有、制度合理、内容需要进一步完善，得3分； </w:t>
            </w:r>
          </w:p>
          <w:p w14:paraId="64F149A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50" w:lineRule="exact"/>
              <w:ind w:left="0" w:right="0"/>
              <w:textAlignment w:val="auto"/>
              <w:rPr>
                <w:rFonts w:hint="default" w:ascii="宋体" w:hAnsi="宋体" w:eastAsia="宋体" w:cs="宋体"/>
                <w:color w:val="auto"/>
                <w:spacing w:val="4"/>
                <w:szCs w:val="20"/>
                <w:highlight w:val="none"/>
                <w:lang w:val="en-US" w:eastAsia="zh-CN"/>
              </w:rPr>
            </w:pPr>
            <w:r>
              <w:rPr>
                <w:rFonts w:hint="eastAsia" w:ascii="宋体" w:hAnsi="宋体" w:eastAsia="宋体" w:cs="宋体"/>
                <w:color w:val="auto"/>
                <w:kern w:val="0"/>
                <w:sz w:val="21"/>
                <w:szCs w:val="21"/>
                <w:highlight w:val="none"/>
                <w:lang w:val="en-US" w:eastAsia="zh-CN" w:bidi="ar"/>
              </w:rPr>
              <w:t>④未提供的不得分</w:t>
            </w:r>
          </w:p>
        </w:tc>
        <w:tc>
          <w:tcPr>
            <w:tcW w:w="823" w:type="pct"/>
            <w:tcBorders>
              <w:top w:val="single" w:color="auto" w:sz="4" w:space="0"/>
              <w:left w:val="single" w:color="auto" w:sz="4" w:space="0"/>
              <w:bottom w:val="single" w:color="auto" w:sz="4" w:space="0"/>
              <w:right w:val="single" w:color="auto" w:sz="4" w:space="0"/>
            </w:tcBorders>
            <w:shd w:val="clear" w:color="auto" w:fill="auto"/>
            <w:vAlign w:val="center"/>
          </w:tcPr>
          <w:p w14:paraId="36E0DDA7">
            <w:pPr>
              <w:keepNext w:val="0"/>
              <w:keepLines w:val="0"/>
              <w:suppressLineNumbers w:val="0"/>
              <w:spacing w:before="0" w:beforeAutospacing="0" w:after="0" w:afterAutospacing="0" w:line="440" w:lineRule="exact"/>
              <w:ind w:left="0" w:right="0"/>
              <w:jc w:val="center"/>
              <w:rPr>
                <w:rFonts w:hint="default" w:asciiTheme="minorEastAsia" w:hAnsiTheme="minorEastAsia" w:eastAsiaTheme="minorEastAsia"/>
                <w:b/>
                <w:bCs/>
                <w:color w:val="auto"/>
                <w:sz w:val="24"/>
                <w:szCs w:val="20"/>
                <w:highlight w:val="none"/>
              </w:rPr>
            </w:pPr>
            <w:r>
              <w:rPr>
                <w:rFonts w:hint="eastAsia" w:ascii="宋体" w:hAnsi="宋体" w:eastAsia="宋体" w:cs="宋体"/>
                <w:b w:val="0"/>
                <w:bCs w:val="0"/>
                <w:color w:val="auto"/>
                <w:sz w:val="21"/>
                <w:szCs w:val="21"/>
                <w:highlight w:val="none"/>
                <w:lang w:val="en-US" w:eastAsia="zh-CN"/>
              </w:rPr>
              <w:t>5分</w:t>
            </w:r>
          </w:p>
        </w:tc>
      </w:tr>
      <w:tr w14:paraId="7F30A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pct"/>
            <w:vMerge w:val="continue"/>
            <w:tcBorders>
              <w:left w:val="single" w:color="auto" w:sz="4" w:space="0"/>
              <w:right w:val="single" w:color="auto" w:sz="4" w:space="0"/>
            </w:tcBorders>
            <w:vAlign w:val="center"/>
          </w:tcPr>
          <w:p w14:paraId="1B4B60CB">
            <w:pPr>
              <w:keepNext w:val="0"/>
              <w:keepLines w:val="0"/>
              <w:suppressLineNumbers w:val="0"/>
              <w:spacing w:before="0" w:beforeAutospacing="0" w:after="0" w:afterAutospacing="0" w:line="360" w:lineRule="auto"/>
              <w:ind w:left="0" w:right="0" w:firstLine="435"/>
              <w:jc w:val="center"/>
              <w:rPr>
                <w:rFonts w:hint="default" w:asciiTheme="minorEastAsia" w:hAnsiTheme="minorEastAsia" w:eastAsiaTheme="minorEastAsia"/>
                <w:b/>
                <w:bCs/>
                <w:color w:val="auto"/>
                <w:sz w:val="24"/>
                <w:szCs w:val="20"/>
                <w:highlight w:val="none"/>
              </w:rPr>
            </w:pPr>
          </w:p>
        </w:tc>
        <w:tc>
          <w:tcPr>
            <w:tcW w:w="769" w:type="pct"/>
            <w:tcBorders>
              <w:top w:val="single" w:color="auto" w:sz="4" w:space="0"/>
              <w:left w:val="single" w:color="auto" w:sz="4" w:space="0"/>
              <w:bottom w:val="single" w:color="auto" w:sz="4" w:space="0"/>
              <w:right w:val="single" w:color="auto" w:sz="4" w:space="0"/>
            </w:tcBorders>
            <w:shd w:val="clear" w:color="auto" w:fill="auto"/>
            <w:vAlign w:val="center"/>
          </w:tcPr>
          <w:p w14:paraId="0F163FB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50" w:lineRule="exact"/>
              <w:ind w:left="0" w:right="0"/>
              <w:jc w:val="center"/>
              <w:textAlignment w:val="auto"/>
              <w:rPr>
                <w:rFonts w:hint="default" w:asciiTheme="minorEastAsia" w:hAnsiTheme="minorEastAsia" w:eastAsiaTheme="minorEastAsia"/>
                <w:color w:val="auto"/>
                <w:sz w:val="24"/>
                <w:szCs w:val="20"/>
                <w:highlight w:val="none"/>
                <w:lang w:eastAsia="zh-CN"/>
              </w:rPr>
            </w:pPr>
            <w:r>
              <w:rPr>
                <w:rFonts w:hint="eastAsia" w:ascii="宋体" w:hAnsi="宋体" w:eastAsia="宋体" w:cs="宋体"/>
                <w:color w:val="auto"/>
                <w:sz w:val="21"/>
                <w:szCs w:val="21"/>
                <w:highlight w:val="none"/>
                <w:lang w:val="en-US" w:eastAsia="zh-CN"/>
              </w:rPr>
              <w:t>机构设置</w:t>
            </w:r>
          </w:p>
        </w:tc>
        <w:tc>
          <w:tcPr>
            <w:tcW w:w="2594" w:type="pct"/>
            <w:tcBorders>
              <w:top w:val="single" w:color="auto" w:sz="4" w:space="0"/>
              <w:left w:val="single" w:color="auto" w:sz="4" w:space="0"/>
              <w:bottom w:val="single" w:color="auto" w:sz="4" w:space="0"/>
              <w:right w:val="single" w:color="auto" w:sz="4" w:space="0"/>
            </w:tcBorders>
            <w:shd w:val="clear" w:color="auto" w:fill="auto"/>
            <w:vAlign w:val="center"/>
          </w:tcPr>
          <w:p w14:paraId="44788F1D">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根据本项目服务需求，供应商提供机构设置方案进行评审：</w:t>
            </w:r>
          </w:p>
          <w:p w14:paraId="54179554">
            <w:pPr>
              <w:keepNext w:val="0"/>
              <w:keepLines w:val="0"/>
              <w:widowControl/>
              <w:suppressLineNumbers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①机构设置齐全，完善，符合本项目采购需求的，得5分； </w:t>
            </w:r>
          </w:p>
          <w:p w14:paraId="39643DD8">
            <w:pPr>
              <w:keepNext w:val="0"/>
              <w:keepLines w:val="0"/>
              <w:widowControl/>
              <w:suppressLineNumbers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②机构设置完善、符合本项目采购需求的，得4分； </w:t>
            </w:r>
          </w:p>
          <w:p w14:paraId="3A11B267">
            <w:pPr>
              <w:keepNext w:val="0"/>
              <w:keepLines w:val="0"/>
              <w:widowControl/>
              <w:suppressLineNumbers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③机构设置需要进一步完善，得3分； </w:t>
            </w:r>
          </w:p>
          <w:p w14:paraId="7E31FA0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50" w:lineRule="exact"/>
              <w:ind w:left="0" w:right="0"/>
              <w:textAlignment w:val="auto"/>
              <w:rPr>
                <w:rFonts w:hint="default" w:ascii="宋体" w:hAnsi="宋体" w:eastAsia="宋体" w:cs="宋体"/>
                <w:color w:val="auto"/>
                <w:spacing w:val="4"/>
                <w:szCs w:val="20"/>
                <w:highlight w:val="none"/>
                <w:lang w:val="en-US" w:eastAsia="zh-CN"/>
              </w:rPr>
            </w:pPr>
            <w:r>
              <w:rPr>
                <w:rFonts w:hint="eastAsia" w:ascii="宋体" w:hAnsi="宋体" w:eastAsia="宋体" w:cs="宋体"/>
                <w:color w:val="auto"/>
                <w:kern w:val="0"/>
                <w:sz w:val="21"/>
                <w:szCs w:val="21"/>
                <w:highlight w:val="none"/>
                <w:lang w:val="en-US" w:eastAsia="zh-CN" w:bidi="ar"/>
              </w:rPr>
              <w:t>④未提供的不得分</w:t>
            </w:r>
          </w:p>
        </w:tc>
        <w:tc>
          <w:tcPr>
            <w:tcW w:w="823" w:type="pct"/>
            <w:tcBorders>
              <w:top w:val="single" w:color="auto" w:sz="4" w:space="0"/>
              <w:left w:val="single" w:color="auto" w:sz="4" w:space="0"/>
              <w:bottom w:val="single" w:color="auto" w:sz="4" w:space="0"/>
              <w:right w:val="single" w:color="auto" w:sz="4" w:space="0"/>
            </w:tcBorders>
            <w:shd w:val="clear" w:color="auto" w:fill="auto"/>
            <w:vAlign w:val="center"/>
          </w:tcPr>
          <w:p w14:paraId="398B6D9A">
            <w:pPr>
              <w:keepNext w:val="0"/>
              <w:keepLines w:val="0"/>
              <w:suppressLineNumbers w:val="0"/>
              <w:spacing w:before="0" w:beforeAutospacing="0" w:after="0" w:afterAutospacing="0" w:line="440" w:lineRule="exact"/>
              <w:ind w:left="0" w:right="0"/>
              <w:jc w:val="center"/>
              <w:rPr>
                <w:rFonts w:hint="default" w:asciiTheme="minorEastAsia" w:hAnsiTheme="minorEastAsia" w:eastAsiaTheme="minorEastAsia"/>
                <w:b/>
                <w:bCs/>
                <w:color w:val="auto"/>
                <w:sz w:val="24"/>
                <w:szCs w:val="20"/>
                <w:highlight w:val="none"/>
              </w:rPr>
            </w:pPr>
            <w:r>
              <w:rPr>
                <w:rFonts w:hint="eastAsia" w:ascii="宋体" w:hAnsi="宋体" w:eastAsia="宋体" w:cs="宋体"/>
                <w:b w:val="0"/>
                <w:bCs w:val="0"/>
                <w:color w:val="auto"/>
                <w:sz w:val="21"/>
                <w:szCs w:val="21"/>
                <w:highlight w:val="none"/>
                <w:lang w:val="en-US" w:eastAsia="zh-CN"/>
              </w:rPr>
              <w:t>5分</w:t>
            </w:r>
          </w:p>
        </w:tc>
      </w:tr>
      <w:tr w14:paraId="55C85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pct"/>
            <w:vMerge w:val="continue"/>
            <w:tcBorders>
              <w:left w:val="single" w:color="auto" w:sz="4" w:space="0"/>
              <w:right w:val="single" w:color="auto" w:sz="4" w:space="0"/>
            </w:tcBorders>
            <w:vAlign w:val="center"/>
          </w:tcPr>
          <w:p w14:paraId="2FDE1996">
            <w:pPr>
              <w:keepNext w:val="0"/>
              <w:keepLines w:val="0"/>
              <w:suppressLineNumbers w:val="0"/>
              <w:spacing w:before="0" w:beforeAutospacing="0" w:after="0" w:afterAutospacing="0" w:line="360" w:lineRule="auto"/>
              <w:ind w:left="0" w:right="0" w:firstLine="435"/>
              <w:jc w:val="center"/>
              <w:rPr>
                <w:rFonts w:hint="default" w:asciiTheme="minorEastAsia" w:hAnsiTheme="minorEastAsia" w:eastAsiaTheme="minorEastAsia"/>
                <w:b/>
                <w:bCs/>
                <w:color w:val="auto"/>
                <w:sz w:val="24"/>
                <w:szCs w:val="20"/>
                <w:highlight w:val="none"/>
              </w:rPr>
            </w:pPr>
          </w:p>
        </w:tc>
        <w:tc>
          <w:tcPr>
            <w:tcW w:w="769" w:type="pct"/>
            <w:tcBorders>
              <w:top w:val="single" w:color="auto" w:sz="4" w:space="0"/>
              <w:left w:val="single" w:color="auto" w:sz="4" w:space="0"/>
              <w:bottom w:val="single" w:color="auto" w:sz="4" w:space="0"/>
              <w:right w:val="single" w:color="auto" w:sz="4" w:space="0"/>
            </w:tcBorders>
            <w:shd w:val="clear" w:color="auto" w:fill="auto"/>
            <w:vAlign w:val="center"/>
          </w:tcPr>
          <w:p w14:paraId="559FA52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50" w:lineRule="exact"/>
              <w:ind w:left="0" w:right="0"/>
              <w:jc w:val="center"/>
              <w:textAlignment w:val="auto"/>
              <w:rPr>
                <w:rFonts w:hint="default" w:asciiTheme="minorEastAsia" w:hAnsiTheme="minorEastAsia" w:eastAsiaTheme="minorEastAsia"/>
                <w:color w:val="auto"/>
                <w:sz w:val="24"/>
                <w:szCs w:val="20"/>
                <w:highlight w:val="none"/>
                <w:lang w:eastAsia="zh-CN"/>
              </w:rPr>
            </w:pPr>
            <w:r>
              <w:rPr>
                <w:rFonts w:hint="eastAsia" w:ascii="宋体" w:hAnsi="宋体" w:eastAsia="宋体" w:cs="宋体"/>
                <w:color w:val="auto"/>
                <w:sz w:val="21"/>
                <w:szCs w:val="21"/>
                <w:highlight w:val="none"/>
                <w:lang w:val="en-US" w:eastAsia="zh-CN"/>
              </w:rPr>
              <w:t>人员组织方案</w:t>
            </w:r>
          </w:p>
        </w:tc>
        <w:tc>
          <w:tcPr>
            <w:tcW w:w="2594" w:type="pct"/>
            <w:tcBorders>
              <w:top w:val="single" w:color="auto" w:sz="4" w:space="0"/>
              <w:left w:val="single" w:color="auto" w:sz="4" w:space="0"/>
              <w:bottom w:val="single" w:color="auto" w:sz="4" w:space="0"/>
              <w:right w:val="single" w:color="auto" w:sz="4" w:space="0"/>
            </w:tcBorders>
            <w:shd w:val="clear" w:color="auto" w:fill="auto"/>
            <w:vAlign w:val="center"/>
          </w:tcPr>
          <w:p w14:paraId="58854105">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根据本项目服务需求，供应商提供人员组织方案进行评审：</w:t>
            </w:r>
          </w:p>
          <w:p w14:paraId="13203347">
            <w:pPr>
              <w:keepNext w:val="0"/>
              <w:keepLines w:val="0"/>
              <w:widowControl/>
              <w:suppressLineNumbers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①人员组织方案安排合理、内容完善且详细、方案全面可行得5分； </w:t>
            </w:r>
          </w:p>
          <w:p w14:paraId="4A69BC15">
            <w:pPr>
              <w:keepNext w:val="0"/>
              <w:keepLines w:val="0"/>
              <w:widowControl/>
              <w:suppressLineNumbers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②人员组织方案安排合理，方案可行，得4分； </w:t>
            </w:r>
          </w:p>
          <w:p w14:paraId="61BFD44B">
            <w:pPr>
              <w:keepNext w:val="0"/>
              <w:keepLines w:val="0"/>
              <w:widowControl/>
              <w:suppressLineNumbers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③人员组织方案需要进一步完善，内容缺失得3分； </w:t>
            </w:r>
          </w:p>
          <w:p w14:paraId="1FB5BEF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50" w:lineRule="exact"/>
              <w:ind w:left="0" w:right="0"/>
              <w:textAlignment w:val="auto"/>
              <w:rPr>
                <w:rFonts w:hint="default" w:ascii="宋体" w:hAnsi="宋体" w:eastAsia="宋体" w:cs="宋体"/>
                <w:color w:val="auto"/>
                <w:spacing w:val="4"/>
                <w:szCs w:val="20"/>
                <w:highlight w:val="none"/>
                <w:lang w:val="en-US" w:eastAsia="zh-CN"/>
              </w:rPr>
            </w:pPr>
            <w:r>
              <w:rPr>
                <w:rFonts w:hint="eastAsia" w:ascii="宋体" w:hAnsi="宋体" w:eastAsia="宋体" w:cs="宋体"/>
                <w:color w:val="auto"/>
                <w:kern w:val="0"/>
                <w:sz w:val="21"/>
                <w:szCs w:val="21"/>
                <w:highlight w:val="none"/>
                <w:lang w:val="en-US" w:eastAsia="zh-CN" w:bidi="ar"/>
              </w:rPr>
              <w:t>④未提供的不得分</w:t>
            </w:r>
          </w:p>
        </w:tc>
        <w:tc>
          <w:tcPr>
            <w:tcW w:w="823" w:type="pct"/>
            <w:tcBorders>
              <w:top w:val="single" w:color="auto" w:sz="4" w:space="0"/>
              <w:left w:val="single" w:color="auto" w:sz="4" w:space="0"/>
              <w:bottom w:val="single" w:color="auto" w:sz="4" w:space="0"/>
              <w:right w:val="single" w:color="auto" w:sz="4" w:space="0"/>
            </w:tcBorders>
            <w:shd w:val="clear" w:color="auto" w:fill="auto"/>
            <w:vAlign w:val="center"/>
          </w:tcPr>
          <w:p w14:paraId="5A637834">
            <w:pPr>
              <w:keepNext w:val="0"/>
              <w:keepLines w:val="0"/>
              <w:suppressLineNumbers w:val="0"/>
              <w:spacing w:before="0" w:beforeAutospacing="0" w:after="0" w:afterAutospacing="0" w:line="440" w:lineRule="exact"/>
              <w:ind w:left="0" w:right="0"/>
              <w:jc w:val="center"/>
              <w:rPr>
                <w:rFonts w:hint="default" w:asciiTheme="minorEastAsia" w:hAnsiTheme="minorEastAsia" w:eastAsiaTheme="minorEastAsia"/>
                <w:b/>
                <w:bCs/>
                <w:color w:val="auto"/>
                <w:sz w:val="24"/>
                <w:szCs w:val="20"/>
                <w:highlight w:val="none"/>
              </w:rPr>
            </w:pPr>
            <w:r>
              <w:rPr>
                <w:rFonts w:hint="eastAsia" w:ascii="宋体" w:hAnsi="宋体" w:eastAsia="宋体" w:cs="宋体"/>
                <w:b w:val="0"/>
                <w:bCs w:val="0"/>
                <w:color w:val="auto"/>
                <w:sz w:val="21"/>
                <w:szCs w:val="21"/>
                <w:highlight w:val="none"/>
                <w:lang w:val="en-US" w:eastAsia="zh-CN"/>
              </w:rPr>
              <w:t>5分</w:t>
            </w:r>
          </w:p>
        </w:tc>
      </w:tr>
      <w:tr w14:paraId="14318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pct"/>
            <w:vMerge w:val="continue"/>
            <w:tcBorders>
              <w:left w:val="single" w:color="auto" w:sz="4" w:space="0"/>
              <w:right w:val="single" w:color="auto" w:sz="4" w:space="0"/>
            </w:tcBorders>
            <w:vAlign w:val="center"/>
          </w:tcPr>
          <w:p w14:paraId="1E99FB13">
            <w:pPr>
              <w:keepNext w:val="0"/>
              <w:keepLines w:val="0"/>
              <w:suppressLineNumbers w:val="0"/>
              <w:spacing w:before="0" w:beforeAutospacing="0" w:after="0" w:afterAutospacing="0" w:line="360" w:lineRule="auto"/>
              <w:ind w:left="0" w:right="0" w:firstLine="435"/>
              <w:jc w:val="center"/>
              <w:rPr>
                <w:rFonts w:hint="default" w:asciiTheme="minorEastAsia" w:hAnsiTheme="minorEastAsia" w:eastAsiaTheme="minorEastAsia"/>
                <w:b/>
                <w:bCs/>
                <w:color w:val="auto"/>
                <w:sz w:val="24"/>
                <w:szCs w:val="20"/>
                <w:highlight w:val="none"/>
              </w:rPr>
            </w:pPr>
          </w:p>
        </w:tc>
        <w:tc>
          <w:tcPr>
            <w:tcW w:w="769" w:type="pct"/>
            <w:tcBorders>
              <w:top w:val="single" w:color="auto" w:sz="4" w:space="0"/>
              <w:left w:val="single" w:color="auto" w:sz="4" w:space="0"/>
              <w:bottom w:val="single" w:color="auto" w:sz="4" w:space="0"/>
              <w:right w:val="single" w:color="auto" w:sz="4" w:space="0"/>
            </w:tcBorders>
            <w:shd w:val="clear" w:color="auto" w:fill="auto"/>
            <w:vAlign w:val="center"/>
          </w:tcPr>
          <w:p w14:paraId="2B29276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50" w:lineRule="exact"/>
              <w:ind w:left="0" w:right="0"/>
              <w:jc w:val="center"/>
              <w:textAlignment w:val="auto"/>
              <w:rPr>
                <w:rFonts w:hint="default" w:asciiTheme="minorEastAsia" w:hAnsiTheme="minorEastAsia" w:eastAsiaTheme="minorEastAsia"/>
                <w:color w:val="auto"/>
                <w:sz w:val="24"/>
                <w:szCs w:val="20"/>
                <w:highlight w:val="none"/>
                <w:lang w:eastAsia="zh-CN"/>
              </w:rPr>
            </w:pPr>
            <w:r>
              <w:rPr>
                <w:rFonts w:hint="eastAsia" w:ascii="宋体" w:hAnsi="宋体" w:eastAsia="宋体" w:cs="宋体"/>
                <w:color w:val="auto"/>
                <w:kern w:val="2"/>
                <w:sz w:val="21"/>
                <w:szCs w:val="21"/>
                <w:highlight w:val="none"/>
                <w:lang w:val="en-US" w:eastAsia="zh-CN" w:bidi="ar-SA"/>
              </w:rPr>
              <w:t>设计调查设备</w:t>
            </w:r>
          </w:p>
        </w:tc>
        <w:tc>
          <w:tcPr>
            <w:tcW w:w="2594" w:type="pct"/>
            <w:tcBorders>
              <w:top w:val="single" w:color="auto" w:sz="4" w:space="0"/>
              <w:left w:val="single" w:color="auto" w:sz="4" w:space="0"/>
              <w:bottom w:val="single" w:color="auto" w:sz="4" w:space="0"/>
              <w:right w:val="single" w:color="auto" w:sz="4" w:space="0"/>
            </w:tcBorders>
            <w:shd w:val="clear" w:color="auto" w:fill="auto"/>
            <w:vAlign w:val="center"/>
          </w:tcPr>
          <w:p w14:paraId="53760674">
            <w:pPr>
              <w:keepNext w:val="0"/>
              <w:keepLines w:val="0"/>
              <w:widowControl/>
              <w:suppressLineNumbers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设计投入的主要机械、设备有详细的组织计划且计划周密；设备数量、选型配置、进场时间安排合理，满足设计要求，根据拟投入的主要机械、设备组织计划进行评审：</w:t>
            </w:r>
          </w:p>
          <w:p w14:paraId="0B2B37C2">
            <w:pPr>
              <w:keepNext w:val="0"/>
              <w:keepLines w:val="0"/>
              <w:widowControl/>
              <w:suppressLineNumbers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①投标供应商拟投入的主要机械、设备计划分项内容齐全，并承诺拟投入的机械、设备针对本项目具有针对性，且符合项目实际情况的得5分； </w:t>
            </w:r>
          </w:p>
          <w:p w14:paraId="596E5038">
            <w:pPr>
              <w:keepNext w:val="0"/>
              <w:keepLines w:val="0"/>
              <w:widowControl/>
              <w:suppressLineNumbers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②投标供应商拟投入的主要机械、设备计划分项内容齐全，针对评审内容逐条分析，并制定措施，且符合项目实际情况，无套用、冒用其他项目的情况的得4分； </w:t>
            </w:r>
          </w:p>
          <w:p w14:paraId="28EA2043">
            <w:pPr>
              <w:keepNext w:val="0"/>
              <w:keepLines w:val="0"/>
              <w:widowControl/>
              <w:suppressLineNumbers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③投标供应商拟投入的主要机械、设备计划分项内容混乱，管理措施描述不清，前后矛盾，部分内容缺失，存在套用、冒用其他项目的情况的得3分； </w:t>
            </w:r>
          </w:p>
          <w:p w14:paraId="45A3B5C0">
            <w:pPr>
              <w:keepNext w:val="0"/>
              <w:keepLines w:val="0"/>
              <w:widowControl/>
              <w:suppressLineNumbers w:val="0"/>
              <w:spacing w:before="0" w:beforeAutospacing="0" w:after="0" w:afterAutospacing="0"/>
              <w:ind w:left="0" w:right="0"/>
              <w:jc w:val="left"/>
              <w:rPr>
                <w:rFonts w:hint="default" w:ascii="宋体" w:hAnsi="宋体" w:eastAsia="宋体" w:cs="宋体"/>
                <w:color w:val="auto"/>
                <w:spacing w:val="4"/>
                <w:szCs w:val="20"/>
                <w:highlight w:val="none"/>
                <w:lang w:val="en-US" w:eastAsia="zh-CN"/>
              </w:rPr>
            </w:pPr>
            <w:r>
              <w:rPr>
                <w:rFonts w:hint="eastAsia" w:ascii="宋体" w:hAnsi="宋体" w:eastAsia="宋体" w:cs="宋体"/>
                <w:color w:val="auto"/>
                <w:kern w:val="0"/>
                <w:sz w:val="21"/>
                <w:szCs w:val="21"/>
                <w:highlight w:val="none"/>
                <w:lang w:val="en-US" w:eastAsia="zh-CN" w:bidi="ar"/>
              </w:rPr>
              <w:t>④未提供不得分。</w:t>
            </w:r>
          </w:p>
        </w:tc>
        <w:tc>
          <w:tcPr>
            <w:tcW w:w="823" w:type="pct"/>
            <w:tcBorders>
              <w:top w:val="single" w:color="auto" w:sz="4" w:space="0"/>
              <w:left w:val="single" w:color="auto" w:sz="4" w:space="0"/>
              <w:bottom w:val="single" w:color="auto" w:sz="4" w:space="0"/>
              <w:right w:val="single" w:color="auto" w:sz="4" w:space="0"/>
            </w:tcBorders>
            <w:shd w:val="clear" w:color="auto" w:fill="auto"/>
            <w:vAlign w:val="center"/>
          </w:tcPr>
          <w:p w14:paraId="4AE87203">
            <w:pPr>
              <w:keepNext w:val="0"/>
              <w:keepLines w:val="0"/>
              <w:suppressLineNumbers w:val="0"/>
              <w:spacing w:before="0" w:beforeAutospacing="0" w:after="0" w:afterAutospacing="0" w:line="440" w:lineRule="exact"/>
              <w:ind w:left="0" w:right="0"/>
              <w:jc w:val="center"/>
              <w:rPr>
                <w:rFonts w:hint="default" w:asciiTheme="minorEastAsia" w:hAnsiTheme="minorEastAsia" w:eastAsiaTheme="minorEastAsia"/>
                <w:b/>
                <w:bCs/>
                <w:color w:val="auto"/>
                <w:sz w:val="24"/>
                <w:szCs w:val="20"/>
                <w:highlight w:val="none"/>
              </w:rPr>
            </w:pPr>
            <w:r>
              <w:rPr>
                <w:rFonts w:hint="eastAsia" w:ascii="宋体" w:hAnsi="宋体" w:eastAsia="宋体" w:cs="宋体"/>
                <w:b w:val="0"/>
                <w:bCs w:val="0"/>
                <w:color w:val="auto"/>
                <w:sz w:val="21"/>
                <w:szCs w:val="21"/>
                <w:highlight w:val="none"/>
                <w:lang w:val="en-US" w:eastAsia="zh-CN"/>
              </w:rPr>
              <w:t>5分</w:t>
            </w:r>
          </w:p>
        </w:tc>
      </w:tr>
      <w:tr w14:paraId="4CE2F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pct"/>
            <w:vMerge w:val="continue"/>
            <w:tcBorders>
              <w:left w:val="single" w:color="auto" w:sz="4" w:space="0"/>
              <w:right w:val="single" w:color="auto" w:sz="4" w:space="0"/>
            </w:tcBorders>
            <w:vAlign w:val="center"/>
          </w:tcPr>
          <w:p w14:paraId="2C5C6578">
            <w:pPr>
              <w:keepNext w:val="0"/>
              <w:keepLines w:val="0"/>
              <w:suppressLineNumbers w:val="0"/>
              <w:spacing w:before="0" w:beforeAutospacing="0" w:after="0" w:afterAutospacing="0" w:line="360" w:lineRule="auto"/>
              <w:ind w:left="0" w:right="0" w:firstLine="435"/>
              <w:jc w:val="center"/>
              <w:rPr>
                <w:rFonts w:hint="default" w:asciiTheme="minorEastAsia" w:hAnsiTheme="minorEastAsia" w:eastAsiaTheme="minorEastAsia"/>
                <w:b/>
                <w:bCs/>
                <w:color w:val="auto"/>
                <w:sz w:val="24"/>
                <w:szCs w:val="20"/>
                <w:highlight w:val="none"/>
              </w:rPr>
            </w:pPr>
          </w:p>
        </w:tc>
        <w:tc>
          <w:tcPr>
            <w:tcW w:w="769" w:type="pct"/>
            <w:tcBorders>
              <w:top w:val="single" w:color="auto" w:sz="4" w:space="0"/>
              <w:left w:val="single" w:color="auto" w:sz="4" w:space="0"/>
              <w:bottom w:val="single" w:color="auto" w:sz="4" w:space="0"/>
              <w:right w:val="single" w:color="auto" w:sz="4" w:space="0"/>
            </w:tcBorders>
            <w:shd w:val="clear" w:color="auto" w:fill="auto"/>
            <w:vAlign w:val="center"/>
          </w:tcPr>
          <w:p w14:paraId="3792D5A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50" w:lineRule="exact"/>
              <w:ind w:left="0" w:right="0"/>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color w:val="auto"/>
                <w:sz w:val="21"/>
                <w:szCs w:val="21"/>
                <w:highlight w:val="none"/>
                <w:lang w:val="en-US" w:eastAsia="zh-CN"/>
              </w:rPr>
              <w:t>设计进度计划及保障措施方案</w:t>
            </w:r>
          </w:p>
        </w:tc>
        <w:tc>
          <w:tcPr>
            <w:tcW w:w="2594" w:type="pct"/>
            <w:tcBorders>
              <w:top w:val="single" w:color="auto" w:sz="4" w:space="0"/>
              <w:left w:val="single" w:color="auto" w:sz="4" w:space="0"/>
              <w:bottom w:val="single" w:color="auto" w:sz="4" w:space="0"/>
              <w:right w:val="single" w:color="auto" w:sz="4" w:space="0"/>
            </w:tcBorders>
            <w:shd w:val="clear" w:color="auto" w:fill="auto"/>
            <w:vAlign w:val="center"/>
          </w:tcPr>
          <w:p w14:paraId="4A0DE130">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设计进度计划及保障措施的详细性、完善性、针对性、可行性进行评审：</w:t>
            </w:r>
          </w:p>
          <w:p w14:paraId="5990F9B7">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①进度保障措施方案内容非常完整、进度计划及时间节点安排非常合理、整体标准优于项目需求的得5分；</w:t>
            </w:r>
          </w:p>
          <w:p w14:paraId="2167DDB2">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②进度保障措施方案内容完善、进度计划及时间节点安排满足要求、整体标准满足项目需求的得4分；</w:t>
            </w:r>
          </w:p>
          <w:p w14:paraId="27EBA645">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③进度保障措施方案内容有待提高、计划及时间节点安排不合理的得3分；</w:t>
            </w:r>
          </w:p>
          <w:p w14:paraId="520AB4EC">
            <w:pPr>
              <w:keepNext w:val="0"/>
              <w:keepLines w:val="0"/>
              <w:widowControl/>
              <w:suppressLineNumbers w:val="0"/>
              <w:spacing w:before="0" w:beforeAutospacing="0" w:after="0" w:afterAutospacing="0"/>
              <w:ind w:left="0" w:right="0"/>
              <w:jc w:val="left"/>
              <w:rPr>
                <w:rFonts w:hint="eastAsia" w:ascii="宋体" w:hAnsi="宋体" w:eastAsia="宋体" w:cs="宋体"/>
                <w:color w:val="auto"/>
                <w:spacing w:val="1"/>
                <w:kern w:val="0"/>
                <w:sz w:val="24"/>
                <w:szCs w:val="24"/>
                <w:highlight w:val="none"/>
                <w:lang w:val="zh-CN" w:eastAsia="zh-CN"/>
              </w:rPr>
            </w:pPr>
            <w:r>
              <w:rPr>
                <w:rFonts w:hint="eastAsia" w:ascii="宋体" w:hAnsi="宋体" w:eastAsia="宋体" w:cs="宋体"/>
                <w:color w:val="auto"/>
                <w:kern w:val="0"/>
                <w:sz w:val="21"/>
                <w:szCs w:val="21"/>
                <w:highlight w:val="none"/>
                <w:lang w:val="en-US" w:eastAsia="zh-CN" w:bidi="ar"/>
              </w:rPr>
              <w:t>④未提供的不得分</w:t>
            </w:r>
          </w:p>
        </w:tc>
        <w:tc>
          <w:tcPr>
            <w:tcW w:w="823" w:type="pct"/>
            <w:tcBorders>
              <w:top w:val="single" w:color="auto" w:sz="4" w:space="0"/>
              <w:left w:val="single" w:color="auto" w:sz="4" w:space="0"/>
              <w:bottom w:val="single" w:color="auto" w:sz="4" w:space="0"/>
              <w:right w:val="single" w:color="auto" w:sz="4" w:space="0"/>
            </w:tcBorders>
            <w:shd w:val="clear" w:color="auto" w:fill="auto"/>
            <w:vAlign w:val="center"/>
          </w:tcPr>
          <w:p w14:paraId="64E85EFA">
            <w:pPr>
              <w:keepNext w:val="0"/>
              <w:keepLines w:val="0"/>
              <w:suppressLineNumbers w:val="0"/>
              <w:spacing w:before="0" w:beforeAutospacing="0" w:after="0" w:afterAutospacing="0" w:line="440" w:lineRule="exact"/>
              <w:ind w:left="0" w:right="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1"/>
                <w:szCs w:val="21"/>
                <w:highlight w:val="none"/>
                <w:lang w:val="en-US" w:eastAsia="zh-CN"/>
              </w:rPr>
              <w:t>5分</w:t>
            </w:r>
          </w:p>
        </w:tc>
      </w:tr>
      <w:tr w14:paraId="12E26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pct"/>
            <w:vMerge w:val="continue"/>
            <w:tcBorders>
              <w:left w:val="single" w:color="auto" w:sz="4" w:space="0"/>
              <w:right w:val="single" w:color="auto" w:sz="4" w:space="0"/>
            </w:tcBorders>
            <w:vAlign w:val="center"/>
          </w:tcPr>
          <w:p w14:paraId="38F5BF67">
            <w:pPr>
              <w:keepNext w:val="0"/>
              <w:keepLines w:val="0"/>
              <w:suppressLineNumbers w:val="0"/>
              <w:spacing w:before="0" w:beforeAutospacing="0" w:after="0" w:afterAutospacing="0" w:line="360" w:lineRule="auto"/>
              <w:ind w:left="0" w:right="0" w:firstLine="435"/>
              <w:jc w:val="center"/>
              <w:rPr>
                <w:rFonts w:hint="default" w:asciiTheme="minorEastAsia" w:hAnsiTheme="minorEastAsia" w:eastAsiaTheme="minorEastAsia"/>
                <w:b/>
                <w:bCs/>
                <w:color w:val="auto"/>
                <w:sz w:val="24"/>
                <w:szCs w:val="20"/>
                <w:highlight w:val="none"/>
              </w:rPr>
            </w:pPr>
          </w:p>
        </w:tc>
        <w:tc>
          <w:tcPr>
            <w:tcW w:w="769" w:type="pct"/>
            <w:tcBorders>
              <w:top w:val="single" w:color="auto" w:sz="4" w:space="0"/>
              <w:left w:val="single" w:color="auto" w:sz="4" w:space="0"/>
              <w:bottom w:val="single" w:color="auto" w:sz="4" w:space="0"/>
              <w:right w:val="single" w:color="auto" w:sz="4" w:space="0"/>
            </w:tcBorders>
            <w:shd w:val="clear" w:color="auto" w:fill="auto"/>
            <w:vAlign w:val="center"/>
          </w:tcPr>
          <w:p w14:paraId="5582C33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50" w:lineRule="exact"/>
              <w:ind w:left="0" w:right="0"/>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color w:val="auto"/>
                <w:kern w:val="2"/>
                <w:sz w:val="21"/>
                <w:szCs w:val="21"/>
                <w:highlight w:val="none"/>
                <w:lang w:val="en-US" w:eastAsia="zh-CN" w:bidi="ar-SA"/>
              </w:rPr>
              <w:t>设计质量保证控制方案</w:t>
            </w:r>
          </w:p>
        </w:tc>
        <w:tc>
          <w:tcPr>
            <w:tcW w:w="2594" w:type="pct"/>
            <w:tcBorders>
              <w:top w:val="single" w:color="auto" w:sz="4" w:space="0"/>
              <w:left w:val="single" w:color="auto" w:sz="4" w:space="0"/>
              <w:bottom w:val="single" w:color="auto" w:sz="4" w:space="0"/>
              <w:right w:val="single" w:color="auto" w:sz="4" w:space="0"/>
            </w:tcBorders>
            <w:shd w:val="clear" w:color="auto" w:fill="auto"/>
            <w:vAlign w:val="center"/>
          </w:tcPr>
          <w:p w14:paraId="47057E04">
            <w:pPr>
              <w:keepNext w:val="0"/>
              <w:keepLines w:val="0"/>
              <w:widowControl/>
              <w:suppressLineNumbers w:val="0"/>
              <w:spacing w:before="0" w:beforeAutospacing="0" w:after="0" w:afterAutospacing="0"/>
              <w:ind w:left="0" w:right="0"/>
              <w:jc w:val="left"/>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供应商提供</w:t>
            </w:r>
            <w:r>
              <w:rPr>
                <w:rFonts w:hint="eastAsia" w:ascii="宋体" w:hAnsi="宋体" w:eastAsia="宋体" w:cs="宋体"/>
                <w:color w:val="auto"/>
                <w:kern w:val="2"/>
                <w:sz w:val="21"/>
                <w:szCs w:val="21"/>
                <w:highlight w:val="none"/>
                <w:lang w:val="en-US" w:eastAsia="zh-CN" w:bidi="ar-SA"/>
              </w:rPr>
              <w:t>设计质量保证控制方案</w:t>
            </w:r>
            <w:r>
              <w:rPr>
                <w:rFonts w:hint="eastAsia" w:ascii="宋体" w:hAnsi="宋体" w:eastAsia="宋体" w:cs="宋体"/>
                <w:b w:val="0"/>
                <w:bCs/>
                <w:color w:val="auto"/>
                <w:kern w:val="2"/>
                <w:sz w:val="21"/>
                <w:szCs w:val="21"/>
                <w:highlight w:val="none"/>
                <w:lang w:val="en-US" w:eastAsia="zh-CN" w:bidi="ar-SA"/>
              </w:rPr>
              <w:t>进行评审，包括但不限于技术档案管理制度、成果文件质量控制制度、项目小组工作职责分工等：</w:t>
            </w:r>
          </w:p>
          <w:p w14:paraId="0EA036B4">
            <w:pPr>
              <w:keepNext w:val="0"/>
              <w:keepLines w:val="0"/>
              <w:widowControl/>
              <w:suppressLineNumbers w:val="0"/>
              <w:spacing w:before="0" w:beforeAutospacing="0" w:after="0" w:afterAutospacing="0"/>
              <w:ind w:left="0" w:right="0"/>
              <w:jc w:val="left"/>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 xml:space="preserve">①方案内容完整详实，表述清晰，利于项目实施的得5分； </w:t>
            </w:r>
          </w:p>
          <w:p w14:paraId="592C9AB0">
            <w:pPr>
              <w:keepNext w:val="0"/>
              <w:keepLines w:val="0"/>
              <w:widowControl/>
              <w:suppressLineNumbers w:val="0"/>
              <w:spacing w:before="0" w:beforeAutospacing="0" w:after="0" w:afterAutospacing="0"/>
              <w:ind w:left="0" w:right="0"/>
              <w:jc w:val="left"/>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 xml:space="preserve">②方案有一定针对性，内容完整详实，表述清晰，符合项目实施要求的得4分； </w:t>
            </w:r>
          </w:p>
          <w:p w14:paraId="3A651053">
            <w:pPr>
              <w:keepNext w:val="0"/>
              <w:keepLines w:val="0"/>
              <w:widowControl/>
              <w:suppressLineNumbers w:val="0"/>
              <w:spacing w:before="0" w:beforeAutospacing="0" w:after="0" w:afterAutospacing="0"/>
              <w:ind w:left="0" w:right="0"/>
              <w:jc w:val="left"/>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 xml:space="preserve">③方案要点突出不够明显，针对具体细节有待完善的得3分； </w:t>
            </w:r>
          </w:p>
          <w:p w14:paraId="2F8AE283">
            <w:pPr>
              <w:keepNext w:val="0"/>
              <w:keepLines w:val="0"/>
              <w:widowControl/>
              <w:suppressLineNumbers w:val="0"/>
              <w:spacing w:before="0" w:beforeAutospacing="0" w:after="0" w:afterAutospacing="0"/>
              <w:ind w:left="0" w:right="0"/>
              <w:jc w:val="left"/>
              <w:rPr>
                <w:rFonts w:hint="eastAsia" w:ascii="宋体" w:hAnsi="宋体" w:eastAsia="宋体" w:cs="宋体"/>
                <w:color w:val="auto"/>
                <w:spacing w:val="1"/>
                <w:kern w:val="0"/>
                <w:sz w:val="24"/>
                <w:szCs w:val="24"/>
                <w:highlight w:val="none"/>
                <w:lang w:val="zh-CN" w:eastAsia="zh-CN"/>
              </w:rPr>
            </w:pPr>
            <w:r>
              <w:rPr>
                <w:rFonts w:hint="eastAsia" w:ascii="宋体" w:hAnsi="宋体" w:eastAsia="宋体" w:cs="宋体"/>
                <w:b w:val="0"/>
                <w:bCs/>
                <w:color w:val="auto"/>
                <w:kern w:val="2"/>
                <w:sz w:val="21"/>
                <w:szCs w:val="21"/>
                <w:highlight w:val="none"/>
                <w:lang w:val="en-US" w:eastAsia="zh-CN" w:bidi="ar-SA"/>
              </w:rPr>
              <w:t>④未提供的不得分。</w:t>
            </w:r>
            <w:r>
              <w:rPr>
                <w:rFonts w:hint="eastAsia" w:ascii="宋体" w:hAnsi="宋体" w:eastAsia="宋体" w:cs="宋体"/>
                <w:b/>
                <w:color w:val="auto"/>
                <w:kern w:val="2"/>
                <w:sz w:val="21"/>
                <w:szCs w:val="21"/>
                <w:highlight w:val="none"/>
                <w:lang w:val="en-US" w:eastAsia="zh-CN" w:bidi="ar-SA"/>
              </w:rPr>
              <w:t xml:space="preserve"> </w:t>
            </w:r>
          </w:p>
        </w:tc>
        <w:tc>
          <w:tcPr>
            <w:tcW w:w="823" w:type="pct"/>
            <w:tcBorders>
              <w:top w:val="single" w:color="auto" w:sz="4" w:space="0"/>
              <w:left w:val="single" w:color="auto" w:sz="4" w:space="0"/>
              <w:bottom w:val="single" w:color="auto" w:sz="4" w:space="0"/>
              <w:right w:val="single" w:color="auto" w:sz="4" w:space="0"/>
            </w:tcBorders>
            <w:shd w:val="clear" w:color="auto" w:fill="auto"/>
            <w:vAlign w:val="center"/>
          </w:tcPr>
          <w:p w14:paraId="7171367F">
            <w:pPr>
              <w:keepNext w:val="0"/>
              <w:keepLines w:val="0"/>
              <w:suppressLineNumbers w:val="0"/>
              <w:spacing w:before="0" w:beforeAutospacing="0" w:after="0" w:afterAutospacing="0" w:line="440" w:lineRule="exact"/>
              <w:ind w:left="0" w:right="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1"/>
                <w:szCs w:val="21"/>
                <w:highlight w:val="none"/>
                <w:lang w:val="en-US" w:eastAsia="zh-CN"/>
              </w:rPr>
              <w:t>5分</w:t>
            </w:r>
          </w:p>
        </w:tc>
      </w:tr>
      <w:tr w14:paraId="7AD26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pct"/>
            <w:vMerge w:val="continue"/>
            <w:tcBorders>
              <w:left w:val="single" w:color="auto" w:sz="4" w:space="0"/>
              <w:right w:val="single" w:color="auto" w:sz="4" w:space="0"/>
            </w:tcBorders>
            <w:vAlign w:val="center"/>
          </w:tcPr>
          <w:p w14:paraId="4E5AC9D7">
            <w:pPr>
              <w:keepNext w:val="0"/>
              <w:keepLines w:val="0"/>
              <w:suppressLineNumbers w:val="0"/>
              <w:spacing w:before="0" w:beforeAutospacing="0" w:after="0" w:afterAutospacing="0" w:line="360" w:lineRule="auto"/>
              <w:ind w:left="0" w:right="0" w:firstLine="435"/>
              <w:jc w:val="center"/>
              <w:rPr>
                <w:rFonts w:hint="default" w:asciiTheme="minorEastAsia" w:hAnsiTheme="minorEastAsia" w:eastAsiaTheme="minorEastAsia"/>
                <w:b/>
                <w:bCs/>
                <w:color w:val="auto"/>
                <w:sz w:val="24"/>
                <w:szCs w:val="20"/>
                <w:highlight w:val="none"/>
              </w:rPr>
            </w:pPr>
          </w:p>
        </w:tc>
        <w:tc>
          <w:tcPr>
            <w:tcW w:w="769" w:type="pct"/>
            <w:tcBorders>
              <w:top w:val="single" w:color="auto" w:sz="4" w:space="0"/>
              <w:left w:val="single" w:color="auto" w:sz="4" w:space="0"/>
              <w:bottom w:val="single" w:color="auto" w:sz="4" w:space="0"/>
              <w:right w:val="single" w:color="auto" w:sz="4" w:space="0"/>
            </w:tcBorders>
            <w:shd w:val="clear" w:color="auto" w:fill="auto"/>
            <w:vAlign w:val="center"/>
          </w:tcPr>
          <w:p w14:paraId="6114765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50" w:lineRule="exact"/>
              <w:ind w:left="0" w:right="0"/>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auto"/>
                <w:sz w:val="21"/>
                <w:szCs w:val="21"/>
                <w:highlight w:val="none"/>
                <w:lang w:val="en-US" w:eastAsia="zh-CN"/>
              </w:rPr>
              <w:t>安全环保措施方案</w:t>
            </w:r>
          </w:p>
        </w:tc>
        <w:tc>
          <w:tcPr>
            <w:tcW w:w="2594" w:type="pct"/>
            <w:tcBorders>
              <w:top w:val="single" w:color="auto" w:sz="4" w:space="0"/>
              <w:left w:val="single" w:color="auto" w:sz="4" w:space="0"/>
              <w:bottom w:val="single" w:color="auto" w:sz="4" w:space="0"/>
              <w:right w:val="single" w:color="auto" w:sz="4" w:space="0"/>
            </w:tcBorders>
            <w:shd w:val="clear" w:color="auto" w:fill="auto"/>
            <w:vAlign w:val="center"/>
          </w:tcPr>
          <w:p w14:paraId="58D3D543">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根据供应商提供的安全环保管理制度，安全保证措施（包括人员安全措施、设备安全措施等）及设计环保保证措施（包括设备的选择、设计方法的选择等）等方面进行评审： </w:t>
            </w:r>
          </w:p>
          <w:p w14:paraId="33F23E20">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①方案要点突出、针对性强，内容完整详实，表述清晰，与本项目实际需求有很高适用度，利于项目实施的得5分； </w:t>
            </w:r>
          </w:p>
          <w:p w14:paraId="19CFA7F6">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②有一定针对性，内容完整详实，表述清晰，与本项目实际要求有适应度，符合项目实施要求的得4分； </w:t>
            </w:r>
          </w:p>
          <w:p w14:paraId="14E3A952">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③要点突出不够明显，针对具体细节有待完善的得3分； </w:t>
            </w:r>
          </w:p>
          <w:p w14:paraId="013D59B2">
            <w:pPr>
              <w:keepNext w:val="0"/>
              <w:keepLines w:val="0"/>
              <w:widowControl/>
              <w:suppressLineNumbers w:val="0"/>
              <w:spacing w:before="0" w:beforeAutospacing="0" w:after="0" w:afterAutospacing="0"/>
              <w:ind w:left="0" w:right="0"/>
              <w:jc w:val="left"/>
              <w:rPr>
                <w:rFonts w:hint="eastAsia" w:ascii="宋体" w:hAnsi="宋体" w:eastAsia="宋体" w:cs="宋体"/>
                <w:color w:val="auto"/>
                <w:spacing w:val="1"/>
                <w:kern w:val="0"/>
                <w:sz w:val="24"/>
                <w:szCs w:val="24"/>
                <w:highlight w:val="none"/>
                <w:lang w:val="zh-CN" w:eastAsia="zh-CN"/>
              </w:rPr>
            </w:pPr>
            <w:r>
              <w:rPr>
                <w:rFonts w:hint="eastAsia" w:ascii="宋体" w:hAnsi="宋体" w:eastAsia="宋体" w:cs="宋体"/>
                <w:color w:val="auto"/>
                <w:kern w:val="0"/>
                <w:sz w:val="21"/>
                <w:szCs w:val="21"/>
                <w:highlight w:val="none"/>
                <w:lang w:val="en-US" w:eastAsia="zh-CN" w:bidi="ar"/>
              </w:rPr>
              <w:t xml:space="preserve">④未提供的不得分。 </w:t>
            </w:r>
          </w:p>
        </w:tc>
        <w:tc>
          <w:tcPr>
            <w:tcW w:w="823" w:type="pct"/>
            <w:tcBorders>
              <w:top w:val="single" w:color="auto" w:sz="4" w:space="0"/>
              <w:left w:val="single" w:color="auto" w:sz="4" w:space="0"/>
              <w:bottom w:val="single" w:color="auto" w:sz="4" w:space="0"/>
              <w:right w:val="single" w:color="auto" w:sz="4" w:space="0"/>
            </w:tcBorders>
            <w:shd w:val="clear" w:color="auto" w:fill="auto"/>
            <w:vAlign w:val="center"/>
          </w:tcPr>
          <w:p w14:paraId="3073F92B">
            <w:pPr>
              <w:keepNext w:val="0"/>
              <w:keepLines w:val="0"/>
              <w:suppressLineNumbers w:val="0"/>
              <w:spacing w:before="0" w:beforeAutospacing="0" w:after="0" w:afterAutospacing="0" w:line="440" w:lineRule="exact"/>
              <w:ind w:left="0" w:right="0"/>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1"/>
                <w:szCs w:val="21"/>
                <w:highlight w:val="none"/>
                <w:lang w:val="en-US" w:eastAsia="zh-CN"/>
              </w:rPr>
              <w:t>5分</w:t>
            </w:r>
          </w:p>
        </w:tc>
      </w:tr>
      <w:tr w14:paraId="6978E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pct"/>
            <w:vMerge w:val="continue"/>
            <w:tcBorders>
              <w:left w:val="single" w:color="auto" w:sz="4" w:space="0"/>
              <w:right w:val="single" w:color="auto" w:sz="4" w:space="0"/>
            </w:tcBorders>
            <w:vAlign w:val="center"/>
          </w:tcPr>
          <w:p w14:paraId="06D88025">
            <w:pPr>
              <w:keepNext w:val="0"/>
              <w:keepLines w:val="0"/>
              <w:suppressLineNumbers w:val="0"/>
              <w:spacing w:before="0" w:beforeAutospacing="0" w:after="0" w:afterAutospacing="0" w:line="360" w:lineRule="auto"/>
              <w:ind w:left="0" w:right="0" w:firstLine="435"/>
              <w:jc w:val="center"/>
              <w:rPr>
                <w:rFonts w:hint="default" w:asciiTheme="minorEastAsia" w:hAnsiTheme="minorEastAsia" w:eastAsiaTheme="minorEastAsia"/>
                <w:b/>
                <w:bCs/>
                <w:color w:val="auto"/>
                <w:sz w:val="24"/>
                <w:szCs w:val="20"/>
                <w:highlight w:val="none"/>
              </w:rPr>
            </w:pPr>
          </w:p>
        </w:tc>
        <w:tc>
          <w:tcPr>
            <w:tcW w:w="769" w:type="pct"/>
            <w:tcBorders>
              <w:top w:val="single" w:color="auto" w:sz="4" w:space="0"/>
              <w:left w:val="single" w:color="auto" w:sz="4" w:space="0"/>
              <w:bottom w:val="single" w:color="auto" w:sz="4" w:space="0"/>
              <w:right w:val="single" w:color="auto" w:sz="4" w:space="0"/>
            </w:tcBorders>
            <w:shd w:val="clear" w:color="auto" w:fill="auto"/>
            <w:vAlign w:val="center"/>
          </w:tcPr>
          <w:p w14:paraId="2256549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50" w:lineRule="exact"/>
              <w:ind w:left="0" w:right="0"/>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auto"/>
                <w:sz w:val="21"/>
                <w:szCs w:val="21"/>
                <w:highlight w:val="none"/>
                <w:lang w:val="en-US" w:eastAsia="zh-CN"/>
              </w:rPr>
              <w:t>风险及防范措施</w:t>
            </w:r>
          </w:p>
        </w:tc>
        <w:tc>
          <w:tcPr>
            <w:tcW w:w="2594" w:type="pct"/>
            <w:tcBorders>
              <w:top w:val="single" w:color="auto" w:sz="4" w:space="0"/>
              <w:left w:val="single" w:color="auto" w:sz="4" w:space="0"/>
              <w:bottom w:val="single" w:color="auto" w:sz="4" w:space="0"/>
              <w:right w:val="single" w:color="auto" w:sz="4" w:space="0"/>
            </w:tcBorders>
            <w:shd w:val="clear" w:color="auto" w:fill="auto"/>
            <w:vAlign w:val="center"/>
          </w:tcPr>
          <w:p w14:paraId="24652785">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根据供应商提供的</w:t>
            </w:r>
            <w:r>
              <w:rPr>
                <w:rFonts w:hint="eastAsia" w:ascii="宋体" w:hAnsi="宋体" w:eastAsia="宋体" w:cs="宋体"/>
                <w:color w:val="auto"/>
                <w:sz w:val="21"/>
                <w:szCs w:val="21"/>
                <w:highlight w:val="none"/>
                <w:lang w:val="en-US" w:eastAsia="zh-CN"/>
              </w:rPr>
              <w:t>风险及防范措施</w:t>
            </w:r>
            <w:r>
              <w:rPr>
                <w:rFonts w:hint="eastAsia" w:ascii="宋体" w:hAnsi="宋体" w:eastAsia="宋体" w:cs="宋体"/>
                <w:color w:val="auto"/>
                <w:kern w:val="0"/>
                <w:sz w:val="21"/>
                <w:szCs w:val="21"/>
                <w:highlight w:val="none"/>
                <w:lang w:val="en-US" w:eastAsia="zh-CN" w:bidi="ar"/>
              </w:rPr>
              <w:t xml:space="preserve">等方面进行评审： </w:t>
            </w:r>
          </w:p>
          <w:p w14:paraId="29D0AAFF">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①针对本项目列出详细的风险内容并提供防范措施，内容要点突出、针对性强，内容完整详实，表述清晰，与本项目实际需求有很高适用度，利于项目实施的得5分； </w:t>
            </w:r>
          </w:p>
          <w:p w14:paraId="1206431B">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②</w:t>
            </w:r>
            <w:r>
              <w:rPr>
                <w:rFonts w:hint="eastAsia" w:ascii="宋体" w:hAnsi="宋体" w:eastAsia="宋体" w:cs="宋体"/>
                <w:color w:val="auto"/>
                <w:sz w:val="21"/>
                <w:szCs w:val="21"/>
                <w:highlight w:val="none"/>
                <w:lang w:val="en-US" w:eastAsia="zh-CN"/>
              </w:rPr>
              <w:t>风险及防范措施</w:t>
            </w:r>
            <w:r>
              <w:rPr>
                <w:rFonts w:hint="eastAsia" w:ascii="宋体" w:hAnsi="宋体" w:eastAsia="宋体" w:cs="宋体"/>
                <w:color w:val="auto"/>
                <w:kern w:val="0"/>
                <w:sz w:val="21"/>
                <w:szCs w:val="21"/>
                <w:highlight w:val="none"/>
                <w:lang w:val="en-US" w:eastAsia="zh-CN" w:bidi="ar"/>
              </w:rPr>
              <w:t xml:space="preserve">有一定针对性，内容完整详实，表述清晰，与本项目实际要求有适应度，符合项目实施要求的得4分； </w:t>
            </w:r>
          </w:p>
          <w:p w14:paraId="3F130DCF">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③风险及防范措施要点突出不够明显，针对具体细节有待完善、内容缺失的得3分； </w:t>
            </w:r>
          </w:p>
          <w:p w14:paraId="36F74B8A">
            <w:pPr>
              <w:keepNext w:val="0"/>
              <w:keepLines w:val="0"/>
              <w:widowControl/>
              <w:suppressLineNumbers w:val="0"/>
              <w:spacing w:before="0" w:beforeAutospacing="0" w:after="0" w:afterAutospacing="0"/>
              <w:ind w:left="0" w:right="0"/>
              <w:jc w:val="left"/>
              <w:rPr>
                <w:rFonts w:hint="eastAsia" w:ascii="宋体" w:hAnsi="宋体" w:eastAsia="宋体" w:cs="宋体"/>
                <w:color w:val="auto"/>
                <w:spacing w:val="4"/>
                <w:kern w:val="2"/>
                <w:sz w:val="21"/>
                <w:szCs w:val="20"/>
                <w:highlight w:val="none"/>
                <w:lang w:val="zh-CN" w:eastAsia="zh-CN" w:bidi="ar-SA"/>
              </w:rPr>
            </w:pPr>
            <w:r>
              <w:rPr>
                <w:rFonts w:hint="eastAsia" w:ascii="宋体" w:hAnsi="宋体" w:eastAsia="宋体" w:cs="宋体"/>
                <w:color w:val="auto"/>
                <w:kern w:val="0"/>
                <w:sz w:val="21"/>
                <w:szCs w:val="21"/>
                <w:highlight w:val="none"/>
                <w:lang w:val="en-US" w:eastAsia="zh-CN" w:bidi="ar"/>
              </w:rPr>
              <w:t xml:space="preserve">④未提供的不得分。 </w:t>
            </w:r>
          </w:p>
        </w:tc>
        <w:tc>
          <w:tcPr>
            <w:tcW w:w="823" w:type="pct"/>
            <w:tcBorders>
              <w:top w:val="single" w:color="auto" w:sz="4" w:space="0"/>
              <w:left w:val="single" w:color="auto" w:sz="4" w:space="0"/>
              <w:bottom w:val="single" w:color="auto" w:sz="4" w:space="0"/>
              <w:right w:val="single" w:color="auto" w:sz="4" w:space="0"/>
            </w:tcBorders>
            <w:shd w:val="clear" w:color="auto" w:fill="auto"/>
            <w:vAlign w:val="center"/>
          </w:tcPr>
          <w:p w14:paraId="5F8701B8">
            <w:pPr>
              <w:keepNext w:val="0"/>
              <w:keepLines w:val="0"/>
              <w:suppressLineNumbers w:val="0"/>
              <w:spacing w:before="0" w:beforeAutospacing="0" w:after="0" w:afterAutospacing="0" w:line="440" w:lineRule="exact"/>
              <w:ind w:left="0" w:right="0"/>
              <w:jc w:val="center"/>
              <w:rPr>
                <w:rFonts w:hint="eastAsia" w:cs="@仿宋_GB2312" w:asciiTheme="minorEastAsia" w:hAnsiTheme="minorEastAsia" w:eastAsiaTheme="minorEastAsia"/>
                <w:b/>
                <w:bCs/>
                <w:color w:val="auto"/>
                <w:kern w:val="2"/>
                <w:sz w:val="24"/>
                <w:szCs w:val="20"/>
                <w:highlight w:val="none"/>
                <w:lang w:val="en-US" w:eastAsia="zh-CN" w:bidi="ar-SA"/>
              </w:rPr>
            </w:pPr>
            <w:r>
              <w:rPr>
                <w:rFonts w:hint="eastAsia" w:ascii="宋体" w:hAnsi="宋体" w:eastAsia="宋体" w:cs="宋体"/>
                <w:b w:val="0"/>
                <w:bCs w:val="0"/>
                <w:color w:val="auto"/>
                <w:sz w:val="21"/>
                <w:szCs w:val="21"/>
                <w:highlight w:val="none"/>
                <w:lang w:val="en-US" w:eastAsia="zh-CN"/>
              </w:rPr>
              <w:t>5分</w:t>
            </w:r>
          </w:p>
        </w:tc>
      </w:tr>
      <w:tr w14:paraId="667E6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pct"/>
            <w:vMerge w:val="continue"/>
            <w:tcBorders>
              <w:left w:val="single" w:color="auto" w:sz="4" w:space="0"/>
              <w:right w:val="single" w:color="auto" w:sz="4" w:space="0"/>
            </w:tcBorders>
            <w:vAlign w:val="center"/>
          </w:tcPr>
          <w:p w14:paraId="333790A1">
            <w:pPr>
              <w:keepNext w:val="0"/>
              <w:keepLines w:val="0"/>
              <w:suppressLineNumbers w:val="0"/>
              <w:spacing w:before="0" w:beforeAutospacing="0" w:after="0" w:afterAutospacing="0" w:line="360" w:lineRule="auto"/>
              <w:ind w:left="0" w:right="0" w:firstLine="435"/>
              <w:jc w:val="center"/>
              <w:rPr>
                <w:rFonts w:hint="default" w:asciiTheme="minorEastAsia" w:hAnsiTheme="minorEastAsia" w:eastAsiaTheme="minorEastAsia"/>
                <w:b/>
                <w:bCs/>
                <w:color w:val="auto"/>
                <w:sz w:val="24"/>
                <w:szCs w:val="20"/>
                <w:highlight w:val="none"/>
              </w:rPr>
            </w:pPr>
          </w:p>
        </w:tc>
        <w:tc>
          <w:tcPr>
            <w:tcW w:w="769" w:type="pct"/>
            <w:tcBorders>
              <w:top w:val="single" w:color="auto" w:sz="4" w:space="0"/>
              <w:left w:val="single" w:color="auto" w:sz="4" w:space="0"/>
              <w:bottom w:val="single" w:color="auto" w:sz="4" w:space="0"/>
              <w:right w:val="single" w:color="auto" w:sz="4" w:space="0"/>
            </w:tcBorders>
            <w:shd w:val="clear" w:color="auto" w:fill="auto"/>
            <w:vAlign w:val="center"/>
          </w:tcPr>
          <w:p w14:paraId="13DBBB4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50" w:lineRule="exact"/>
              <w:ind w:left="0" w:right="0"/>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color w:val="auto"/>
                <w:sz w:val="21"/>
                <w:szCs w:val="21"/>
                <w:highlight w:val="none"/>
                <w:lang w:val="en-US" w:eastAsia="zh-CN"/>
              </w:rPr>
              <w:t>合同管理</w:t>
            </w:r>
          </w:p>
        </w:tc>
        <w:tc>
          <w:tcPr>
            <w:tcW w:w="2594" w:type="pct"/>
            <w:tcBorders>
              <w:top w:val="single" w:color="auto" w:sz="4" w:space="0"/>
              <w:left w:val="single" w:color="auto" w:sz="4" w:space="0"/>
              <w:bottom w:val="single" w:color="auto" w:sz="4" w:space="0"/>
              <w:right w:val="single" w:color="auto" w:sz="4" w:space="0"/>
            </w:tcBorders>
            <w:shd w:val="clear" w:color="auto" w:fill="auto"/>
            <w:vAlign w:val="center"/>
          </w:tcPr>
          <w:p w14:paraId="5E99965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①有详细的合同管理方案或措施，合同管理方案或措施和项目实际需要适应度高，</w:t>
            </w:r>
            <w:r>
              <w:rPr>
                <w:rFonts w:hint="eastAsia" w:ascii="宋体" w:hAnsi="宋体" w:eastAsia="宋体" w:cs="宋体"/>
                <w:color w:val="auto"/>
                <w:sz w:val="21"/>
                <w:szCs w:val="21"/>
                <w:highlight w:val="none"/>
              </w:rPr>
              <w:t>周全、具体、有效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有针对性的得5分；</w:t>
            </w:r>
          </w:p>
          <w:p w14:paraId="0E863F9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②合同管理方案或措施</w:t>
            </w:r>
            <w:r>
              <w:rPr>
                <w:rFonts w:hint="eastAsia" w:ascii="宋体" w:hAnsi="宋体" w:eastAsia="宋体" w:cs="宋体"/>
                <w:color w:val="auto"/>
                <w:sz w:val="21"/>
                <w:szCs w:val="21"/>
                <w:highlight w:val="none"/>
              </w:rPr>
              <w:t>内容</w:t>
            </w:r>
            <w:r>
              <w:rPr>
                <w:rFonts w:hint="eastAsia" w:ascii="宋体" w:hAnsi="宋体" w:eastAsia="宋体" w:cs="宋体"/>
                <w:color w:val="auto"/>
                <w:sz w:val="21"/>
                <w:szCs w:val="21"/>
                <w:highlight w:val="none"/>
                <w:lang w:val="en-US" w:eastAsia="zh-CN"/>
              </w:rPr>
              <w:t>清晰、完善的得4分；</w:t>
            </w:r>
          </w:p>
          <w:p w14:paraId="33BFB22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③有合同管理方案或措施，但缺项或关键点缺失或出现非专门针对本项目特性内容的得3分；</w:t>
            </w:r>
          </w:p>
          <w:p w14:paraId="526F500C">
            <w:pPr>
              <w:keepNext w:val="0"/>
              <w:keepLines w:val="0"/>
              <w:widowControl/>
              <w:suppressLineNumbers w:val="0"/>
              <w:spacing w:before="0" w:beforeAutospacing="0" w:after="0" w:afterAutospacing="0"/>
              <w:ind w:left="0" w:right="0"/>
              <w:jc w:val="left"/>
              <w:rPr>
                <w:rFonts w:hint="eastAsia" w:ascii="宋体" w:hAnsi="宋体" w:eastAsia="宋体" w:cs="宋体"/>
                <w:color w:val="auto"/>
                <w:spacing w:val="1"/>
                <w:kern w:val="0"/>
                <w:sz w:val="24"/>
                <w:szCs w:val="24"/>
                <w:highlight w:val="none"/>
                <w:lang w:val="zh-CN" w:eastAsia="zh-CN" w:bidi="ar-SA"/>
              </w:rPr>
            </w:pPr>
            <w:r>
              <w:rPr>
                <w:rFonts w:hint="eastAsia" w:ascii="宋体" w:hAnsi="宋体" w:eastAsia="宋体" w:cs="宋体"/>
                <w:color w:val="auto"/>
                <w:sz w:val="21"/>
                <w:szCs w:val="21"/>
                <w:highlight w:val="none"/>
                <w:lang w:val="en-US" w:eastAsia="zh-CN"/>
              </w:rPr>
              <w:t>④不能满足项目实施要求或未提供的不得分。</w:t>
            </w:r>
          </w:p>
        </w:tc>
        <w:tc>
          <w:tcPr>
            <w:tcW w:w="823" w:type="pct"/>
            <w:tcBorders>
              <w:top w:val="single" w:color="auto" w:sz="4" w:space="0"/>
              <w:left w:val="single" w:color="auto" w:sz="4" w:space="0"/>
              <w:bottom w:val="single" w:color="auto" w:sz="4" w:space="0"/>
              <w:right w:val="single" w:color="auto" w:sz="4" w:space="0"/>
            </w:tcBorders>
            <w:shd w:val="clear" w:color="auto" w:fill="auto"/>
            <w:vAlign w:val="center"/>
          </w:tcPr>
          <w:p w14:paraId="46B33289">
            <w:pPr>
              <w:keepNext w:val="0"/>
              <w:keepLines w:val="0"/>
              <w:suppressLineNumbers w:val="0"/>
              <w:spacing w:before="0" w:beforeAutospacing="0" w:after="0" w:afterAutospacing="0" w:line="440" w:lineRule="exact"/>
              <w:ind w:left="0" w:right="0"/>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1"/>
                <w:szCs w:val="21"/>
                <w:highlight w:val="none"/>
                <w:lang w:val="en-US" w:eastAsia="zh-CN"/>
              </w:rPr>
              <w:t>5分</w:t>
            </w:r>
          </w:p>
        </w:tc>
      </w:tr>
      <w:tr w14:paraId="3F6E0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pct"/>
            <w:vMerge w:val="continue"/>
            <w:tcBorders>
              <w:left w:val="single" w:color="auto" w:sz="4" w:space="0"/>
              <w:right w:val="single" w:color="auto" w:sz="4" w:space="0"/>
            </w:tcBorders>
            <w:vAlign w:val="center"/>
          </w:tcPr>
          <w:p w14:paraId="190D5AAA">
            <w:pPr>
              <w:keepNext w:val="0"/>
              <w:keepLines w:val="0"/>
              <w:suppressLineNumbers w:val="0"/>
              <w:spacing w:before="0" w:beforeAutospacing="0" w:after="0" w:afterAutospacing="0" w:line="360" w:lineRule="auto"/>
              <w:ind w:left="0" w:right="0" w:firstLine="435"/>
              <w:jc w:val="center"/>
              <w:rPr>
                <w:rFonts w:hint="default" w:asciiTheme="minorEastAsia" w:hAnsiTheme="minorEastAsia" w:eastAsiaTheme="minorEastAsia"/>
                <w:b/>
                <w:bCs/>
                <w:color w:val="auto"/>
                <w:sz w:val="24"/>
                <w:szCs w:val="20"/>
                <w:highlight w:val="none"/>
              </w:rPr>
            </w:pPr>
          </w:p>
        </w:tc>
        <w:tc>
          <w:tcPr>
            <w:tcW w:w="769" w:type="pct"/>
            <w:tcBorders>
              <w:top w:val="single" w:color="auto" w:sz="4" w:space="0"/>
              <w:left w:val="single" w:color="auto" w:sz="4" w:space="0"/>
              <w:bottom w:val="single" w:color="auto" w:sz="4" w:space="0"/>
              <w:right w:val="single" w:color="auto" w:sz="4" w:space="0"/>
            </w:tcBorders>
            <w:shd w:val="clear" w:color="auto" w:fill="auto"/>
            <w:vAlign w:val="center"/>
          </w:tcPr>
          <w:p w14:paraId="3763ECB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50" w:lineRule="exact"/>
              <w:ind w:left="0" w:right="0"/>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color w:val="auto"/>
                <w:sz w:val="21"/>
                <w:szCs w:val="21"/>
                <w:highlight w:val="none"/>
                <w:lang w:val="en-US" w:eastAsia="zh-CN"/>
              </w:rPr>
              <w:t>造价控制管理</w:t>
            </w:r>
          </w:p>
        </w:tc>
        <w:tc>
          <w:tcPr>
            <w:tcW w:w="2594" w:type="pct"/>
            <w:tcBorders>
              <w:top w:val="single" w:color="auto" w:sz="4" w:space="0"/>
              <w:left w:val="single" w:color="auto" w:sz="4" w:space="0"/>
              <w:bottom w:val="single" w:color="auto" w:sz="4" w:space="0"/>
              <w:right w:val="single" w:color="auto" w:sz="4" w:space="0"/>
            </w:tcBorders>
            <w:shd w:val="clear" w:color="auto" w:fill="auto"/>
            <w:vAlign w:val="center"/>
          </w:tcPr>
          <w:p w14:paraId="2F1C7112">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根据供应商提供的造价控制管理进行评审： </w:t>
            </w:r>
          </w:p>
          <w:p w14:paraId="4189F99F">
            <w:pPr>
              <w:keepNext w:val="0"/>
              <w:keepLines w:val="0"/>
              <w:widowControl/>
              <w:suppressLineNumbers w:val="0"/>
              <w:spacing w:before="0" w:beforeAutospacing="0" w:after="0" w:afterAutospacing="0"/>
              <w:ind w:left="0" w:right="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①有详细的造价控制管理措施，造价控制管理措施有针对性合理，满足施工需要得5分；</w:t>
            </w:r>
          </w:p>
          <w:p w14:paraId="0EE8EE2E">
            <w:pPr>
              <w:keepNext w:val="0"/>
              <w:keepLines w:val="0"/>
              <w:widowControl/>
              <w:suppressLineNumbers w:val="0"/>
              <w:spacing w:before="0" w:beforeAutospacing="0" w:after="0" w:afterAutospacing="0"/>
              <w:ind w:left="0" w:right="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②有详细的造价控制管理措施，造价控制管理措施合理，能满足施工需要得4分；</w:t>
            </w:r>
          </w:p>
          <w:p w14:paraId="57D1B9C1">
            <w:pPr>
              <w:keepNext w:val="0"/>
              <w:keepLines w:val="0"/>
              <w:widowControl/>
              <w:suppressLineNumbers w:val="0"/>
              <w:spacing w:before="0" w:beforeAutospacing="0" w:after="0" w:afterAutospacing="0"/>
              <w:ind w:left="0" w:right="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③有详细的造价控制管理措施，但缺项或关键点缺失或出现非专门针对本项目特性内容的得3分。</w:t>
            </w:r>
          </w:p>
          <w:p w14:paraId="1691293F">
            <w:pPr>
              <w:keepNext w:val="0"/>
              <w:keepLines w:val="0"/>
              <w:widowControl/>
              <w:suppressLineNumbers w:val="0"/>
              <w:spacing w:before="0" w:beforeAutospacing="0" w:after="0" w:afterAutospacing="0"/>
              <w:ind w:left="0" w:right="0"/>
              <w:jc w:val="left"/>
              <w:rPr>
                <w:rFonts w:hint="eastAsia" w:ascii="宋体" w:hAnsi="宋体" w:eastAsia="宋体" w:cs="宋体"/>
                <w:color w:val="auto"/>
                <w:spacing w:val="1"/>
                <w:kern w:val="0"/>
                <w:sz w:val="24"/>
                <w:szCs w:val="24"/>
                <w:highlight w:val="none"/>
                <w:lang w:val="zh-CN" w:eastAsia="zh-CN"/>
              </w:rPr>
            </w:pPr>
            <w:r>
              <w:rPr>
                <w:rFonts w:hint="eastAsia" w:ascii="宋体" w:hAnsi="宋体" w:eastAsia="宋体" w:cs="宋体"/>
                <w:color w:val="auto"/>
                <w:sz w:val="21"/>
                <w:szCs w:val="21"/>
                <w:highlight w:val="none"/>
                <w:lang w:val="en-US" w:eastAsia="zh-CN"/>
              </w:rPr>
              <w:t>④工作内容偏离项目需求、偏离客观现实或未提供的不得分。</w:t>
            </w:r>
          </w:p>
        </w:tc>
        <w:tc>
          <w:tcPr>
            <w:tcW w:w="823" w:type="pct"/>
            <w:tcBorders>
              <w:top w:val="single" w:color="auto" w:sz="4" w:space="0"/>
              <w:left w:val="single" w:color="auto" w:sz="4" w:space="0"/>
              <w:bottom w:val="single" w:color="auto" w:sz="4" w:space="0"/>
              <w:right w:val="single" w:color="auto" w:sz="4" w:space="0"/>
            </w:tcBorders>
            <w:shd w:val="clear" w:color="auto" w:fill="auto"/>
            <w:vAlign w:val="center"/>
          </w:tcPr>
          <w:p w14:paraId="6B7B369D">
            <w:pPr>
              <w:keepNext w:val="0"/>
              <w:keepLines w:val="0"/>
              <w:suppressLineNumbers w:val="0"/>
              <w:spacing w:before="0" w:beforeAutospacing="0" w:after="0" w:afterAutospacing="0" w:line="440" w:lineRule="exact"/>
              <w:ind w:left="0" w:right="0"/>
              <w:jc w:val="center"/>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1"/>
                <w:szCs w:val="21"/>
                <w:highlight w:val="none"/>
                <w:lang w:val="en-US" w:eastAsia="zh-CN"/>
              </w:rPr>
              <w:t>5分</w:t>
            </w:r>
          </w:p>
        </w:tc>
      </w:tr>
      <w:tr w14:paraId="1D437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pct"/>
            <w:vMerge w:val="continue"/>
            <w:tcBorders>
              <w:left w:val="single" w:color="auto" w:sz="4" w:space="0"/>
              <w:right w:val="single" w:color="auto" w:sz="4" w:space="0"/>
            </w:tcBorders>
            <w:vAlign w:val="center"/>
          </w:tcPr>
          <w:p w14:paraId="2428BAAB">
            <w:pPr>
              <w:keepNext w:val="0"/>
              <w:keepLines w:val="0"/>
              <w:suppressLineNumbers w:val="0"/>
              <w:spacing w:before="0" w:beforeAutospacing="0" w:after="0" w:afterAutospacing="0" w:line="360" w:lineRule="auto"/>
              <w:ind w:left="0" w:right="0" w:firstLine="435"/>
              <w:jc w:val="center"/>
              <w:rPr>
                <w:rFonts w:hint="default" w:asciiTheme="minorEastAsia" w:hAnsiTheme="minorEastAsia" w:eastAsiaTheme="minorEastAsia"/>
                <w:b/>
                <w:bCs/>
                <w:color w:val="auto"/>
                <w:sz w:val="24"/>
                <w:szCs w:val="20"/>
                <w:highlight w:val="none"/>
              </w:rPr>
            </w:pPr>
          </w:p>
        </w:tc>
        <w:tc>
          <w:tcPr>
            <w:tcW w:w="769" w:type="pct"/>
            <w:tcBorders>
              <w:top w:val="single" w:color="auto" w:sz="4" w:space="0"/>
              <w:left w:val="single" w:color="auto" w:sz="4" w:space="0"/>
              <w:bottom w:val="single" w:color="auto" w:sz="4" w:space="0"/>
              <w:right w:val="single" w:color="auto" w:sz="4" w:space="0"/>
            </w:tcBorders>
            <w:shd w:val="clear" w:color="auto" w:fill="auto"/>
            <w:vAlign w:val="center"/>
          </w:tcPr>
          <w:p w14:paraId="2208B8F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50" w:lineRule="exact"/>
              <w:ind w:left="0" w:right="0"/>
              <w:jc w:val="center"/>
              <w:textAlignment w:val="auto"/>
              <w:rPr>
                <w:rFonts w:hint="default" w:asciiTheme="minorEastAsia" w:hAnsiTheme="minorEastAsia" w:eastAsiaTheme="minorEastAsia"/>
                <w:color w:val="auto"/>
                <w:sz w:val="24"/>
                <w:szCs w:val="20"/>
                <w:highlight w:val="none"/>
                <w:lang w:eastAsia="zh-CN"/>
              </w:rPr>
            </w:pPr>
            <w:r>
              <w:rPr>
                <w:rFonts w:hint="eastAsia" w:ascii="宋体" w:hAnsi="宋体" w:eastAsia="宋体" w:cs="宋体"/>
                <w:color w:val="auto"/>
                <w:sz w:val="21"/>
                <w:szCs w:val="21"/>
                <w:highlight w:val="none"/>
                <w:lang w:val="en-US" w:eastAsia="zh-CN"/>
              </w:rPr>
              <w:t>廉政保证措施</w:t>
            </w:r>
          </w:p>
        </w:tc>
        <w:tc>
          <w:tcPr>
            <w:tcW w:w="2594" w:type="pct"/>
            <w:tcBorders>
              <w:top w:val="single" w:color="auto" w:sz="4" w:space="0"/>
              <w:left w:val="single" w:color="auto" w:sz="4" w:space="0"/>
              <w:bottom w:val="single" w:color="auto" w:sz="4" w:space="0"/>
              <w:right w:val="single" w:color="auto" w:sz="4" w:space="0"/>
            </w:tcBorders>
            <w:shd w:val="clear" w:color="auto" w:fill="auto"/>
            <w:vAlign w:val="center"/>
          </w:tcPr>
          <w:p w14:paraId="2CEA6263">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根据供应商提供的廉政保证措施进行评审： </w:t>
            </w:r>
          </w:p>
          <w:p w14:paraId="2FDF22AB">
            <w:pPr>
              <w:keepNext w:val="0"/>
              <w:keepLines w:val="0"/>
              <w:widowControl/>
              <w:suppressLineNumbers w:val="0"/>
              <w:spacing w:before="0" w:beforeAutospacing="0" w:after="0" w:afterAutospacing="0"/>
              <w:ind w:left="0" w:right="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①廉政保证措施要点突出、针对性强，内容完整详实，表述清晰，利于项目实施的得5分； </w:t>
            </w:r>
          </w:p>
          <w:p w14:paraId="76D494FF">
            <w:pPr>
              <w:keepNext w:val="0"/>
              <w:keepLines w:val="0"/>
              <w:widowControl/>
              <w:suppressLineNumbers w:val="0"/>
              <w:spacing w:before="0" w:beforeAutospacing="0" w:after="0" w:afterAutospacing="0"/>
              <w:ind w:left="0" w:right="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②有一定针对性，内容完整详实，表述清晰，符合项目实施要求的得4分； </w:t>
            </w:r>
          </w:p>
          <w:p w14:paraId="54BF1D40">
            <w:pPr>
              <w:keepNext w:val="0"/>
              <w:keepLines w:val="0"/>
              <w:widowControl/>
              <w:suppressLineNumbers w:val="0"/>
              <w:spacing w:before="0" w:beforeAutospacing="0" w:after="0" w:afterAutospacing="0"/>
              <w:ind w:left="0" w:right="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③要点突出不够明显，针对具体细节有待完善的得3分； </w:t>
            </w:r>
          </w:p>
          <w:p w14:paraId="1F336ADD">
            <w:pPr>
              <w:keepNext w:val="0"/>
              <w:keepLines w:val="0"/>
              <w:widowControl/>
              <w:suppressLineNumbers w:val="0"/>
              <w:spacing w:before="0" w:beforeAutospacing="0" w:after="0" w:afterAutospacing="0"/>
              <w:ind w:left="0" w:right="0"/>
              <w:jc w:val="left"/>
              <w:rPr>
                <w:rFonts w:hint="default" w:ascii="宋体" w:hAnsi="宋体" w:eastAsia="宋体" w:cs="宋体"/>
                <w:color w:val="auto"/>
                <w:spacing w:val="1"/>
                <w:kern w:val="0"/>
                <w:sz w:val="24"/>
                <w:szCs w:val="24"/>
                <w:highlight w:val="none"/>
                <w:lang w:val="en-US" w:eastAsia="zh-CN" w:bidi="ar-SA"/>
              </w:rPr>
            </w:pPr>
            <w:r>
              <w:rPr>
                <w:rFonts w:hint="eastAsia" w:ascii="宋体" w:hAnsi="宋体" w:eastAsia="宋体" w:cs="宋体"/>
                <w:color w:val="auto"/>
                <w:sz w:val="21"/>
                <w:szCs w:val="21"/>
                <w:highlight w:val="none"/>
                <w:lang w:val="en-US" w:eastAsia="zh-CN"/>
              </w:rPr>
              <w:t xml:space="preserve">④工作内容偏离项目需求、偏离客观现实或未提供的不得分。 </w:t>
            </w:r>
          </w:p>
        </w:tc>
        <w:tc>
          <w:tcPr>
            <w:tcW w:w="823" w:type="pct"/>
            <w:tcBorders>
              <w:top w:val="single" w:color="auto" w:sz="4" w:space="0"/>
              <w:left w:val="single" w:color="auto" w:sz="4" w:space="0"/>
              <w:bottom w:val="single" w:color="auto" w:sz="4" w:space="0"/>
              <w:right w:val="single" w:color="auto" w:sz="4" w:space="0"/>
            </w:tcBorders>
            <w:shd w:val="clear" w:color="auto" w:fill="auto"/>
            <w:vAlign w:val="center"/>
          </w:tcPr>
          <w:p w14:paraId="3B90AA1B">
            <w:pPr>
              <w:keepNext w:val="0"/>
              <w:keepLines w:val="0"/>
              <w:suppressLineNumbers w:val="0"/>
              <w:spacing w:before="0" w:beforeAutospacing="0" w:after="0" w:afterAutospacing="0" w:line="440" w:lineRule="exact"/>
              <w:ind w:left="0" w:right="0"/>
              <w:jc w:val="center"/>
              <w:rPr>
                <w:rFonts w:hint="default"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1"/>
                <w:szCs w:val="21"/>
                <w:highlight w:val="none"/>
                <w:lang w:val="en-US" w:eastAsia="zh-CN"/>
              </w:rPr>
              <w:t>5分</w:t>
            </w:r>
          </w:p>
        </w:tc>
      </w:tr>
      <w:tr w14:paraId="4D23A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pct"/>
            <w:vMerge w:val="restart"/>
            <w:tcBorders>
              <w:left w:val="single" w:color="auto" w:sz="4" w:space="0"/>
              <w:right w:val="single" w:color="auto" w:sz="4" w:space="0"/>
            </w:tcBorders>
            <w:vAlign w:val="center"/>
          </w:tcPr>
          <w:p w14:paraId="606D1414">
            <w:pPr>
              <w:keepNext w:val="0"/>
              <w:keepLines w:val="0"/>
              <w:suppressLineNumbers w:val="0"/>
              <w:spacing w:before="0" w:beforeAutospacing="0" w:after="0" w:afterAutospacing="0" w:line="360" w:lineRule="auto"/>
              <w:ind w:left="0" w:right="0" w:firstLine="435"/>
              <w:jc w:val="center"/>
              <w:rPr>
                <w:rFonts w:hint="default" w:asciiTheme="minorEastAsia" w:hAnsiTheme="minorEastAsia" w:eastAsiaTheme="minorEastAsia"/>
                <w:b/>
                <w:bCs/>
                <w:color w:val="auto"/>
                <w:sz w:val="24"/>
                <w:szCs w:val="20"/>
                <w:highlight w:val="none"/>
              </w:rPr>
            </w:pPr>
          </w:p>
        </w:tc>
        <w:tc>
          <w:tcPr>
            <w:tcW w:w="769" w:type="pct"/>
            <w:tcBorders>
              <w:top w:val="single" w:color="auto" w:sz="4" w:space="0"/>
              <w:left w:val="single" w:color="auto" w:sz="4" w:space="0"/>
              <w:bottom w:val="single" w:color="auto" w:sz="4" w:space="0"/>
              <w:right w:val="single" w:color="auto" w:sz="4" w:space="0"/>
            </w:tcBorders>
            <w:shd w:val="clear" w:color="auto" w:fill="auto"/>
            <w:vAlign w:val="center"/>
          </w:tcPr>
          <w:p w14:paraId="22BF73E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50" w:lineRule="exact"/>
              <w:ind w:left="0" w:right="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设计重点及保证措施</w:t>
            </w:r>
          </w:p>
        </w:tc>
        <w:tc>
          <w:tcPr>
            <w:tcW w:w="2594" w:type="pct"/>
            <w:tcBorders>
              <w:top w:val="single" w:color="auto" w:sz="4" w:space="0"/>
              <w:left w:val="single" w:color="auto" w:sz="4" w:space="0"/>
              <w:bottom w:val="single" w:color="auto" w:sz="4" w:space="0"/>
              <w:right w:val="single" w:color="auto" w:sz="4" w:space="0"/>
            </w:tcBorders>
            <w:shd w:val="clear" w:color="auto" w:fill="auto"/>
            <w:vAlign w:val="center"/>
          </w:tcPr>
          <w:p w14:paraId="0090E4B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根据供应商提供的服务过程中的关键内容、重点进行阐述，并提出详细的解决方案及控制措施进行评审：</w:t>
            </w:r>
          </w:p>
          <w:p w14:paraId="70218FE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①针对本项目特点，列出本项目的重点，并且有具体的保证措施。</w:t>
            </w:r>
            <w:r>
              <w:rPr>
                <w:rFonts w:hint="eastAsia" w:ascii="宋体" w:hAnsi="宋体" w:eastAsia="宋体" w:cs="宋体"/>
                <w:color w:val="auto"/>
                <w:sz w:val="21"/>
                <w:szCs w:val="21"/>
                <w:highlight w:val="none"/>
              </w:rPr>
              <w:t>各项措施周全、具体、有效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有针对性的得5分；</w:t>
            </w:r>
          </w:p>
          <w:p w14:paraId="6A870AF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②针对本项目特点，列出本项目的重点，并且有具体的保证措施。</w:t>
            </w:r>
            <w:r>
              <w:rPr>
                <w:rFonts w:hint="eastAsia" w:ascii="宋体" w:hAnsi="宋体" w:eastAsia="宋体" w:cs="宋体"/>
                <w:color w:val="auto"/>
                <w:sz w:val="21"/>
                <w:szCs w:val="21"/>
                <w:highlight w:val="none"/>
              </w:rPr>
              <w:t>各项措施内容</w:t>
            </w:r>
            <w:r>
              <w:rPr>
                <w:rFonts w:hint="eastAsia" w:ascii="宋体" w:hAnsi="宋体" w:eastAsia="宋体" w:cs="宋体"/>
                <w:color w:val="auto"/>
                <w:sz w:val="21"/>
                <w:szCs w:val="21"/>
                <w:highlight w:val="none"/>
                <w:lang w:val="en-US" w:eastAsia="zh-CN"/>
              </w:rPr>
              <w:t>清晰、完善的得4分；</w:t>
            </w:r>
          </w:p>
          <w:p w14:paraId="444327D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③针对本项目特点，列出本项目的重点，并且有具体的保证措施。但缺项或关键点缺失或出现非专门针对本项目特性内容的得3分；</w:t>
            </w:r>
          </w:p>
          <w:p w14:paraId="6DE2B71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④不能满足项目实施要求或未提供的不得分。</w:t>
            </w:r>
          </w:p>
        </w:tc>
        <w:tc>
          <w:tcPr>
            <w:tcW w:w="823" w:type="pct"/>
            <w:tcBorders>
              <w:top w:val="single" w:color="auto" w:sz="4" w:space="0"/>
              <w:left w:val="single" w:color="auto" w:sz="4" w:space="0"/>
              <w:bottom w:val="single" w:color="auto" w:sz="4" w:space="0"/>
              <w:right w:val="single" w:color="auto" w:sz="4" w:space="0"/>
            </w:tcBorders>
            <w:shd w:val="clear" w:color="auto" w:fill="auto"/>
            <w:vAlign w:val="center"/>
          </w:tcPr>
          <w:p w14:paraId="6994CA47">
            <w:pPr>
              <w:keepNext w:val="0"/>
              <w:keepLines w:val="0"/>
              <w:suppressLineNumbers w:val="0"/>
              <w:spacing w:before="0" w:beforeAutospacing="0" w:after="0" w:afterAutospacing="0" w:line="440" w:lineRule="exact"/>
              <w:ind w:left="0" w:right="0"/>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5分</w:t>
            </w:r>
          </w:p>
        </w:tc>
      </w:tr>
      <w:tr w14:paraId="1498E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pct"/>
            <w:vMerge w:val="continue"/>
            <w:tcBorders>
              <w:left w:val="single" w:color="auto" w:sz="4" w:space="0"/>
              <w:right w:val="single" w:color="auto" w:sz="4" w:space="0"/>
            </w:tcBorders>
            <w:vAlign w:val="center"/>
          </w:tcPr>
          <w:p w14:paraId="02450ED9">
            <w:pPr>
              <w:keepNext w:val="0"/>
              <w:keepLines w:val="0"/>
              <w:suppressLineNumbers w:val="0"/>
              <w:spacing w:before="0" w:beforeAutospacing="0" w:after="0" w:afterAutospacing="0" w:line="360" w:lineRule="auto"/>
              <w:ind w:left="0" w:right="0" w:firstLine="435"/>
              <w:jc w:val="center"/>
              <w:rPr>
                <w:rFonts w:hint="default" w:asciiTheme="minorEastAsia" w:hAnsiTheme="minorEastAsia" w:eastAsiaTheme="minorEastAsia"/>
                <w:b/>
                <w:bCs/>
                <w:color w:val="auto"/>
                <w:sz w:val="24"/>
                <w:szCs w:val="20"/>
                <w:highlight w:val="none"/>
              </w:rPr>
            </w:pPr>
          </w:p>
        </w:tc>
        <w:tc>
          <w:tcPr>
            <w:tcW w:w="769" w:type="pct"/>
            <w:tcBorders>
              <w:top w:val="single" w:color="auto" w:sz="4" w:space="0"/>
              <w:left w:val="single" w:color="auto" w:sz="4" w:space="0"/>
              <w:bottom w:val="single" w:color="auto" w:sz="4" w:space="0"/>
              <w:right w:val="single" w:color="auto" w:sz="4" w:space="0"/>
            </w:tcBorders>
            <w:shd w:val="clear" w:color="auto" w:fill="auto"/>
            <w:vAlign w:val="center"/>
          </w:tcPr>
          <w:p w14:paraId="3218D90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50" w:lineRule="exact"/>
              <w:ind w:left="0" w:right="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设计难点及保证措施</w:t>
            </w:r>
          </w:p>
        </w:tc>
        <w:tc>
          <w:tcPr>
            <w:tcW w:w="2594" w:type="pct"/>
            <w:tcBorders>
              <w:top w:val="single" w:color="auto" w:sz="4" w:space="0"/>
              <w:left w:val="single" w:color="auto" w:sz="4" w:space="0"/>
              <w:bottom w:val="single" w:color="auto" w:sz="4" w:space="0"/>
              <w:right w:val="single" w:color="auto" w:sz="4" w:space="0"/>
            </w:tcBorders>
            <w:shd w:val="clear" w:color="auto" w:fill="auto"/>
            <w:vAlign w:val="center"/>
          </w:tcPr>
          <w:p w14:paraId="736A1A2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根据供应商提供的服务过程中的难点进行阐述，并提出详细的解决方案及控制措施进行评审：</w:t>
            </w:r>
          </w:p>
          <w:p w14:paraId="502DD0D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①针对本项目特点，列出本项目的难点，并且有具体的保证措施。</w:t>
            </w:r>
            <w:r>
              <w:rPr>
                <w:rFonts w:hint="eastAsia" w:ascii="宋体" w:hAnsi="宋体" w:eastAsia="宋体" w:cs="宋体"/>
                <w:color w:val="auto"/>
                <w:sz w:val="21"/>
                <w:szCs w:val="21"/>
                <w:highlight w:val="none"/>
              </w:rPr>
              <w:t>各项措施周全、具体、有效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有针对性的得5分；</w:t>
            </w:r>
          </w:p>
          <w:p w14:paraId="26560A6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②针对本项目特点，列出本项目的难点，并且有具体的保证措施。</w:t>
            </w:r>
            <w:r>
              <w:rPr>
                <w:rFonts w:hint="eastAsia" w:ascii="宋体" w:hAnsi="宋体" w:eastAsia="宋体" w:cs="宋体"/>
                <w:color w:val="auto"/>
                <w:sz w:val="21"/>
                <w:szCs w:val="21"/>
                <w:highlight w:val="none"/>
              </w:rPr>
              <w:t>各项措施内容</w:t>
            </w:r>
            <w:r>
              <w:rPr>
                <w:rFonts w:hint="eastAsia" w:ascii="宋体" w:hAnsi="宋体" w:eastAsia="宋体" w:cs="宋体"/>
                <w:color w:val="auto"/>
                <w:sz w:val="21"/>
                <w:szCs w:val="21"/>
                <w:highlight w:val="none"/>
                <w:lang w:val="en-US" w:eastAsia="zh-CN"/>
              </w:rPr>
              <w:t>清晰、完善的得4分；</w:t>
            </w:r>
          </w:p>
          <w:p w14:paraId="6865CDC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③针对本项目特点，列出本项目的难点，并且有具体的保证措施。但缺项或关键点缺失或出现非专门针对本项目特性内容的得3分；</w:t>
            </w:r>
          </w:p>
          <w:p w14:paraId="19DF1A2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④不能满足项目实施要求或未提供的不得分。</w:t>
            </w:r>
          </w:p>
        </w:tc>
        <w:tc>
          <w:tcPr>
            <w:tcW w:w="823" w:type="pct"/>
            <w:tcBorders>
              <w:top w:val="single" w:color="auto" w:sz="4" w:space="0"/>
              <w:left w:val="single" w:color="auto" w:sz="4" w:space="0"/>
              <w:bottom w:val="single" w:color="auto" w:sz="4" w:space="0"/>
              <w:right w:val="single" w:color="auto" w:sz="4" w:space="0"/>
            </w:tcBorders>
            <w:shd w:val="clear" w:color="auto" w:fill="auto"/>
            <w:vAlign w:val="center"/>
          </w:tcPr>
          <w:p w14:paraId="13A9E913">
            <w:pPr>
              <w:keepNext w:val="0"/>
              <w:keepLines w:val="0"/>
              <w:suppressLineNumbers w:val="0"/>
              <w:spacing w:before="0" w:beforeAutospacing="0" w:after="0" w:afterAutospacing="0" w:line="440" w:lineRule="exact"/>
              <w:ind w:left="0" w:right="0"/>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5分</w:t>
            </w:r>
          </w:p>
        </w:tc>
      </w:tr>
      <w:tr w14:paraId="131EB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pct"/>
            <w:vMerge w:val="restart"/>
            <w:tcBorders>
              <w:left w:val="single" w:color="auto" w:sz="4" w:space="0"/>
              <w:right w:val="single" w:color="auto" w:sz="4" w:space="0"/>
            </w:tcBorders>
            <w:vAlign w:val="center"/>
          </w:tcPr>
          <w:p w14:paraId="069E1BDC">
            <w:pPr>
              <w:keepNext w:val="0"/>
              <w:keepLines w:val="0"/>
              <w:suppressLineNumbers w:val="0"/>
              <w:spacing w:before="0" w:beforeAutospacing="0" w:after="0" w:afterAutospacing="0" w:line="360" w:lineRule="auto"/>
              <w:ind w:left="0" w:right="0" w:firstLine="435"/>
              <w:jc w:val="center"/>
              <w:rPr>
                <w:rFonts w:hint="default" w:asciiTheme="minorEastAsia" w:hAnsiTheme="minorEastAsia" w:eastAsiaTheme="minorEastAsia"/>
                <w:b/>
                <w:bCs/>
                <w:color w:val="auto"/>
                <w:sz w:val="24"/>
                <w:szCs w:val="20"/>
                <w:highlight w:val="none"/>
              </w:rPr>
            </w:pPr>
          </w:p>
        </w:tc>
        <w:tc>
          <w:tcPr>
            <w:tcW w:w="769" w:type="pct"/>
            <w:tcBorders>
              <w:top w:val="single" w:color="auto" w:sz="4" w:space="0"/>
              <w:left w:val="single" w:color="auto" w:sz="4" w:space="0"/>
              <w:bottom w:val="single" w:color="auto" w:sz="4" w:space="0"/>
              <w:right w:val="single" w:color="auto" w:sz="4" w:space="0"/>
            </w:tcBorders>
            <w:shd w:val="clear" w:color="auto" w:fill="auto"/>
            <w:vAlign w:val="center"/>
          </w:tcPr>
          <w:p w14:paraId="45BEB2D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50" w:lineRule="exact"/>
              <w:ind w:left="0" w:right="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合理化建议</w:t>
            </w:r>
          </w:p>
        </w:tc>
        <w:tc>
          <w:tcPr>
            <w:tcW w:w="2594" w:type="pct"/>
            <w:tcBorders>
              <w:top w:val="single" w:color="auto" w:sz="4" w:space="0"/>
              <w:left w:val="single" w:color="auto" w:sz="4" w:space="0"/>
              <w:bottom w:val="single" w:color="auto" w:sz="4" w:space="0"/>
              <w:right w:val="single" w:color="auto" w:sz="4" w:space="0"/>
            </w:tcBorders>
            <w:shd w:val="clear" w:color="auto" w:fill="auto"/>
            <w:vAlign w:val="center"/>
          </w:tcPr>
          <w:p w14:paraId="470A1A5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①针对本项目特点，列出对本项目的建议，建议合理并且有具体的保证措施。</w:t>
            </w:r>
            <w:r>
              <w:rPr>
                <w:rFonts w:hint="eastAsia" w:ascii="宋体" w:hAnsi="宋体" w:eastAsia="宋体" w:cs="宋体"/>
                <w:color w:val="auto"/>
                <w:sz w:val="21"/>
                <w:szCs w:val="21"/>
                <w:highlight w:val="none"/>
              </w:rPr>
              <w:t>各项措施周全、具体、有效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有针对性的得5分；</w:t>
            </w:r>
          </w:p>
          <w:p w14:paraId="451ACDC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②针对本项目特点，列出本项目的建议，建议合理并且有具体的保证措施。</w:t>
            </w:r>
            <w:r>
              <w:rPr>
                <w:rFonts w:hint="eastAsia" w:ascii="宋体" w:hAnsi="宋体" w:eastAsia="宋体" w:cs="宋体"/>
                <w:color w:val="auto"/>
                <w:sz w:val="21"/>
                <w:szCs w:val="21"/>
                <w:highlight w:val="none"/>
              </w:rPr>
              <w:t>各项措施内容</w:t>
            </w:r>
            <w:r>
              <w:rPr>
                <w:rFonts w:hint="eastAsia" w:ascii="宋体" w:hAnsi="宋体" w:eastAsia="宋体" w:cs="宋体"/>
                <w:color w:val="auto"/>
                <w:sz w:val="21"/>
                <w:szCs w:val="21"/>
                <w:highlight w:val="none"/>
                <w:lang w:val="en-US" w:eastAsia="zh-CN"/>
              </w:rPr>
              <w:t>清晰、完善的得4分；</w:t>
            </w:r>
          </w:p>
          <w:p w14:paraId="692ED85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③针对本项目特点，列出本项目的建议，建议合理并且有具体的保证措施。但缺项或关键点缺失或出现非专门针对本项目特性内容的得3分；</w:t>
            </w:r>
          </w:p>
          <w:p w14:paraId="76A2AA85">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sz w:val="21"/>
                <w:szCs w:val="21"/>
                <w:highlight w:val="none"/>
                <w:lang w:val="en-US" w:eastAsia="zh-CN"/>
              </w:rPr>
              <w:t>④不能满足项目实施要求或未提供的不得分。</w:t>
            </w:r>
          </w:p>
        </w:tc>
        <w:tc>
          <w:tcPr>
            <w:tcW w:w="823" w:type="pct"/>
            <w:tcBorders>
              <w:top w:val="single" w:color="auto" w:sz="4" w:space="0"/>
              <w:left w:val="single" w:color="auto" w:sz="4" w:space="0"/>
              <w:bottom w:val="single" w:color="auto" w:sz="4" w:space="0"/>
              <w:right w:val="single" w:color="auto" w:sz="4" w:space="0"/>
            </w:tcBorders>
            <w:shd w:val="clear" w:color="auto" w:fill="auto"/>
            <w:vAlign w:val="center"/>
          </w:tcPr>
          <w:p w14:paraId="161BBC68">
            <w:pPr>
              <w:keepNext w:val="0"/>
              <w:keepLines w:val="0"/>
              <w:suppressLineNumbers w:val="0"/>
              <w:spacing w:before="0" w:beforeAutospacing="0" w:after="0" w:afterAutospacing="0" w:line="440" w:lineRule="exact"/>
              <w:ind w:left="0" w:right="0"/>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5分</w:t>
            </w:r>
          </w:p>
        </w:tc>
      </w:tr>
      <w:tr w14:paraId="404CA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pct"/>
            <w:vMerge w:val="continue"/>
            <w:tcBorders>
              <w:left w:val="single" w:color="auto" w:sz="4" w:space="0"/>
              <w:right w:val="single" w:color="auto" w:sz="4" w:space="0"/>
            </w:tcBorders>
            <w:vAlign w:val="center"/>
          </w:tcPr>
          <w:p w14:paraId="15D99BA9">
            <w:pPr>
              <w:keepNext w:val="0"/>
              <w:keepLines w:val="0"/>
              <w:suppressLineNumbers w:val="0"/>
              <w:spacing w:before="0" w:beforeAutospacing="0" w:after="0" w:afterAutospacing="0" w:line="360" w:lineRule="auto"/>
              <w:ind w:left="0" w:right="0" w:firstLine="435"/>
              <w:jc w:val="center"/>
              <w:rPr>
                <w:rFonts w:hint="default" w:asciiTheme="minorEastAsia" w:hAnsiTheme="minorEastAsia" w:eastAsiaTheme="minorEastAsia"/>
                <w:b/>
                <w:bCs/>
                <w:color w:val="auto"/>
                <w:sz w:val="24"/>
                <w:szCs w:val="20"/>
                <w:highlight w:val="none"/>
              </w:rPr>
            </w:pPr>
          </w:p>
        </w:tc>
        <w:tc>
          <w:tcPr>
            <w:tcW w:w="769" w:type="pct"/>
            <w:tcBorders>
              <w:top w:val="single" w:color="auto" w:sz="4" w:space="0"/>
              <w:left w:val="single" w:color="auto" w:sz="4" w:space="0"/>
              <w:bottom w:val="single" w:color="auto" w:sz="4" w:space="0"/>
              <w:right w:val="single" w:color="auto" w:sz="4" w:space="0"/>
            </w:tcBorders>
            <w:shd w:val="clear" w:color="auto" w:fill="auto"/>
            <w:vAlign w:val="center"/>
          </w:tcPr>
          <w:p w14:paraId="7D099AD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50" w:lineRule="exact"/>
              <w:ind w:left="0" w:right="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后续服务方案</w:t>
            </w:r>
          </w:p>
        </w:tc>
        <w:tc>
          <w:tcPr>
            <w:tcW w:w="2594" w:type="pct"/>
            <w:tcBorders>
              <w:top w:val="single" w:color="auto" w:sz="4" w:space="0"/>
              <w:left w:val="single" w:color="auto" w:sz="4" w:space="0"/>
              <w:bottom w:val="single" w:color="auto" w:sz="4" w:space="0"/>
              <w:right w:val="single" w:color="auto" w:sz="4" w:space="0"/>
            </w:tcBorders>
            <w:shd w:val="clear" w:color="auto" w:fill="auto"/>
            <w:vAlign w:val="center"/>
          </w:tcPr>
          <w:p w14:paraId="7AB9CAB9">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评委会根据供应商提供的</w:t>
            </w:r>
            <w:r>
              <w:rPr>
                <w:rFonts w:hint="eastAsia" w:ascii="宋体" w:hAnsi="宋体" w:eastAsia="宋体" w:cs="宋体"/>
                <w:color w:val="auto"/>
                <w:sz w:val="21"/>
                <w:szCs w:val="21"/>
                <w:highlight w:val="none"/>
                <w:lang w:val="en-US" w:eastAsia="zh-CN"/>
              </w:rPr>
              <w:t>后续服务方案</w:t>
            </w:r>
            <w:r>
              <w:rPr>
                <w:rFonts w:hint="eastAsia" w:ascii="宋体" w:hAnsi="宋体" w:eastAsia="宋体" w:cs="宋体"/>
                <w:color w:val="auto"/>
                <w:kern w:val="0"/>
                <w:sz w:val="21"/>
                <w:szCs w:val="21"/>
                <w:highlight w:val="none"/>
                <w:lang w:val="en-US" w:eastAsia="zh-CN" w:bidi="ar"/>
              </w:rPr>
              <w:t>进行打分：</w:t>
            </w:r>
          </w:p>
          <w:p w14:paraId="5D6730D6">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①</w:t>
            </w:r>
            <w:r>
              <w:rPr>
                <w:rFonts w:hint="eastAsia" w:ascii="宋体" w:hAnsi="宋体" w:eastAsia="宋体" w:cs="宋体"/>
                <w:color w:val="auto"/>
                <w:sz w:val="21"/>
                <w:szCs w:val="21"/>
                <w:highlight w:val="none"/>
                <w:lang w:val="en-US" w:eastAsia="zh-CN"/>
              </w:rPr>
              <w:t>后续</w:t>
            </w:r>
            <w:r>
              <w:rPr>
                <w:rFonts w:hint="eastAsia" w:ascii="宋体" w:hAnsi="宋体" w:eastAsia="宋体" w:cs="宋体"/>
                <w:color w:val="auto"/>
                <w:kern w:val="0"/>
                <w:sz w:val="21"/>
                <w:szCs w:val="21"/>
                <w:highlight w:val="none"/>
                <w:lang w:val="en-US" w:eastAsia="zh-CN" w:bidi="ar"/>
              </w:rPr>
              <w:t>服务支持、技术支持形式灵活多样，方案全面详尽，对遇到的问题响应及时且能迅速反馈解决方案，提供全面的技术服务的，得5分；</w:t>
            </w:r>
          </w:p>
          <w:p w14:paraId="14E08CA1">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②</w:t>
            </w:r>
            <w:r>
              <w:rPr>
                <w:rFonts w:hint="eastAsia" w:ascii="宋体" w:hAnsi="宋体" w:eastAsia="宋体" w:cs="宋体"/>
                <w:color w:val="auto"/>
                <w:sz w:val="21"/>
                <w:szCs w:val="21"/>
                <w:highlight w:val="none"/>
                <w:lang w:val="en-US" w:eastAsia="zh-CN"/>
              </w:rPr>
              <w:t>后续</w:t>
            </w:r>
            <w:r>
              <w:rPr>
                <w:rFonts w:hint="eastAsia" w:ascii="宋体" w:hAnsi="宋体" w:eastAsia="宋体" w:cs="宋体"/>
                <w:color w:val="auto"/>
                <w:kern w:val="0"/>
                <w:sz w:val="21"/>
                <w:szCs w:val="21"/>
                <w:highlight w:val="none"/>
                <w:lang w:val="en-US" w:eastAsia="zh-CN" w:bidi="ar"/>
              </w:rPr>
              <w:t>服务支持、技术支持形式多样，方案全面详尽，对遇到的问题能够快速的响应并得到解决，并提供技术服务的，得4分；</w:t>
            </w:r>
          </w:p>
          <w:p w14:paraId="64C08CCC">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③</w:t>
            </w:r>
            <w:r>
              <w:rPr>
                <w:rFonts w:hint="eastAsia" w:ascii="宋体" w:hAnsi="宋体" w:eastAsia="宋体" w:cs="宋体"/>
                <w:color w:val="auto"/>
                <w:sz w:val="21"/>
                <w:szCs w:val="21"/>
                <w:highlight w:val="none"/>
                <w:lang w:val="en-US" w:eastAsia="zh-CN"/>
              </w:rPr>
              <w:t>后续</w:t>
            </w:r>
            <w:r>
              <w:rPr>
                <w:rFonts w:hint="eastAsia" w:ascii="宋体" w:hAnsi="宋体" w:eastAsia="宋体" w:cs="宋体"/>
                <w:color w:val="auto"/>
                <w:kern w:val="0"/>
                <w:sz w:val="21"/>
                <w:szCs w:val="21"/>
                <w:highlight w:val="none"/>
                <w:lang w:val="en-US" w:eastAsia="zh-CN" w:bidi="ar"/>
              </w:rPr>
              <w:t>服务支持、技术支持满足项目需求，对遇到的问题能够响应并解决，并提供技术服务的，得3分；</w:t>
            </w:r>
          </w:p>
          <w:p w14:paraId="250CFB0A">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④未提供的不得分。</w:t>
            </w:r>
          </w:p>
        </w:tc>
        <w:tc>
          <w:tcPr>
            <w:tcW w:w="823" w:type="pct"/>
            <w:tcBorders>
              <w:top w:val="single" w:color="auto" w:sz="4" w:space="0"/>
              <w:left w:val="single" w:color="auto" w:sz="4" w:space="0"/>
              <w:bottom w:val="single" w:color="auto" w:sz="4" w:space="0"/>
              <w:right w:val="single" w:color="auto" w:sz="4" w:space="0"/>
            </w:tcBorders>
            <w:shd w:val="clear" w:color="auto" w:fill="auto"/>
            <w:vAlign w:val="center"/>
          </w:tcPr>
          <w:p w14:paraId="31BCBFB4">
            <w:pPr>
              <w:keepNext w:val="0"/>
              <w:keepLines w:val="0"/>
              <w:suppressLineNumbers w:val="0"/>
              <w:spacing w:before="0" w:beforeAutospacing="0" w:after="0" w:afterAutospacing="0" w:line="440" w:lineRule="exact"/>
              <w:ind w:left="0" w:right="0"/>
              <w:jc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5分</w:t>
            </w:r>
          </w:p>
        </w:tc>
      </w:tr>
      <w:tr w14:paraId="71C57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1" w:type="pct"/>
            <w:tcBorders>
              <w:left w:val="single" w:color="auto" w:sz="4" w:space="0"/>
              <w:right w:val="single" w:color="auto" w:sz="4" w:space="0"/>
            </w:tcBorders>
            <w:vAlign w:val="center"/>
          </w:tcPr>
          <w:p w14:paraId="002D6ED8">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color w:val="auto"/>
                <w:sz w:val="24"/>
                <w:szCs w:val="20"/>
                <w:highlight w:val="none"/>
              </w:rPr>
            </w:pPr>
            <w:r>
              <w:rPr>
                <w:rFonts w:hint="eastAsia" w:asciiTheme="minorEastAsia" w:hAnsiTheme="minorEastAsia" w:eastAsiaTheme="minorEastAsia"/>
                <w:color w:val="auto"/>
                <w:sz w:val="24"/>
                <w:szCs w:val="20"/>
                <w:highlight w:val="none"/>
              </w:rPr>
              <w:t>价格分</w:t>
            </w:r>
          </w:p>
          <w:p w14:paraId="6C6FDCA5">
            <w:pPr>
              <w:keepNext w:val="0"/>
              <w:keepLines w:val="0"/>
              <w:suppressLineNumbers w:val="0"/>
              <w:spacing w:before="0" w:beforeAutospacing="0" w:after="0" w:afterAutospacing="0" w:line="360" w:lineRule="auto"/>
              <w:ind w:left="0" w:right="0"/>
              <w:jc w:val="center"/>
              <w:rPr>
                <w:rFonts w:hint="default" w:asciiTheme="minorEastAsia" w:hAnsiTheme="minorEastAsia" w:eastAsiaTheme="minorEastAsia"/>
                <w:b/>
                <w:bCs/>
                <w:color w:val="auto"/>
                <w:sz w:val="24"/>
                <w:szCs w:val="20"/>
                <w:highlight w:val="none"/>
              </w:rPr>
            </w:pPr>
            <w:r>
              <w:rPr>
                <w:rFonts w:hint="eastAsia" w:asciiTheme="minorEastAsia" w:hAnsiTheme="minorEastAsia" w:eastAsiaTheme="minorEastAsia"/>
                <w:color w:val="auto"/>
                <w:sz w:val="24"/>
                <w:szCs w:val="20"/>
                <w:highlight w:val="none"/>
              </w:rPr>
              <w:t>（</w:t>
            </w:r>
            <w:r>
              <w:rPr>
                <w:rFonts w:hint="eastAsia" w:asciiTheme="minorEastAsia" w:hAnsiTheme="minorEastAsia" w:eastAsiaTheme="minorEastAsia"/>
                <w:color w:val="auto"/>
                <w:sz w:val="24"/>
                <w:szCs w:val="20"/>
                <w:highlight w:val="none"/>
                <w:u w:val="single"/>
                <w:lang w:val="en-US" w:eastAsia="zh-CN"/>
              </w:rPr>
              <w:t>10</w:t>
            </w:r>
            <w:r>
              <w:rPr>
                <w:rFonts w:hint="eastAsia" w:asciiTheme="minorEastAsia" w:hAnsiTheme="minorEastAsia" w:eastAsiaTheme="minorEastAsia"/>
                <w:color w:val="auto"/>
                <w:sz w:val="24"/>
                <w:szCs w:val="20"/>
                <w:highlight w:val="none"/>
              </w:rPr>
              <w:t>分）</w:t>
            </w:r>
          </w:p>
        </w:tc>
        <w:tc>
          <w:tcPr>
            <w:tcW w:w="4188" w:type="pct"/>
            <w:gridSpan w:val="3"/>
            <w:tcBorders>
              <w:top w:val="single" w:color="auto" w:sz="4" w:space="0"/>
              <w:left w:val="single" w:color="auto" w:sz="4" w:space="0"/>
              <w:bottom w:val="single" w:color="auto" w:sz="4" w:space="0"/>
              <w:right w:val="single" w:color="auto" w:sz="4" w:space="0"/>
            </w:tcBorders>
            <w:vAlign w:val="center"/>
          </w:tcPr>
          <w:p w14:paraId="1CD76273">
            <w:pPr>
              <w:keepNext w:val="0"/>
              <w:keepLines w:val="0"/>
              <w:suppressLineNumbers w:val="0"/>
              <w:spacing w:before="0" w:beforeAutospacing="0" w:after="0" w:afterAutospacing="0" w:line="360" w:lineRule="auto"/>
              <w:ind w:left="0" w:right="0"/>
              <w:rPr>
                <w:rFonts w:hint="default" w:asciiTheme="minorEastAsia" w:hAnsiTheme="minorEastAsia" w:eastAsiaTheme="minorEastAsia"/>
                <w:color w:val="auto"/>
                <w:sz w:val="24"/>
                <w:szCs w:val="20"/>
                <w:highlight w:val="none"/>
              </w:rPr>
            </w:pPr>
            <w:r>
              <w:rPr>
                <w:rFonts w:hint="eastAsia" w:asciiTheme="minorEastAsia" w:hAnsiTheme="minorEastAsia" w:eastAsiaTheme="minorEastAsia"/>
                <w:color w:val="auto"/>
                <w:sz w:val="24"/>
                <w:szCs w:val="20"/>
                <w:highlight w:val="none"/>
              </w:rPr>
              <w:t>价格分统一采用低价优先法，即满足磋商文件要求且最后报价最低的供应商的价格为磋商基准价，其价格分为满分</w:t>
            </w:r>
            <w:r>
              <w:rPr>
                <w:rFonts w:hint="eastAsia" w:asciiTheme="minorEastAsia" w:hAnsiTheme="minorEastAsia" w:eastAsiaTheme="minorEastAsia"/>
                <w:color w:val="auto"/>
                <w:sz w:val="24"/>
                <w:szCs w:val="20"/>
                <w:highlight w:val="none"/>
                <w:u w:val="single"/>
                <w:lang w:val="en-US" w:eastAsia="zh-CN"/>
              </w:rPr>
              <w:t>10</w:t>
            </w:r>
            <w:r>
              <w:rPr>
                <w:rFonts w:hint="eastAsia" w:asciiTheme="minorEastAsia" w:hAnsiTheme="minorEastAsia" w:eastAsiaTheme="minorEastAsia"/>
                <w:color w:val="auto"/>
                <w:sz w:val="24"/>
                <w:szCs w:val="20"/>
                <w:highlight w:val="none"/>
              </w:rPr>
              <w:t>分。其他供应商的价格分统一按照下列公式计算：</w:t>
            </w:r>
          </w:p>
          <w:p w14:paraId="38C86FFE">
            <w:pPr>
              <w:keepNext w:val="0"/>
              <w:keepLines w:val="0"/>
              <w:suppressLineNumbers w:val="0"/>
              <w:spacing w:before="0" w:beforeAutospacing="0" w:after="0" w:afterAutospacing="0" w:line="360" w:lineRule="auto"/>
              <w:ind w:left="0" w:right="0"/>
              <w:rPr>
                <w:rFonts w:hint="default" w:asciiTheme="minorEastAsia" w:hAnsiTheme="minorEastAsia" w:eastAsiaTheme="minorEastAsia"/>
                <w:b/>
                <w:bCs/>
                <w:color w:val="auto"/>
                <w:sz w:val="24"/>
                <w:szCs w:val="20"/>
                <w:highlight w:val="none"/>
              </w:rPr>
            </w:pPr>
            <w:r>
              <w:rPr>
                <w:rFonts w:hint="eastAsia" w:asciiTheme="minorEastAsia" w:hAnsiTheme="minorEastAsia" w:eastAsiaTheme="minorEastAsia"/>
                <w:color w:val="auto"/>
                <w:sz w:val="24"/>
                <w:szCs w:val="20"/>
                <w:highlight w:val="none"/>
              </w:rPr>
              <w:t>磋商报价得分＝（磋商基准价/</w:t>
            </w:r>
            <w:r>
              <w:rPr>
                <w:rFonts w:hint="eastAsia" w:ascii="宋体" w:hAnsi="宋体" w:eastAsia="宋体"/>
                <w:color w:val="auto"/>
                <w:sz w:val="24"/>
                <w:szCs w:val="20"/>
                <w:highlight w:val="none"/>
              </w:rPr>
              <w:t>最后磋商</w:t>
            </w:r>
            <w:r>
              <w:rPr>
                <w:rFonts w:hint="eastAsia" w:asciiTheme="minorEastAsia" w:hAnsiTheme="minorEastAsia" w:eastAsiaTheme="minorEastAsia"/>
                <w:color w:val="auto"/>
                <w:sz w:val="24"/>
                <w:szCs w:val="20"/>
                <w:highlight w:val="none"/>
              </w:rPr>
              <w:t>报价）×</w:t>
            </w:r>
            <w:r>
              <w:rPr>
                <w:rFonts w:hint="eastAsia" w:asciiTheme="minorEastAsia" w:hAnsiTheme="minorEastAsia" w:eastAsiaTheme="minorEastAsia"/>
                <w:color w:val="auto"/>
                <w:sz w:val="24"/>
                <w:szCs w:val="20"/>
                <w:highlight w:val="none"/>
                <w:u w:val="single"/>
                <w:lang w:val="en-US" w:eastAsia="zh-CN"/>
              </w:rPr>
              <w:t>10</w:t>
            </w:r>
            <w:r>
              <w:rPr>
                <w:rFonts w:hint="eastAsia" w:asciiTheme="minorEastAsia" w:hAnsiTheme="minorEastAsia" w:eastAsiaTheme="minorEastAsia"/>
                <w:color w:val="auto"/>
                <w:sz w:val="24"/>
                <w:szCs w:val="20"/>
                <w:highlight w:val="none"/>
              </w:rPr>
              <w:t>％×100</w:t>
            </w:r>
          </w:p>
        </w:tc>
      </w:tr>
    </w:tbl>
    <w:p w14:paraId="0FCA1D3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0AC5936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1）磋商小组各成员应当独立对每个有效响应的文件进行评价、打分，然后汇总每个供应商每项评分因素的得分，再取各位评委评分之平均值，四舍五入保留至小数点后两位数，得到该供应商的技术资信分。</w:t>
      </w:r>
    </w:p>
    <w:p w14:paraId="1BCEA9E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2）将每个供应商的技术资信分加上根据上述标准计算出的价格分，即为该供应商的综合总得分。</w:t>
      </w:r>
    </w:p>
    <w:p w14:paraId="468F476B">
      <w:pPr>
        <w:spacing w:line="360" w:lineRule="auto"/>
        <w:ind w:firstLine="435"/>
        <w:rPr>
          <w:rFonts w:ascii="宋体" w:hAnsi="宋体" w:eastAsia="宋体" w:cs="宋体"/>
          <w:b/>
          <w:bCs/>
          <w:color w:val="auto"/>
          <w:sz w:val="24"/>
          <w:highlight w:val="none"/>
        </w:rPr>
      </w:pPr>
      <w:r>
        <w:rPr>
          <w:rFonts w:hint="eastAsia" w:ascii="宋体" w:hAnsi="宋体" w:eastAsia="宋体" w:cs="宋体"/>
          <w:b/>
          <w:bCs/>
          <w:color w:val="auto"/>
          <w:sz w:val="24"/>
          <w:highlight w:val="none"/>
        </w:rPr>
        <w:t>三、无效条款</w:t>
      </w:r>
    </w:p>
    <w:p w14:paraId="7F1B822E">
      <w:pPr>
        <w:pStyle w:val="8"/>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3.1响应文件有下列情形之一的,其响应文件拒收:</w:t>
      </w:r>
    </w:p>
    <w:p w14:paraId="0C2C2887">
      <w:pPr>
        <w:pStyle w:val="8"/>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（1）未在提交首次响应文件截止时间前通过网上招标投标系统递交有效电子响应文件的，网上开标系统不予接收。出现上述情况的，响应将被拒绝。</w:t>
      </w:r>
    </w:p>
    <w:p w14:paraId="6FFE779E">
      <w:pPr>
        <w:pStyle w:val="8"/>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2）供应商接到远程解密指令后，须在规定时间内解密。因供应商自身原因导致响应文件在规定时间内未能解密、解密失败或解密超时，响应文件无效；解密时间：从本项目响应文件提交截止时间开始计时，至完成响应文件解密时间，不得超过60分钟，否则响应文件将被拒绝。</w:t>
      </w:r>
    </w:p>
    <w:p w14:paraId="5781E38A">
      <w:pPr>
        <w:pStyle w:val="8"/>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.2供应商有下列情形之一的,资格审查后其</w:t>
      </w:r>
      <w:r>
        <w:rPr>
          <w:rFonts w:hint="eastAsia" w:ascii="宋体" w:hAnsi="宋体" w:eastAsia="宋体"/>
          <w:color w:val="auto"/>
          <w:sz w:val="24"/>
          <w:highlight w:val="none"/>
          <w:lang w:val="en-US" w:eastAsia="zh-CN"/>
        </w:rPr>
        <w:t>按</w:t>
      </w:r>
      <w:r>
        <w:rPr>
          <w:rFonts w:hint="eastAsia" w:ascii="宋体" w:hAnsi="宋体" w:eastAsia="宋体"/>
          <w:color w:val="auto"/>
          <w:sz w:val="24"/>
          <w:highlight w:val="none"/>
        </w:rPr>
        <w:t>无效响应处理：</w:t>
      </w:r>
    </w:p>
    <w:p w14:paraId="3308AE0C">
      <w:pPr>
        <w:pStyle w:val="8"/>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（1）为本项目提供采购代理服务的；</w:t>
      </w:r>
    </w:p>
    <w:p w14:paraId="26CB9C54">
      <w:pPr>
        <w:pStyle w:val="8"/>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（2）供应商与在本项目代理机构存在相互任职或工作的；</w:t>
      </w:r>
    </w:p>
    <w:p w14:paraId="5159A046">
      <w:pPr>
        <w:pStyle w:val="8"/>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（3）与采购人存在利害关系可能影响采购公正性的法人、其他组织或者个人；</w:t>
      </w:r>
    </w:p>
    <w:p w14:paraId="7A0CFE01">
      <w:pPr>
        <w:pStyle w:val="8"/>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（4）磋商公告写明专门面向中小企业采购，供应商提供的服务非中小企业承接的；</w:t>
      </w:r>
    </w:p>
    <w:p w14:paraId="588D6B3D">
      <w:pPr>
        <w:pStyle w:val="8"/>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（5）要求供应商以联合体形式参加采购活动，供应商非联合体或者联合协议中中小企业合同金额未达到应当达到的比例；</w:t>
      </w:r>
    </w:p>
    <w:p w14:paraId="55E4544A">
      <w:pPr>
        <w:pStyle w:val="8"/>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（6）要求获得采购合同的供应商向中小企业分包，供应商未提供分包意向协议或者分包意向协议中中小企业合同金额未达到应当达到的比例；</w:t>
      </w:r>
    </w:p>
    <w:p w14:paraId="01C73FAA">
      <w:pPr>
        <w:pStyle w:val="8"/>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（7）评标专家无法查看并检验电子响应文件中相关资料的；</w:t>
      </w:r>
    </w:p>
    <w:p w14:paraId="32493CB1">
      <w:pPr>
        <w:pStyle w:val="8"/>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（8）联合体</w:t>
      </w:r>
      <w:r>
        <w:rPr>
          <w:rFonts w:hint="eastAsia" w:ascii="宋体" w:hAnsi="宋体" w:eastAsia="宋体"/>
          <w:color w:val="auto"/>
          <w:sz w:val="24"/>
          <w:highlight w:val="none"/>
          <w:lang w:val="en-US" w:eastAsia="zh-CN"/>
        </w:rPr>
        <w:t>参与</w:t>
      </w:r>
      <w:r>
        <w:rPr>
          <w:rFonts w:hint="eastAsia" w:ascii="宋体" w:hAnsi="宋体" w:eastAsia="宋体"/>
          <w:color w:val="auto"/>
          <w:sz w:val="24"/>
          <w:highlight w:val="none"/>
        </w:rPr>
        <w:t>未提交联合体协议的；</w:t>
      </w:r>
    </w:p>
    <w:p w14:paraId="50039091">
      <w:pPr>
        <w:pStyle w:val="8"/>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（9）责令停产停业的；</w:t>
      </w:r>
    </w:p>
    <w:p w14:paraId="72C25E26">
      <w:pPr>
        <w:pStyle w:val="8"/>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（10）暂停或取消参与政府采购项目资格的；</w:t>
      </w:r>
    </w:p>
    <w:p w14:paraId="2FB86B41">
      <w:pPr>
        <w:pStyle w:val="8"/>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（11）供应商单位负责人为同一人或者存在直接控股、管理关系的不同单位的；</w:t>
      </w:r>
    </w:p>
    <w:p w14:paraId="723EDDBC">
      <w:pPr>
        <w:pStyle w:val="8"/>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（12）供应商基本资格条件和特定资格条件中有一项及以上不符合要求的；</w:t>
      </w:r>
    </w:p>
    <w:p w14:paraId="56B6D127">
      <w:pPr>
        <w:pStyle w:val="8"/>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 xml:space="preserve">（13）评审时查询响应文件制作机器码、文件创建标识码及造价软件加密锁号。若存在响应文件制作机器码或创建标识码或造价软件加密锁号信息与其他供应商雷同的，响应无效、进行信用信息披露，行政监管部门将依据线索依法查处； </w:t>
      </w:r>
    </w:p>
    <w:p w14:paraId="02F6A0DF">
      <w:pPr>
        <w:pStyle w:val="8"/>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（14）其它情形按无效响应处理，并经公共资源交易监督部门核准的；</w:t>
      </w:r>
    </w:p>
    <w:p w14:paraId="7FABEE4A">
      <w:pPr>
        <w:pStyle w:val="8"/>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（15）供应商响应MAC地址一致，由磋商小组否决其响应资格；</w:t>
      </w:r>
    </w:p>
    <w:p w14:paraId="090B8119">
      <w:pPr>
        <w:pStyle w:val="8"/>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（16）供应商单方面出现其他供应商材料的；</w:t>
      </w:r>
    </w:p>
    <w:p w14:paraId="74DDFB6B">
      <w:pPr>
        <w:pStyle w:val="8"/>
        <w:spacing w:line="360" w:lineRule="auto"/>
        <w:ind w:firstLine="480" w:firstLineChars="200"/>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（17）供应商联系人或联系电话相同的，由磋商小组否决其响应资格，并报告监管部门作不良行为处理和进一步调查；</w:t>
      </w:r>
    </w:p>
    <w:p w14:paraId="138FA3CE">
      <w:pPr>
        <w:pStyle w:val="8"/>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（18）竞争性磋商公告未写明允许采购进口产品，供应商所投产品为进口产品的；</w:t>
      </w:r>
    </w:p>
    <w:p w14:paraId="2937F86A">
      <w:pPr>
        <w:pStyle w:val="8"/>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（19）磋商文件规定的其它无效情形。</w:t>
      </w:r>
    </w:p>
    <w:p w14:paraId="36825E71">
      <w:pPr>
        <w:pStyle w:val="8"/>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.3 供应商有下列情形之一的,符合性审查后其按无效响应处理：</w:t>
      </w:r>
    </w:p>
    <w:p w14:paraId="6E43BD95">
      <w:pPr>
        <w:pStyle w:val="8"/>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（1）响应文件签章不全，经磋商小组一致认定对开评标内容有实质性影响并经公共资源交易监督部门核准的；</w:t>
      </w:r>
    </w:p>
    <w:p w14:paraId="3BEFB9FE">
      <w:pPr>
        <w:pStyle w:val="8"/>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（2）未按规定的格式填写导致实质性内容不全以及实质上不响应，或者关键字迹模糊、无法辨认； 经公共资源交易监督部门核准的；</w:t>
      </w:r>
    </w:p>
    <w:p w14:paraId="011B50FE">
      <w:pPr>
        <w:pStyle w:val="8"/>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（3）同一供应商提交两个以上不同的响应文件或者响应报价，但磋商文件规定提交备选方案的除外；</w:t>
      </w:r>
    </w:p>
    <w:p w14:paraId="793B130C">
      <w:pPr>
        <w:pStyle w:val="8"/>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（4）响应文件没有对磋商文件的实质性要求和条件作出响应；</w:t>
      </w:r>
    </w:p>
    <w:p w14:paraId="77570E32">
      <w:pPr>
        <w:pStyle w:val="8"/>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（5）报价超出规定的最高限价或公布的采购预算的或供应商的报价各项单价高于磋商文件给定的单价最高限价；</w:t>
      </w:r>
    </w:p>
    <w:p w14:paraId="00A3F65F">
      <w:pPr>
        <w:pStyle w:val="8"/>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（6）不按磋商小组要求澄清、说明或补正的，或者措施小组根据磋商文件的规定对响应文件的计算错误进行修正后，供应商不接受修正的报价的。</w:t>
      </w:r>
    </w:p>
    <w:p w14:paraId="0B6056A1">
      <w:pPr>
        <w:pStyle w:val="8"/>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（7）其它情形，经磋商小组委提出按无效响应处理，并经公共资源交易监督部门核准的；</w:t>
      </w:r>
    </w:p>
    <w:p w14:paraId="2797989B">
      <w:pPr>
        <w:pStyle w:val="8"/>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（8）响应文件含有采购人不能接受的附加条件的；</w:t>
      </w:r>
    </w:p>
    <w:p w14:paraId="065ACB96">
      <w:pPr>
        <w:pStyle w:val="8"/>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（9）磋商文件规定的其它无效响应情形。</w:t>
      </w:r>
    </w:p>
    <w:p w14:paraId="6A21A9B3">
      <w:pPr>
        <w:pStyle w:val="8"/>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.4 供应商有下列情形之一的, 详细评审后其按无效响应处理：</w:t>
      </w:r>
    </w:p>
    <w:p w14:paraId="0530299E">
      <w:pPr>
        <w:pStyle w:val="8"/>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（1）产品不符合必须强制执行的国家标准的；</w:t>
      </w:r>
    </w:p>
    <w:p w14:paraId="3D75A409">
      <w:pPr>
        <w:pStyle w:val="8"/>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（2）供应商有串通、弄虚作假、行贿等违法行为；</w:t>
      </w:r>
    </w:p>
    <w:p w14:paraId="1950CC33">
      <w:pPr>
        <w:pStyle w:val="8"/>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（3）响应文件含有违反国家法律、法规的内容，或附有采购人不能接受的条件的；</w:t>
      </w:r>
    </w:p>
    <w:p w14:paraId="563D9944">
      <w:pPr>
        <w:pStyle w:val="8"/>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（4）拒不确认磋商小组评审修正的响应无效；</w:t>
      </w:r>
    </w:p>
    <w:p w14:paraId="1964F486">
      <w:pPr>
        <w:pStyle w:val="8"/>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（5）其它情形，经磋商小组提出按无效响应处理，并经公共资源交易监督部门核准的；</w:t>
      </w:r>
    </w:p>
    <w:p w14:paraId="07FB735D">
      <w:pPr>
        <w:pStyle w:val="8"/>
        <w:spacing w:line="360" w:lineRule="auto"/>
        <w:ind w:firstLine="480" w:firstLineChars="200"/>
        <w:rPr>
          <w:rFonts w:ascii="宋体" w:hAnsi="宋体" w:eastAsia="宋体" w:cs="宋体"/>
          <w:color w:val="auto"/>
          <w:sz w:val="24"/>
          <w:highlight w:val="none"/>
        </w:rPr>
      </w:pPr>
      <w:r>
        <w:rPr>
          <w:rFonts w:hint="eastAsia" w:ascii="宋体" w:hAnsi="宋体" w:eastAsia="宋体"/>
          <w:color w:val="auto"/>
          <w:sz w:val="24"/>
          <w:highlight w:val="none"/>
        </w:rPr>
        <w:t>（6）磋商文件规定的其它无效响应情形。</w:t>
      </w:r>
    </w:p>
    <w:p w14:paraId="0A94ABFE">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29F15C40">
      <w:pPr>
        <w:numPr>
          <w:ilvl w:val="0"/>
          <w:numId w:val="2"/>
        </w:numPr>
        <w:spacing w:line="360" w:lineRule="auto"/>
        <w:jc w:val="center"/>
        <w:outlineLvl w:val="0"/>
        <w:rPr>
          <w:rFonts w:asciiTheme="minorEastAsia" w:hAnsiTheme="minorEastAsia" w:eastAsiaTheme="minorEastAsia"/>
          <w:b/>
          <w:color w:val="auto"/>
          <w:sz w:val="28"/>
          <w:highlight w:val="none"/>
        </w:rPr>
      </w:pPr>
      <w:bookmarkStart w:id="28" w:name="_Toc63440929"/>
      <w:bookmarkStart w:id="29" w:name="_Toc355"/>
      <w:r>
        <w:rPr>
          <w:rFonts w:hint="eastAsia" w:asciiTheme="minorEastAsia" w:hAnsiTheme="minorEastAsia" w:eastAsiaTheme="minorEastAsia"/>
          <w:b/>
          <w:color w:val="auto"/>
          <w:sz w:val="28"/>
          <w:highlight w:val="none"/>
        </w:rPr>
        <w:t xml:space="preserve"> </w:t>
      </w:r>
      <w:bookmarkStart w:id="30" w:name="_Toc22097"/>
      <w:r>
        <w:rPr>
          <w:rFonts w:asciiTheme="minorEastAsia" w:hAnsiTheme="minorEastAsia" w:eastAsiaTheme="minorEastAsia"/>
          <w:b/>
          <w:color w:val="auto"/>
          <w:sz w:val="28"/>
          <w:highlight w:val="none"/>
        </w:rPr>
        <w:t>政府采购合同</w:t>
      </w:r>
      <w:bookmarkEnd w:id="28"/>
      <w:bookmarkEnd w:id="29"/>
      <w:bookmarkEnd w:id="30"/>
      <w:bookmarkStart w:id="31" w:name="_Toc22284"/>
    </w:p>
    <w:bookmarkEnd w:id="31"/>
    <w:p w14:paraId="0B18DDD1">
      <w:pPr>
        <w:spacing w:line="480" w:lineRule="auto"/>
        <w:jc w:val="center"/>
        <w:rPr>
          <w:rFonts w:ascii="宋体" w:hAnsi="宋体" w:eastAsia="宋体"/>
          <w:b/>
          <w:sz w:val="24"/>
          <w:highlight w:val="none"/>
        </w:rPr>
      </w:pPr>
    </w:p>
    <w:p w14:paraId="7972953F">
      <w:pPr>
        <w:spacing w:line="480" w:lineRule="auto"/>
        <w:jc w:val="center"/>
        <w:rPr>
          <w:rFonts w:ascii="宋体" w:hAnsi="宋体" w:eastAsia="宋体"/>
          <w:b/>
          <w:sz w:val="24"/>
          <w:highlight w:val="none"/>
        </w:rPr>
      </w:pPr>
    </w:p>
    <w:p w14:paraId="180B5715">
      <w:pPr>
        <w:jc w:val="center"/>
        <w:outlineLvl w:val="1"/>
        <w:rPr>
          <w:rFonts w:hint="eastAsia" w:ascii="宋体" w:hAnsi="宋体" w:eastAsia="宋体" w:cs="宋体"/>
          <w:color w:val="auto"/>
          <w:sz w:val="28"/>
          <w:szCs w:val="28"/>
          <w:highlight w:val="none"/>
        </w:rPr>
      </w:pPr>
      <w:bookmarkStart w:id="32" w:name="_Toc1080"/>
      <w:bookmarkStart w:id="33" w:name="_Toc24133"/>
      <w:bookmarkStart w:id="34" w:name="_Toc15568854"/>
      <w:bookmarkStart w:id="35" w:name="_Toc35424967"/>
      <w:bookmarkStart w:id="36" w:name="_Toc35425133"/>
      <w:bookmarkStart w:id="37" w:name="_Toc484173786"/>
      <w:bookmarkStart w:id="38" w:name="_Toc506107337"/>
      <w:r>
        <w:rPr>
          <w:rFonts w:hint="eastAsia" w:ascii="宋体" w:hAnsi="宋体" w:eastAsia="宋体" w:cs="宋体"/>
          <w:color w:val="auto"/>
          <w:sz w:val="44"/>
          <w:szCs w:val="44"/>
          <w:highlight w:val="none"/>
        </w:rPr>
        <w:t>建设工程服务合同</w:t>
      </w:r>
      <w:bookmarkEnd w:id="32"/>
      <w:bookmarkEnd w:id="33"/>
      <w:bookmarkEnd w:id="34"/>
    </w:p>
    <w:p w14:paraId="7732728E">
      <w:pPr>
        <w:rPr>
          <w:rFonts w:hint="eastAsia" w:ascii="宋体" w:hAnsi="宋体" w:eastAsia="宋体" w:cs="宋体"/>
          <w:color w:val="auto"/>
          <w:highlight w:val="none"/>
        </w:rPr>
      </w:pPr>
    </w:p>
    <w:p w14:paraId="341D1E29">
      <w:pPr>
        <w:rPr>
          <w:rFonts w:hint="eastAsia" w:ascii="宋体" w:hAnsi="宋体" w:eastAsia="宋体" w:cs="宋体"/>
          <w:color w:val="auto"/>
          <w:highlight w:val="none"/>
        </w:rPr>
      </w:pPr>
    </w:p>
    <w:p w14:paraId="509E1F73">
      <w:pPr>
        <w:rPr>
          <w:rFonts w:hint="eastAsia" w:ascii="宋体" w:hAnsi="宋体" w:eastAsia="宋体" w:cs="宋体"/>
          <w:color w:val="auto"/>
          <w:highlight w:val="none"/>
        </w:rPr>
      </w:pPr>
    </w:p>
    <w:p w14:paraId="7B1C8912">
      <w:pPr>
        <w:spacing w:line="360" w:lineRule="auto"/>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项目名称：</w:t>
      </w:r>
      <w:r>
        <w:rPr>
          <w:rFonts w:hint="eastAsia" w:ascii="宋体" w:hAnsi="宋体" w:eastAsia="宋体" w:cs="宋体"/>
          <w:color w:val="auto"/>
          <w:sz w:val="28"/>
          <w:szCs w:val="28"/>
          <w:highlight w:val="none"/>
          <w:u w:val="single"/>
        </w:rPr>
        <w:t xml:space="preserve">                                                  </w:t>
      </w:r>
    </w:p>
    <w:p w14:paraId="43E2AE6F">
      <w:pPr>
        <w:spacing w:line="360" w:lineRule="auto"/>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工程地点：</w:t>
      </w:r>
      <w:r>
        <w:rPr>
          <w:rFonts w:hint="eastAsia" w:ascii="宋体" w:hAnsi="宋体" w:eastAsia="宋体" w:cs="宋体"/>
          <w:color w:val="auto"/>
          <w:sz w:val="28"/>
          <w:szCs w:val="28"/>
          <w:highlight w:val="none"/>
          <w:u w:val="single"/>
        </w:rPr>
        <w:t xml:space="preserve">  安徽滁州市                                     </w:t>
      </w:r>
    </w:p>
    <w:p w14:paraId="506FA87A">
      <w:pPr>
        <w:spacing w:line="360" w:lineRule="auto"/>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合同编号：</w:t>
      </w:r>
      <w:r>
        <w:rPr>
          <w:rFonts w:hint="eastAsia" w:ascii="宋体" w:hAnsi="宋体" w:eastAsia="宋体" w:cs="宋体"/>
          <w:color w:val="auto"/>
          <w:sz w:val="28"/>
          <w:szCs w:val="28"/>
          <w:highlight w:val="none"/>
          <w:u w:val="single"/>
        </w:rPr>
        <w:t xml:space="preserve">                                                 </w:t>
      </w:r>
    </w:p>
    <w:p w14:paraId="53CD0FE3">
      <w:pPr>
        <w:ind w:firstLine="360" w:firstLineChars="150"/>
        <w:rPr>
          <w:rFonts w:hint="eastAsia" w:ascii="宋体" w:hAnsi="宋体" w:eastAsia="宋体" w:cs="宋体"/>
          <w:color w:val="auto"/>
          <w:sz w:val="24"/>
          <w:highlight w:val="none"/>
        </w:rPr>
      </w:pPr>
    </w:p>
    <w:p w14:paraId="712F36DD">
      <w:pPr>
        <w:ind w:firstLine="360" w:firstLineChars="150"/>
        <w:rPr>
          <w:rFonts w:hint="eastAsia" w:ascii="宋体" w:hAnsi="宋体" w:eastAsia="宋体" w:cs="宋体"/>
          <w:color w:val="auto"/>
          <w:sz w:val="24"/>
          <w:highlight w:val="none"/>
        </w:rPr>
      </w:pPr>
    </w:p>
    <w:p w14:paraId="7228C8C5">
      <w:pPr>
        <w:ind w:firstLine="360" w:firstLineChars="150"/>
        <w:rPr>
          <w:rFonts w:hint="eastAsia" w:ascii="宋体" w:hAnsi="宋体" w:eastAsia="宋体" w:cs="宋体"/>
          <w:color w:val="auto"/>
          <w:sz w:val="24"/>
          <w:highlight w:val="none"/>
        </w:rPr>
      </w:pPr>
    </w:p>
    <w:p w14:paraId="32CEFABF">
      <w:pPr>
        <w:rPr>
          <w:rFonts w:hint="eastAsia" w:ascii="宋体" w:hAnsi="宋体" w:eastAsia="宋体" w:cs="宋体"/>
          <w:color w:val="auto"/>
          <w:sz w:val="24"/>
          <w:highlight w:val="none"/>
        </w:rPr>
      </w:pPr>
      <w:r>
        <w:rPr>
          <w:rFonts w:hint="eastAsia" w:ascii="宋体" w:hAnsi="宋体" w:eastAsia="宋体" w:cs="宋体"/>
          <w:color w:val="auto"/>
          <w:sz w:val="24"/>
          <w:highlight w:val="none"/>
        </w:rPr>
        <w:t>（由</w:t>
      </w:r>
      <w:r>
        <w:rPr>
          <w:rFonts w:hint="eastAsia" w:ascii="宋体" w:hAnsi="宋体" w:eastAsia="宋体" w:cs="宋体"/>
          <w:color w:val="auto"/>
          <w:sz w:val="24"/>
          <w:highlight w:val="none"/>
          <w:lang w:val="en-US" w:eastAsia="zh-CN"/>
        </w:rPr>
        <w:t>设计</w:t>
      </w:r>
      <w:r>
        <w:rPr>
          <w:rFonts w:hint="eastAsia" w:ascii="宋体" w:hAnsi="宋体" w:eastAsia="宋体" w:cs="宋体"/>
          <w:color w:val="auto"/>
          <w:sz w:val="24"/>
          <w:highlight w:val="none"/>
        </w:rPr>
        <w:t>人编填）</w:t>
      </w:r>
    </w:p>
    <w:p w14:paraId="65101F76">
      <w:pPr>
        <w:ind w:firstLine="420" w:firstLineChars="150"/>
        <w:rPr>
          <w:rFonts w:hint="eastAsia" w:ascii="宋体" w:hAnsi="宋体" w:eastAsia="宋体" w:cs="宋体"/>
          <w:color w:val="auto"/>
          <w:sz w:val="28"/>
          <w:szCs w:val="28"/>
          <w:highlight w:val="none"/>
        </w:rPr>
      </w:pPr>
    </w:p>
    <w:p w14:paraId="01300A4E">
      <w:pPr>
        <w:spacing w:line="360" w:lineRule="auto"/>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设计证书等级：</w:t>
      </w:r>
      <w:r>
        <w:rPr>
          <w:rFonts w:hint="eastAsia" w:ascii="宋体" w:hAnsi="宋体" w:eastAsia="宋体" w:cs="宋体"/>
          <w:color w:val="auto"/>
          <w:sz w:val="28"/>
          <w:szCs w:val="28"/>
          <w:highlight w:val="none"/>
          <w:u w:val="single"/>
        </w:rPr>
        <w:t xml:space="preserve">                                            </w:t>
      </w:r>
    </w:p>
    <w:p w14:paraId="0C2B8FC5">
      <w:pPr>
        <w:spacing w:line="360" w:lineRule="auto"/>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发包人：</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kern w:val="21"/>
          <w:sz w:val="28"/>
          <w:szCs w:val="28"/>
          <w:highlight w:val="none"/>
          <w:u w:val="single"/>
        </w:rPr>
        <w:t>滁州市公路管理服务中心</w:t>
      </w:r>
      <w:r>
        <w:rPr>
          <w:rFonts w:hint="eastAsia" w:ascii="宋体" w:hAnsi="宋体" w:eastAsia="宋体" w:cs="宋体"/>
          <w:color w:val="auto"/>
          <w:kern w:val="21"/>
          <w:sz w:val="24"/>
          <w:highlight w:val="none"/>
          <w:u w:val="single"/>
        </w:rPr>
        <w:t xml:space="preserve"> </w:t>
      </w:r>
      <w:r>
        <w:rPr>
          <w:rFonts w:hint="eastAsia" w:ascii="宋体" w:hAnsi="宋体" w:eastAsia="宋体" w:cs="宋体"/>
          <w:color w:val="auto"/>
          <w:sz w:val="28"/>
          <w:szCs w:val="28"/>
          <w:highlight w:val="none"/>
          <w:u w:val="single"/>
        </w:rPr>
        <w:t xml:space="preserve">                              </w:t>
      </w:r>
    </w:p>
    <w:p w14:paraId="632F818C">
      <w:pPr>
        <w:spacing w:line="360" w:lineRule="auto"/>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承包人：</w:t>
      </w:r>
      <w:r>
        <w:rPr>
          <w:rFonts w:hint="eastAsia" w:ascii="宋体" w:hAnsi="宋体" w:eastAsia="宋体" w:cs="宋体"/>
          <w:color w:val="auto"/>
          <w:sz w:val="28"/>
          <w:szCs w:val="28"/>
          <w:highlight w:val="none"/>
          <w:u w:val="single"/>
        </w:rPr>
        <w:t xml:space="preserve">           （签约后填入）   　                </w:t>
      </w:r>
    </w:p>
    <w:p w14:paraId="1C6222BD">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签订日期：</w:t>
      </w:r>
      <w:r>
        <w:rPr>
          <w:rFonts w:hint="eastAsia" w:ascii="宋体" w:hAnsi="宋体" w:eastAsia="宋体" w:cs="宋体"/>
          <w:color w:val="auto"/>
          <w:sz w:val="28"/>
          <w:szCs w:val="28"/>
          <w:highlight w:val="none"/>
          <w:u w:val="single"/>
        </w:rPr>
        <w:t xml:space="preserve">           （签约后填入 ）                      </w:t>
      </w:r>
    </w:p>
    <w:p w14:paraId="1DD9C2EE">
      <w:pPr>
        <w:spacing w:line="360" w:lineRule="auto"/>
        <w:jc w:val="center"/>
        <w:rPr>
          <w:rFonts w:hint="eastAsia" w:ascii="宋体" w:hAnsi="宋体" w:eastAsia="宋体" w:cs="宋体"/>
          <w:b/>
          <w:color w:val="auto"/>
          <w:sz w:val="24"/>
          <w:highlight w:val="none"/>
        </w:rPr>
      </w:pPr>
      <w:r>
        <w:rPr>
          <w:rFonts w:hint="eastAsia" w:ascii="宋体" w:hAnsi="宋体" w:eastAsia="宋体" w:cs="宋体"/>
          <w:color w:val="auto"/>
          <w:highlight w:val="none"/>
        </w:rPr>
        <w:br w:type="page"/>
      </w:r>
      <w:r>
        <w:rPr>
          <w:rFonts w:hint="eastAsia" w:ascii="宋体" w:hAnsi="宋体" w:eastAsia="宋体" w:cs="宋体"/>
          <w:b/>
          <w:color w:val="auto"/>
          <w:sz w:val="24"/>
          <w:highlight w:val="none"/>
        </w:rPr>
        <w:t>建设工程服务合同</w:t>
      </w:r>
    </w:p>
    <w:p w14:paraId="0E1EE3C9">
      <w:pPr>
        <w:spacing w:line="360" w:lineRule="auto"/>
        <w:rPr>
          <w:rFonts w:hint="eastAsia" w:ascii="宋体" w:hAnsi="宋体" w:eastAsia="宋体" w:cs="宋体"/>
          <w:color w:val="auto"/>
          <w:highlight w:val="none"/>
        </w:rPr>
      </w:pPr>
    </w:p>
    <w:p w14:paraId="6718A17F">
      <w:pPr>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发包人：</w:t>
      </w:r>
      <w:r>
        <w:rPr>
          <w:rFonts w:hint="eastAsia" w:ascii="宋体" w:hAnsi="宋体" w:eastAsia="宋体" w:cs="宋体"/>
          <w:color w:val="auto"/>
          <w:sz w:val="22"/>
          <w:szCs w:val="22"/>
          <w:highlight w:val="none"/>
          <w:u w:val="single"/>
        </w:rPr>
        <w:t xml:space="preserve">滁州市公路管理服务中心     </w:t>
      </w:r>
      <w:r>
        <w:rPr>
          <w:rFonts w:hint="eastAsia" w:ascii="宋体" w:hAnsi="宋体" w:eastAsia="宋体" w:cs="宋体"/>
          <w:color w:val="auto"/>
          <w:sz w:val="22"/>
          <w:szCs w:val="22"/>
          <w:highlight w:val="none"/>
        </w:rPr>
        <w:t xml:space="preserve">  </w:t>
      </w:r>
    </w:p>
    <w:p w14:paraId="5751D42B">
      <w:pPr>
        <w:spacing w:line="360" w:lineRule="auto"/>
        <w:ind w:firstLine="440" w:firstLineChars="200"/>
        <w:rPr>
          <w:rFonts w:hint="eastAsia" w:ascii="宋体" w:hAnsi="宋体" w:eastAsia="宋体" w:cs="宋体"/>
          <w:color w:val="auto"/>
          <w:sz w:val="22"/>
          <w:szCs w:val="22"/>
          <w:highlight w:val="none"/>
          <w:u w:val="single"/>
        </w:rPr>
      </w:pPr>
      <w:r>
        <w:rPr>
          <w:rFonts w:hint="eastAsia" w:ascii="宋体" w:hAnsi="宋体" w:eastAsia="宋体" w:cs="宋体"/>
          <w:color w:val="auto"/>
          <w:sz w:val="22"/>
          <w:szCs w:val="22"/>
          <w:highlight w:val="none"/>
        </w:rPr>
        <w:t>承包人：</w:t>
      </w:r>
      <w:r>
        <w:rPr>
          <w:rFonts w:hint="eastAsia" w:ascii="宋体" w:hAnsi="宋体" w:eastAsia="宋体" w:cs="宋体"/>
          <w:color w:val="auto"/>
          <w:sz w:val="22"/>
          <w:szCs w:val="22"/>
          <w:highlight w:val="none"/>
          <w:u w:val="single"/>
        </w:rPr>
        <w:t xml:space="preserve">（签约后填入 ）               </w:t>
      </w:r>
    </w:p>
    <w:p w14:paraId="509F15FB">
      <w:pPr>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发包人委托承包人承担</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rPr>
        <w:t>服务工作，工程地点为</w:t>
      </w:r>
      <w:r>
        <w:rPr>
          <w:rFonts w:hint="eastAsia" w:ascii="宋体" w:hAnsi="宋体" w:eastAsia="宋体" w:cs="宋体"/>
          <w:color w:val="auto"/>
          <w:sz w:val="22"/>
          <w:szCs w:val="22"/>
          <w:highlight w:val="none"/>
          <w:u w:val="single"/>
        </w:rPr>
        <w:t xml:space="preserve"> 安徽滁州市  </w:t>
      </w:r>
      <w:r>
        <w:rPr>
          <w:rFonts w:hint="eastAsia" w:ascii="宋体" w:hAnsi="宋体" w:eastAsia="宋体" w:cs="宋体"/>
          <w:color w:val="auto"/>
          <w:sz w:val="22"/>
          <w:szCs w:val="22"/>
          <w:highlight w:val="none"/>
        </w:rPr>
        <w:t>，经双方协商一致，签订本合，共同执行。</w:t>
      </w:r>
    </w:p>
    <w:p w14:paraId="15AC955B">
      <w:pPr>
        <w:spacing w:line="52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根据《中华人民共和国民法典》及国家有关法规规定，结合本工程的具体情况，为明确责任、协作配合，确保工程设计质量，经发包人、承包人协商一致，签订本合同，共同遵守。</w:t>
      </w:r>
    </w:p>
    <w:p w14:paraId="0B8B88E2">
      <w:pPr>
        <w:spacing w:line="520" w:lineRule="exact"/>
        <w:ind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第一条 工程概况</w:t>
      </w:r>
    </w:p>
    <w:p w14:paraId="2267A770">
      <w:pPr>
        <w:spacing w:line="520" w:lineRule="exact"/>
        <w:ind w:firstLine="440" w:firstLineChars="200"/>
        <w:rPr>
          <w:rFonts w:hint="eastAsia" w:ascii="宋体" w:hAnsi="宋体" w:eastAsia="宋体" w:cs="宋体"/>
          <w:color w:val="auto"/>
          <w:sz w:val="22"/>
          <w:szCs w:val="22"/>
          <w:highlight w:val="none"/>
          <w:u w:val="single"/>
        </w:rPr>
      </w:pPr>
      <w:r>
        <w:rPr>
          <w:rFonts w:hint="eastAsia" w:ascii="宋体" w:hAnsi="宋体" w:eastAsia="宋体" w:cs="宋体"/>
          <w:color w:val="auto"/>
          <w:sz w:val="22"/>
          <w:szCs w:val="22"/>
          <w:highlight w:val="none"/>
        </w:rPr>
        <w:t>1.1工程名称：</w:t>
      </w:r>
      <w:r>
        <w:rPr>
          <w:rFonts w:hint="eastAsia" w:ascii="宋体" w:hAnsi="宋体" w:eastAsia="宋体" w:cs="宋体"/>
          <w:b/>
          <w:bCs/>
          <w:color w:val="auto"/>
          <w:sz w:val="22"/>
          <w:szCs w:val="22"/>
          <w:highlight w:val="none"/>
          <w:u w:val="single"/>
          <w:lang w:val="en-US" w:eastAsia="zh-CN"/>
        </w:rPr>
        <w:t xml:space="preserve">                     </w:t>
      </w:r>
      <w:r>
        <w:rPr>
          <w:rFonts w:hint="eastAsia" w:ascii="宋体" w:hAnsi="宋体" w:eastAsia="宋体" w:cs="宋体"/>
          <w:color w:val="auto"/>
          <w:sz w:val="22"/>
          <w:szCs w:val="22"/>
          <w:highlight w:val="none"/>
          <w:u w:val="single"/>
        </w:rPr>
        <w:t xml:space="preserve">   </w:t>
      </w:r>
    </w:p>
    <w:bookmarkEnd w:id="35"/>
    <w:bookmarkEnd w:id="36"/>
    <w:bookmarkEnd w:id="37"/>
    <w:bookmarkEnd w:id="38"/>
    <w:p w14:paraId="3123BB1B">
      <w:pPr>
        <w:spacing w:line="520" w:lineRule="exact"/>
        <w:ind w:firstLine="440" w:firstLineChars="200"/>
        <w:rPr>
          <w:rFonts w:hint="eastAsia" w:ascii="宋体" w:hAnsi="宋体" w:eastAsia="宋体" w:cs="宋体"/>
          <w:color w:val="auto"/>
          <w:sz w:val="22"/>
          <w:szCs w:val="22"/>
          <w:highlight w:val="none"/>
          <w:u w:val="single"/>
        </w:rPr>
      </w:pPr>
      <w:r>
        <w:rPr>
          <w:rFonts w:hint="eastAsia" w:ascii="宋体" w:hAnsi="宋体" w:eastAsia="宋体" w:cs="宋体"/>
          <w:color w:val="auto"/>
          <w:sz w:val="22"/>
          <w:szCs w:val="22"/>
          <w:highlight w:val="none"/>
        </w:rPr>
        <w:t>1.2工程建设地点：</w:t>
      </w:r>
      <w:r>
        <w:rPr>
          <w:rFonts w:hint="eastAsia" w:ascii="宋体" w:hAnsi="宋体" w:eastAsia="宋体" w:cs="宋体"/>
          <w:color w:val="auto"/>
          <w:sz w:val="22"/>
          <w:szCs w:val="22"/>
          <w:highlight w:val="none"/>
          <w:u w:val="single"/>
        </w:rPr>
        <w:t xml:space="preserve"> 安徽省滁州市 </w:t>
      </w:r>
    </w:p>
    <w:p w14:paraId="2B354780">
      <w:pPr>
        <w:spacing w:line="52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1.3工程规模、特征：</w:t>
      </w:r>
      <w:r>
        <w:rPr>
          <w:rFonts w:hint="eastAsia" w:ascii="宋体" w:hAnsi="宋体" w:eastAsia="宋体" w:cs="宋体"/>
          <w:color w:val="auto"/>
          <w:sz w:val="22"/>
          <w:szCs w:val="22"/>
          <w:highlight w:val="none"/>
          <w:u w:val="single"/>
        </w:rPr>
        <w:t xml:space="preserve">   待定     </w:t>
      </w:r>
    </w:p>
    <w:p w14:paraId="467EF70C">
      <w:pPr>
        <w:spacing w:line="520" w:lineRule="exact"/>
        <w:ind w:firstLine="440" w:firstLineChars="200"/>
        <w:rPr>
          <w:rFonts w:hint="eastAsia" w:ascii="宋体" w:hAnsi="宋体" w:eastAsia="宋体" w:cs="宋体"/>
          <w:color w:val="auto"/>
          <w:sz w:val="22"/>
          <w:szCs w:val="22"/>
          <w:highlight w:val="none"/>
          <w:u w:val="single"/>
        </w:rPr>
      </w:pPr>
      <w:r>
        <w:rPr>
          <w:rFonts w:hint="eastAsia" w:ascii="宋体" w:hAnsi="宋体" w:eastAsia="宋体" w:cs="宋体"/>
          <w:color w:val="auto"/>
          <w:sz w:val="22"/>
          <w:szCs w:val="22"/>
          <w:highlight w:val="none"/>
        </w:rPr>
        <w:t>1.4工程勘察设计任务委托文号、日期：</w:t>
      </w:r>
      <w:r>
        <w:rPr>
          <w:rFonts w:hint="eastAsia" w:ascii="宋体" w:hAnsi="宋体" w:eastAsia="宋体" w:cs="宋体"/>
          <w:color w:val="auto"/>
          <w:sz w:val="22"/>
          <w:szCs w:val="22"/>
          <w:highlight w:val="none"/>
          <w:u w:val="single"/>
        </w:rPr>
        <w:t xml:space="preserve">    </w:t>
      </w:r>
    </w:p>
    <w:p w14:paraId="76A102ED">
      <w:pPr>
        <w:spacing w:line="520" w:lineRule="exact"/>
        <w:ind w:firstLine="440" w:firstLineChars="200"/>
        <w:rPr>
          <w:rFonts w:hint="eastAsia" w:ascii="宋体" w:hAnsi="宋体" w:eastAsia="宋体" w:cs="宋体"/>
          <w:color w:val="auto"/>
          <w:sz w:val="22"/>
          <w:szCs w:val="22"/>
          <w:highlight w:val="none"/>
          <w:u w:val="single"/>
        </w:rPr>
      </w:pPr>
      <w:r>
        <w:rPr>
          <w:rFonts w:hint="eastAsia" w:ascii="宋体" w:hAnsi="宋体" w:eastAsia="宋体" w:cs="宋体"/>
          <w:color w:val="auto"/>
          <w:sz w:val="22"/>
          <w:szCs w:val="22"/>
          <w:highlight w:val="none"/>
        </w:rPr>
        <w:t>1.5工程勘察设计任务(内容)与技术要求：</w:t>
      </w:r>
      <w:r>
        <w:rPr>
          <w:rFonts w:hint="eastAsia" w:ascii="宋体" w:hAnsi="宋体" w:eastAsia="宋体" w:cs="宋体"/>
          <w:color w:val="auto"/>
          <w:sz w:val="22"/>
          <w:szCs w:val="22"/>
          <w:highlight w:val="none"/>
          <w:u w:val="single"/>
        </w:rPr>
        <w:t xml:space="preserve">  任务满足施工图设计需要，符合国有最新相关技术规范要求          </w:t>
      </w:r>
    </w:p>
    <w:p w14:paraId="392E3EE5">
      <w:pPr>
        <w:spacing w:line="520" w:lineRule="exact"/>
        <w:ind w:firstLine="440" w:firstLineChars="200"/>
        <w:rPr>
          <w:rFonts w:hint="eastAsia" w:ascii="宋体" w:hAnsi="宋体" w:eastAsia="宋体" w:cs="宋体"/>
          <w:b/>
          <w:color w:val="auto"/>
          <w:sz w:val="22"/>
          <w:szCs w:val="22"/>
          <w:highlight w:val="none"/>
          <w:u w:val="single"/>
        </w:rPr>
      </w:pPr>
      <w:r>
        <w:rPr>
          <w:rFonts w:hint="eastAsia" w:ascii="宋体" w:hAnsi="宋体" w:eastAsia="宋体" w:cs="宋体"/>
          <w:color w:val="auto"/>
          <w:sz w:val="22"/>
          <w:szCs w:val="22"/>
          <w:highlight w:val="none"/>
        </w:rPr>
        <w:t>1.6承接方式：</w:t>
      </w:r>
      <w:r>
        <w:rPr>
          <w:rFonts w:hint="eastAsia" w:ascii="宋体" w:hAnsi="宋体" w:eastAsia="宋体" w:cs="宋体"/>
          <w:color w:val="auto"/>
          <w:sz w:val="22"/>
          <w:szCs w:val="22"/>
          <w:highlight w:val="none"/>
          <w:u w:val="single"/>
        </w:rPr>
        <w:t>固定</w:t>
      </w:r>
      <w:r>
        <w:rPr>
          <w:rFonts w:hint="eastAsia" w:ascii="宋体" w:hAnsi="宋体" w:eastAsia="宋体" w:cs="宋体"/>
          <w:color w:val="auto"/>
          <w:sz w:val="22"/>
          <w:szCs w:val="22"/>
          <w:highlight w:val="none"/>
          <w:u w:val="single"/>
          <w:lang w:val="en-US" w:eastAsia="zh-CN"/>
        </w:rPr>
        <w:t>单价</w:t>
      </w:r>
      <w:r>
        <w:rPr>
          <w:rFonts w:hint="eastAsia" w:ascii="宋体" w:hAnsi="宋体" w:eastAsia="宋体" w:cs="宋体"/>
          <w:b/>
          <w:color w:val="auto"/>
          <w:sz w:val="22"/>
          <w:szCs w:val="22"/>
          <w:highlight w:val="none"/>
          <w:u w:val="single"/>
        </w:rPr>
        <w:t>。</w:t>
      </w:r>
    </w:p>
    <w:p w14:paraId="62A939F8">
      <w:pPr>
        <w:spacing w:line="520" w:lineRule="exact"/>
        <w:ind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1.7履约担保金额：</w:t>
      </w:r>
      <w:r>
        <w:rPr>
          <w:rFonts w:hint="eastAsia" w:ascii="宋体" w:hAnsi="宋体" w:eastAsia="宋体" w:cs="宋体"/>
          <w:b/>
          <w:color w:val="auto"/>
          <w:sz w:val="22"/>
          <w:szCs w:val="22"/>
          <w:highlight w:val="none"/>
          <w:u w:val="single"/>
        </w:rPr>
        <w:t xml:space="preserve">     无        。</w:t>
      </w:r>
    </w:p>
    <w:p w14:paraId="70484C68">
      <w:pPr>
        <w:spacing w:line="52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1.8预计勘察设计主要工作量：</w:t>
      </w:r>
      <w:r>
        <w:rPr>
          <w:rFonts w:hint="eastAsia" w:ascii="宋体" w:hAnsi="宋体" w:eastAsia="宋体" w:cs="宋体"/>
          <w:b/>
          <w:color w:val="auto"/>
          <w:sz w:val="22"/>
          <w:szCs w:val="22"/>
          <w:highlight w:val="none"/>
          <w:u w:val="single"/>
        </w:rPr>
        <w:t>任务满足施工图设计需要，符合国有最新相关技术规范要求</w:t>
      </w:r>
    </w:p>
    <w:p w14:paraId="6650FE29">
      <w:pPr>
        <w:spacing w:line="520" w:lineRule="exact"/>
        <w:ind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第二条 发包人应及时向勘察设计人提供下列文件资料，并对其准确性、可靠性负责。</w:t>
      </w:r>
    </w:p>
    <w:p w14:paraId="0494DF8F">
      <w:pPr>
        <w:spacing w:line="52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2.1提供本工程批准文件（复印件），以及用地（附红线范围）、等批件（复印件）。</w:t>
      </w:r>
    </w:p>
    <w:p w14:paraId="0EC998F3">
      <w:pPr>
        <w:spacing w:line="52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2.2提供工程勘察设计任务委托书、技术要求和工作范围的地形图、建筑总平面布置及布孔图。</w:t>
      </w:r>
    </w:p>
    <w:p w14:paraId="4F6FB0FD">
      <w:pPr>
        <w:spacing w:line="52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2.3提供勘察勘察设计工作范围已有的技术资料及工程所需的坐标与标高资料。</w:t>
      </w:r>
    </w:p>
    <w:p w14:paraId="77ECD7EB">
      <w:pPr>
        <w:spacing w:line="52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2.4提供勘察勘察设计工作范围地下已有埋藏物的资料（如电力、电讯电缆、各种管道、人防设施、洞室等）及具体位置分布图。</w:t>
      </w:r>
    </w:p>
    <w:p w14:paraId="2213865F">
      <w:pPr>
        <w:spacing w:line="52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2.5发包人不能向勘察设计人提供上述资料，由勘察设计人自行收集，发包人可以配合。</w:t>
      </w:r>
    </w:p>
    <w:p w14:paraId="13C8C16F">
      <w:pPr>
        <w:spacing w:line="520" w:lineRule="exact"/>
        <w:ind w:firstLine="433" w:firstLineChars="196"/>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第三条 勘察设计人向发包人提交勘察设计成果资料并对其质量负责。</w:t>
      </w:r>
    </w:p>
    <w:p w14:paraId="72902FF0">
      <w:pPr>
        <w:spacing w:line="52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勘察设计人负责向发包人提交合格的勘察设计成果资料陆份，电子版一份，发包人要求增加的份数另行收费。</w:t>
      </w:r>
    </w:p>
    <w:p w14:paraId="608A365A">
      <w:pPr>
        <w:spacing w:line="52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求按照国家标准和安徽省滁州市当地相关标准要求和勘察组织设计执行 。</w:t>
      </w:r>
    </w:p>
    <w:p w14:paraId="06DFA891">
      <w:pPr>
        <w:spacing w:line="520" w:lineRule="exact"/>
        <w:ind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第四条 开工及提交勘察设计成果资料的时间和收费标准及付费方式。</w:t>
      </w:r>
    </w:p>
    <w:p w14:paraId="5651DE5C">
      <w:pPr>
        <w:spacing w:line="52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4.1开工及提交勘察设计成果资料的时间。</w:t>
      </w:r>
    </w:p>
    <w:p w14:paraId="04623A2A">
      <w:pPr>
        <w:spacing w:line="52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4.1.1接到通知后</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rPr>
        <w:t>天内完成全部勘察设计工作并提交勘察设计成果资料及合格的设计文件；由于发包人或勘察设计人的原因未能按期开工或提交成果资料时，按本合同第六条规定办理。</w:t>
      </w:r>
    </w:p>
    <w:p w14:paraId="217ABC9D">
      <w:pPr>
        <w:spacing w:line="52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4.1.2勘察设计工作有效期限以发包人下达的开工通知书或合同规定的时间为准，如遇特殊情况（设计变更、工作量变化、不可抗力影响以及非勘察设计人原因造成的停、窝工等）时，工期顺延，费用不增加。</w:t>
      </w:r>
    </w:p>
    <w:p w14:paraId="59149C76">
      <w:pPr>
        <w:spacing w:line="52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4.2收费标准</w:t>
      </w:r>
    </w:p>
    <w:p w14:paraId="5F5DC811">
      <w:pPr>
        <w:widowControl/>
        <w:spacing w:line="400" w:lineRule="exact"/>
        <w:ind w:firstLine="442" w:firstLineChars="200"/>
        <w:rPr>
          <w:rFonts w:hint="eastAsia"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rPr>
        <w:t>固定总价</w:t>
      </w:r>
      <w:r>
        <w:rPr>
          <w:rFonts w:hint="eastAsia" w:ascii="宋体" w:hAnsi="宋体" w:eastAsia="宋体" w:cs="宋体"/>
          <w:b/>
          <w:color w:val="auto"/>
          <w:sz w:val="22"/>
          <w:szCs w:val="22"/>
          <w:highlight w:val="none"/>
          <w:lang w:val="en-US" w:eastAsia="zh-CN"/>
        </w:rPr>
        <w:t>:</w:t>
      </w:r>
    </w:p>
    <w:p w14:paraId="4ECF11C3">
      <w:pPr>
        <w:spacing w:line="520" w:lineRule="exact"/>
        <w:ind w:firstLine="433" w:firstLineChars="196"/>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设计费中含工程勘察、测量、方案设计及施工图设计、预算等全部费用。</w:t>
      </w:r>
    </w:p>
    <w:p w14:paraId="275FE181">
      <w:pPr>
        <w:spacing w:line="52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4.3付款方式</w:t>
      </w:r>
    </w:p>
    <w:p w14:paraId="11F770EB">
      <w:pPr>
        <w:spacing w:line="520" w:lineRule="exact"/>
        <w:ind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第五条 发包人、勘察设计人责任</w:t>
      </w:r>
    </w:p>
    <w:p w14:paraId="792BA5F6">
      <w:pPr>
        <w:spacing w:line="52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5.1发包人责任</w:t>
      </w:r>
    </w:p>
    <w:p w14:paraId="6B1A6EE3">
      <w:pPr>
        <w:spacing w:line="52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5.1.1发包人委托任务时，必须以书面形式向勘察设计人明确设计任务及技术要求，并按第二条规定提供文件资料。</w:t>
      </w:r>
    </w:p>
    <w:p w14:paraId="6AB3C0E1">
      <w:pPr>
        <w:spacing w:line="52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5.1.2在勘察设计工作范围内，没有资料、图纸的地区（段），发包人应负责查清地下埋藏物，若因未提供上述资料、图纸，或提供的资料图纸不可靠、地下埋藏物不清，致使勘察设计人在勘察设计工作过程中发生人身伤害或造成经济损失时，由发包人承担民事责任。</w:t>
      </w:r>
    </w:p>
    <w:p w14:paraId="4BD7D9E3">
      <w:pPr>
        <w:spacing w:line="52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5.1.3发包人应落实土地征用、青苗树木赔偿、水电驳接口（施工用水、用电及管线费用由乙方承担）问题。</w:t>
      </w:r>
    </w:p>
    <w:p w14:paraId="704742BF">
      <w:pPr>
        <w:spacing w:line="52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5.1.4负责组织勘察勘察设计成果资料审查。</w:t>
      </w:r>
    </w:p>
    <w:p w14:paraId="64551555">
      <w:pPr>
        <w:spacing w:line="52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5.2勘察设计人责任</w:t>
      </w:r>
    </w:p>
    <w:p w14:paraId="230F034E">
      <w:pPr>
        <w:spacing w:line="52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5.2.1勘察设计人应按国家技术规范、标准、规程和发包人的任务委托书要求进行工程设计，按本合同规定的时间提交质量合格的勘察设计成果资料，并对其负责。</w:t>
      </w:r>
    </w:p>
    <w:p w14:paraId="61251DB5">
      <w:pPr>
        <w:spacing w:line="52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5.2.2由于勘察设计人提供的勘察设计成果资料质量不合格，勘察设计人应负责无偿给予补充完善使其达到质量合格。若勘察设计人无力补充完善，需委托其他单位时，勘察设计人应承担全部勘察设计费用；或因设计质量造成重大经济损失或工程事故时，勘察设计人除应负法律责任和免收直接受损失部分的勘察设计费外，并根据损失程度向发包人支付赔偿金。</w:t>
      </w:r>
    </w:p>
    <w:p w14:paraId="21F2065B">
      <w:pPr>
        <w:spacing w:line="52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5.2.3在工程勘察设计前，提出勘察设计纲要或勘察组织设计，派人与发包人的人员一起验收发包人提供的材料。</w:t>
      </w:r>
    </w:p>
    <w:p w14:paraId="5E0D8EEA">
      <w:pPr>
        <w:spacing w:line="52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5.2.4勘察设计过程中，根据工程的岩土工程条件（或工作现场地形地貌、地质和水文地质条件）及技术规范要求，向发包人提出增减工作量或修改勘察设计工作的意见，并办理正式变更手续。</w:t>
      </w:r>
    </w:p>
    <w:p w14:paraId="759380D3">
      <w:pPr>
        <w:spacing w:line="52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5.2.5在现场工作的勘察设计人的人员，应遵守发包人的安全保卫及其它有关的规章制度，承担其有关资料保密义务，因勘察设计人原因造成的安全事故以及给发包人带来损失，由勘察设计人负责及赔偿。</w:t>
      </w:r>
    </w:p>
    <w:p w14:paraId="13F860A9">
      <w:pPr>
        <w:spacing w:line="52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5.2.6本合同有关条款规定和补充协议中勘察设计人应负的其它责任。</w:t>
      </w:r>
    </w:p>
    <w:p w14:paraId="267D6423">
      <w:pPr>
        <w:spacing w:line="52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5.2.7 在工程建设过程中按国家规定勘察设计人应参与基础工程验槽及工程竣工验收备案签字盖章等手续，同时确保勘察设计图纸顺利通过图审。</w:t>
      </w:r>
    </w:p>
    <w:p w14:paraId="1B61440B">
      <w:pPr>
        <w:spacing w:line="520" w:lineRule="exact"/>
        <w:ind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第六条 违约责任</w:t>
      </w:r>
    </w:p>
    <w:p w14:paraId="521593DB">
      <w:pPr>
        <w:spacing w:line="52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6.1由于勘察设计人原因造成勘察设计成果资料质量不合格或与实际情况不符，不能满足技术要求时，其勘察设计返工费用由勘察设计人承担，并承担因此给甲方造成的损失。</w:t>
      </w:r>
    </w:p>
    <w:p w14:paraId="395CF7E4">
      <w:pPr>
        <w:spacing w:line="52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6.3由于勘察设计人原因未按合同规定时间（日期）提交勘察设计成果资料，每超过一日，应减收勘察设计费1%，如延期超过15日，发包人有权单方面解除合同，并要求勘察设计人承担违约责任。</w:t>
      </w:r>
    </w:p>
    <w:p w14:paraId="19B65EC6">
      <w:pPr>
        <w:spacing w:line="52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6.3勘察设计人不得将该项目转让或分包，如发包方发现勘察设计人在招投标文件中提供的人员与实际人员不一致，视为勘察设计人分包，发包方有权单方面解除合同，并要求承包方承担违约责任。</w:t>
      </w:r>
    </w:p>
    <w:p w14:paraId="3D171339">
      <w:pPr>
        <w:spacing w:line="52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6.4勘察设计人提供的服务完成后，未通过相关验收，发包方有权责令其返工一次，返工费用由勘察设计人自行承担，如仍未能通过验收，发包方有权单方面解除合同，并要求勘察设计人承担返工产生的一切费用。</w:t>
      </w:r>
    </w:p>
    <w:p w14:paraId="72049A7B">
      <w:pPr>
        <w:spacing w:line="52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6.5勘察设计人在项目实施期间，未按照合同约定实施，发包人有权要求其改正一次，不按期整改的，发包方有权解除合同，并要求勘察设计人承担返工产生的一切费用。</w:t>
      </w:r>
    </w:p>
    <w:p w14:paraId="38B1C0CE">
      <w:pPr>
        <w:spacing w:line="52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6.6发包人未按照合同约定支付工程款、或逾期支付工程款达三个月之久，勘察设计人</w:t>
      </w:r>
    </w:p>
    <w:p w14:paraId="568BC675">
      <w:pPr>
        <w:spacing w:line="52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有权解除合同，并要求发包人承担违约责任。</w:t>
      </w:r>
    </w:p>
    <w:p w14:paraId="17C3E5B4">
      <w:pPr>
        <w:spacing w:line="520" w:lineRule="exact"/>
        <w:ind w:firstLine="442" w:firstLineChars="200"/>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6.7项目的设计变更，自项目办发函之日起，设计单位须于5日内出具变更文件，每超出1日，处罚500元。</w:t>
      </w:r>
    </w:p>
    <w:p w14:paraId="32F68FE1">
      <w:pPr>
        <w:spacing w:line="520" w:lineRule="exact"/>
        <w:ind w:firstLine="433" w:firstLineChars="196"/>
        <w:rPr>
          <w:rFonts w:hint="eastAsia" w:ascii="宋体" w:hAnsi="宋体" w:eastAsia="宋体" w:cs="宋体"/>
          <w:color w:val="auto"/>
          <w:sz w:val="22"/>
          <w:szCs w:val="22"/>
          <w:highlight w:val="none"/>
        </w:rPr>
      </w:pPr>
      <w:r>
        <w:rPr>
          <w:rFonts w:hint="eastAsia" w:ascii="宋体" w:hAnsi="宋体" w:eastAsia="宋体" w:cs="宋体"/>
          <w:b/>
          <w:color w:val="auto"/>
          <w:sz w:val="22"/>
          <w:szCs w:val="22"/>
          <w:highlight w:val="none"/>
        </w:rPr>
        <w:t>第七条 本合同发生争议</w:t>
      </w:r>
      <w:r>
        <w:rPr>
          <w:rFonts w:hint="eastAsia" w:ascii="宋体" w:hAnsi="宋体" w:eastAsia="宋体" w:cs="宋体"/>
          <w:color w:val="auto"/>
          <w:sz w:val="22"/>
          <w:szCs w:val="22"/>
          <w:highlight w:val="none"/>
        </w:rPr>
        <w:t>，</w:t>
      </w:r>
    </w:p>
    <w:p w14:paraId="56CC5601">
      <w:pPr>
        <w:spacing w:line="520" w:lineRule="exact"/>
        <w:ind w:firstLine="431" w:firstLineChars="196"/>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发包人、勘察设计人应及时协商解决，也可由当地建设行政主管部门调解，协商或定调解不成时，发包人、勘察设计人同意滁州仲裁委员会仲裁。发包人、勘察设计人未在本合同中约仲裁机构，事后又未达成书面仲裁协议的，可向人民法院起诉。</w:t>
      </w:r>
    </w:p>
    <w:p w14:paraId="79D86380">
      <w:pPr>
        <w:spacing w:line="520" w:lineRule="exact"/>
        <w:ind w:firstLine="433" w:firstLineChars="196"/>
        <w:rPr>
          <w:rFonts w:hint="eastAsia" w:ascii="宋体" w:hAnsi="宋体" w:eastAsia="宋体" w:cs="宋体"/>
          <w:color w:val="auto"/>
          <w:sz w:val="22"/>
          <w:szCs w:val="22"/>
          <w:highlight w:val="none"/>
        </w:rPr>
      </w:pPr>
      <w:r>
        <w:rPr>
          <w:rFonts w:hint="eastAsia" w:ascii="宋体" w:hAnsi="宋体" w:eastAsia="宋体" w:cs="宋体"/>
          <w:b/>
          <w:color w:val="auto"/>
          <w:sz w:val="22"/>
          <w:szCs w:val="22"/>
          <w:highlight w:val="none"/>
        </w:rPr>
        <w:t>第八条 其它约定事项</w:t>
      </w:r>
    </w:p>
    <w:p w14:paraId="7C087468">
      <w:pPr>
        <w:spacing w:line="52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8.1勘察设计人应重视安全工作，因勘察设计人原因造成的安全事故，由勘察设计人负责；</w:t>
      </w:r>
    </w:p>
    <w:p w14:paraId="4BF858B5">
      <w:pPr>
        <w:spacing w:line="52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8.2勘察设计人提供的勘察报告，需有勘察设计人的报告专用章；</w:t>
      </w:r>
    </w:p>
    <w:p w14:paraId="3B540847">
      <w:pPr>
        <w:spacing w:line="52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8.3甲方支付勘察设计费需以转帐方式转入乙方帐户，不得现金支付；</w:t>
      </w:r>
    </w:p>
    <w:p w14:paraId="0A0DACA6">
      <w:pPr>
        <w:spacing w:line="52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8.4每次付款前，勘察设计人需提供与所付款等额的正规发票。</w:t>
      </w:r>
    </w:p>
    <w:p w14:paraId="58AD9DD4">
      <w:pPr>
        <w:spacing w:line="520" w:lineRule="exact"/>
        <w:ind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第九条 本合同自发包人、勘察设计人签字盖章后生效；按规定到省级建设行政主管部门规定的审查部门备案；发包人、勘察设计人认为必要时，到项目所在地工商行政管理部门申请鉴证。发包人、勘察设计人履行完合同规定的义务后，本合同终止。</w:t>
      </w:r>
    </w:p>
    <w:p w14:paraId="7F281F0F">
      <w:pPr>
        <w:spacing w:line="520" w:lineRule="exact"/>
        <w:ind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本合同一式</w:t>
      </w:r>
      <w:r>
        <w:rPr>
          <w:rFonts w:hint="eastAsia" w:ascii="宋体" w:hAnsi="宋体" w:eastAsia="宋体" w:cs="宋体"/>
          <w:b/>
          <w:color w:val="auto"/>
          <w:sz w:val="22"/>
          <w:szCs w:val="22"/>
          <w:highlight w:val="none"/>
          <w:lang w:val="en-US" w:eastAsia="zh-CN"/>
        </w:rPr>
        <w:t>伍</w:t>
      </w:r>
      <w:r>
        <w:rPr>
          <w:rFonts w:hint="eastAsia" w:ascii="宋体" w:hAnsi="宋体" w:eastAsia="宋体" w:cs="宋体"/>
          <w:b/>
          <w:color w:val="auto"/>
          <w:sz w:val="22"/>
          <w:szCs w:val="22"/>
          <w:highlight w:val="none"/>
        </w:rPr>
        <w:t>份，均具有同等法律效力，发包人执贰份，承包人执叁份。</w:t>
      </w:r>
    </w:p>
    <w:p w14:paraId="6F6593C5">
      <w:pPr>
        <w:rPr>
          <w:rFonts w:hint="eastAsia" w:ascii="宋体" w:hAnsi="宋体" w:eastAsia="宋体" w:cs="宋体"/>
          <w:color w:val="auto"/>
          <w:highlight w:val="none"/>
        </w:rPr>
      </w:pPr>
    </w:p>
    <w:p w14:paraId="3A10A8BE">
      <w:pPr>
        <w:spacing w:line="360" w:lineRule="auto"/>
        <w:ind w:left="630" w:leftChars="300" w:firstLine="220" w:firstLineChars="1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发包人名称：                             勘察人名称：</w:t>
      </w:r>
    </w:p>
    <w:p w14:paraId="29051C04">
      <w:pPr>
        <w:spacing w:line="360" w:lineRule="auto"/>
        <w:ind w:left="630" w:leftChars="3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（盖单位公章）                           （盖单位公章）</w:t>
      </w:r>
    </w:p>
    <w:p w14:paraId="22B5CC88">
      <w:pPr>
        <w:spacing w:line="360" w:lineRule="auto"/>
        <w:ind w:left="630" w:leftChars="300" w:firstLine="110" w:firstLineChars="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法定代表人：（签字）                       法定代表人：（签字）</w:t>
      </w:r>
    </w:p>
    <w:p w14:paraId="0C5C10B9">
      <w:pPr>
        <w:spacing w:line="360" w:lineRule="auto"/>
        <w:ind w:left="630" w:leftChars="300" w:firstLine="110" w:firstLineChars="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委托代理人：（签字）                       委托代理人：（签字）</w:t>
      </w:r>
    </w:p>
    <w:p w14:paraId="2E63D11C">
      <w:pPr>
        <w:spacing w:line="360" w:lineRule="auto"/>
        <w:ind w:left="630" w:leftChars="300" w:firstLine="110" w:firstLineChars="50"/>
        <w:rPr>
          <w:rFonts w:hint="eastAsia" w:ascii="宋体" w:hAnsi="宋体" w:eastAsia="宋体" w:cs="宋体"/>
          <w:color w:val="auto"/>
          <w:spacing w:val="-20"/>
          <w:sz w:val="22"/>
          <w:szCs w:val="22"/>
          <w:highlight w:val="none"/>
        </w:rPr>
      </w:pPr>
      <w:r>
        <w:rPr>
          <w:rFonts w:hint="eastAsia" w:ascii="宋体" w:hAnsi="宋体" w:eastAsia="宋体" w:cs="宋体"/>
          <w:color w:val="auto"/>
          <w:sz w:val="22"/>
          <w:szCs w:val="22"/>
          <w:highlight w:val="none"/>
        </w:rPr>
        <w:t>住所：                                    住所：</w:t>
      </w:r>
    </w:p>
    <w:p w14:paraId="00C39367">
      <w:pPr>
        <w:spacing w:line="360" w:lineRule="auto"/>
        <w:ind w:left="630" w:leftChars="300" w:firstLine="110" w:firstLineChars="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邮政编码：                                邮政编码：</w:t>
      </w:r>
    </w:p>
    <w:p w14:paraId="1A909F76">
      <w:pPr>
        <w:spacing w:line="360" w:lineRule="auto"/>
        <w:ind w:left="630" w:leftChars="300" w:firstLine="110" w:firstLineChars="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电话：                                    电话：</w:t>
      </w:r>
    </w:p>
    <w:p w14:paraId="76585093">
      <w:pPr>
        <w:spacing w:line="360" w:lineRule="auto"/>
        <w:ind w:left="630" w:leftChars="300" w:firstLine="110" w:firstLineChars="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传真：                                    传真：</w:t>
      </w:r>
    </w:p>
    <w:p w14:paraId="204BC383">
      <w:pPr>
        <w:spacing w:line="360" w:lineRule="auto"/>
        <w:ind w:left="630" w:leftChars="300" w:firstLine="110" w:firstLineChars="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开户银行：                                开户银行：</w:t>
      </w:r>
    </w:p>
    <w:p w14:paraId="7FDD7BDB">
      <w:pPr>
        <w:spacing w:line="360" w:lineRule="auto"/>
        <w:ind w:left="630" w:leftChars="300" w:firstLine="110" w:firstLineChars="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银行帐号：                                银行帐号：</w:t>
      </w:r>
    </w:p>
    <w:p w14:paraId="266E2B1C">
      <w:pPr>
        <w:pStyle w:val="2"/>
        <w:spacing w:before="156" w:beforeLines="50" w:after="156" w:afterLines="50"/>
        <w:rPr>
          <w:rFonts w:hint="eastAsia" w:ascii="宋体" w:hAnsi="宋体" w:eastAsia="宋体" w:cs="宋体"/>
          <w:color w:val="auto"/>
          <w:sz w:val="36"/>
          <w:szCs w:val="36"/>
          <w:highlight w:val="none"/>
        </w:rPr>
      </w:pPr>
    </w:p>
    <w:p w14:paraId="57B2F560">
      <w:pPr>
        <w:pStyle w:val="24"/>
        <w:ind w:firstLine="420"/>
        <w:rPr>
          <w:rFonts w:hAnsi="宋体" w:cs="宋体"/>
          <w:color w:val="auto"/>
          <w:highlight w:val="none"/>
        </w:rPr>
      </w:pPr>
    </w:p>
    <w:p w14:paraId="4C672F12">
      <w:pPr>
        <w:spacing w:line="360" w:lineRule="auto"/>
        <w:rPr>
          <w:rFonts w:ascii="宋体" w:hAnsi="宋体" w:eastAsia="宋体" w:cs="宋体"/>
          <w:color w:val="auto"/>
          <w:sz w:val="28"/>
          <w:szCs w:val="27"/>
          <w:highlight w:val="none"/>
        </w:rPr>
      </w:pPr>
      <w:r>
        <w:rPr>
          <w:rFonts w:hint="eastAsia" w:ascii="宋体" w:hAnsi="宋体" w:eastAsia="宋体" w:cs="宋体"/>
          <w:color w:val="auto"/>
          <w:sz w:val="28"/>
          <w:szCs w:val="27"/>
          <w:highlight w:val="none"/>
        </w:rPr>
        <w:br w:type="page"/>
      </w:r>
    </w:p>
    <w:p w14:paraId="337563E9">
      <w:pPr>
        <w:spacing w:line="480" w:lineRule="auto"/>
        <w:jc w:val="center"/>
        <w:rPr>
          <w:rFonts w:ascii="宋体" w:hAnsi="宋体" w:eastAsia="宋体"/>
          <w:b/>
          <w:color w:val="auto"/>
          <w:sz w:val="24"/>
          <w:highlight w:val="none"/>
        </w:rPr>
      </w:pPr>
    </w:p>
    <w:p w14:paraId="60C12D5A">
      <w:pPr>
        <w:spacing w:line="360" w:lineRule="auto"/>
        <w:jc w:val="center"/>
        <w:outlineLvl w:val="0"/>
        <w:rPr>
          <w:rFonts w:asciiTheme="minorEastAsia" w:hAnsiTheme="minorEastAsia" w:eastAsiaTheme="minorEastAsia"/>
          <w:b/>
          <w:color w:val="auto"/>
          <w:sz w:val="28"/>
          <w:highlight w:val="none"/>
        </w:rPr>
      </w:pPr>
      <w:bookmarkStart w:id="39" w:name="_Toc25148"/>
      <w:bookmarkStart w:id="40" w:name="_Toc2430"/>
      <w:bookmarkStart w:id="41" w:name="_Toc9979"/>
      <w:r>
        <w:rPr>
          <w:rFonts w:hint="eastAsia" w:asciiTheme="minorEastAsia" w:hAnsiTheme="minorEastAsia" w:eastAsiaTheme="minorEastAsia"/>
          <w:b/>
          <w:color w:val="auto"/>
          <w:sz w:val="28"/>
          <w:highlight w:val="none"/>
        </w:rPr>
        <w:t>第六章  响应文件格式</w:t>
      </w:r>
      <w:bookmarkEnd w:id="39"/>
      <w:bookmarkEnd w:id="40"/>
      <w:bookmarkEnd w:id="41"/>
    </w:p>
    <w:p w14:paraId="4F7EE13F">
      <w:pPr>
        <w:spacing w:line="900" w:lineRule="exact"/>
        <w:jc w:val="center"/>
        <w:rPr>
          <w:rFonts w:asciiTheme="minorEastAsia" w:hAnsiTheme="minorEastAsia" w:eastAsiaTheme="minorEastAsia"/>
          <w:b/>
          <w:color w:val="auto"/>
          <w:sz w:val="72"/>
          <w:highlight w:val="none"/>
        </w:rPr>
      </w:pPr>
    </w:p>
    <w:p w14:paraId="36C138E1">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响</w:t>
      </w:r>
    </w:p>
    <w:p w14:paraId="01BDF1CE">
      <w:pPr>
        <w:spacing w:line="900" w:lineRule="exact"/>
        <w:jc w:val="center"/>
        <w:rPr>
          <w:rFonts w:asciiTheme="minorEastAsia" w:hAnsiTheme="minorEastAsia" w:eastAsiaTheme="minorEastAsia"/>
          <w:b/>
          <w:color w:val="auto"/>
          <w:sz w:val="72"/>
          <w:highlight w:val="none"/>
        </w:rPr>
      </w:pPr>
    </w:p>
    <w:p w14:paraId="2DCEF41A">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应</w:t>
      </w:r>
    </w:p>
    <w:p w14:paraId="66002F71">
      <w:pPr>
        <w:spacing w:line="900" w:lineRule="exact"/>
        <w:jc w:val="center"/>
        <w:rPr>
          <w:rFonts w:asciiTheme="minorEastAsia" w:hAnsiTheme="minorEastAsia" w:eastAsiaTheme="minorEastAsia"/>
          <w:b/>
          <w:color w:val="auto"/>
          <w:sz w:val="72"/>
          <w:highlight w:val="none"/>
        </w:rPr>
      </w:pPr>
    </w:p>
    <w:p w14:paraId="070FD0BA">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文</w:t>
      </w:r>
    </w:p>
    <w:p w14:paraId="534F91B5">
      <w:pPr>
        <w:spacing w:line="900" w:lineRule="exact"/>
        <w:jc w:val="center"/>
        <w:rPr>
          <w:rFonts w:asciiTheme="minorEastAsia" w:hAnsiTheme="minorEastAsia" w:eastAsiaTheme="minorEastAsia"/>
          <w:b/>
          <w:color w:val="auto"/>
          <w:sz w:val="72"/>
          <w:highlight w:val="none"/>
        </w:rPr>
      </w:pPr>
    </w:p>
    <w:p w14:paraId="67C3B261">
      <w:pPr>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件</w:t>
      </w:r>
    </w:p>
    <w:p w14:paraId="786C2D37">
      <w:pPr>
        <w:spacing w:afterLines="50"/>
        <w:jc w:val="center"/>
        <w:rPr>
          <w:rFonts w:asciiTheme="minorEastAsia" w:hAnsiTheme="minorEastAsia" w:eastAsiaTheme="minorEastAsia"/>
          <w:b/>
          <w:color w:val="auto"/>
          <w:sz w:val="72"/>
          <w:highlight w:val="none"/>
        </w:rPr>
      </w:pPr>
    </w:p>
    <w:p w14:paraId="3C2A06DA">
      <w:pPr>
        <w:spacing w:afterLines="50" w:line="500" w:lineRule="exact"/>
        <w:rPr>
          <w:rFonts w:asciiTheme="minorEastAsia" w:hAnsiTheme="minorEastAsia" w:eastAsiaTheme="minorEastAsia"/>
          <w:b/>
          <w:color w:val="auto"/>
          <w:sz w:val="72"/>
          <w:highlight w:val="none"/>
        </w:rPr>
      </w:pPr>
    </w:p>
    <w:p w14:paraId="19DDD8EA">
      <w:pPr>
        <w:spacing w:afterLines="50" w:line="500" w:lineRule="exact"/>
        <w:jc w:val="center"/>
        <w:rPr>
          <w:rFonts w:asciiTheme="minorEastAsia" w:hAnsiTheme="minorEastAsia" w:eastAsiaTheme="minorEastAsia"/>
          <w:b/>
          <w:color w:val="auto"/>
          <w:sz w:val="28"/>
          <w:szCs w:val="28"/>
          <w:highlight w:val="none"/>
        </w:rPr>
      </w:pPr>
    </w:p>
    <w:p w14:paraId="66A9D34A">
      <w:pPr>
        <w:tabs>
          <w:tab w:val="left" w:pos="2410"/>
        </w:tabs>
        <w:autoSpaceDE w:val="0"/>
        <w:autoSpaceDN w:val="0"/>
        <w:adjustRightInd w:val="0"/>
        <w:snapToGrid w:val="0"/>
        <w:spacing w:line="360" w:lineRule="auto"/>
        <w:ind w:firstLine="643" w:firstLineChars="200"/>
        <w:rPr>
          <w:rFonts w:ascii="宋体" w:hAnsi="宋体" w:eastAsia="宋体"/>
          <w:b/>
          <w:color w:val="auto"/>
          <w:spacing w:val="20"/>
          <w:kern w:val="0"/>
          <w:sz w:val="32"/>
          <w:szCs w:val="32"/>
          <w:highlight w:val="none"/>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p>
    <w:p w14:paraId="30BE3340">
      <w:pPr>
        <w:tabs>
          <w:tab w:val="left" w:pos="2410"/>
        </w:tabs>
        <w:autoSpaceDE w:val="0"/>
        <w:autoSpaceDN w:val="0"/>
        <w:adjustRightInd w:val="0"/>
        <w:snapToGrid w:val="0"/>
        <w:spacing w:line="360" w:lineRule="auto"/>
        <w:ind w:firstLine="643" w:firstLineChars="200"/>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p>
    <w:p w14:paraId="0D19F59E">
      <w:pPr>
        <w:tabs>
          <w:tab w:val="left" w:pos="2410"/>
        </w:tabs>
        <w:autoSpaceDE w:val="0"/>
        <w:autoSpaceDN w:val="0"/>
        <w:adjustRightInd w:val="0"/>
        <w:snapToGrid w:val="0"/>
        <w:spacing w:line="360" w:lineRule="auto"/>
        <w:ind w:firstLine="643" w:firstLineChars="200"/>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供 应 商：</w:t>
      </w:r>
      <w:r>
        <w:rPr>
          <w:rFonts w:hint="eastAsia" w:asciiTheme="minorEastAsia" w:hAnsiTheme="minorEastAsia" w:eastAsiaTheme="minorEastAsia"/>
          <w:b/>
          <w:color w:val="auto"/>
          <w:sz w:val="32"/>
          <w:highlight w:val="none"/>
          <w:u w:val="single"/>
        </w:rPr>
        <w:t xml:space="preserve">                  </w:t>
      </w:r>
    </w:p>
    <w:p w14:paraId="68D6B840">
      <w:pPr>
        <w:spacing w:afterLines="50" w:line="500" w:lineRule="exact"/>
        <w:jc w:val="center"/>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42" w:name="_Toc8037"/>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42"/>
    </w:p>
    <w:p w14:paraId="31832FEE">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29FFE2CC">
      <w:pPr>
        <w:spacing w:line="360" w:lineRule="auto"/>
        <w:jc w:val="center"/>
        <w:outlineLvl w:val="1"/>
        <w:rPr>
          <w:rFonts w:asciiTheme="minorEastAsia" w:hAnsiTheme="minorEastAsia" w:eastAsiaTheme="minorEastAsia"/>
          <w:b/>
          <w:color w:val="auto"/>
          <w:sz w:val="24"/>
          <w:highlight w:val="none"/>
        </w:rPr>
      </w:pPr>
      <w:bookmarkStart w:id="43" w:name="_Toc461053086"/>
      <w:bookmarkStart w:id="44" w:name="_Toc461056631"/>
      <w:bookmarkStart w:id="45" w:name="_Toc520983587"/>
      <w:bookmarkStart w:id="46" w:name="_Toc26791"/>
      <w:bookmarkStart w:id="47" w:name="_Toc5881"/>
      <w:r>
        <w:rPr>
          <w:rFonts w:hint="eastAsia" w:asciiTheme="minorEastAsia" w:hAnsiTheme="minorEastAsia" w:eastAsiaTheme="minorEastAsia"/>
          <w:b/>
          <w:color w:val="auto"/>
          <w:sz w:val="24"/>
          <w:highlight w:val="none"/>
        </w:rPr>
        <w:t>一</w:t>
      </w:r>
      <w:bookmarkEnd w:id="43"/>
      <w:bookmarkEnd w:id="44"/>
      <w:r>
        <w:rPr>
          <w:rFonts w:hint="eastAsia" w:asciiTheme="minorEastAsia" w:hAnsiTheme="minorEastAsia" w:eastAsiaTheme="minorEastAsia"/>
          <w:b/>
          <w:color w:val="auto"/>
          <w:sz w:val="24"/>
          <w:highlight w:val="none"/>
        </w:rPr>
        <w:t>、报价表格式</w:t>
      </w:r>
      <w:bookmarkEnd w:id="45"/>
      <w:bookmarkEnd w:id="46"/>
      <w:bookmarkEnd w:id="47"/>
    </w:p>
    <w:p w14:paraId="36667FD1">
      <w:pPr>
        <w:spacing w:beforeLines="50" w:afterLines="50" w:line="360" w:lineRule="auto"/>
        <w:jc w:val="left"/>
        <w:outlineLvl w:val="2"/>
        <w:rPr>
          <w:rFonts w:ascii="宋体" w:hAnsi="宋体" w:eastAsia="宋体"/>
          <w:b/>
          <w:color w:val="auto"/>
          <w:sz w:val="24"/>
          <w:szCs w:val="28"/>
          <w:highlight w:val="none"/>
        </w:rPr>
      </w:pPr>
      <w:r>
        <w:rPr>
          <w:rFonts w:hint="eastAsia" w:ascii="宋体" w:hAnsi="宋体" w:eastAsia="宋体"/>
          <w:b/>
          <w:color w:val="auto"/>
          <w:sz w:val="24"/>
          <w:szCs w:val="28"/>
          <w:highlight w:val="none"/>
        </w:rPr>
        <w:t>1-1 报价表</w:t>
      </w:r>
    </w:p>
    <w:p w14:paraId="5315383F">
      <w:pPr>
        <w:snapToGrid w:val="0"/>
        <w:spacing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rPr>
        <w:t xml:space="preserve">          </w:t>
      </w:r>
    </w:p>
    <w:p w14:paraId="3164AF7D">
      <w:pPr>
        <w:snapToGrid w:val="0"/>
        <w:spacing w:afterLines="50" w:line="360" w:lineRule="auto"/>
        <w:jc w:val="left"/>
        <w:rPr>
          <w:rFonts w:ascii="宋体" w:hAnsi="宋体" w:eastAsia="宋体"/>
          <w:b/>
          <w:bCs/>
          <w:color w:val="auto"/>
          <w:sz w:val="24"/>
          <w:szCs w:val="28"/>
          <w:highlight w:val="none"/>
          <w:u w:val="single"/>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9"/>
        <w:gridCol w:w="6063"/>
      </w:tblGrid>
      <w:tr w14:paraId="14339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3F5A61F3">
            <w:pPr>
              <w:keepNext w:val="0"/>
              <w:keepLines w:val="0"/>
              <w:suppressLineNumbers w:val="0"/>
              <w:spacing w:before="0" w:beforeAutospacing="0" w:after="0" w:afterAutospacing="0" w:line="360" w:lineRule="auto"/>
              <w:ind w:left="0" w:right="0"/>
              <w:jc w:val="center"/>
              <w:rPr>
                <w:rFonts w:hint="default" w:ascii="宋体" w:hAnsi="宋体" w:eastAsia="宋体"/>
                <w:b/>
                <w:color w:val="auto"/>
                <w:sz w:val="24"/>
                <w:szCs w:val="20"/>
                <w:highlight w:val="none"/>
              </w:rPr>
            </w:pPr>
            <w:r>
              <w:rPr>
                <w:rFonts w:hint="eastAsia" w:ascii="宋体" w:hAnsi="宋体" w:eastAsia="宋体"/>
                <w:b/>
                <w:color w:val="auto"/>
                <w:sz w:val="24"/>
                <w:szCs w:val="20"/>
                <w:highlight w:val="none"/>
              </w:rPr>
              <w:t>供应商名称</w:t>
            </w:r>
          </w:p>
        </w:tc>
        <w:tc>
          <w:tcPr>
            <w:tcW w:w="3557" w:type="pct"/>
            <w:tcBorders>
              <w:left w:val="single" w:color="auto" w:sz="4" w:space="0"/>
            </w:tcBorders>
          </w:tcPr>
          <w:p w14:paraId="354F1C34">
            <w:pPr>
              <w:keepNext w:val="0"/>
              <w:keepLines w:val="0"/>
              <w:suppressLineNumbers w:val="0"/>
              <w:spacing w:before="0" w:beforeAutospacing="0" w:after="0" w:afterAutospacing="0" w:line="360" w:lineRule="auto"/>
              <w:ind w:left="0" w:right="0"/>
              <w:rPr>
                <w:rFonts w:hint="default" w:ascii="宋体" w:hAnsi="宋体" w:eastAsia="宋体"/>
                <w:b/>
                <w:color w:val="auto"/>
                <w:sz w:val="24"/>
                <w:szCs w:val="20"/>
                <w:highlight w:val="none"/>
              </w:rPr>
            </w:pPr>
          </w:p>
        </w:tc>
      </w:tr>
      <w:tr w14:paraId="7316E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6F787A18">
            <w:pPr>
              <w:keepNext w:val="0"/>
              <w:keepLines w:val="0"/>
              <w:suppressLineNumbers w:val="0"/>
              <w:spacing w:before="0" w:beforeAutospacing="0" w:after="0" w:afterAutospacing="0" w:line="360" w:lineRule="exact"/>
              <w:ind w:left="0" w:right="0"/>
              <w:jc w:val="center"/>
              <w:rPr>
                <w:rFonts w:hint="default" w:ascii="宋体" w:hAnsi="宋体" w:eastAsia="宋体"/>
                <w:b/>
                <w:color w:val="auto"/>
                <w:sz w:val="24"/>
                <w:szCs w:val="20"/>
                <w:highlight w:val="none"/>
              </w:rPr>
            </w:pPr>
            <w:r>
              <w:rPr>
                <w:rFonts w:hint="eastAsia" w:ascii="宋体" w:hAnsi="宋体" w:eastAsia="宋体"/>
                <w:b/>
                <w:color w:val="auto"/>
                <w:sz w:val="24"/>
                <w:szCs w:val="20"/>
                <w:highlight w:val="none"/>
              </w:rPr>
              <w:t>磋商范围</w:t>
            </w:r>
          </w:p>
        </w:tc>
        <w:tc>
          <w:tcPr>
            <w:tcW w:w="3557" w:type="pct"/>
            <w:tcBorders>
              <w:left w:val="single" w:color="auto" w:sz="4" w:space="0"/>
            </w:tcBorders>
            <w:vAlign w:val="center"/>
          </w:tcPr>
          <w:p w14:paraId="6775B653">
            <w:pPr>
              <w:keepNext w:val="0"/>
              <w:keepLines w:val="0"/>
              <w:widowControl/>
              <w:suppressLineNumbers w:val="0"/>
              <w:spacing w:before="0" w:beforeAutospacing="0" w:after="0" w:afterAutospacing="0" w:line="360" w:lineRule="exact"/>
              <w:ind w:left="0" w:right="0"/>
              <w:rPr>
                <w:rFonts w:hint="default" w:ascii="宋体" w:hAnsi="宋体" w:eastAsia="宋体"/>
                <w:b/>
                <w:color w:val="auto"/>
                <w:sz w:val="24"/>
                <w:szCs w:val="20"/>
                <w:highlight w:val="none"/>
              </w:rPr>
            </w:pPr>
            <w:r>
              <w:rPr>
                <w:rFonts w:hint="eastAsia" w:asciiTheme="minorEastAsia" w:hAnsiTheme="minorEastAsia" w:eastAsiaTheme="minorEastAsia"/>
                <w:color w:val="auto"/>
                <w:sz w:val="24"/>
                <w:szCs w:val="28"/>
                <w:highlight w:val="none"/>
              </w:rPr>
              <w:t xml:space="preserve">全部 </w:t>
            </w:r>
          </w:p>
        </w:tc>
      </w:tr>
      <w:tr w14:paraId="6B56E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1364A6BD">
            <w:pPr>
              <w:keepNext w:val="0"/>
              <w:keepLines w:val="0"/>
              <w:suppressLineNumbers w:val="0"/>
              <w:spacing w:before="0" w:beforeAutospacing="0" w:after="0" w:afterAutospacing="0" w:line="360" w:lineRule="auto"/>
              <w:ind w:left="0" w:right="0"/>
              <w:jc w:val="center"/>
              <w:rPr>
                <w:rFonts w:hint="default" w:ascii="宋体" w:hAnsi="宋体" w:eastAsia="宋体"/>
                <w:b/>
                <w:color w:val="auto"/>
                <w:sz w:val="24"/>
                <w:szCs w:val="20"/>
                <w:highlight w:val="none"/>
              </w:rPr>
            </w:pPr>
            <w:r>
              <w:rPr>
                <w:rFonts w:hint="eastAsia" w:ascii="宋体" w:hAnsi="宋体" w:eastAsia="宋体"/>
                <w:b/>
                <w:color w:val="auto"/>
                <w:sz w:val="24"/>
                <w:szCs w:val="20"/>
                <w:highlight w:val="none"/>
              </w:rPr>
              <w:t>报价</w:t>
            </w:r>
          </w:p>
          <w:p w14:paraId="43F420C4">
            <w:pPr>
              <w:keepNext w:val="0"/>
              <w:keepLines w:val="0"/>
              <w:suppressLineNumbers w:val="0"/>
              <w:spacing w:before="0" w:beforeAutospacing="0" w:after="0" w:afterAutospacing="0" w:line="360" w:lineRule="auto"/>
              <w:ind w:left="0" w:right="0"/>
              <w:jc w:val="center"/>
              <w:rPr>
                <w:rFonts w:hint="default" w:ascii="宋体" w:hAnsi="宋体" w:eastAsia="宋体"/>
                <w:b/>
                <w:color w:val="auto"/>
                <w:sz w:val="24"/>
                <w:szCs w:val="20"/>
                <w:highlight w:val="none"/>
              </w:rPr>
            </w:pPr>
            <w:r>
              <w:rPr>
                <w:rFonts w:hint="eastAsia" w:ascii="宋体" w:hAnsi="宋体" w:eastAsia="宋体"/>
                <w:b/>
                <w:color w:val="auto"/>
                <w:sz w:val="24"/>
                <w:szCs w:val="20"/>
                <w:highlight w:val="none"/>
              </w:rPr>
              <w:t>（详见备注说明）</w:t>
            </w:r>
          </w:p>
        </w:tc>
        <w:tc>
          <w:tcPr>
            <w:tcW w:w="3557" w:type="pct"/>
            <w:vAlign w:val="center"/>
          </w:tcPr>
          <w:p w14:paraId="2DBC09AA">
            <w:pPr>
              <w:keepNext w:val="0"/>
              <w:keepLines w:val="0"/>
              <w:suppressLineNumbers w:val="0"/>
              <w:snapToGrid w:val="0"/>
              <w:spacing w:before="0" w:beforeAutospacing="0" w:after="0" w:afterAutospacing="0" w:line="360" w:lineRule="auto"/>
              <w:ind w:left="0" w:right="0"/>
              <w:rPr>
                <w:rFonts w:hint="default" w:ascii="宋体" w:hAnsi="宋体" w:eastAsia="宋体"/>
                <w:color w:val="auto"/>
                <w:sz w:val="24"/>
                <w:szCs w:val="28"/>
                <w:highlight w:val="none"/>
              </w:rPr>
            </w:pPr>
          </w:p>
          <w:p w14:paraId="44ACD73B">
            <w:pPr>
              <w:keepNext w:val="0"/>
              <w:keepLines w:val="0"/>
              <w:suppressLineNumbers w:val="0"/>
              <w:snapToGrid w:val="0"/>
              <w:spacing w:before="0" w:beforeAutospacing="0" w:after="0" w:afterAutospacing="0" w:line="360" w:lineRule="auto"/>
              <w:ind w:left="0" w:right="0"/>
              <w:jc w:val="left"/>
              <w:rPr>
                <w:rFonts w:hint="default"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6A09E0B0">
            <w:pPr>
              <w:keepNext w:val="0"/>
              <w:keepLines w:val="0"/>
              <w:suppressLineNumbers w:val="0"/>
              <w:spacing w:before="0" w:beforeAutospacing="0" w:after="0" w:afterAutospacing="0" w:line="360" w:lineRule="auto"/>
              <w:ind w:left="0" w:right="-670"/>
              <w:rPr>
                <w:rFonts w:hint="default" w:eastAsia="宋体" w:asciiTheme="minorEastAsia" w:hAnsiTheme="minorEastAsia"/>
                <w:color w:val="auto"/>
                <w:sz w:val="24"/>
                <w:szCs w:val="20"/>
                <w:highlight w:val="none"/>
                <w:lang w:val="en-US" w:eastAsia="zh-CN"/>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 xml:space="preserve">   </w:t>
            </w:r>
          </w:p>
          <w:p w14:paraId="7F9583DF">
            <w:pPr>
              <w:keepNext w:val="0"/>
              <w:keepLines w:val="0"/>
              <w:suppressLineNumbers w:val="0"/>
              <w:snapToGrid w:val="0"/>
              <w:spacing w:before="0" w:beforeAutospacing="0" w:after="0" w:afterAutospacing="0" w:line="360" w:lineRule="auto"/>
              <w:ind w:left="0" w:right="0"/>
              <w:rPr>
                <w:rFonts w:hint="default" w:ascii="宋体" w:hAnsi="宋体" w:eastAsia="宋体"/>
                <w:b/>
                <w:color w:val="auto"/>
                <w:sz w:val="24"/>
                <w:szCs w:val="20"/>
                <w:highlight w:val="none"/>
              </w:rPr>
            </w:pPr>
          </w:p>
        </w:tc>
      </w:tr>
      <w:tr w14:paraId="6DC47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1443" w:type="pct"/>
            <w:vAlign w:val="center"/>
          </w:tcPr>
          <w:p w14:paraId="41BC7329">
            <w:pPr>
              <w:keepNext w:val="0"/>
              <w:keepLines w:val="0"/>
              <w:suppressLineNumbers w:val="0"/>
              <w:spacing w:before="0" w:beforeAutospacing="0" w:after="0" w:afterAutospacing="0" w:line="360" w:lineRule="auto"/>
              <w:ind w:left="0" w:right="0"/>
              <w:jc w:val="center"/>
              <w:rPr>
                <w:rFonts w:hint="default" w:ascii="宋体" w:hAnsi="宋体" w:eastAsia="宋体"/>
                <w:b/>
                <w:color w:val="auto"/>
                <w:sz w:val="24"/>
                <w:szCs w:val="20"/>
                <w:highlight w:val="none"/>
              </w:rPr>
            </w:pPr>
            <w:r>
              <w:rPr>
                <w:rFonts w:hint="eastAsia" w:ascii="宋体" w:hAnsi="宋体" w:eastAsia="宋体"/>
                <w:b/>
                <w:color w:val="auto"/>
                <w:sz w:val="24"/>
                <w:szCs w:val="20"/>
                <w:highlight w:val="none"/>
              </w:rPr>
              <w:t>备注说明</w:t>
            </w:r>
          </w:p>
        </w:tc>
        <w:tc>
          <w:tcPr>
            <w:tcW w:w="3557" w:type="pct"/>
          </w:tcPr>
          <w:p w14:paraId="32C45E50">
            <w:pPr>
              <w:keepNext w:val="0"/>
              <w:keepLines w:val="0"/>
              <w:suppressLineNumbers w:val="0"/>
              <w:spacing w:before="0" w:beforeAutospacing="0" w:after="0" w:afterAutospacing="0" w:line="360" w:lineRule="auto"/>
              <w:ind w:left="0" w:right="0"/>
              <w:rPr>
                <w:rFonts w:hint="default" w:ascii="宋体" w:hAnsi="宋体" w:eastAsia="宋体"/>
                <w:b/>
                <w:color w:val="auto"/>
                <w:sz w:val="24"/>
                <w:szCs w:val="20"/>
                <w:highlight w:val="none"/>
                <w:lang w:val="en-US" w:eastAsia="zh-CN"/>
              </w:rPr>
            </w:pPr>
            <w:r>
              <w:rPr>
                <w:rFonts w:hint="eastAsia" w:ascii="宋体" w:hAnsi="宋体" w:eastAsia="宋体"/>
                <w:b/>
                <w:color w:val="auto"/>
                <w:sz w:val="24"/>
                <w:szCs w:val="20"/>
                <w:highlight w:val="none"/>
                <w:lang w:val="en-US" w:eastAsia="zh-CN"/>
              </w:rPr>
              <w:t xml:space="preserve"> </w:t>
            </w:r>
          </w:p>
        </w:tc>
      </w:tr>
    </w:tbl>
    <w:p w14:paraId="73C1DE92">
      <w:pPr>
        <w:spacing w:line="360" w:lineRule="auto"/>
        <w:ind w:firstLine="4800" w:firstLineChars="2000"/>
        <w:rPr>
          <w:rFonts w:ascii="宋体" w:hAnsi="宋体" w:eastAsia="宋体"/>
          <w:color w:val="auto"/>
          <w:sz w:val="24"/>
          <w:highlight w:val="none"/>
        </w:rPr>
      </w:pPr>
      <w:r>
        <w:rPr>
          <w:rFonts w:hint="eastAsia" w:ascii="宋体" w:hAnsi="宋体" w:eastAsia="宋体"/>
          <w:color w:val="auto"/>
          <w:sz w:val="24"/>
          <w:highlight w:val="none"/>
        </w:rPr>
        <w:t>供应商电子签章：</w:t>
      </w:r>
      <w:r>
        <w:rPr>
          <w:rFonts w:hint="eastAsia" w:ascii="宋体" w:hAnsi="宋体" w:eastAsia="宋体"/>
          <w:color w:val="auto"/>
          <w:sz w:val="24"/>
          <w:highlight w:val="none"/>
          <w:u w:val="single"/>
        </w:rPr>
        <w:t xml:space="preserve">             </w:t>
      </w:r>
    </w:p>
    <w:p w14:paraId="583E22A9">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09D0A283">
      <w:pPr>
        <w:adjustRightInd w:val="0"/>
        <w:snapToGrid w:val="0"/>
        <w:spacing w:line="360" w:lineRule="auto"/>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注：</w:t>
      </w:r>
    </w:p>
    <w:p w14:paraId="44E28BAC">
      <w:pPr>
        <w:adjustRightInd w:val="0"/>
        <w:snapToGrid w:val="0"/>
        <w:spacing w:line="360" w:lineRule="auto"/>
        <w:ind w:firstLine="482" w:firstLineChars="200"/>
        <w:rPr>
          <w:rFonts w:ascii="宋体" w:hAnsi="宋体" w:eastAsia="宋体"/>
          <w:color w:val="auto"/>
          <w:sz w:val="24"/>
          <w:highlight w:val="none"/>
        </w:rPr>
      </w:pPr>
      <w:r>
        <w:rPr>
          <w:rFonts w:hint="eastAsia" w:ascii="宋体" w:hAnsi="宋体" w:eastAsia="宋体"/>
          <w:b/>
          <w:bCs/>
          <w:color w:val="auto"/>
          <w:sz w:val="24"/>
          <w:szCs w:val="28"/>
          <w:highlight w:val="none"/>
        </w:rPr>
        <w:t>1.本表内容根据磋商文件要求包括了服务及其配套的设计、采购、制造、检测、试验、运输、保险、仓储、税费以及现场落地、安装及安装耗损、调试、培训、技术服务（包括技术资料、图纸的提供）质保期内的售后服务保障等所有费用。</w:t>
      </w:r>
    </w:p>
    <w:p w14:paraId="6A2A95F2">
      <w:pPr>
        <w:adjustRightInd w:val="0"/>
        <w:snapToGrid w:val="0"/>
        <w:spacing w:line="360" w:lineRule="auto"/>
        <w:ind w:firstLine="482" w:firstLineChars="200"/>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2.特殊事项在备注中注明。</w:t>
      </w:r>
    </w:p>
    <w:p w14:paraId="1D6B7EA1">
      <w:pPr>
        <w:adjustRightInd w:val="0"/>
        <w:snapToGrid w:val="0"/>
        <w:spacing w:line="360" w:lineRule="auto"/>
        <w:ind w:firstLine="482" w:firstLineChars="200"/>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3.表中大写金额与小写金额不一致的，以大写金额为准。</w:t>
      </w:r>
    </w:p>
    <w:p w14:paraId="741D95A2">
      <w:pPr>
        <w:widowControl/>
        <w:jc w:val="left"/>
        <w:rPr>
          <w:rFonts w:ascii="宋体" w:hAnsi="宋体" w:eastAsia="宋体"/>
          <w:b/>
          <w:bCs/>
          <w:color w:val="auto"/>
          <w:sz w:val="24"/>
          <w:szCs w:val="28"/>
          <w:highlight w:val="none"/>
        </w:rPr>
      </w:pPr>
      <w:r>
        <w:rPr>
          <w:rFonts w:ascii="宋体" w:hAnsi="宋体" w:eastAsia="宋体"/>
          <w:b/>
          <w:bCs/>
          <w:color w:val="auto"/>
          <w:sz w:val="24"/>
          <w:szCs w:val="28"/>
          <w:highlight w:val="none"/>
        </w:rPr>
        <w:br w:type="page"/>
      </w:r>
    </w:p>
    <w:p w14:paraId="40B1880F">
      <w:pPr>
        <w:spacing w:before="156" w:beforeLines="50" w:after="156" w:afterLines="50" w:line="360" w:lineRule="auto"/>
        <w:jc w:val="left"/>
        <w:outlineLvl w:val="2"/>
        <w:rPr>
          <w:rFonts w:ascii="宋体" w:hAnsi="宋体" w:eastAsia="宋体"/>
          <w:b/>
          <w:sz w:val="24"/>
          <w:szCs w:val="28"/>
          <w:highlight w:val="none"/>
        </w:rPr>
      </w:pPr>
      <w:r>
        <w:rPr>
          <w:rFonts w:hint="eastAsia" w:ascii="宋体" w:hAnsi="宋体" w:eastAsia="宋体"/>
          <w:b/>
          <w:sz w:val="24"/>
          <w:szCs w:val="28"/>
          <w:highlight w:val="none"/>
        </w:rPr>
        <w:t>1-2 分项报价明细表</w:t>
      </w:r>
    </w:p>
    <w:tbl>
      <w:tblPr>
        <w:tblStyle w:val="25"/>
        <w:tblW w:w="92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5"/>
        <w:gridCol w:w="1273"/>
        <w:gridCol w:w="1250"/>
        <w:gridCol w:w="1365"/>
        <w:gridCol w:w="1594"/>
        <w:gridCol w:w="1456"/>
        <w:gridCol w:w="1597"/>
      </w:tblGrid>
      <w:tr w14:paraId="5D7B7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2" w:hRule="atLeast"/>
        </w:trPr>
        <w:tc>
          <w:tcPr>
            <w:tcW w:w="9280" w:type="dxa"/>
            <w:gridSpan w:val="7"/>
            <w:tcBorders>
              <w:top w:val="nil"/>
              <w:left w:val="nil"/>
              <w:bottom w:val="single" w:color="000000" w:sz="4" w:space="0"/>
              <w:right w:val="single" w:color="000000" w:sz="4" w:space="0"/>
            </w:tcBorders>
            <w:shd w:val="clear" w:color="auto" w:fill="auto"/>
            <w:vAlign w:val="center"/>
          </w:tcPr>
          <w:p w14:paraId="2A327E4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auto"/>
                <w:sz w:val="28"/>
                <w:szCs w:val="28"/>
                <w:highlight w:val="none"/>
                <w:u w:val="none"/>
                <w:lang w:val="en-US"/>
              </w:rPr>
            </w:pPr>
            <w:r>
              <w:rPr>
                <w:rFonts w:hint="eastAsia" w:ascii="宋体" w:hAnsi="宋体" w:eastAsia="宋体" w:cs="宋体"/>
                <w:b/>
                <w:bCs/>
                <w:i w:val="0"/>
                <w:iCs w:val="0"/>
                <w:color w:val="auto"/>
                <w:kern w:val="0"/>
                <w:sz w:val="28"/>
                <w:szCs w:val="28"/>
                <w:highlight w:val="none"/>
                <w:u w:val="none"/>
                <w:lang w:val="en-US" w:eastAsia="zh-CN" w:bidi="ar"/>
              </w:rPr>
              <w:t>分项报价清单</w:t>
            </w:r>
          </w:p>
        </w:tc>
      </w:tr>
      <w:tr w14:paraId="4FF28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2" w:hRule="atLeast"/>
        </w:trPr>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E94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序号</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E00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道路等级</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23F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站点数量（个）</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F6D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设计费控制价（万元）</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8AC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单个交调站设计费控制价（万/个）</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9E0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设计费报价单价（万元 /个）</w:t>
            </w:r>
          </w:p>
        </w:tc>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460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设计费报价总价（万元）</w:t>
            </w:r>
          </w:p>
        </w:tc>
      </w:tr>
      <w:tr w14:paraId="3FC3B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2" w:hRule="atLeast"/>
        </w:trPr>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6D9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BAA6B">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国道</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A82B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42</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2933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25.63</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104C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0.61</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D4C67">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4"/>
                <w:szCs w:val="24"/>
                <w:highlight w:val="none"/>
                <w:u w:val="none"/>
              </w:rPr>
            </w:pPr>
          </w:p>
        </w:tc>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3FD07">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4"/>
                <w:szCs w:val="24"/>
                <w:highlight w:val="none"/>
                <w:u w:val="none"/>
              </w:rPr>
            </w:pPr>
          </w:p>
        </w:tc>
      </w:tr>
      <w:tr w14:paraId="63C8A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2" w:hRule="atLeast"/>
        </w:trPr>
        <w:tc>
          <w:tcPr>
            <w:tcW w:w="7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9A4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2D20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省道</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7163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92</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94D9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45.04</w:t>
            </w: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49AE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auto"/>
                <w:sz w:val="24"/>
                <w:szCs w:val="24"/>
                <w:highlight w:val="none"/>
                <w:u w:val="none"/>
              </w:rPr>
            </w:pPr>
            <w:r>
              <w:rPr>
                <w:rFonts w:hint="eastAsia" w:ascii="仿宋" w:hAnsi="仿宋" w:eastAsia="仿宋" w:cs="仿宋"/>
                <w:i w:val="0"/>
                <w:iCs w:val="0"/>
                <w:color w:val="auto"/>
                <w:kern w:val="0"/>
                <w:sz w:val="24"/>
                <w:szCs w:val="24"/>
                <w:highlight w:val="none"/>
                <w:u w:val="none"/>
                <w:lang w:val="en-US" w:eastAsia="zh-CN" w:bidi="ar"/>
              </w:rPr>
              <w:t>0.49</w:t>
            </w:r>
          </w:p>
        </w:tc>
        <w:tc>
          <w:tcPr>
            <w:tcW w:w="1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B2C18">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4"/>
                <w:szCs w:val="24"/>
                <w:highlight w:val="none"/>
                <w:u w:val="none"/>
              </w:rPr>
            </w:pPr>
          </w:p>
        </w:tc>
        <w:tc>
          <w:tcPr>
            <w:tcW w:w="1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35D50">
            <w:pPr>
              <w:keepNext w:val="0"/>
              <w:keepLines w:val="0"/>
              <w:suppressLineNumbers w:val="0"/>
              <w:spacing w:before="0" w:beforeAutospacing="0" w:after="0" w:afterAutospacing="0"/>
              <w:ind w:left="0" w:right="0"/>
              <w:jc w:val="center"/>
              <w:rPr>
                <w:rFonts w:hint="eastAsia" w:ascii="仿宋" w:hAnsi="仿宋" w:eastAsia="仿宋" w:cs="仿宋"/>
                <w:i w:val="0"/>
                <w:iCs w:val="0"/>
                <w:color w:val="auto"/>
                <w:sz w:val="24"/>
                <w:szCs w:val="24"/>
                <w:highlight w:val="none"/>
                <w:u w:val="none"/>
              </w:rPr>
            </w:pPr>
          </w:p>
        </w:tc>
      </w:tr>
      <w:tr w14:paraId="65A30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BBACB">
            <w:pPr>
              <w:keepNext w:val="0"/>
              <w:keepLines w:val="0"/>
              <w:suppressLineNumbers w:val="0"/>
              <w:spacing w:before="0" w:beforeAutospacing="0" w:after="0" w:afterAutospacing="0"/>
              <w:ind w:left="0" w:right="0"/>
              <w:rPr>
                <w:rFonts w:hint="eastAsia" w:ascii="宋体" w:hAnsi="宋体" w:eastAsia="宋体" w:cs="宋体"/>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428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BDF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134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1E7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70.67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597EC">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auto"/>
                <w:sz w:val="24"/>
                <w:szCs w:val="24"/>
                <w:highlight w:val="none"/>
                <w:u w:val="none"/>
                <w:lang w:val="en-US" w:eastAsia="zh-CN"/>
              </w:rPr>
            </w:pPr>
            <w:r>
              <w:rPr>
                <w:rFonts w:hint="eastAsia" w:ascii="宋体" w:hAnsi="宋体" w:eastAsia="宋体" w:cs="宋体"/>
                <w:b/>
                <w:bCs/>
                <w:i w:val="0"/>
                <w:iCs w:val="0"/>
                <w:color w:val="auto"/>
                <w:sz w:val="24"/>
                <w:szCs w:val="24"/>
                <w:highlight w:val="none"/>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38741">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auto"/>
                <w:sz w:val="24"/>
                <w:szCs w:val="24"/>
                <w:highlight w:val="none"/>
                <w:u w:val="none"/>
                <w:lang w:val="en-US" w:eastAsia="zh-CN"/>
              </w:rPr>
            </w:pPr>
            <w:r>
              <w:rPr>
                <w:rFonts w:hint="eastAsia" w:ascii="宋体" w:hAnsi="宋体" w:eastAsia="宋体" w:cs="宋体"/>
                <w:b/>
                <w:bCs/>
                <w:i w:val="0"/>
                <w:iCs w:val="0"/>
                <w:color w:val="auto"/>
                <w:sz w:val="24"/>
                <w:szCs w:val="24"/>
                <w:highlight w:val="none"/>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524C0">
            <w:pPr>
              <w:keepNext w:val="0"/>
              <w:keepLines w:val="0"/>
              <w:suppressLineNumbers w:val="0"/>
              <w:spacing w:before="0" w:beforeAutospacing="0" w:after="0" w:afterAutospacing="0"/>
              <w:ind w:left="0" w:right="0"/>
              <w:jc w:val="center"/>
              <w:rPr>
                <w:rFonts w:hint="eastAsia" w:ascii="宋体" w:hAnsi="宋体" w:eastAsia="宋体" w:cs="宋体"/>
                <w:b/>
                <w:bCs/>
                <w:i w:val="0"/>
                <w:iCs w:val="0"/>
                <w:color w:val="auto"/>
                <w:sz w:val="24"/>
                <w:szCs w:val="24"/>
                <w:highlight w:val="none"/>
                <w:u w:val="none"/>
              </w:rPr>
            </w:pPr>
          </w:p>
        </w:tc>
      </w:tr>
      <w:tr w14:paraId="26360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8" w:hRule="atLeast"/>
        </w:trPr>
        <w:tc>
          <w:tcPr>
            <w:tcW w:w="9280" w:type="dxa"/>
            <w:gridSpan w:val="7"/>
            <w:tcBorders>
              <w:top w:val="nil"/>
              <w:left w:val="nil"/>
              <w:bottom w:val="nil"/>
              <w:right w:val="nil"/>
            </w:tcBorders>
            <w:shd w:val="clear" w:color="auto" w:fill="auto"/>
            <w:vAlign w:val="center"/>
          </w:tcPr>
          <w:p w14:paraId="78B96D0F">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b/>
                <w:bCs/>
                <w:i w:val="0"/>
                <w:iCs w:val="0"/>
                <w:color w:val="auto"/>
                <w:sz w:val="32"/>
                <w:szCs w:val="32"/>
                <w:highlight w:val="none"/>
                <w:u w:val="none"/>
                <w:lang w:val="en-US"/>
              </w:rPr>
            </w:pPr>
            <w:r>
              <w:rPr>
                <w:rFonts w:hint="eastAsia" w:ascii="宋体" w:hAnsi="宋体" w:eastAsia="宋体" w:cs="宋体"/>
                <w:b/>
                <w:bCs/>
                <w:i w:val="0"/>
                <w:iCs w:val="0"/>
                <w:color w:val="auto"/>
                <w:kern w:val="0"/>
                <w:sz w:val="32"/>
                <w:szCs w:val="32"/>
                <w:highlight w:val="none"/>
                <w:u w:val="none"/>
                <w:lang w:val="en-US" w:eastAsia="zh-CN" w:bidi="ar"/>
              </w:rPr>
              <w:t>备注：设计费报价单价不超过单个交调站设计费的上限价。实际支付以安徽省交通运输厅正式下达计划项目的交调站个数为准按单价计算设计费用。最后结算价不能超过70.67万，若超过按70.67万结算，不超过按实际进行结算。</w:t>
            </w:r>
          </w:p>
        </w:tc>
      </w:tr>
    </w:tbl>
    <w:p w14:paraId="4B75B01B">
      <w:pPr>
        <w:spacing w:line="440" w:lineRule="exact"/>
        <w:jc w:val="center"/>
        <w:outlineLvl w:val="0"/>
        <w:rPr>
          <w:rFonts w:hint="eastAsia" w:ascii="宋体" w:hAnsi="宋体" w:eastAsia="宋体" w:cs="宋体"/>
          <w:b/>
          <w:color w:val="auto"/>
          <w:sz w:val="28"/>
          <w:highlight w:val="none"/>
        </w:rPr>
      </w:pPr>
    </w:p>
    <w:p w14:paraId="143D2B26">
      <w:pPr>
        <w:spacing w:line="440" w:lineRule="exact"/>
        <w:jc w:val="center"/>
        <w:outlineLvl w:val="0"/>
        <w:rPr>
          <w:rFonts w:hint="eastAsia" w:ascii="宋体" w:hAnsi="宋体" w:eastAsia="宋体" w:cs="宋体"/>
          <w:b/>
          <w:color w:val="auto"/>
          <w:sz w:val="28"/>
          <w:highlight w:val="none"/>
        </w:rPr>
      </w:pPr>
    </w:p>
    <w:p w14:paraId="320C3AEF">
      <w:pPr>
        <w:spacing w:line="440" w:lineRule="exact"/>
        <w:jc w:val="center"/>
        <w:outlineLvl w:val="0"/>
        <w:rPr>
          <w:rFonts w:hint="eastAsia" w:ascii="宋体" w:hAnsi="宋体" w:eastAsia="宋体" w:cs="宋体"/>
          <w:b/>
          <w:color w:val="auto"/>
          <w:sz w:val="28"/>
          <w:highlight w:val="none"/>
        </w:rPr>
      </w:pPr>
    </w:p>
    <w:p w14:paraId="37F1B5E7">
      <w:pPr>
        <w:spacing w:line="440" w:lineRule="exact"/>
        <w:jc w:val="center"/>
        <w:outlineLvl w:val="0"/>
        <w:rPr>
          <w:rFonts w:hint="eastAsia" w:ascii="宋体" w:hAnsi="宋体" w:eastAsia="宋体" w:cs="宋体"/>
          <w:b/>
          <w:color w:val="auto"/>
          <w:sz w:val="28"/>
          <w:highlight w:val="none"/>
        </w:rPr>
      </w:pPr>
    </w:p>
    <w:p w14:paraId="46C41C98">
      <w:pPr>
        <w:spacing w:line="440" w:lineRule="exact"/>
        <w:ind w:firstLine="4800" w:firstLineChars="20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电子签章：</w:t>
      </w:r>
      <w:r>
        <w:rPr>
          <w:rFonts w:hint="eastAsia" w:ascii="宋体" w:hAnsi="宋体" w:eastAsia="宋体" w:cs="宋体"/>
          <w:color w:val="auto"/>
          <w:sz w:val="24"/>
          <w:highlight w:val="none"/>
          <w:u w:val="single"/>
        </w:rPr>
        <w:t xml:space="preserve">             </w:t>
      </w:r>
    </w:p>
    <w:p w14:paraId="1FD3E59C">
      <w:pPr>
        <w:spacing w:line="440" w:lineRule="exact"/>
        <w:ind w:firstLine="4800" w:firstLineChars="20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p>
    <w:p w14:paraId="00F0CDA5">
      <w:pPr>
        <w:spacing w:line="440" w:lineRule="exact"/>
        <w:jc w:val="center"/>
        <w:outlineLvl w:val="0"/>
        <w:rPr>
          <w:rFonts w:hint="eastAsia" w:ascii="宋体" w:hAnsi="宋体" w:eastAsia="宋体" w:cs="宋体"/>
          <w:b/>
          <w:color w:val="auto"/>
          <w:sz w:val="28"/>
          <w:highlight w:val="none"/>
        </w:rPr>
      </w:pPr>
    </w:p>
    <w:p w14:paraId="48B6B23B">
      <w:pPr>
        <w:widowControl/>
        <w:jc w:val="left"/>
        <w:rPr>
          <w:rFonts w:ascii="宋体" w:hAnsi="宋体" w:eastAsia="宋体"/>
          <w:b/>
          <w:bCs/>
          <w:color w:val="auto"/>
          <w:sz w:val="24"/>
          <w:szCs w:val="28"/>
          <w:highlight w:val="none"/>
        </w:rPr>
      </w:pPr>
      <w:r>
        <w:rPr>
          <w:rFonts w:ascii="宋体" w:hAnsi="宋体" w:eastAsia="宋体"/>
          <w:b/>
          <w:bCs/>
          <w:color w:val="auto"/>
          <w:sz w:val="24"/>
          <w:szCs w:val="28"/>
          <w:highlight w:val="none"/>
        </w:rPr>
        <w:br w:type="page"/>
      </w:r>
    </w:p>
    <w:p w14:paraId="44F72FAB">
      <w:pPr>
        <w:spacing w:line="360" w:lineRule="auto"/>
        <w:jc w:val="center"/>
        <w:outlineLvl w:val="1"/>
        <w:rPr>
          <w:rFonts w:asciiTheme="minorEastAsia" w:hAnsiTheme="minorEastAsia" w:eastAsiaTheme="minorEastAsia"/>
          <w:b/>
          <w:color w:val="auto"/>
          <w:sz w:val="24"/>
          <w:highlight w:val="none"/>
        </w:rPr>
      </w:pPr>
      <w:bookmarkStart w:id="48" w:name="_Toc461053087"/>
      <w:bookmarkStart w:id="49" w:name="_Toc461056632"/>
      <w:bookmarkStart w:id="50" w:name="_Toc28695"/>
      <w:bookmarkStart w:id="51" w:name="_Toc520983588"/>
      <w:bookmarkStart w:id="52" w:name="_Toc32436"/>
      <w:r>
        <w:rPr>
          <w:rFonts w:hint="eastAsia" w:asciiTheme="minorEastAsia" w:hAnsiTheme="minorEastAsia" w:eastAsiaTheme="minorEastAsia"/>
          <w:b/>
          <w:color w:val="auto"/>
          <w:sz w:val="24"/>
          <w:highlight w:val="none"/>
        </w:rPr>
        <w:t>二</w:t>
      </w:r>
      <w:bookmarkEnd w:id="48"/>
      <w:bookmarkEnd w:id="49"/>
      <w:r>
        <w:rPr>
          <w:rFonts w:hint="eastAsia" w:asciiTheme="minorEastAsia" w:hAnsiTheme="minorEastAsia" w:eastAsiaTheme="minorEastAsia"/>
          <w:b/>
          <w:color w:val="auto"/>
          <w:sz w:val="24"/>
          <w:highlight w:val="none"/>
        </w:rPr>
        <w:t>、最后承诺报价表</w:t>
      </w:r>
      <w:bookmarkEnd w:id="50"/>
      <w:bookmarkEnd w:id="51"/>
      <w:bookmarkEnd w:id="52"/>
    </w:p>
    <w:p w14:paraId="6EFB504B">
      <w:pPr>
        <w:spacing w:beforeLines="50" w:afterLines="50" w:line="360" w:lineRule="auto"/>
        <w:ind w:firstLine="236" w:firstLineChars="98"/>
        <w:jc w:val="center"/>
        <w:rPr>
          <w:rFonts w:ascii="宋体" w:hAnsi="宋体" w:eastAsia="宋体"/>
          <w:b/>
          <w:color w:val="auto"/>
          <w:sz w:val="24"/>
          <w:szCs w:val="28"/>
          <w:highlight w:val="none"/>
        </w:rPr>
      </w:pPr>
      <w:r>
        <w:rPr>
          <w:rFonts w:hint="eastAsia" w:ascii="宋体" w:hAnsi="宋体" w:eastAsia="宋体"/>
          <w:b/>
          <w:color w:val="auto"/>
          <w:sz w:val="24"/>
          <w:szCs w:val="28"/>
          <w:highlight w:val="none"/>
        </w:rPr>
        <w:t>（第</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rPr>
        <w:t>次报价书）</w:t>
      </w:r>
    </w:p>
    <w:p w14:paraId="61533976">
      <w:pPr>
        <w:snapToGrid w:val="0"/>
        <w:spacing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rPr>
        <w:t xml:space="preserve">          </w:t>
      </w:r>
    </w:p>
    <w:p w14:paraId="77D34103">
      <w:pPr>
        <w:snapToGrid w:val="0"/>
        <w:spacing w:afterLines="50" w:line="360" w:lineRule="auto"/>
        <w:jc w:val="left"/>
        <w:rPr>
          <w:rFonts w:ascii="宋体" w:hAnsi="宋体" w:eastAsia="宋体"/>
          <w:b/>
          <w:bCs/>
          <w:color w:val="auto"/>
          <w:sz w:val="24"/>
          <w:szCs w:val="28"/>
          <w:highlight w:val="none"/>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60"/>
        <w:gridCol w:w="6062"/>
      </w:tblGrid>
      <w:tr w14:paraId="508B3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71A6AC1B">
            <w:pPr>
              <w:keepNext w:val="0"/>
              <w:keepLines w:val="0"/>
              <w:suppressLineNumbers w:val="0"/>
              <w:spacing w:before="0" w:beforeAutospacing="0" w:after="0" w:afterAutospacing="0" w:line="360" w:lineRule="auto"/>
              <w:ind w:left="0" w:right="0"/>
              <w:jc w:val="center"/>
              <w:rPr>
                <w:rFonts w:hint="default" w:ascii="宋体" w:hAnsi="宋体" w:eastAsia="宋体"/>
                <w:b/>
                <w:color w:val="auto"/>
                <w:sz w:val="24"/>
                <w:szCs w:val="20"/>
                <w:highlight w:val="none"/>
              </w:rPr>
            </w:pPr>
            <w:r>
              <w:rPr>
                <w:rFonts w:hint="eastAsia" w:ascii="宋体" w:hAnsi="宋体" w:eastAsia="宋体"/>
                <w:b/>
                <w:color w:val="auto"/>
                <w:sz w:val="24"/>
                <w:szCs w:val="20"/>
                <w:highlight w:val="none"/>
              </w:rPr>
              <w:t>供应商名称</w:t>
            </w:r>
          </w:p>
        </w:tc>
        <w:tc>
          <w:tcPr>
            <w:tcW w:w="3556" w:type="pct"/>
            <w:tcBorders>
              <w:left w:val="single" w:color="auto" w:sz="4" w:space="0"/>
            </w:tcBorders>
          </w:tcPr>
          <w:p w14:paraId="3087294F">
            <w:pPr>
              <w:keepNext w:val="0"/>
              <w:keepLines w:val="0"/>
              <w:suppressLineNumbers w:val="0"/>
              <w:spacing w:before="0" w:beforeAutospacing="0" w:after="0" w:afterAutospacing="0" w:line="360" w:lineRule="auto"/>
              <w:ind w:left="0" w:right="0"/>
              <w:rPr>
                <w:rFonts w:hint="default" w:ascii="宋体" w:hAnsi="宋体" w:eastAsia="宋体"/>
                <w:b/>
                <w:color w:val="auto"/>
                <w:sz w:val="24"/>
                <w:szCs w:val="20"/>
                <w:highlight w:val="none"/>
              </w:rPr>
            </w:pPr>
          </w:p>
        </w:tc>
      </w:tr>
      <w:tr w14:paraId="0AE51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52A4C2D6">
            <w:pPr>
              <w:keepNext w:val="0"/>
              <w:keepLines w:val="0"/>
              <w:suppressLineNumbers w:val="0"/>
              <w:spacing w:before="0" w:beforeAutospacing="0" w:after="0" w:afterAutospacing="0" w:line="360" w:lineRule="exact"/>
              <w:ind w:left="0" w:right="0"/>
              <w:jc w:val="center"/>
              <w:rPr>
                <w:rFonts w:hint="default" w:ascii="宋体" w:hAnsi="宋体" w:eastAsia="宋体"/>
                <w:b/>
                <w:color w:val="auto"/>
                <w:sz w:val="24"/>
                <w:szCs w:val="20"/>
                <w:highlight w:val="none"/>
              </w:rPr>
            </w:pPr>
            <w:r>
              <w:rPr>
                <w:rFonts w:hint="eastAsia" w:ascii="宋体" w:hAnsi="宋体" w:eastAsia="宋体"/>
                <w:b/>
                <w:bCs/>
                <w:color w:val="auto"/>
                <w:sz w:val="24"/>
                <w:szCs w:val="28"/>
                <w:highlight w:val="none"/>
              </w:rPr>
              <w:t>磋商</w:t>
            </w:r>
            <w:r>
              <w:rPr>
                <w:rFonts w:hint="eastAsia" w:ascii="宋体" w:hAnsi="宋体" w:eastAsia="宋体"/>
                <w:b/>
                <w:color w:val="auto"/>
                <w:sz w:val="24"/>
                <w:szCs w:val="20"/>
                <w:highlight w:val="none"/>
              </w:rPr>
              <w:t>范围</w:t>
            </w:r>
          </w:p>
        </w:tc>
        <w:tc>
          <w:tcPr>
            <w:tcW w:w="6062" w:type="dxa"/>
            <w:tcBorders>
              <w:left w:val="single" w:color="auto" w:sz="4" w:space="0"/>
            </w:tcBorders>
            <w:vAlign w:val="center"/>
          </w:tcPr>
          <w:p w14:paraId="6A37DFA1">
            <w:pPr>
              <w:keepNext w:val="0"/>
              <w:keepLines w:val="0"/>
              <w:widowControl/>
              <w:suppressLineNumbers w:val="0"/>
              <w:spacing w:before="0" w:beforeAutospacing="0" w:after="0" w:afterAutospacing="0" w:line="360" w:lineRule="exact"/>
              <w:ind w:left="0" w:right="0"/>
              <w:rPr>
                <w:rFonts w:hint="default" w:ascii="宋体" w:hAnsi="宋体" w:eastAsia="宋体"/>
                <w:b/>
                <w:color w:val="auto"/>
                <w:sz w:val="24"/>
                <w:szCs w:val="20"/>
                <w:highlight w:val="none"/>
              </w:rPr>
            </w:pPr>
            <w:r>
              <w:rPr>
                <w:rFonts w:hint="eastAsia" w:asciiTheme="minorEastAsia" w:hAnsiTheme="minorEastAsia" w:eastAsiaTheme="minorEastAsia"/>
                <w:sz w:val="24"/>
                <w:szCs w:val="28"/>
                <w:highlight w:val="none"/>
              </w:rPr>
              <w:t>全部</w:t>
            </w:r>
          </w:p>
        </w:tc>
      </w:tr>
      <w:tr w14:paraId="649BD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56E4D22E">
            <w:pPr>
              <w:keepNext w:val="0"/>
              <w:keepLines w:val="0"/>
              <w:suppressLineNumbers w:val="0"/>
              <w:spacing w:before="0" w:beforeAutospacing="0" w:after="0" w:afterAutospacing="0" w:line="360" w:lineRule="auto"/>
              <w:ind w:left="0" w:right="0"/>
              <w:jc w:val="center"/>
              <w:rPr>
                <w:rFonts w:hint="default" w:ascii="宋体" w:hAnsi="宋体" w:eastAsia="宋体"/>
                <w:b/>
                <w:color w:val="auto"/>
                <w:sz w:val="24"/>
                <w:szCs w:val="20"/>
                <w:highlight w:val="none"/>
              </w:rPr>
            </w:pPr>
            <w:r>
              <w:rPr>
                <w:rFonts w:hint="eastAsia" w:ascii="宋体" w:hAnsi="宋体" w:eastAsia="宋体"/>
                <w:b/>
                <w:bCs/>
                <w:color w:val="auto"/>
                <w:sz w:val="24"/>
                <w:szCs w:val="28"/>
                <w:highlight w:val="none"/>
              </w:rPr>
              <w:t>最后报价</w:t>
            </w:r>
          </w:p>
          <w:p w14:paraId="3144D449">
            <w:pPr>
              <w:keepNext w:val="0"/>
              <w:keepLines w:val="0"/>
              <w:suppressLineNumbers w:val="0"/>
              <w:spacing w:before="0" w:beforeAutospacing="0" w:after="0" w:afterAutospacing="0" w:line="360" w:lineRule="auto"/>
              <w:ind w:left="0" w:right="0"/>
              <w:jc w:val="center"/>
              <w:rPr>
                <w:rFonts w:hint="default" w:ascii="宋体" w:hAnsi="宋体" w:eastAsia="宋体"/>
                <w:b/>
                <w:color w:val="auto"/>
                <w:sz w:val="24"/>
                <w:szCs w:val="20"/>
                <w:highlight w:val="none"/>
              </w:rPr>
            </w:pPr>
            <w:r>
              <w:rPr>
                <w:rFonts w:hint="eastAsia" w:ascii="宋体" w:hAnsi="宋体" w:eastAsia="宋体"/>
                <w:b/>
                <w:color w:val="auto"/>
                <w:sz w:val="24"/>
                <w:szCs w:val="20"/>
                <w:highlight w:val="none"/>
              </w:rPr>
              <w:t>（详见备注说明）</w:t>
            </w:r>
          </w:p>
        </w:tc>
        <w:tc>
          <w:tcPr>
            <w:tcW w:w="6062" w:type="dxa"/>
            <w:shd w:val="clear" w:color="auto" w:fill="auto"/>
            <w:vAlign w:val="center"/>
          </w:tcPr>
          <w:p w14:paraId="35286EAD">
            <w:pPr>
              <w:keepNext w:val="0"/>
              <w:keepLines w:val="0"/>
              <w:suppressLineNumbers w:val="0"/>
              <w:snapToGrid w:val="0"/>
              <w:spacing w:before="0" w:beforeAutospacing="0" w:after="0" w:afterAutospacing="0" w:line="360" w:lineRule="auto"/>
              <w:ind w:left="0" w:right="0"/>
              <w:jc w:val="left"/>
              <w:rPr>
                <w:rFonts w:hint="default" w:ascii="宋体" w:hAnsi="宋体" w:eastAsia="宋体" w:cs="宋体"/>
                <w:bCs/>
                <w:sz w:val="24"/>
                <w:szCs w:val="24"/>
                <w:highlight w:val="none"/>
                <w:u w:val="single"/>
              </w:rPr>
            </w:pPr>
            <w:r>
              <w:rPr>
                <w:rFonts w:hint="eastAsia" w:ascii="宋体" w:hAnsi="宋体" w:eastAsia="宋体" w:cs="宋体"/>
                <w:bCs/>
                <w:sz w:val="24"/>
                <w:szCs w:val="24"/>
                <w:highlight w:val="none"/>
              </w:rPr>
              <w:t>人民币大写：</w:t>
            </w:r>
            <w:r>
              <w:rPr>
                <w:rFonts w:hint="eastAsia" w:ascii="宋体" w:hAnsi="宋体" w:eastAsia="宋体" w:cs="宋体"/>
                <w:bCs/>
                <w:sz w:val="24"/>
                <w:szCs w:val="24"/>
                <w:highlight w:val="none"/>
                <w:u w:val="single"/>
              </w:rPr>
              <w:t xml:space="preserve">                     </w:t>
            </w:r>
          </w:p>
          <w:p w14:paraId="4567209B">
            <w:pPr>
              <w:keepNext w:val="0"/>
              <w:keepLines w:val="0"/>
              <w:suppressLineNumbers w:val="0"/>
              <w:spacing w:before="0" w:beforeAutospacing="0" w:after="0" w:afterAutospacing="0" w:line="360" w:lineRule="auto"/>
              <w:ind w:left="0" w:right="-670" w:rightChars="0"/>
              <w:rPr>
                <w:rFonts w:hint="default" w:ascii="宋体" w:hAnsi="宋体" w:eastAsia="宋体"/>
                <w:b/>
                <w:color w:val="auto"/>
                <w:sz w:val="24"/>
                <w:szCs w:val="20"/>
                <w:highlight w:val="none"/>
              </w:rPr>
            </w:pPr>
            <w:r>
              <w:rPr>
                <w:rFonts w:hint="eastAsia" w:ascii="宋体" w:hAnsi="宋体" w:eastAsia="宋体" w:cs="宋体"/>
                <w:bCs/>
                <w:sz w:val="24"/>
                <w:szCs w:val="24"/>
                <w:highlight w:val="none"/>
              </w:rPr>
              <w:t>人民币小写：</w:t>
            </w:r>
            <w:r>
              <w:rPr>
                <w:rFonts w:hint="eastAsia" w:ascii="宋体" w:hAnsi="宋体" w:eastAsia="宋体" w:cs="宋体"/>
                <w:bCs/>
                <w:sz w:val="24"/>
                <w:szCs w:val="24"/>
                <w:highlight w:val="none"/>
                <w:u w:val="single"/>
              </w:rPr>
              <w:t xml:space="preserve">                     </w:t>
            </w:r>
          </w:p>
        </w:tc>
      </w:tr>
      <w:tr w14:paraId="55C87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4" w:hRule="atLeast"/>
          <w:jc w:val="center"/>
        </w:trPr>
        <w:tc>
          <w:tcPr>
            <w:tcW w:w="1443" w:type="pct"/>
            <w:vAlign w:val="center"/>
          </w:tcPr>
          <w:p w14:paraId="44BB32DE">
            <w:pPr>
              <w:keepNext w:val="0"/>
              <w:keepLines w:val="0"/>
              <w:suppressLineNumbers w:val="0"/>
              <w:spacing w:before="0" w:beforeAutospacing="0" w:after="0" w:afterAutospacing="0" w:line="360" w:lineRule="auto"/>
              <w:ind w:left="0" w:right="0"/>
              <w:jc w:val="center"/>
              <w:rPr>
                <w:rFonts w:hint="default" w:ascii="宋体" w:hAnsi="宋体" w:eastAsia="宋体"/>
                <w:b/>
                <w:color w:val="auto"/>
                <w:sz w:val="24"/>
                <w:szCs w:val="20"/>
                <w:highlight w:val="none"/>
              </w:rPr>
            </w:pPr>
            <w:r>
              <w:rPr>
                <w:rFonts w:hint="eastAsia" w:ascii="宋体" w:hAnsi="宋体" w:eastAsia="宋体"/>
                <w:b/>
                <w:color w:val="auto"/>
                <w:sz w:val="24"/>
                <w:szCs w:val="20"/>
                <w:highlight w:val="none"/>
              </w:rPr>
              <w:t>备注说明</w:t>
            </w:r>
          </w:p>
        </w:tc>
        <w:tc>
          <w:tcPr>
            <w:tcW w:w="3556" w:type="pct"/>
          </w:tcPr>
          <w:p w14:paraId="1924092E">
            <w:pPr>
              <w:keepNext w:val="0"/>
              <w:keepLines w:val="0"/>
              <w:suppressLineNumbers w:val="0"/>
              <w:spacing w:before="0" w:beforeAutospacing="0" w:after="0" w:afterAutospacing="0" w:line="360" w:lineRule="auto"/>
              <w:ind w:left="0" w:right="0"/>
              <w:rPr>
                <w:rFonts w:hint="eastAsia" w:ascii="宋体" w:hAnsi="宋体" w:eastAsia="宋体"/>
                <w:b/>
                <w:i/>
                <w:color w:val="auto"/>
                <w:sz w:val="24"/>
                <w:szCs w:val="20"/>
                <w:highlight w:val="none"/>
              </w:rPr>
            </w:pPr>
            <w:r>
              <w:rPr>
                <w:rFonts w:hint="eastAsia" w:ascii="宋体" w:hAnsi="宋体" w:eastAsia="宋体"/>
                <w:b/>
                <w:i/>
                <w:color w:val="auto"/>
                <w:sz w:val="24"/>
                <w:szCs w:val="20"/>
                <w:highlight w:val="none"/>
              </w:rPr>
              <w:t>（此处可补充磋商小组根据与供应商磋商情况变动的磋商文件的内容，包括采购需求中的技术、服务要求以及合同草案条款。）</w:t>
            </w:r>
          </w:p>
          <w:p w14:paraId="5B2151BA">
            <w:pPr>
              <w:keepNext w:val="0"/>
              <w:keepLines w:val="0"/>
              <w:suppressLineNumbers w:val="0"/>
              <w:spacing w:before="0" w:beforeAutospacing="0" w:after="0" w:afterAutospacing="0" w:line="360" w:lineRule="auto"/>
              <w:ind w:left="0" w:right="0"/>
              <w:rPr>
                <w:rFonts w:hint="eastAsia" w:ascii="宋体" w:hAnsi="宋体" w:eastAsia="宋体"/>
                <w:b/>
                <w:color w:val="auto"/>
                <w:sz w:val="24"/>
                <w:szCs w:val="20"/>
                <w:highlight w:val="none"/>
                <w:lang w:eastAsia="zh-CN"/>
              </w:rPr>
            </w:pPr>
          </w:p>
        </w:tc>
      </w:tr>
      <w:tr w14:paraId="310D1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1443" w:type="pct"/>
            <w:vAlign w:val="center"/>
          </w:tcPr>
          <w:p w14:paraId="29C8105F">
            <w:pPr>
              <w:keepNext w:val="0"/>
              <w:keepLines w:val="0"/>
              <w:suppressLineNumbers w:val="0"/>
              <w:spacing w:before="0" w:beforeAutospacing="0" w:after="0" w:afterAutospacing="0" w:line="360" w:lineRule="auto"/>
              <w:ind w:left="0" w:right="0"/>
              <w:jc w:val="center"/>
              <w:rPr>
                <w:rFonts w:hint="default" w:ascii="宋体" w:hAnsi="宋体" w:eastAsia="宋体"/>
                <w:b/>
                <w:color w:val="auto"/>
                <w:sz w:val="24"/>
                <w:szCs w:val="20"/>
                <w:highlight w:val="none"/>
              </w:rPr>
            </w:pPr>
            <w:r>
              <w:rPr>
                <w:rFonts w:hint="eastAsia" w:ascii="宋体" w:hAnsi="宋体" w:eastAsia="宋体"/>
                <w:b/>
                <w:bCs/>
                <w:color w:val="auto"/>
                <w:sz w:val="24"/>
                <w:szCs w:val="28"/>
                <w:highlight w:val="none"/>
              </w:rPr>
              <w:t>磋商小组</w:t>
            </w:r>
            <w:r>
              <w:rPr>
                <w:rFonts w:hint="default" w:ascii="宋体" w:hAnsi="宋体" w:eastAsia="宋体"/>
                <w:b/>
                <w:bCs/>
                <w:color w:val="auto"/>
                <w:sz w:val="24"/>
                <w:szCs w:val="28"/>
                <w:highlight w:val="none"/>
              </w:rPr>
              <w:t>签字</w:t>
            </w:r>
          </w:p>
        </w:tc>
        <w:tc>
          <w:tcPr>
            <w:tcW w:w="3556" w:type="pct"/>
          </w:tcPr>
          <w:p w14:paraId="44F7CB13">
            <w:pPr>
              <w:keepNext w:val="0"/>
              <w:keepLines w:val="0"/>
              <w:suppressLineNumbers w:val="0"/>
              <w:spacing w:before="0" w:beforeAutospacing="0" w:after="0" w:afterAutospacing="0" w:line="360" w:lineRule="auto"/>
              <w:ind w:left="0" w:right="0"/>
              <w:rPr>
                <w:rFonts w:hint="default" w:ascii="宋体" w:hAnsi="宋体" w:eastAsia="宋体"/>
                <w:b/>
                <w:color w:val="auto"/>
                <w:sz w:val="24"/>
                <w:szCs w:val="20"/>
                <w:highlight w:val="none"/>
              </w:rPr>
            </w:pPr>
          </w:p>
        </w:tc>
      </w:tr>
    </w:tbl>
    <w:p w14:paraId="3DE63485">
      <w:pPr>
        <w:spacing w:line="360" w:lineRule="auto"/>
        <w:ind w:firstLine="3600" w:firstLineChars="1500"/>
        <w:jc w:val="left"/>
        <w:rPr>
          <w:rFonts w:ascii="宋体" w:hAnsi="宋体" w:eastAsia="宋体"/>
          <w:color w:val="auto"/>
          <w:sz w:val="24"/>
          <w:highlight w:val="none"/>
        </w:rPr>
      </w:pPr>
      <w:r>
        <w:rPr>
          <w:rFonts w:hint="eastAsia" w:ascii="宋体" w:hAnsi="宋体" w:eastAsia="宋体"/>
          <w:color w:val="auto"/>
          <w:sz w:val="24"/>
          <w:highlight w:val="none"/>
        </w:rPr>
        <w:t>供应商公章或授权代表签字：</w:t>
      </w:r>
      <w:r>
        <w:rPr>
          <w:rFonts w:hint="eastAsia" w:ascii="宋体" w:hAnsi="宋体" w:eastAsia="宋体"/>
          <w:color w:val="auto"/>
          <w:sz w:val="24"/>
          <w:highlight w:val="none"/>
          <w:u w:val="single"/>
        </w:rPr>
        <w:t xml:space="preserve">             </w:t>
      </w:r>
    </w:p>
    <w:p w14:paraId="18B2501F">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0D126EE0">
      <w:pPr>
        <w:spacing w:line="360" w:lineRule="auto"/>
        <w:jc w:val="left"/>
        <w:rPr>
          <w:rFonts w:ascii="宋体" w:hAnsi="宋体" w:eastAsia="宋体"/>
          <w:b/>
          <w:bCs/>
          <w:sz w:val="24"/>
          <w:highlight w:val="none"/>
        </w:rPr>
      </w:pPr>
      <w:r>
        <w:rPr>
          <w:rFonts w:hint="eastAsia" w:ascii="宋体" w:hAnsi="宋体" w:eastAsia="宋体"/>
          <w:b/>
          <w:bCs/>
          <w:sz w:val="24"/>
          <w:highlight w:val="none"/>
        </w:rPr>
        <w:t>注：</w:t>
      </w:r>
    </w:p>
    <w:p w14:paraId="65EB01D2">
      <w:pPr>
        <w:spacing w:line="360" w:lineRule="auto"/>
        <w:ind w:firstLine="482" w:firstLineChars="200"/>
        <w:jc w:val="left"/>
        <w:rPr>
          <w:rFonts w:ascii="宋体" w:hAnsi="宋体" w:eastAsia="宋体"/>
          <w:bCs/>
          <w:sz w:val="24"/>
          <w:highlight w:val="none"/>
        </w:rPr>
      </w:pPr>
      <w:r>
        <w:rPr>
          <w:rFonts w:hint="eastAsia" w:ascii="宋体" w:hAnsi="宋体" w:eastAsia="宋体"/>
          <w:b/>
          <w:bCs/>
          <w:sz w:val="24"/>
          <w:highlight w:val="none"/>
        </w:rPr>
        <w:t>1.本页《报价表》由供应商在接到报价通知后依据磋商情况填写,并在规定时间内提交。</w:t>
      </w:r>
      <w:r>
        <w:rPr>
          <w:rFonts w:hint="eastAsia" w:ascii="宋体" w:hAnsi="宋体" w:eastAsia="宋体"/>
          <w:sz w:val="24"/>
          <w:highlight w:val="none"/>
        </w:rPr>
        <w:t>考虑磋商报价的方便，供应商在填写最后承诺报价后，（第一次报价-最后承诺报价）除以第一次报价后得出的优惠率视同为需求表中全部分项设备、工程量或服务的优惠浮动值（特定分项优惠除外），而不考虑措施项目清单和规费税金清单的金额改变。</w:t>
      </w:r>
      <w:r>
        <w:rPr>
          <w:rFonts w:hint="eastAsia" w:ascii="宋体" w:hAnsi="宋体" w:eastAsia="宋体"/>
          <w:bCs/>
          <w:sz w:val="24"/>
          <w:highlight w:val="none"/>
        </w:rPr>
        <w:t>此优惠率调整原则适用于合同内价格的计算及项目增减、变更时价格的计算。</w:t>
      </w:r>
    </w:p>
    <w:p w14:paraId="1727956B">
      <w:pPr>
        <w:spacing w:line="360" w:lineRule="auto"/>
        <w:ind w:firstLine="482" w:firstLineChars="200"/>
        <w:jc w:val="left"/>
        <w:rPr>
          <w:rFonts w:ascii="宋体" w:hAnsi="宋体" w:eastAsia="宋体"/>
          <w:bCs/>
          <w:color w:val="auto"/>
          <w:sz w:val="24"/>
          <w:highlight w:val="none"/>
        </w:rPr>
      </w:pPr>
      <w:r>
        <w:rPr>
          <w:rFonts w:hint="eastAsia" w:ascii="宋体" w:hAnsi="宋体" w:eastAsia="宋体"/>
          <w:b/>
          <w:bCs/>
          <w:sz w:val="24"/>
          <w:highlight w:val="none"/>
        </w:rPr>
        <w:t>2.表中大写金额与小写金额不一致的，以大写金额为准。</w:t>
      </w:r>
      <w:r>
        <w:rPr>
          <w:rFonts w:ascii="宋体" w:hAnsi="宋体" w:eastAsia="宋体"/>
          <w:bCs/>
          <w:color w:val="auto"/>
          <w:sz w:val="24"/>
          <w:highlight w:val="none"/>
        </w:rPr>
        <w:br w:type="page"/>
      </w:r>
    </w:p>
    <w:p w14:paraId="156145B4">
      <w:pPr>
        <w:spacing w:line="360" w:lineRule="auto"/>
        <w:jc w:val="center"/>
        <w:outlineLvl w:val="1"/>
        <w:rPr>
          <w:rFonts w:asciiTheme="minorEastAsia" w:hAnsiTheme="minorEastAsia" w:eastAsiaTheme="minorEastAsia"/>
          <w:b/>
          <w:color w:val="auto"/>
          <w:sz w:val="24"/>
          <w:highlight w:val="none"/>
        </w:rPr>
      </w:pPr>
      <w:bookmarkStart w:id="53" w:name="_Toc32385"/>
      <w:bookmarkStart w:id="54" w:name="_Toc520983591"/>
      <w:bookmarkStart w:id="55" w:name="_Toc11500"/>
      <w:r>
        <w:rPr>
          <w:rFonts w:hint="eastAsia" w:asciiTheme="minorEastAsia" w:hAnsiTheme="minorEastAsia" w:eastAsiaTheme="minorEastAsia"/>
          <w:b/>
          <w:color w:val="auto"/>
          <w:sz w:val="24"/>
          <w:highlight w:val="none"/>
        </w:rPr>
        <w:t>三、磋商响应函</w:t>
      </w:r>
      <w:bookmarkEnd w:id="53"/>
      <w:bookmarkEnd w:id="54"/>
      <w:bookmarkEnd w:id="55"/>
    </w:p>
    <w:p w14:paraId="58915FB7">
      <w:pPr>
        <w:pStyle w:val="14"/>
        <w:spacing w:line="360" w:lineRule="auto"/>
        <w:rPr>
          <w:rFonts w:ascii="宋体" w:hAnsi="宋体"/>
          <w:color w:val="auto"/>
          <w:sz w:val="24"/>
          <w:highlight w:val="none"/>
        </w:rPr>
      </w:pPr>
      <w:r>
        <w:rPr>
          <w:rFonts w:hint="eastAsia" w:ascii="宋体" w:hAnsi="宋体"/>
          <w:color w:val="auto"/>
          <w:sz w:val="24"/>
          <w:highlight w:val="none"/>
        </w:rPr>
        <w:t>致：采购人</w:t>
      </w:r>
    </w:p>
    <w:p w14:paraId="5D29402D">
      <w:pPr>
        <w:spacing w:line="360" w:lineRule="auto"/>
        <w:ind w:firstLine="480" w:firstLineChars="200"/>
        <w:rPr>
          <w:rFonts w:ascii="宋体" w:hAnsi="宋体" w:eastAsia="宋体"/>
          <w:dstrike/>
          <w:color w:val="auto"/>
          <w:sz w:val="24"/>
          <w:highlight w:val="none"/>
        </w:rPr>
      </w:pPr>
      <w:r>
        <w:rPr>
          <w:rFonts w:hint="eastAsia" w:ascii="宋体" w:hAnsi="宋体" w:eastAsia="宋体"/>
          <w:color w:val="auto"/>
          <w:sz w:val="24"/>
          <w:highlight w:val="none"/>
        </w:rPr>
        <w:t>根据贵方的</w:t>
      </w:r>
      <w:bookmarkStart w:id="56" w:name="_Hlk44287543"/>
      <w:r>
        <w:rPr>
          <w:rFonts w:hint="eastAsia" w:ascii="宋体" w:hAnsi="宋体" w:eastAsia="宋体"/>
          <w:color w:val="auto"/>
          <w:sz w:val="24"/>
          <w:highlight w:val="none"/>
        </w:rPr>
        <w:t>竞争性磋商公告和磋商邀请</w:t>
      </w:r>
      <w:bookmarkEnd w:id="56"/>
      <w:r>
        <w:rPr>
          <w:rFonts w:hint="eastAsia" w:ascii="宋体" w:hAnsi="宋体" w:eastAsia="宋体"/>
          <w:color w:val="auto"/>
          <w:sz w:val="24"/>
          <w:highlight w:val="none"/>
        </w:rPr>
        <w:t>，我方兹宣布同意如下：</w:t>
      </w:r>
    </w:p>
    <w:p w14:paraId="01F25B8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宋体" w:hAnsi="宋体" w:eastAsia="宋体" w:cs="宋体"/>
          <w:color w:val="auto"/>
          <w:sz w:val="24"/>
          <w:szCs w:val="24"/>
          <w:highlight w:val="none"/>
        </w:rPr>
        <w:t>我方根据磋商文件的规定，严格履行合同的责任和义务,并保证于买方要求的日期内完成，并通过买方验收。</w:t>
      </w:r>
    </w:p>
    <w:p w14:paraId="7D1B8F9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2.我方已详细审核全部磋商文件，包括磋商文件附件及更正公告（如有），我方正式认可并遵守本次磋商文件，并对磋商文件各项条款、规定及要求均无异议。</w:t>
      </w:r>
    </w:p>
    <w:p w14:paraId="0CE3FED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3.我方同意从磋商文件规定的磋商日期起遵循本磋商文件，并在磋商文件规定的磋商有效期之前均具有约束力。</w:t>
      </w:r>
    </w:p>
    <w:p w14:paraId="1D3FE38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我方声明响应文件所提供的一切资料均真实无误、及时、有效，企业运营正常。由于我方提供资料不实而造成的责任和后果由我方承担。我方同意按照贵方提出的要求，提供与磋商有关的任何证据、数据或资料。</w:t>
      </w:r>
    </w:p>
    <w:p w14:paraId="254F8263">
      <w:pPr>
        <w:spacing w:line="360" w:lineRule="auto"/>
        <w:ind w:firstLine="480" w:firstLineChars="200"/>
        <w:rPr>
          <w:rFonts w:ascii="宋体" w:hAnsi="宋体" w:eastAsia="宋体"/>
          <w:color w:val="auto"/>
          <w:sz w:val="24"/>
          <w:highlight w:val="none"/>
        </w:rPr>
      </w:pPr>
    </w:p>
    <w:p w14:paraId="66EDB91C">
      <w:pPr>
        <w:spacing w:line="360" w:lineRule="auto"/>
        <w:ind w:firstLine="4800" w:firstLineChars="2000"/>
        <w:rPr>
          <w:rFonts w:ascii="宋体" w:hAnsi="宋体" w:eastAsia="宋体"/>
          <w:color w:val="auto"/>
          <w:sz w:val="24"/>
          <w:highlight w:val="none"/>
        </w:rPr>
      </w:pPr>
      <w:r>
        <w:rPr>
          <w:rFonts w:hint="eastAsia" w:ascii="宋体" w:hAnsi="宋体" w:eastAsia="宋体"/>
          <w:color w:val="auto"/>
          <w:sz w:val="24"/>
          <w:highlight w:val="none"/>
        </w:rPr>
        <w:t>供应商电子签章：</w:t>
      </w:r>
      <w:r>
        <w:rPr>
          <w:rFonts w:hint="eastAsia" w:ascii="宋体" w:hAnsi="宋体" w:eastAsia="宋体"/>
          <w:color w:val="auto"/>
          <w:sz w:val="24"/>
          <w:highlight w:val="none"/>
          <w:u w:val="single"/>
        </w:rPr>
        <w:t xml:space="preserve">             </w:t>
      </w:r>
    </w:p>
    <w:p w14:paraId="310A0BBB">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5F8AEC28">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3D6D7225">
      <w:pPr>
        <w:spacing w:line="360" w:lineRule="auto"/>
        <w:jc w:val="center"/>
        <w:outlineLvl w:val="1"/>
        <w:rPr>
          <w:rFonts w:asciiTheme="minorEastAsia" w:hAnsiTheme="minorEastAsia" w:eastAsiaTheme="minorEastAsia"/>
          <w:b/>
          <w:color w:val="auto"/>
          <w:sz w:val="24"/>
          <w:highlight w:val="none"/>
        </w:rPr>
      </w:pPr>
      <w:bookmarkStart w:id="57" w:name="_Toc21328"/>
      <w:r>
        <w:rPr>
          <w:rFonts w:hint="eastAsia" w:asciiTheme="minorEastAsia" w:hAnsiTheme="minorEastAsia" w:eastAsiaTheme="minorEastAsia"/>
          <w:b/>
          <w:color w:val="auto"/>
          <w:sz w:val="24"/>
          <w:highlight w:val="none"/>
        </w:rPr>
        <w:t>四、供应商资格声明书</w:t>
      </w:r>
      <w:bookmarkEnd w:id="57"/>
    </w:p>
    <w:p w14:paraId="4D197EDA">
      <w:pPr>
        <w:pStyle w:val="14"/>
        <w:spacing w:line="360" w:lineRule="auto"/>
        <w:rPr>
          <w:rFonts w:asciiTheme="minorEastAsia" w:hAnsiTheme="minorEastAsia" w:cstheme="minorEastAsia"/>
          <w:color w:val="auto"/>
          <w:sz w:val="24"/>
          <w:szCs w:val="24"/>
          <w:highlight w:val="none"/>
        </w:rPr>
      </w:pPr>
      <w:r>
        <w:rPr>
          <w:rFonts w:hint="eastAsia" w:ascii="宋体" w:hAnsi="宋体"/>
          <w:color w:val="auto"/>
          <w:sz w:val="24"/>
          <w:highlight w:val="none"/>
        </w:rPr>
        <w:t>致：采购人</w:t>
      </w:r>
    </w:p>
    <w:p w14:paraId="0BC9105D">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在参与本次项目磋商中，我单位承诺：</w:t>
      </w:r>
    </w:p>
    <w:p w14:paraId="05BC6F23">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（一）具有良好的商业信誉和健全的财务会计制度；</w:t>
      </w:r>
    </w:p>
    <w:p w14:paraId="3704F014">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（二）具有履行合同所必需的设备和专业技术能力；</w:t>
      </w:r>
    </w:p>
    <w:p w14:paraId="4F9232FE">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（三）有依法缴纳税收和社会保障资金的良好记录；</w:t>
      </w:r>
    </w:p>
    <w:p w14:paraId="5CF264BA">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262BF1D9">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（五）我单位不存在为采购项目提供整体设计、规范编制或者项目管理、监理、检测等服务后，再参加该采购项目的其他采购活动的情形（单一来源采购项目除外）；</w:t>
      </w:r>
    </w:p>
    <w:p w14:paraId="0A2386A5">
      <w:pPr>
        <w:widowControl/>
        <w:spacing w:line="360" w:lineRule="auto"/>
        <w:ind w:firstLine="480" w:firstLineChars="200"/>
        <w:jc w:val="left"/>
        <w:rPr>
          <w:rFonts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（六）与我单位存在单位负责人为同一人或者存在直接控股、管理关系的其他法人单位信息如下（如有，不论其是否参加同一合同项下的政府采购活动均须填写）：</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1"/>
        <w:gridCol w:w="4191"/>
        <w:gridCol w:w="2510"/>
      </w:tblGrid>
      <w:tr w14:paraId="28EF9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6100998A">
            <w:pPr>
              <w:keepNext w:val="0"/>
              <w:keepLines w:val="0"/>
              <w:widowControl/>
              <w:suppressLineNumbers w:val="0"/>
              <w:spacing w:before="0" w:beforeAutospacing="0" w:after="0" w:afterAutospacing="0" w:line="360" w:lineRule="auto"/>
              <w:ind w:left="0" w:right="0"/>
              <w:jc w:val="center"/>
              <w:rPr>
                <w:rFonts w:hint="default"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序号</w:t>
            </w:r>
          </w:p>
        </w:tc>
        <w:tc>
          <w:tcPr>
            <w:tcW w:w="4501" w:type="dxa"/>
          </w:tcPr>
          <w:p w14:paraId="51F6F174">
            <w:pPr>
              <w:pStyle w:val="9"/>
              <w:keepNext w:val="0"/>
              <w:keepLines w:val="0"/>
              <w:suppressLineNumbers w:val="0"/>
              <w:spacing w:before="0" w:beforeAutospacing="0" w:afterAutospacing="0"/>
              <w:ind w:left="0" w:right="0"/>
              <w:jc w:val="center"/>
              <w:rPr>
                <w:rFonts w:hint="default" w:asciiTheme="minorEastAsia" w:hAnsiTheme="minorEastAsia" w:eastAsiaTheme="minorEastAsia" w:cstheme="minorEastAsia"/>
                <w:color w:val="auto"/>
                <w:kern w:val="0"/>
                <w:sz w:val="24"/>
                <w:highlight w:val="none"/>
                <w:lang w:val="en-US"/>
              </w:rPr>
            </w:pPr>
            <w:r>
              <w:rPr>
                <w:rFonts w:hint="eastAsia" w:asciiTheme="minorEastAsia" w:hAnsiTheme="minorEastAsia" w:eastAsiaTheme="minorEastAsia" w:cstheme="minorEastAsia"/>
                <w:color w:val="auto"/>
                <w:kern w:val="0"/>
                <w:sz w:val="24"/>
                <w:highlight w:val="none"/>
                <w:lang w:val="en-US"/>
              </w:rPr>
              <w:t>单位名称</w:t>
            </w:r>
          </w:p>
        </w:tc>
        <w:tc>
          <w:tcPr>
            <w:tcW w:w="2681" w:type="dxa"/>
          </w:tcPr>
          <w:p w14:paraId="3B74D941">
            <w:pPr>
              <w:pStyle w:val="9"/>
              <w:keepNext w:val="0"/>
              <w:keepLines w:val="0"/>
              <w:suppressLineNumbers w:val="0"/>
              <w:spacing w:before="0" w:beforeAutospacing="0" w:afterAutospacing="0"/>
              <w:ind w:left="0" w:right="0"/>
              <w:jc w:val="center"/>
              <w:rPr>
                <w:rFonts w:hint="default" w:asciiTheme="minorEastAsia" w:hAnsiTheme="minorEastAsia" w:eastAsiaTheme="minorEastAsia" w:cstheme="minorEastAsia"/>
                <w:color w:val="auto"/>
                <w:kern w:val="0"/>
                <w:sz w:val="24"/>
                <w:highlight w:val="none"/>
                <w:lang w:val="en-US"/>
              </w:rPr>
            </w:pPr>
            <w:r>
              <w:rPr>
                <w:rFonts w:hint="eastAsia" w:asciiTheme="minorEastAsia" w:hAnsiTheme="minorEastAsia" w:eastAsiaTheme="minorEastAsia" w:cstheme="minorEastAsia"/>
                <w:color w:val="auto"/>
                <w:kern w:val="0"/>
                <w:sz w:val="24"/>
                <w:highlight w:val="none"/>
                <w:lang w:val="en-US"/>
              </w:rPr>
              <w:t>相互关系</w:t>
            </w:r>
          </w:p>
        </w:tc>
      </w:tr>
      <w:tr w14:paraId="3764B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3C9F6342">
            <w:pPr>
              <w:pStyle w:val="9"/>
              <w:keepNext w:val="0"/>
              <w:keepLines w:val="0"/>
              <w:suppressLineNumbers w:val="0"/>
              <w:spacing w:before="0" w:beforeAutospacing="0" w:afterAutospacing="0"/>
              <w:ind w:left="0" w:right="0"/>
              <w:jc w:val="center"/>
              <w:rPr>
                <w:rFonts w:hint="default" w:asciiTheme="minorEastAsia" w:hAnsiTheme="minorEastAsia" w:eastAsiaTheme="minorEastAsia" w:cstheme="minorEastAsia"/>
                <w:color w:val="auto"/>
                <w:kern w:val="0"/>
                <w:sz w:val="24"/>
                <w:highlight w:val="none"/>
                <w:lang w:val="en-US"/>
              </w:rPr>
            </w:pPr>
            <w:r>
              <w:rPr>
                <w:rFonts w:hint="eastAsia" w:asciiTheme="minorEastAsia" w:hAnsiTheme="minorEastAsia" w:eastAsiaTheme="minorEastAsia" w:cstheme="minorEastAsia"/>
                <w:color w:val="auto"/>
                <w:kern w:val="0"/>
                <w:sz w:val="24"/>
                <w:highlight w:val="none"/>
                <w:lang w:val="en-US"/>
              </w:rPr>
              <w:t>1</w:t>
            </w:r>
          </w:p>
        </w:tc>
        <w:tc>
          <w:tcPr>
            <w:tcW w:w="4501" w:type="dxa"/>
          </w:tcPr>
          <w:p w14:paraId="3AC84A4C">
            <w:pPr>
              <w:pStyle w:val="9"/>
              <w:keepNext w:val="0"/>
              <w:keepLines w:val="0"/>
              <w:suppressLineNumbers w:val="0"/>
              <w:spacing w:before="0" w:beforeAutospacing="0" w:afterAutospacing="0"/>
              <w:ind w:left="0" w:right="0"/>
              <w:jc w:val="center"/>
              <w:rPr>
                <w:rFonts w:hint="default" w:asciiTheme="minorEastAsia" w:hAnsiTheme="minorEastAsia" w:eastAsiaTheme="minorEastAsia" w:cstheme="minorEastAsia"/>
                <w:color w:val="auto"/>
                <w:kern w:val="0"/>
                <w:sz w:val="24"/>
                <w:highlight w:val="none"/>
                <w:lang w:val="en-US"/>
              </w:rPr>
            </w:pPr>
          </w:p>
        </w:tc>
        <w:tc>
          <w:tcPr>
            <w:tcW w:w="2681" w:type="dxa"/>
          </w:tcPr>
          <w:p w14:paraId="449023FC">
            <w:pPr>
              <w:pStyle w:val="9"/>
              <w:keepNext w:val="0"/>
              <w:keepLines w:val="0"/>
              <w:suppressLineNumbers w:val="0"/>
              <w:spacing w:before="0" w:beforeAutospacing="0" w:afterAutospacing="0"/>
              <w:ind w:left="0" w:right="0"/>
              <w:jc w:val="center"/>
              <w:rPr>
                <w:rFonts w:hint="default" w:asciiTheme="minorEastAsia" w:hAnsiTheme="minorEastAsia" w:eastAsiaTheme="minorEastAsia" w:cstheme="minorEastAsia"/>
                <w:color w:val="auto"/>
                <w:kern w:val="0"/>
                <w:sz w:val="24"/>
                <w:highlight w:val="none"/>
                <w:lang w:val="en-US"/>
              </w:rPr>
            </w:pPr>
          </w:p>
        </w:tc>
      </w:tr>
      <w:tr w14:paraId="5D2F6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64ADB545">
            <w:pPr>
              <w:pStyle w:val="9"/>
              <w:keepNext w:val="0"/>
              <w:keepLines w:val="0"/>
              <w:suppressLineNumbers w:val="0"/>
              <w:spacing w:before="0" w:beforeAutospacing="0" w:afterAutospacing="0"/>
              <w:ind w:left="0" w:right="0"/>
              <w:jc w:val="center"/>
              <w:rPr>
                <w:rFonts w:hint="default" w:asciiTheme="minorEastAsia" w:hAnsiTheme="minorEastAsia" w:eastAsiaTheme="minorEastAsia" w:cstheme="minorEastAsia"/>
                <w:color w:val="auto"/>
                <w:kern w:val="0"/>
                <w:sz w:val="24"/>
                <w:highlight w:val="none"/>
                <w:lang w:val="en-US"/>
              </w:rPr>
            </w:pPr>
            <w:r>
              <w:rPr>
                <w:rFonts w:hint="eastAsia" w:asciiTheme="minorEastAsia" w:hAnsiTheme="minorEastAsia" w:eastAsiaTheme="minorEastAsia" w:cstheme="minorEastAsia"/>
                <w:color w:val="auto"/>
                <w:kern w:val="0"/>
                <w:sz w:val="24"/>
                <w:highlight w:val="none"/>
                <w:lang w:val="en-US"/>
              </w:rPr>
              <w:t>2</w:t>
            </w:r>
          </w:p>
        </w:tc>
        <w:tc>
          <w:tcPr>
            <w:tcW w:w="4501" w:type="dxa"/>
          </w:tcPr>
          <w:p w14:paraId="26392DFB">
            <w:pPr>
              <w:pStyle w:val="9"/>
              <w:keepNext w:val="0"/>
              <w:keepLines w:val="0"/>
              <w:suppressLineNumbers w:val="0"/>
              <w:spacing w:before="0" w:beforeAutospacing="0" w:afterAutospacing="0"/>
              <w:ind w:left="0" w:right="0"/>
              <w:jc w:val="center"/>
              <w:rPr>
                <w:rFonts w:hint="default" w:asciiTheme="minorEastAsia" w:hAnsiTheme="minorEastAsia" w:eastAsiaTheme="minorEastAsia" w:cstheme="minorEastAsia"/>
                <w:color w:val="auto"/>
                <w:kern w:val="0"/>
                <w:sz w:val="24"/>
                <w:highlight w:val="none"/>
                <w:lang w:val="en-US"/>
              </w:rPr>
            </w:pPr>
          </w:p>
        </w:tc>
        <w:tc>
          <w:tcPr>
            <w:tcW w:w="2681" w:type="dxa"/>
          </w:tcPr>
          <w:p w14:paraId="2558AA54">
            <w:pPr>
              <w:pStyle w:val="9"/>
              <w:keepNext w:val="0"/>
              <w:keepLines w:val="0"/>
              <w:suppressLineNumbers w:val="0"/>
              <w:spacing w:before="0" w:beforeAutospacing="0" w:afterAutospacing="0"/>
              <w:ind w:left="0" w:right="0"/>
              <w:jc w:val="center"/>
              <w:rPr>
                <w:rFonts w:hint="default" w:asciiTheme="minorEastAsia" w:hAnsiTheme="minorEastAsia" w:eastAsiaTheme="minorEastAsia" w:cstheme="minorEastAsia"/>
                <w:color w:val="auto"/>
                <w:kern w:val="0"/>
                <w:sz w:val="24"/>
                <w:highlight w:val="none"/>
                <w:lang w:val="en-US"/>
              </w:rPr>
            </w:pPr>
          </w:p>
        </w:tc>
      </w:tr>
    </w:tbl>
    <w:p w14:paraId="55AD080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7437A330">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供应商电子签章：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6C7DCA58">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72398CDD">
      <w:pPr>
        <w:spacing w:line="440" w:lineRule="exact"/>
        <w:ind w:firstLine="4800" w:firstLineChars="2000"/>
        <w:rPr>
          <w:rFonts w:ascii="宋体" w:hAnsi="宋体" w:eastAsia="宋体"/>
          <w:color w:val="auto"/>
          <w:sz w:val="24"/>
          <w:szCs w:val="24"/>
          <w:highlight w:val="none"/>
          <w:u w:val="single"/>
        </w:rPr>
      </w:pPr>
    </w:p>
    <w:p w14:paraId="712BB8CF">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0449D8AE">
      <w:pPr>
        <w:spacing w:line="360" w:lineRule="auto"/>
        <w:jc w:val="center"/>
        <w:outlineLvl w:val="1"/>
        <w:rPr>
          <w:rFonts w:asciiTheme="minorEastAsia" w:hAnsiTheme="minorEastAsia" w:eastAsiaTheme="minorEastAsia"/>
          <w:b/>
          <w:color w:val="auto"/>
          <w:sz w:val="24"/>
          <w:highlight w:val="none"/>
        </w:rPr>
      </w:pPr>
      <w:bookmarkStart w:id="58" w:name="_Toc31518"/>
      <w:bookmarkStart w:id="59" w:name="_Toc204594911"/>
      <w:bookmarkStart w:id="60" w:name="_Toc26922"/>
      <w:bookmarkStart w:id="61" w:name="_Toc121626298"/>
      <w:bookmarkStart w:id="62" w:name="_Toc516969106"/>
      <w:bookmarkStart w:id="63" w:name="_Toc520983594"/>
      <w:r>
        <w:rPr>
          <w:rFonts w:hint="eastAsia" w:asciiTheme="minorEastAsia" w:hAnsiTheme="minorEastAsia" w:eastAsiaTheme="minorEastAsia"/>
          <w:b/>
          <w:color w:val="auto"/>
          <w:sz w:val="24"/>
          <w:highlight w:val="none"/>
        </w:rPr>
        <w:t>五、授权书</w:t>
      </w:r>
      <w:bookmarkEnd w:id="58"/>
      <w:bookmarkEnd w:id="59"/>
      <w:bookmarkEnd w:id="60"/>
      <w:bookmarkEnd w:id="61"/>
      <w:bookmarkEnd w:id="62"/>
      <w:bookmarkEnd w:id="63"/>
    </w:p>
    <w:p w14:paraId="49543D89">
      <w:pPr>
        <w:spacing w:line="360" w:lineRule="auto"/>
        <w:jc w:val="center"/>
        <w:rPr>
          <w:rFonts w:asciiTheme="minorEastAsia" w:hAnsiTheme="minorEastAsia" w:eastAsiaTheme="minorEastAsia"/>
          <w:b/>
          <w:color w:val="auto"/>
          <w:sz w:val="24"/>
          <w:highlight w:val="none"/>
        </w:rPr>
      </w:pPr>
    </w:p>
    <w:p w14:paraId="38B76E72">
      <w:pPr>
        <w:pStyle w:val="13"/>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磋商过程的一切事宜，包括但不限于：提交响应文件、参与磋商、签约等。供应商授权代表在采购活动过程中所签署的一切文件和处理与之有关的一切事务，本公司均予以认可并对此承担责任。供应商授权代表无转委托权。特此授权。</w:t>
      </w:r>
    </w:p>
    <w:p w14:paraId="75764538">
      <w:pPr>
        <w:pStyle w:val="13"/>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6601D094">
      <w:pPr>
        <w:pStyle w:val="13"/>
        <w:snapToGrid w:val="0"/>
        <w:spacing w:line="360" w:lineRule="auto"/>
        <w:ind w:firstLine="480" w:firstLineChars="200"/>
        <w:jc w:val="left"/>
        <w:rPr>
          <w:rFonts w:hAnsi="宋体" w:eastAsia="宋体"/>
          <w:color w:val="auto"/>
          <w:sz w:val="24"/>
          <w:highlight w:val="none"/>
        </w:rPr>
      </w:pPr>
      <w:r>
        <w:rPr>
          <w:rFonts w:hint="eastAsia" w:hAnsi="宋体" w:eastAsia="宋体"/>
          <w:color w:val="auto"/>
          <w:sz w:val="24"/>
          <w:szCs w:val="28"/>
          <w:highlight w:val="none"/>
        </w:rPr>
        <w:t>授权代表</w:t>
      </w:r>
      <w:r>
        <w:rPr>
          <w:rFonts w:hint="eastAsia" w:hAnsi="宋体" w:eastAsia="宋体"/>
          <w:color w:val="auto"/>
          <w:sz w:val="24"/>
          <w:highlight w:val="none"/>
        </w:rPr>
        <w:t>身份证明扫描件：</w:t>
      </w:r>
    </w:p>
    <w:p w14:paraId="7878FC8F">
      <w:pPr>
        <w:pStyle w:val="13"/>
        <w:snapToGrid w:val="0"/>
        <w:spacing w:line="360" w:lineRule="auto"/>
        <w:ind w:firstLine="480" w:firstLineChars="200"/>
        <w:jc w:val="left"/>
        <w:rPr>
          <w:rFonts w:hAnsi="宋体" w:eastAsia="宋体"/>
          <w:color w:val="auto"/>
          <w:sz w:val="24"/>
          <w:highlight w:val="none"/>
        </w:rPr>
      </w:pPr>
    </w:p>
    <w:p w14:paraId="307A21D2">
      <w:pPr>
        <w:pStyle w:val="13"/>
        <w:snapToGrid w:val="0"/>
        <w:spacing w:line="360" w:lineRule="auto"/>
        <w:ind w:firstLine="480" w:firstLineChars="200"/>
        <w:jc w:val="left"/>
        <w:rPr>
          <w:rFonts w:hAnsi="宋体" w:eastAsia="宋体"/>
          <w:color w:val="auto"/>
          <w:sz w:val="24"/>
          <w:highlight w:val="none"/>
        </w:rPr>
      </w:pPr>
    </w:p>
    <w:p w14:paraId="13D679F6">
      <w:pPr>
        <w:pStyle w:val="13"/>
        <w:snapToGrid w:val="0"/>
        <w:spacing w:line="360" w:lineRule="auto"/>
        <w:ind w:firstLine="480" w:firstLineChars="200"/>
        <w:jc w:val="left"/>
        <w:rPr>
          <w:rFonts w:hAnsi="宋体" w:eastAsia="宋体"/>
          <w:color w:val="auto"/>
          <w:sz w:val="24"/>
          <w:highlight w:val="none"/>
        </w:rPr>
      </w:pPr>
    </w:p>
    <w:p w14:paraId="29705CE3">
      <w:pPr>
        <w:pStyle w:val="13"/>
        <w:snapToGrid w:val="0"/>
        <w:spacing w:line="360" w:lineRule="auto"/>
        <w:ind w:firstLine="480" w:firstLineChars="200"/>
        <w:jc w:val="left"/>
        <w:rPr>
          <w:rFonts w:hAnsi="宋体" w:eastAsia="宋体"/>
          <w:color w:val="auto"/>
          <w:sz w:val="24"/>
          <w:highlight w:val="none"/>
        </w:rPr>
      </w:pPr>
    </w:p>
    <w:p w14:paraId="7108CDA2">
      <w:pPr>
        <w:pStyle w:val="13"/>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51A79D5A">
      <w:pPr>
        <w:pStyle w:val="13"/>
        <w:snapToGrid w:val="0"/>
        <w:spacing w:line="360" w:lineRule="auto"/>
        <w:ind w:firstLine="480" w:firstLineChars="200"/>
        <w:jc w:val="left"/>
        <w:rPr>
          <w:rFonts w:hAnsi="宋体" w:eastAsia="宋体"/>
          <w:color w:val="auto"/>
          <w:sz w:val="24"/>
          <w:szCs w:val="28"/>
          <w:highlight w:val="none"/>
        </w:rPr>
      </w:pPr>
    </w:p>
    <w:p w14:paraId="6B614CEE">
      <w:pPr>
        <w:spacing w:line="360" w:lineRule="auto"/>
        <w:ind w:firstLine="360" w:firstLineChars="150"/>
        <w:rPr>
          <w:rFonts w:ascii="宋体" w:hAnsi="宋体" w:eastAsia="宋体"/>
          <w:color w:val="auto"/>
          <w:sz w:val="24"/>
          <w:szCs w:val="28"/>
          <w:highlight w:val="none"/>
        </w:rPr>
      </w:pPr>
      <w:r>
        <w:rPr>
          <w:rFonts w:hint="eastAsia" w:ascii="宋体" w:hAnsi="宋体" w:eastAsia="宋体"/>
          <w:color w:val="auto"/>
          <w:sz w:val="24"/>
          <w:szCs w:val="28"/>
          <w:highlight w:val="none"/>
        </w:rPr>
        <w:t>特此声明。</w:t>
      </w:r>
    </w:p>
    <w:p w14:paraId="78477AAB">
      <w:pPr>
        <w:spacing w:line="360" w:lineRule="auto"/>
        <w:rPr>
          <w:rFonts w:ascii="宋体" w:hAnsi="宋体" w:eastAsia="宋体"/>
          <w:color w:val="auto"/>
          <w:sz w:val="24"/>
          <w:szCs w:val="28"/>
          <w:highlight w:val="none"/>
        </w:rPr>
      </w:pPr>
    </w:p>
    <w:p w14:paraId="5A875CBB">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供应商电子签章：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413830EC">
      <w:pPr>
        <w:tabs>
          <w:tab w:val="left" w:pos="630"/>
        </w:tabs>
        <w:spacing w:line="360" w:lineRule="auto"/>
        <w:ind w:firstLine="4800" w:firstLineChars="2000"/>
        <w:rPr>
          <w:rFonts w:ascii="宋体" w:hAnsi="宋体" w:eastAsia="宋体"/>
          <w:color w:val="auto"/>
          <w:sz w:val="24"/>
          <w:szCs w:val="28"/>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18C0FDB3">
      <w:pPr>
        <w:spacing w:line="360" w:lineRule="auto"/>
        <w:rPr>
          <w:rFonts w:ascii="宋体" w:hAnsi="宋体" w:eastAsia="宋体"/>
          <w:color w:val="auto"/>
          <w:sz w:val="24"/>
          <w:szCs w:val="28"/>
          <w:highlight w:val="none"/>
        </w:rPr>
      </w:pPr>
    </w:p>
    <w:p w14:paraId="6B5B3FD4">
      <w:pPr>
        <w:spacing w:line="360" w:lineRule="auto"/>
        <w:rPr>
          <w:rFonts w:ascii="宋体" w:hAnsi="宋体" w:eastAsia="宋体"/>
          <w:color w:val="auto"/>
          <w:sz w:val="24"/>
          <w:szCs w:val="28"/>
          <w:highlight w:val="none"/>
        </w:rPr>
      </w:pPr>
    </w:p>
    <w:p w14:paraId="2E6588DB">
      <w:pPr>
        <w:pStyle w:val="13"/>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注：</w:t>
      </w:r>
    </w:p>
    <w:p w14:paraId="435EDDAB">
      <w:pPr>
        <w:pStyle w:val="13"/>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1.本项目只允许有唯一的供应商授权代表，提供身份证明扫描件；</w:t>
      </w:r>
    </w:p>
    <w:p w14:paraId="49468D45">
      <w:pPr>
        <w:spacing w:line="360" w:lineRule="auto"/>
        <w:jc w:val="left"/>
        <w:rPr>
          <w:rFonts w:ascii="宋体" w:hAnsi="宋体" w:eastAsia="宋体"/>
          <w:color w:val="auto"/>
          <w:sz w:val="24"/>
          <w:highlight w:val="none"/>
        </w:rPr>
      </w:pPr>
      <w:r>
        <w:rPr>
          <w:rFonts w:hint="eastAsia" w:ascii="宋体" w:hAnsi="宋体" w:eastAsia="宋体"/>
          <w:color w:val="auto"/>
          <w:sz w:val="24"/>
          <w:highlight w:val="none"/>
        </w:rPr>
        <w:t>2.法定代表人参加磋商的无需提供授权书，仅提供身份证明扫描件。</w:t>
      </w:r>
    </w:p>
    <w:p w14:paraId="44C401EA">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17C0E546">
      <w:pPr>
        <w:spacing w:line="360" w:lineRule="auto"/>
        <w:jc w:val="center"/>
        <w:outlineLvl w:val="1"/>
        <w:rPr>
          <w:rFonts w:asciiTheme="minorEastAsia" w:hAnsiTheme="minorEastAsia" w:eastAsiaTheme="minorEastAsia"/>
          <w:b/>
          <w:color w:val="auto"/>
          <w:sz w:val="24"/>
          <w:highlight w:val="none"/>
        </w:rPr>
      </w:pPr>
      <w:bookmarkStart w:id="64" w:name="_Toc22233"/>
      <w:bookmarkStart w:id="65" w:name="_Toc28033"/>
      <w:r>
        <w:rPr>
          <w:rFonts w:hint="eastAsia" w:asciiTheme="minorEastAsia" w:hAnsiTheme="minorEastAsia" w:eastAsiaTheme="minorEastAsia"/>
          <w:b/>
          <w:color w:val="auto"/>
          <w:sz w:val="24"/>
          <w:highlight w:val="none"/>
        </w:rPr>
        <w:t>六、磋商响应表</w:t>
      </w:r>
      <w:bookmarkEnd w:id="64"/>
      <w:bookmarkEnd w:id="65"/>
    </w:p>
    <w:p w14:paraId="0B4FB084">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1916"/>
        <w:gridCol w:w="2498"/>
        <w:gridCol w:w="2575"/>
        <w:gridCol w:w="810"/>
      </w:tblGrid>
      <w:tr w14:paraId="1CA6E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vAlign w:val="center"/>
          </w:tcPr>
          <w:p w14:paraId="360BF274">
            <w:pPr>
              <w:pStyle w:val="13"/>
              <w:keepNext w:val="0"/>
              <w:keepLines w:val="0"/>
              <w:suppressLineNumbers w:val="0"/>
              <w:spacing w:before="0" w:beforeAutospacing="0" w:after="0" w:afterAutospacing="0"/>
              <w:ind w:left="0" w:right="0"/>
              <w:jc w:val="center"/>
              <w:rPr>
                <w:rFonts w:hint="default"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124" w:type="pct"/>
            <w:vAlign w:val="center"/>
          </w:tcPr>
          <w:p w14:paraId="6FFC827A">
            <w:pPr>
              <w:pStyle w:val="13"/>
              <w:keepNext w:val="0"/>
              <w:keepLines w:val="0"/>
              <w:suppressLineNumbers w:val="0"/>
              <w:spacing w:before="0" w:beforeAutospacing="0" w:after="0" w:afterAutospacing="0"/>
              <w:ind w:left="0" w:right="0"/>
              <w:jc w:val="center"/>
              <w:rPr>
                <w:rFonts w:hint="default"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465" w:type="pct"/>
            <w:vAlign w:val="center"/>
          </w:tcPr>
          <w:p w14:paraId="2F7CFFF6">
            <w:pPr>
              <w:pStyle w:val="13"/>
              <w:keepNext w:val="0"/>
              <w:keepLines w:val="0"/>
              <w:suppressLineNumbers w:val="0"/>
              <w:spacing w:before="0" w:beforeAutospacing="0" w:after="0" w:afterAutospacing="0"/>
              <w:ind w:left="0" w:right="0"/>
              <w:jc w:val="center"/>
              <w:rPr>
                <w:rFonts w:hint="default" w:cs="Wingdings" w:asciiTheme="minorEastAsia" w:hAnsiTheme="minorEastAsia"/>
                <w:b/>
                <w:color w:val="auto"/>
                <w:sz w:val="24"/>
                <w:highlight w:val="none"/>
              </w:rPr>
            </w:pPr>
            <w:r>
              <w:rPr>
                <w:rFonts w:hint="eastAsia" w:cs="Wingdings" w:asciiTheme="minorEastAsia" w:hAnsiTheme="minorEastAsia"/>
                <w:b/>
                <w:color w:val="auto"/>
                <w:sz w:val="24"/>
                <w:highlight w:val="none"/>
              </w:rPr>
              <w:t>磋商文件要求</w:t>
            </w:r>
          </w:p>
        </w:tc>
        <w:tc>
          <w:tcPr>
            <w:tcW w:w="1510" w:type="pct"/>
            <w:vAlign w:val="center"/>
          </w:tcPr>
          <w:p w14:paraId="7C9FB883">
            <w:pPr>
              <w:pStyle w:val="13"/>
              <w:keepNext w:val="0"/>
              <w:keepLines w:val="0"/>
              <w:suppressLineNumbers w:val="0"/>
              <w:spacing w:before="0" w:beforeAutospacing="0" w:after="0" w:afterAutospacing="0"/>
              <w:ind w:left="0" w:right="0"/>
              <w:jc w:val="center"/>
              <w:rPr>
                <w:rFonts w:hint="default" w:cs="Wingdings" w:asciiTheme="minorEastAsia" w:hAnsiTheme="minorEastAsia"/>
                <w:b/>
                <w:color w:val="auto"/>
                <w:sz w:val="24"/>
                <w:highlight w:val="none"/>
              </w:rPr>
            </w:pPr>
            <w:r>
              <w:rPr>
                <w:rFonts w:hint="eastAsia" w:cs="Wingdings" w:asciiTheme="minorEastAsia" w:hAnsiTheme="minorEastAsia"/>
                <w:b/>
                <w:color w:val="auto"/>
                <w:sz w:val="24"/>
                <w:highlight w:val="none"/>
              </w:rPr>
              <w:t>供应商承诺</w:t>
            </w:r>
          </w:p>
        </w:tc>
        <w:tc>
          <w:tcPr>
            <w:tcW w:w="475" w:type="pct"/>
            <w:vAlign w:val="center"/>
          </w:tcPr>
          <w:p w14:paraId="33C5EB93">
            <w:pPr>
              <w:pStyle w:val="13"/>
              <w:keepNext w:val="0"/>
              <w:keepLines w:val="0"/>
              <w:suppressLineNumbers w:val="0"/>
              <w:spacing w:before="0" w:beforeAutospacing="0" w:after="0" w:afterAutospacing="0"/>
              <w:ind w:left="0" w:right="0"/>
              <w:jc w:val="center"/>
              <w:rPr>
                <w:rFonts w:hint="default"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75B86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2E029C9A">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 w:val="24"/>
                <w:szCs w:val="20"/>
                <w:highlight w:val="none"/>
              </w:rPr>
            </w:pPr>
            <w:r>
              <w:rPr>
                <w:rFonts w:hint="default" w:asciiTheme="minorEastAsia" w:hAnsiTheme="minorEastAsia" w:eastAsiaTheme="minorEastAsia"/>
                <w:color w:val="auto"/>
                <w:sz w:val="24"/>
                <w:szCs w:val="20"/>
                <w:highlight w:val="none"/>
              </w:rPr>
              <w:t>1</w:t>
            </w:r>
          </w:p>
        </w:tc>
        <w:tc>
          <w:tcPr>
            <w:tcW w:w="1124" w:type="pct"/>
            <w:vAlign w:val="center"/>
          </w:tcPr>
          <w:p w14:paraId="28F8D120">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r>
              <w:rPr>
                <w:rFonts w:hint="default" w:asciiTheme="minorEastAsia" w:hAnsiTheme="minorEastAsia" w:eastAsiaTheme="minorEastAsia"/>
                <w:color w:val="auto"/>
                <w:sz w:val="24"/>
                <w:szCs w:val="20"/>
                <w:highlight w:val="none"/>
              </w:rPr>
              <w:t>付款方式</w:t>
            </w:r>
          </w:p>
        </w:tc>
        <w:tc>
          <w:tcPr>
            <w:tcW w:w="1465" w:type="pct"/>
            <w:vAlign w:val="center"/>
          </w:tcPr>
          <w:p w14:paraId="7A369BF8">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 w:val="24"/>
                <w:szCs w:val="20"/>
                <w:highlight w:val="none"/>
              </w:rPr>
            </w:pPr>
          </w:p>
        </w:tc>
        <w:tc>
          <w:tcPr>
            <w:tcW w:w="1510" w:type="pct"/>
            <w:vAlign w:val="center"/>
          </w:tcPr>
          <w:p w14:paraId="3F44053E">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 w:val="24"/>
                <w:szCs w:val="20"/>
                <w:highlight w:val="none"/>
              </w:rPr>
            </w:pPr>
          </w:p>
        </w:tc>
        <w:tc>
          <w:tcPr>
            <w:tcW w:w="475" w:type="pct"/>
            <w:vAlign w:val="center"/>
          </w:tcPr>
          <w:p w14:paraId="68BF4E13">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 w:val="24"/>
                <w:szCs w:val="20"/>
                <w:highlight w:val="none"/>
              </w:rPr>
            </w:pPr>
          </w:p>
        </w:tc>
      </w:tr>
      <w:tr w14:paraId="2961F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44E785A6">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 w:val="24"/>
                <w:szCs w:val="20"/>
                <w:highlight w:val="none"/>
              </w:rPr>
            </w:pPr>
            <w:r>
              <w:rPr>
                <w:rFonts w:hint="eastAsia" w:asciiTheme="minorEastAsia" w:hAnsiTheme="minorEastAsia" w:eastAsiaTheme="minorEastAsia"/>
                <w:color w:val="auto"/>
                <w:sz w:val="24"/>
                <w:szCs w:val="20"/>
                <w:highlight w:val="none"/>
              </w:rPr>
              <w:t>2</w:t>
            </w:r>
          </w:p>
        </w:tc>
        <w:tc>
          <w:tcPr>
            <w:tcW w:w="1124" w:type="pct"/>
            <w:vAlign w:val="center"/>
          </w:tcPr>
          <w:p w14:paraId="4102CC0B">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rPr>
              <w:t>服务地点</w:t>
            </w:r>
          </w:p>
        </w:tc>
        <w:tc>
          <w:tcPr>
            <w:tcW w:w="1465" w:type="pct"/>
            <w:vAlign w:val="center"/>
          </w:tcPr>
          <w:p w14:paraId="654DC82E">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 w:val="24"/>
                <w:szCs w:val="20"/>
                <w:highlight w:val="none"/>
              </w:rPr>
            </w:pPr>
          </w:p>
        </w:tc>
        <w:tc>
          <w:tcPr>
            <w:tcW w:w="1510" w:type="pct"/>
            <w:vAlign w:val="center"/>
          </w:tcPr>
          <w:p w14:paraId="0BA4F498">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 w:val="24"/>
                <w:szCs w:val="20"/>
                <w:highlight w:val="none"/>
              </w:rPr>
            </w:pPr>
          </w:p>
        </w:tc>
        <w:tc>
          <w:tcPr>
            <w:tcW w:w="475" w:type="pct"/>
            <w:vAlign w:val="center"/>
          </w:tcPr>
          <w:p w14:paraId="6E5160B6">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 w:val="24"/>
                <w:szCs w:val="20"/>
                <w:highlight w:val="none"/>
              </w:rPr>
            </w:pPr>
          </w:p>
        </w:tc>
      </w:tr>
      <w:tr w14:paraId="7AD7F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7FD2FB54">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 w:val="24"/>
                <w:szCs w:val="20"/>
                <w:highlight w:val="none"/>
              </w:rPr>
            </w:pPr>
            <w:r>
              <w:rPr>
                <w:rFonts w:hint="eastAsia" w:asciiTheme="minorEastAsia" w:hAnsiTheme="minorEastAsia" w:eastAsiaTheme="minorEastAsia"/>
                <w:color w:val="auto"/>
                <w:sz w:val="24"/>
                <w:szCs w:val="20"/>
                <w:highlight w:val="none"/>
              </w:rPr>
              <w:t>3</w:t>
            </w:r>
          </w:p>
        </w:tc>
        <w:tc>
          <w:tcPr>
            <w:tcW w:w="1124" w:type="pct"/>
            <w:vAlign w:val="center"/>
          </w:tcPr>
          <w:p w14:paraId="2C02BBD0">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r>
              <w:rPr>
                <w:rFonts w:hint="eastAsia" w:ascii="宋体" w:hAnsi="宋体" w:eastAsia="宋体"/>
                <w:color w:val="auto"/>
                <w:sz w:val="24"/>
                <w:szCs w:val="20"/>
                <w:highlight w:val="none"/>
              </w:rPr>
              <w:t>服务期限</w:t>
            </w:r>
          </w:p>
        </w:tc>
        <w:tc>
          <w:tcPr>
            <w:tcW w:w="1465" w:type="pct"/>
            <w:vAlign w:val="center"/>
          </w:tcPr>
          <w:p w14:paraId="29DFBF0C">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 w:val="24"/>
                <w:szCs w:val="20"/>
                <w:highlight w:val="none"/>
              </w:rPr>
            </w:pPr>
          </w:p>
        </w:tc>
        <w:tc>
          <w:tcPr>
            <w:tcW w:w="1510" w:type="pct"/>
            <w:vAlign w:val="center"/>
          </w:tcPr>
          <w:p w14:paraId="2A689C1D">
            <w:pPr>
              <w:pStyle w:val="52"/>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0"/>
                <w:highlight w:val="none"/>
              </w:rPr>
            </w:pPr>
          </w:p>
        </w:tc>
        <w:tc>
          <w:tcPr>
            <w:tcW w:w="475" w:type="pct"/>
            <w:vAlign w:val="center"/>
          </w:tcPr>
          <w:p w14:paraId="51DF5B6D">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 w:val="24"/>
                <w:szCs w:val="20"/>
                <w:highlight w:val="none"/>
              </w:rPr>
            </w:pPr>
          </w:p>
        </w:tc>
      </w:tr>
      <w:tr w14:paraId="6CBF2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08C02AE7">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 w:val="24"/>
                <w:szCs w:val="20"/>
                <w:highlight w:val="none"/>
              </w:rPr>
            </w:pPr>
            <w:r>
              <w:rPr>
                <w:rFonts w:hint="eastAsia" w:asciiTheme="minorEastAsia" w:hAnsiTheme="minorEastAsia" w:eastAsiaTheme="minorEastAsia"/>
                <w:sz w:val="24"/>
                <w:szCs w:val="20"/>
                <w:highlight w:val="none"/>
              </w:rPr>
              <w:t>4</w:t>
            </w:r>
          </w:p>
        </w:tc>
        <w:tc>
          <w:tcPr>
            <w:tcW w:w="1916" w:type="dxa"/>
            <w:vAlign w:val="center"/>
          </w:tcPr>
          <w:p w14:paraId="736FF2B3">
            <w:pPr>
              <w:keepNext w:val="0"/>
              <w:keepLines w:val="0"/>
              <w:suppressLineNumbers w:val="0"/>
              <w:spacing w:before="0" w:beforeAutospacing="0" w:after="0" w:afterAutospacing="0"/>
              <w:ind w:left="0" w:right="0"/>
              <w:jc w:val="center"/>
              <w:rPr>
                <w:rFonts w:hint="default" w:ascii="宋体" w:hAnsi="宋体" w:eastAsia="宋体"/>
                <w:color w:val="auto"/>
                <w:sz w:val="24"/>
                <w:szCs w:val="20"/>
                <w:highlight w:val="none"/>
              </w:rPr>
            </w:pPr>
            <w:r>
              <w:rPr>
                <w:rFonts w:hint="eastAsia" w:ascii="宋体" w:hAnsi="宋体" w:eastAsia="宋体"/>
                <w:sz w:val="24"/>
                <w:szCs w:val="20"/>
                <w:highlight w:val="none"/>
              </w:rPr>
              <w:t>“采购需求”所列的所有内容</w:t>
            </w:r>
          </w:p>
        </w:tc>
        <w:tc>
          <w:tcPr>
            <w:tcW w:w="1465" w:type="pct"/>
            <w:vAlign w:val="center"/>
          </w:tcPr>
          <w:p w14:paraId="3FF24B18">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 w:val="24"/>
                <w:szCs w:val="20"/>
                <w:highlight w:val="none"/>
              </w:rPr>
            </w:pPr>
          </w:p>
        </w:tc>
        <w:tc>
          <w:tcPr>
            <w:tcW w:w="1510" w:type="pct"/>
            <w:vAlign w:val="center"/>
          </w:tcPr>
          <w:p w14:paraId="69BC2E99">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 w:val="24"/>
                <w:szCs w:val="20"/>
                <w:highlight w:val="none"/>
              </w:rPr>
            </w:pPr>
          </w:p>
        </w:tc>
        <w:tc>
          <w:tcPr>
            <w:tcW w:w="475" w:type="pct"/>
            <w:vAlign w:val="center"/>
          </w:tcPr>
          <w:p w14:paraId="32D34686">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 w:val="24"/>
                <w:szCs w:val="20"/>
                <w:highlight w:val="none"/>
              </w:rPr>
            </w:pPr>
          </w:p>
        </w:tc>
      </w:tr>
    </w:tbl>
    <w:p w14:paraId="3A562974">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供应商电子签章：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2CF088A2">
      <w:pPr>
        <w:tabs>
          <w:tab w:val="left" w:pos="630"/>
        </w:tabs>
        <w:spacing w:line="360" w:lineRule="auto"/>
        <w:ind w:firstLine="4800" w:firstLineChars="2000"/>
        <w:rPr>
          <w:rFonts w:asciiTheme="minorEastAsia" w:hAnsiTheme="minorEastAsia" w:eastAsiaTheme="minorEastAsia"/>
          <w:color w:val="auto"/>
          <w:sz w:val="24"/>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19591AFF">
      <w:pPr>
        <w:pStyle w:val="14"/>
        <w:spacing w:line="360" w:lineRule="auto"/>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4E10DA9A">
      <w:pPr>
        <w:spacing w:line="360" w:lineRule="auto"/>
        <w:jc w:val="center"/>
        <w:outlineLvl w:val="1"/>
        <w:rPr>
          <w:rFonts w:asciiTheme="minorEastAsia" w:hAnsiTheme="minorEastAsia" w:eastAsiaTheme="minorEastAsia"/>
          <w:b/>
          <w:color w:val="auto"/>
          <w:sz w:val="24"/>
          <w:highlight w:val="none"/>
        </w:rPr>
      </w:pPr>
      <w:bookmarkStart w:id="66" w:name="_Toc29455"/>
      <w:bookmarkStart w:id="67" w:name="_Toc11260"/>
      <w:r>
        <w:rPr>
          <w:rFonts w:hint="eastAsia" w:asciiTheme="minorEastAsia" w:hAnsiTheme="minorEastAsia" w:eastAsiaTheme="minorEastAsia"/>
          <w:b/>
          <w:color w:val="auto"/>
          <w:sz w:val="24"/>
          <w:highlight w:val="none"/>
        </w:rPr>
        <w:t>七、</w:t>
      </w:r>
      <w:bookmarkEnd w:id="66"/>
      <w:bookmarkEnd w:id="67"/>
      <w:bookmarkStart w:id="68" w:name="_Toc17888"/>
      <w:bookmarkStart w:id="69" w:name="_Toc6445"/>
      <w:bookmarkStart w:id="70" w:name="_Hlk60608597"/>
      <w:r>
        <w:rPr>
          <w:rFonts w:hint="eastAsia" w:asciiTheme="minorEastAsia" w:hAnsiTheme="minorEastAsia" w:eastAsiaTheme="minorEastAsia"/>
          <w:b/>
          <w:color w:val="auto"/>
          <w:sz w:val="24"/>
          <w:highlight w:val="none"/>
        </w:rPr>
        <w:t>中小企业声明函</w:t>
      </w:r>
      <w:bookmarkEnd w:id="68"/>
      <w:bookmarkEnd w:id="69"/>
    </w:p>
    <w:p w14:paraId="63B21754">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olor w:val="auto"/>
          <w:sz w:val="24"/>
          <w:szCs w:val="24"/>
          <w:highlight w:val="none"/>
          <w:u w:val="single"/>
          <w:lang w:val="zh-CN"/>
        </w:rPr>
        <w:t>（单位</w:t>
      </w:r>
      <w:r>
        <w:rPr>
          <w:rFonts w:hint="eastAsia" w:ascii="宋体" w:hAnsi="宋体" w:eastAsia="宋体"/>
          <w:color w:val="auto"/>
          <w:sz w:val="24"/>
          <w:szCs w:val="24"/>
          <w:highlight w:val="none"/>
          <w:u w:val="single"/>
        </w:rPr>
        <w:t>名称</w:t>
      </w:r>
      <w:r>
        <w:rPr>
          <w:rFonts w:hint="eastAsia" w:ascii="宋体" w:hAnsi="宋体" w:eastAsia="宋体"/>
          <w:color w:val="auto"/>
          <w:sz w:val="24"/>
          <w:szCs w:val="24"/>
          <w:highlight w:val="none"/>
          <w:u w:val="single"/>
          <w:lang w:val="zh-CN"/>
        </w:rPr>
        <w:t>）</w:t>
      </w:r>
      <w:r>
        <w:rPr>
          <w:rFonts w:hint="eastAsia" w:ascii="宋体" w:hAnsi="宋体" w:eastAsia="宋体"/>
          <w:color w:val="auto"/>
          <w:sz w:val="24"/>
          <w:szCs w:val="24"/>
          <w:highlight w:val="none"/>
          <w:lang w:val="zh-CN"/>
        </w:rPr>
        <w:t>的</w:t>
      </w:r>
      <w:r>
        <w:rPr>
          <w:rFonts w:hint="eastAsia" w:ascii="宋体" w:hAnsi="宋体" w:eastAsia="宋体"/>
          <w:color w:val="auto"/>
          <w:sz w:val="24"/>
          <w:szCs w:val="24"/>
          <w:highlight w:val="none"/>
          <w:u w:val="single"/>
          <w:lang w:val="zh-CN"/>
        </w:rPr>
        <w:t>（项目</w:t>
      </w:r>
      <w:r>
        <w:rPr>
          <w:rFonts w:hint="eastAsia" w:ascii="宋体" w:hAnsi="宋体" w:eastAsia="宋体"/>
          <w:color w:val="auto"/>
          <w:sz w:val="24"/>
          <w:szCs w:val="24"/>
          <w:highlight w:val="none"/>
          <w:u w:val="single"/>
        </w:rPr>
        <w:t>名称</w:t>
      </w:r>
      <w:r>
        <w:rPr>
          <w:rFonts w:hint="eastAsia" w:ascii="宋体" w:hAnsi="宋体" w:eastAsia="宋体"/>
          <w:color w:val="auto"/>
          <w:sz w:val="24"/>
          <w:szCs w:val="24"/>
          <w:highlight w:val="none"/>
          <w:u w:val="single"/>
          <w:lang w:val="zh-CN"/>
        </w:rPr>
        <w:t>）</w:t>
      </w:r>
      <w:r>
        <w:rPr>
          <w:rFonts w:hint="eastAsia" w:ascii="宋体" w:hAnsi="宋体" w:eastAsia="宋体"/>
          <w:color w:val="auto"/>
          <w:sz w:val="24"/>
          <w:szCs w:val="24"/>
          <w:highlight w:val="none"/>
          <w:lang w:val="zh-CN"/>
        </w:rPr>
        <w:t xml:space="preserve">采购活动，服务全部由符合政策要求的中小企业承接。相关企业（含联合体中的中小企业、签订分包意向协议的中小企业）的具体情况如下： </w:t>
      </w:r>
    </w:p>
    <w:p w14:paraId="278B94A4">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1.</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行业；承接企业为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36E608AF">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2.</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行业；承接企业为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6EB5B46E">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w:t>
      </w:r>
    </w:p>
    <w:p w14:paraId="0E153614">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以上企业，不属于大企业的分支机构，不存在控股股东为大企业的情形，也不存在与大企业的负责人为同一人的情形。</w:t>
      </w:r>
    </w:p>
    <w:p w14:paraId="18A53F6D">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 xml:space="preserve">本企业对上述声明内容的真实性负责。如有虚假，将依法承担相应责任。 </w:t>
      </w:r>
    </w:p>
    <w:p w14:paraId="4EF8CB93">
      <w:pPr>
        <w:spacing w:line="360" w:lineRule="auto"/>
        <w:rPr>
          <w:rFonts w:asciiTheme="minorEastAsia" w:hAnsiTheme="minorEastAsia" w:eastAsiaTheme="minorEastAsia"/>
          <w:color w:val="auto"/>
          <w:sz w:val="24"/>
          <w:szCs w:val="24"/>
          <w:highlight w:val="none"/>
        </w:rPr>
      </w:pPr>
    </w:p>
    <w:p w14:paraId="095843F9">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供应商</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47B48067">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bookmarkEnd w:id="70"/>
    <w:p w14:paraId="5F32486B">
      <w:pPr>
        <w:keepNext w:val="0"/>
        <w:keepLines w:val="0"/>
        <w:pageBreakBefore w:val="0"/>
        <w:widowControl w:val="0"/>
        <w:tabs>
          <w:tab w:val="left" w:pos="4620"/>
        </w:tabs>
        <w:kinsoku/>
        <w:wordWrap/>
        <w:overflowPunct/>
        <w:topLinePunct w:val="0"/>
        <w:autoSpaceDE/>
        <w:autoSpaceDN/>
        <w:bidi w:val="0"/>
        <w:adjustRightInd/>
        <w:snapToGrid/>
        <w:spacing w:line="400" w:lineRule="exact"/>
        <w:jc w:val="left"/>
        <w:textAlignment w:val="auto"/>
        <w:rPr>
          <w:rFonts w:asciiTheme="minorEastAsia" w:hAnsiTheme="minorEastAsia" w:eastAsiaTheme="minorEastAsia"/>
          <w:b/>
          <w:color w:val="auto"/>
          <w:szCs w:val="24"/>
          <w:highlight w:val="none"/>
        </w:rPr>
      </w:pPr>
      <w:r>
        <w:rPr>
          <w:rFonts w:hint="eastAsia" w:asciiTheme="minorEastAsia" w:hAnsiTheme="minorEastAsia" w:eastAsiaTheme="minorEastAsia"/>
          <w:b/>
          <w:color w:val="auto"/>
          <w:szCs w:val="24"/>
          <w:highlight w:val="none"/>
        </w:rPr>
        <w:t>注：</w:t>
      </w:r>
    </w:p>
    <w:p w14:paraId="510433BE">
      <w:pPr>
        <w:keepNext w:val="0"/>
        <w:keepLines w:val="0"/>
        <w:pageBreakBefore w:val="0"/>
        <w:widowControl w:val="0"/>
        <w:tabs>
          <w:tab w:val="left" w:pos="4620"/>
        </w:tabs>
        <w:kinsoku/>
        <w:wordWrap/>
        <w:overflowPunct/>
        <w:topLinePunct w:val="0"/>
        <w:autoSpaceDE/>
        <w:autoSpaceDN/>
        <w:bidi w:val="0"/>
        <w:adjustRightInd/>
        <w:snapToGrid/>
        <w:spacing w:line="400" w:lineRule="exact"/>
        <w:jc w:val="left"/>
        <w:textAlignment w:val="auto"/>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t>1.从业人员、营业收入、资产总额填报上一年数据，无上一年数据的新成立企业可不填报。</w:t>
      </w:r>
    </w:p>
    <w:p w14:paraId="3E9D6942">
      <w:pPr>
        <w:keepNext w:val="0"/>
        <w:keepLines w:val="0"/>
        <w:pageBreakBefore w:val="0"/>
        <w:widowControl w:val="0"/>
        <w:tabs>
          <w:tab w:val="left" w:pos="4620"/>
        </w:tabs>
        <w:kinsoku/>
        <w:wordWrap/>
        <w:overflowPunct/>
        <w:topLinePunct w:val="0"/>
        <w:autoSpaceDE/>
        <w:autoSpaceDN/>
        <w:bidi w:val="0"/>
        <w:adjustRightInd/>
        <w:snapToGrid/>
        <w:spacing w:line="400" w:lineRule="exact"/>
        <w:jc w:val="left"/>
        <w:textAlignment w:val="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2.供应商应根据《政府采购促进中小企业发展管理办法》（财库﹝2020﹞46号）和《关于印发中小企业划型标准规定的通知》(工信部联企业〔2011〕300号)相关规定，如实填写中小企业声明函。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color w:val="auto"/>
          <w:szCs w:val="21"/>
          <w:highlight w:val="none"/>
          <w:lang w:val="zh-CN"/>
        </w:rPr>
        <w:t>如有虚假，将依法承担相应责任。</w:t>
      </w:r>
      <w:r>
        <w:rPr>
          <w:rFonts w:hint="eastAsia" w:ascii="宋体" w:hAnsi="宋体" w:eastAsia="宋体" w:cs="宋体"/>
          <w:b/>
          <w:bCs/>
          <w:color w:val="auto"/>
          <w:szCs w:val="21"/>
          <w:highlight w:val="none"/>
        </w:rPr>
        <w:t>供应商自行登录工业和信息化部官网进行中小企业规模类型自测（查询网址https://www.miit.gov.cn/）。</w:t>
      </w:r>
    </w:p>
    <w:p w14:paraId="4EE7D0BB">
      <w:pPr>
        <w:keepNext w:val="0"/>
        <w:keepLines w:val="0"/>
        <w:pageBreakBefore w:val="0"/>
        <w:widowControl w:val="0"/>
        <w:tabs>
          <w:tab w:val="left" w:pos="4620"/>
        </w:tabs>
        <w:kinsoku/>
        <w:wordWrap/>
        <w:overflowPunct/>
        <w:topLinePunct w:val="0"/>
        <w:autoSpaceDE/>
        <w:autoSpaceDN/>
        <w:bidi w:val="0"/>
        <w:adjustRightInd/>
        <w:snapToGrid/>
        <w:spacing w:line="400" w:lineRule="exact"/>
        <w:jc w:val="left"/>
        <w:textAlignment w:val="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3.上述“</w:t>
      </w:r>
      <w:r>
        <w:rPr>
          <w:rFonts w:hint="eastAsia" w:ascii="宋体" w:hAnsi="宋体" w:eastAsia="宋体" w:cs="宋体"/>
          <w:b/>
          <w:bCs/>
          <w:color w:val="auto"/>
          <w:szCs w:val="21"/>
          <w:highlight w:val="none"/>
          <w:u w:val="single"/>
          <w:lang w:val="zh-CN"/>
        </w:rPr>
        <w:t>标的名称</w:t>
      </w:r>
      <w:r>
        <w:rPr>
          <w:rFonts w:hint="eastAsia" w:ascii="宋体" w:hAnsi="宋体" w:eastAsia="宋体" w:cs="宋体"/>
          <w:b/>
          <w:bCs/>
          <w:color w:val="auto"/>
          <w:szCs w:val="21"/>
          <w:highlight w:val="none"/>
        </w:rPr>
        <w:t>”，详见第三章采购需求前附表中明确的“标的名称”。</w:t>
      </w:r>
    </w:p>
    <w:p w14:paraId="0AE64FA7">
      <w:pPr>
        <w:keepNext w:val="0"/>
        <w:keepLines w:val="0"/>
        <w:pageBreakBefore w:val="0"/>
        <w:widowControl w:val="0"/>
        <w:tabs>
          <w:tab w:val="left" w:pos="4620"/>
        </w:tabs>
        <w:kinsoku/>
        <w:wordWrap/>
        <w:overflowPunct/>
        <w:topLinePunct w:val="0"/>
        <w:autoSpaceDE/>
        <w:autoSpaceDN/>
        <w:bidi w:val="0"/>
        <w:adjustRightInd/>
        <w:snapToGrid/>
        <w:spacing w:line="400" w:lineRule="exact"/>
        <w:jc w:val="left"/>
        <w:textAlignment w:val="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4.上述“</w:t>
      </w:r>
      <w:r>
        <w:rPr>
          <w:rFonts w:hint="eastAsia" w:ascii="宋体" w:hAnsi="宋体" w:eastAsia="宋体" w:cs="宋体"/>
          <w:b/>
          <w:bCs/>
          <w:color w:val="auto"/>
          <w:szCs w:val="21"/>
          <w:highlight w:val="none"/>
          <w:u w:val="single"/>
        </w:rPr>
        <w:t>采购文件中明确的所属行业</w:t>
      </w:r>
      <w:r>
        <w:rPr>
          <w:rFonts w:hint="eastAsia" w:ascii="宋体" w:hAnsi="宋体" w:eastAsia="宋体" w:cs="宋体"/>
          <w:b/>
          <w:bCs/>
          <w:color w:val="auto"/>
          <w:szCs w:val="21"/>
          <w:highlight w:val="none"/>
        </w:rPr>
        <w:t>”，详见第三章采购需求前附表中明确的“所属行业”。</w:t>
      </w:r>
    </w:p>
    <w:p w14:paraId="44017B32">
      <w:pPr>
        <w:keepNext w:val="0"/>
        <w:keepLines w:val="0"/>
        <w:pageBreakBefore w:val="0"/>
        <w:widowControl w:val="0"/>
        <w:tabs>
          <w:tab w:val="left" w:pos="4620"/>
        </w:tabs>
        <w:kinsoku/>
        <w:wordWrap/>
        <w:overflowPunct/>
        <w:topLinePunct w:val="0"/>
        <w:autoSpaceDE/>
        <w:autoSpaceDN/>
        <w:bidi w:val="0"/>
        <w:adjustRightInd/>
        <w:snapToGrid/>
        <w:spacing w:line="400" w:lineRule="exact"/>
        <w:jc w:val="left"/>
        <w:textAlignment w:val="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5．填写示例：</w:t>
      </w:r>
      <w:r>
        <w:rPr>
          <w:rFonts w:hint="eastAsia" w:ascii="宋体" w:hAnsi="宋体" w:eastAsia="宋体" w:cs="宋体"/>
          <w:b/>
          <w:bCs/>
          <w:color w:val="auto"/>
          <w:szCs w:val="21"/>
          <w:highlight w:val="none"/>
          <w:u w:val="single"/>
        </w:rPr>
        <w:t>某标的名称</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u w:val="single"/>
        </w:rPr>
        <w:t>填写第三章采购需求前附表中明确的“标的名称”</w:t>
      </w:r>
      <w:r>
        <w:rPr>
          <w:rFonts w:hint="eastAsia" w:ascii="宋体" w:hAnsi="宋体" w:eastAsia="宋体" w:cs="宋体"/>
          <w:b/>
          <w:bCs/>
          <w:color w:val="auto"/>
          <w:szCs w:val="21"/>
          <w:highlight w:val="none"/>
        </w:rPr>
        <w:t>），属于</w:t>
      </w:r>
      <w:r>
        <w:rPr>
          <w:rFonts w:hint="eastAsia" w:ascii="宋体" w:hAnsi="宋体" w:eastAsia="宋体" w:cs="宋体"/>
          <w:b/>
          <w:bCs/>
          <w:color w:val="auto"/>
          <w:szCs w:val="21"/>
          <w:highlight w:val="none"/>
          <w:u w:val="single"/>
        </w:rPr>
        <w:t>（填写第三章采购需求前附表中明确的“所属行业”，如软件和信息技术服务业）</w:t>
      </w:r>
      <w:r>
        <w:rPr>
          <w:rFonts w:hint="eastAsia" w:ascii="宋体" w:hAnsi="宋体" w:eastAsia="宋体" w:cs="宋体"/>
          <w:b/>
          <w:bCs/>
          <w:color w:val="auto"/>
          <w:szCs w:val="21"/>
          <w:highlight w:val="none"/>
        </w:rPr>
        <w:t>行业；承接企业为</w:t>
      </w:r>
      <w:r>
        <w:rPr>
          <w:rFonts w:hint="eastAsia" w:ascii="宋体" w:hAnsi="宋体" w:eastAsia="宋体" w:cs="宋体"/>
          <w:b/>
          <w:bCs/>
          <w:color w:val="auto"/>
          <w:szCs w:val="21"/>
          <w:highlight w:val="none"/>
          <w:u w:val="single"/>
          <w:lang w:val="zh-CN"/>
        </w:rPr>
        <w:t>某</w:t>
      </w:r>
      <w:r>
        <w:rPr>
          <w:rFonts w:hint="eastAsia" w:ascii="宋体" w:hAnsi="宋体" w:eastAsia="宋体" w:cs="宋体"/>
          <w:b/>
          <w:bCs/>
          <w:color w:val="auto"/>
          <w:szCs w:val="21"/>
          <w:highlight w:val="none"/>
          <w:u w:val="single"/>
        </w:rPr>
        <w:t>企业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从业人员</w:t>
      </w:r>
      <w:r>
        <w:rPr>
          <w:rFonts w:hint="eastAsia" w:ascii="宋体" w:hAnsi="宋体" w:eastAsia="宋体" w:cs="宋体"/>
          <w:b/>
          <w:bCs/>
          <w:color w:val="auto"/>
          <w:szCs w:val="21"/>
          <w:highlight w:val="none"/>
          <w:u w:val="single"/>
        </w:rPr>
        <w:t>100</w:t>
      </w:r>
      <w:r>
        <w:rPr>
          <w:rFonts w:hint="eastAsia" w:ascii="宋体" w:hAnsi="宋体" w:eastAsia="宋体" w:cs="宋体"/>
          <w:b/>
          <w:bCs/>
          <w:color w:val="auto"/>
          <w:szCs w:val="21"/>
          <w:highlight w:val="none"/>
          <w:lang w:val="zh-CN"/>
        </w:rPr>
        <w:t>人</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营业收入为</w:t>
      </w:r>
      <w:r>
        <w:rPr>
          <w:rFonts w:hint="eastAsia" w:ascii="宋体" w:hAnsi="宋体" w:eastAsia="宋体" w:cs="宋体"/>
          <w:b/>
          <w:bCs/>
          <w:color w:val="auto"/>
          <w:szCs w:val="21"/>
          <w:highlight w:val="none"/>
          <w:u w:val="single"/>
        </w:rPr>
        <w:t>10000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资产总额为</w:t>
      </w:r>
      <w:r>
        <w:rPr>
          <w:rFonts w:hint="eastAsia" w:ascii="宋体" w:hAnsi="宋体" w:eastAsia="宋体" w:cs="宋体"/>
          <w:b/>
          <w:bCs/>
          <w:color w:val="auto"/>
          <w:szCs w:val="21"/>
          <w:highlight w:val="none"/>
          <w:u w:val="single"/>
        </w:rPr>
        <w:t>5000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rPr>
        <w:t>中</w:t>
      </w:r>
      <w:r>
        <w:rPr>
          <w:rFonts w:hint="eastAsia" w:ascii="宋体" w:hAnsi="宋体" w:eastAsia="宋体" w:cs="宋体"/>
          <w:b/>
          <w:bCs/>
          <w:color w:val="auto"/>
          <w:szCs w:val="21"/>
          <w:highlight w:val="none"/>
          <w:u w:val="single"/>
          <w:lang w:val="zh-CN"/>
        </w:rPr>
        <w:t>型</w:t>
      </w:r>
      <w:r>
        <w:rPr>
          <w:rFonts w:hint="eastAsia" w:ascii="宋体" w:hAnsi="宋体" w:eastAsia="宋体" w:cs="宋体"/>
          <w:b/>
          <w:bCs/>
          <w:color w:val="auto"/>
          <w:szCs w:val="21"/>
          <w:highlight w:val="none"/>
          <w:lang w:val="zh-CN"/>
        </w:rPr>
        <w:t>企业</w:t>
      </w:r>
      <w:r>
        <w:rPr>
          <w:rFonts w:hint="eastAsia" w:ascii="宋体" w:hAnsi="宋体" w:eastAsia="宋体" w:cs="宋体"/>
          <w:b/>
          <w:bCs/>
          <w:color w:val="auto"/>
          <w:szCs w:val="21"/>
          <w:highlight w:val="none"/>
        </w:rPr>
        <w:t>[供应商自行登录工业和信息化部官网进行中小企业规模类型自测（查询网址https://www.miit.gov.cn/）]</w:t>
      </w:r>
      <w:r>
        <w:rPr>
          <w:rFonts w:hint="eastAsia" w:ascii="宋体" w:hAnsi="宋体" w:eastAsia="宋体" w:cs="宋体"/>
          <w:b/>
          <w:bCs/>
          <w:color w:val="auto"/>
          <w:szCs w:val="21"/>
          <w:highlight w:val="none"/>
          <w:lang w:val="zh-CN"/>
        </w:rPr>
        <w:t>。</w:t>
      </w:r>
    </w:p>
    <w:p w14:paraId="77CC0E57">
      <w:pPr>
        <w:tabs>
          <w:tab w:val="left" w:pos="4620"/>
        </w:tabs>
        <w:spacing w:line="360" w:lineRule="auto"/>
        <w:jc w:val="center"/>
        <w:rPr>
          <w:rFonts w:asciiTheme="minorEastAsia" w:hAnsiTheme="minorEastAsia" w:eastAsiaTheme="minorEastAsia"/>
          <w:b/>
          <w:color w:val="auto"/>
          <w:sz w:val="24"/>
          <w:highlight w:val="none"/>
        </w:rPr>
      </w:pPr>
      <w:r>
        <w:rPr>
          <w:rFonts w:asciiTheme="minorEastAsia" w:hAnsiTheme="minorEastAsia" w:eastAsiaTheme="minorEastAsia"/>
          <w:color w:val="auto"/>
          <w:sz w:val="24"/>
          <w:highlight w:val="none"/>
        </w:rPr>
        <w:br w:type="page"/>
      </w:r>
      <w:bookmarkStart w:id="71" w:name="_Toc17713"/>
      <w:bookmarkStart w:id="72" w:name="_Toc5908"/>
      <w:bookmarkStart w:id="73" w:name="_Hlk60608725"/>
      <w:r>
        <w:rPr>
          <w:rFonts w:hint="eastAsia" w:asciiTheme="minorEastAsia" w:hAnsiTheme="minorEastAsia" w:eastAsiaTheme="minorEastAsia"/>
          <w:b/>
          <w:color w:val="auto"/>
          <w:sz w:val="24"/>
          <w:highlight w:val="none"/>
        </w:rPr>
        <w:t>八、残疾人福利性单位声明函</w:t>
      </w:r>
      <w:bookmarkEnd w:id="71"/>
      <w:bookmarkEnd w:id="72"/>
    </w:p>
    <w:p w14:paraId="4BD31D45">
      <w:pPr>
        <w:pStyle w:val="9"/>
        <w:jc w:val="center"/>
        <w:rPr>
          <w:rFonts w:asciiTheme="minorEastAsia" w:hAnsiTheme="minorEastAsia" w:eastAsiaTheme="minorEastAsia"/>
          <w:color w:val="auto"/>
          <w:spacing w:val="6"/>
          <w:sz w:val="24"/>
          <w:highlight w:val="none"/>
        </w:rPr>
      </w:pPr>
      <w:r>
        <w:rPr>
          <w:rFonts w:hint="eastAsia" w:ascii="宋体" w:hAnsi="宋体" w:eastAsia="宋体"/>
          <w:i/>
          <w:color w:val="auto"/>
          <w:sz w:val="24"/>
          <w:highlight w:val="none"/>
          <w:lang w:val="en-US"/>
        </w:rPr>
        <w:t>（非残疾人福利性单位磋商，请删去“残疾人福利性单位声明函”）</w:t>
      </w:r>
    </w:p>
    <w:p w14:paraId="147FAE1E">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w:t>
      </w:r>
      <w:r>
        <w:rPr>
          <w:rFonts w:hint="eastAsia" w:asciiTheme="minorEastAsia" w:hAnsiTheme="minorEastAsia" w:eastAsiaTheme="minorEastAsia"/>
          <w:color w:val="auto"/>
          <w:sz w:val="24"/>
          <w:highlight w:val="none"/>
        </w:rPr>
        <w:t>郑重</w:t>
      </w:r>
      <w:r>
        <w:rPr>
          <w:rFonts w:hint="eastAsia" w:asciiTheme="minorEastAsia" w:hAnsiTheme="minorEastAsia" w:eastAsiaTheme="minorEastAsia"/>
          <w:color w:val="auto"/>
          <w:spacing w:val="6"/>
          <w:sz w:val="24"/>
          <w:szCs w:val="24"/>
          <w:highlight w:val="none"/>
        </w:rPr>
        <w:t>声明，根据《财政部 民政部 中国残疾人联合会关于促进残疾人就业政府采购政策的通知》（财库</w:t>
      </w:r>
      <w:r>
        <w:rPr>
          <w:rFonts w:hint="eastAsia" w:asciiTheme="minorEastAsia" w:hAnsiTheme="minorEastAsia" w:eastAsiaTheme="minorEastAsia"/>
          <w:color w:val="auto"/>
          <w:sz w:val="24"/>
          <w:szCs w:val="24"/>
          <w:highlight w:val="none"/>
        </w:rPr>
        <w:t>〔2017〕141</w:t>
      </w:r>
      <w:r>
        <w:rPr>
          <w:rFonts w:hint="eastAsia" w:asciiTheme="minorEastAsia" w:hAnsiTheme="minorEastAsia" w:eastAsiaTheme="minorEastAsia"/>
          <w:color w:val="auto"/>
          <w:spacing w:val="6"/>
          <w:sz w:val="24"/>
          <w:szCs w:val="24"/>
          <w:highlight w:val="none"/>
        </w:rPr>
        <w:t>号）的规定，本单位为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项目采购活动提供本单位制造的货物（由本单位承担工程/提供服务），或者提供其他残疾人福利性单位制造的货物（不包括使用非残疾人福利性单位注册商标的货物）。</w:t>
      </w:r>
    </w:p>
    <w:p w14:paraId="3FA786E9">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本单位对上述声明的真实性负责。如有虚假，将依法承担相应责任。</w:t>
      </w:r>
    </w:p>
    <w:p w14:paraId="74DE0CD5">
      <w:pPr>
        <w:spacing w:line="360" w:lineRule="auto"/>
        <w:ind w:firstLine="4228" w:firstLineChars="1762"/>
        <w:rPr>
          <w:rFonts w:asciiTheme="minorEastAsia" w:hAnsiTheme="minorEastAsia" w:eastAsiaTheme="minorEastAsia"/>
          <w:color w:val="auto"/>
          <w:sz w:val="24"/>
          <w:szCs w:val="24"/>
          <w:highlight w:val="none"/>
        </w:rPr>
      </w:pPr>
    </w:p>
    <w:p w14:paraId="1DD7E011">
      <w:pPr>
        <w:spacing w:line="360" w:lineRule="auto"/>
        <w:ind w:firstLine="4228" w:firstLineChars="1762"/>
        <w:rPr>
          <w:rFonts w:asciiTheme="minorEastAsia" w:hAnsiTheme="minorEastAsia" w:eastAsiaTheme="minorEastAsia"/>
          <w:color w:val="auto"/>
          <w:sz w:val="24"/>
          <w:szCs w:val="24"/>
          <w:highlight w:val="none"/>
        </w:rPr>
      </w:pPr>
    </w:p>
    <w:p w14:paraId="5CE94456">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供应商</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04A5A73D">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bookmarkEnd w:id="73"/>
    <w:p w14:paraId="60057116">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45503C33">
      <w:pPr>
        <w:spacing w:line="360" w:lineRule="auto"/>
        <w:jc w:val="center"/>
        <w:outlineLvl w:val="1"/>
        <w:rPr>
          <w:rFonts w:asciiTheme="minorEastAsia" w:hAnsiTheme="minorEastAsia" w:eastAsiaTheme="minorEastAsia"/>
          <w:b/>
          <w:color w:val="auto"/>
          <w:sz w:val="24"/>
          <w:highlight w:val="none"/>
        </w:rPr>
      </w:pPr>
      <w:bookmarkStart w:id="74" w:name="_Toc2278"/>
      <w:bookmarkStart w:id="75" w:name="_Toc20592"/>
      <w:bookmarkStart w:id="76" w:name="_Hlk44283088"/>
      <w:r>
        <w:rPr>
          <w:rFonts w:hint="eastAsia" w:ascii="宋体" w:hAnsi="宋体" w:eastAsia="宋体"/>
          <w:b/>
          <w:color w:val="auto"/>
          <w:sz w:val="24"/>
          <w:highlight w:val="none"/>
        </w:rPr>
        <w:t>九</w:t>
      </w:r>
      <w:r>
        <w:rPr>
          <w:rFonts w:hint="eastAsia" w:asciiTheme="minorEastAsia" w:hAnsiTheme="minorEastAsia" w:eastAsiaTheme="minorEastAsia"/>
          <w:b/>
          <w:color w:val="auto"/>
          <w:sz w:val="24"/>
          <w:highlight w:val="none"/>
        </w:rPr>
        <w:t>、诚信履约承诺函</w:t>
      </w:r>
      <w:bookmarkEnd w:id="74"/>
      <w:bookmarkEnd w:id="75"/>
    </w:p>
    <w:p w14:paraId="3281B3C8">
      <w:pPr>
        <w:spacing w:line="360" w:lineRule="auto"/>
        <w:rPr>
          <w:rFonts w:asciiTheme="minorEastAsia" w:hAnsiTheme="minorEastAsia" w:eastAsiaTheme="minorEastAsia"/>
          <w:b/>
          <w:bCs/>
          <w:color w:val="auto"/>
          <w:sz w:val="24"/>
          <w:highlight w:val="none"/>
        </w:rPr>
      </w:pPr>
    </w:p>
    <w:p w14:paraId="5E9F2516">
      <w:pPr>
        <w:spacing w:line="360" w:lineRule="auto"/>
        <w:rPr>
          <w:rFonts w:asciiTheme="minorEastAsia" w:hAnsiTheme="minorEastAsia" w:eastAsiaTheme="minorEastAsia"/>
          <w:b/>
          <w:bCs/>
          <w:color w:val="auto"/>
          <w:sz w:val="24"/>
          <w:highlight w:val="none"/>
          <w:u w:val="single"/>
        </w:rPr>
      </w:pPr>
      <w:r>
        <w:rPr>
          <w:rFonts w:hint="eastAsia" w:asciiTheme="minorEastAsia" w:hAnsiTheme="minorEastAsia" w:eastAsiaTheme="minorEastAsia"/>
          <w:b/>
          <w:bCs/>
          <w:color w:val="auto"/>
          <w:sz w:val="24"/>
          <w:highlight w:val="none"/>
        </w:rPr>
        <w:t>致：采购人</w:t>
      </w:r>
    </w:p>
    <w:p w14:paraId="729997E2">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55F973F6">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3FC4EAC1">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529D014C">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238DBB75">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5D4F6C85">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2246E6DC">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2B99D116">
      <w:pPr>
        <w:spacing w:line="360" w:lineRule="auto"/>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本承诺声明：</w:t>
      </w:r>
      <w:r>
        <w:rPr>
          <w:rFonts w:hint="eastAsia" w:ascii="宋体" w:hAnsi="宋体" w:eastAsia="宋体" w:cs="宋体"/>
          <w:bCs/>
          <w:color w:val="auto"/>
          <w:sz w:val="24"/>
          <w:highlight w:val="none"/>
          <w:u w:val="single"/>
        </w:rPr>
        <w:t xml:space="preserve">                   （供应商名称）</w:t>
      </w:r>
      <w:r>
        <w:rPr>
          <w:rFonts w:hint="eastAsia" w:ascii="宋体" w:hAnsi="宋体" w:eastAsia="宋体" w:cs="宋体"/>
          <w:bCs/>
          <w:color w:val="auto"/>
          <w:sz w:val="24"/>
          <w:highlight w:val="none"/>
        </w:rPr>
        <w:t>对本</w:t>
      </w:r>
      <w:r>
        <w:rPr>
          <w:rFonts w:hint="eastAsia" w:ascii="宋体" w:hAnsi="宋体" w:eastAsia="宋体" w:cs="宋体"/>
          <w:color w:val="auto"/>
          <w:sz w:val="24"/>
          <w:highlight w:val="none"/>
          <w:lang w:val="zh-CN"/>
        </w:rPr>
        <w:t>磋商文件</w:t>
      </w:r>
      <w:r>
        <w:rPr>
          <w:rFonts w:hint="eastAsia" w:ascii="宋体" w:hAnsi="宋体" w:eastAsia="宋体" w:cs="宋体"/>
          <w:bCs/>
          <w:color w:val="auto"/>
          <w:sz w:val="24"/>
          <w:highlight w:val="none"/>
        </w:rPr>
        <w:t>的相关要求、采购需求要求完全响应。若有幸成交将严格按照以上承诺进行服务。</w:t>
      </w:r>
    </w:p>
    <w:p w14:paraId="42087453">
      <w:pPr>
        <w:spacing w:line="360" w:lineRule="auto"/>
        <w:rPr>
          <w:rFonts w:asciiTheme="minorEastAsia" w:hAnsiTheme="minorEastAsia" w:eastAsiaTheme="minorEastAsia"/>
          <w:bCs/>
          <w:color w:val="auto"/>
          <w:sz w:val="24"/>
          <w:highlight w:val="none"/>
        </w:rPr>
      </w:pPr>
    </w:p>
    <w:p w14:paraId="0FF6B80E">
      <w:pPr>
        <w:spacing w:line="360" w:lineRule="auto"/>
        <w:rPr>
          <w:rFonts w:asciiTheme="minorEastAsia" w:hAnsiTheme="minorEastAsia" w:eastAsiaTheme="minorEastAsia"/>
          <w:bCs/>
          <w:color w:val="auto"/>
          <w:sz w:val="24"/>
          <w:highlight w:val="none"/>
        </w:rPr>
      </w:pPr>
    </w:p>
    <w:p w14:paraId="6DE9B8EB">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供应商电子签章：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3346065F">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68CE779D">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bookmarkEnd w:id="76"/>
    <w:p w14:paraId="4A5539D2">
      <w:pPr>
        <w:spacing w:line="360" w:lineRule="auto"/>
        <w:jc w:val="center"/>
        <w:outlineLvl w:val="1"/>
        <w:rPr>
          <w:rFonts w:ascii="宋体" w:hAnsi="宋体" w:eastAsia="宋体" w:cs="宋体"/>
          <w:b/>
          <w:color w:val="auto"/>
          <w:sz w:val="24"/>
          <w:highlight w:val="none"/>
        </w:rPr>
      </w:pPr>
      <w:bookmarkStart w:id="77" w:name="_Toc7807"/>
      <w:bookmarkStart w:id="78" w:name="_Toc3826"/>
      <w:r>
        <w:rPr>
          <w:rFonts w:hint="eastAsia" w:asciiTheme="minorEastAsia" w:hAnsiTheme="minorEastAsia" w:eastAsiaTheme="minorEastAsia"/>
          <w:b/>
          <w:color w:val="auto"/>
          <w:sz w:val="24"/>
          <w:highlight w:val="none"/>
        </w:rPr>
        <w:t>十、</w:t>
      </w:r>
      <w:r>
        <w:rPr>
          <w:rFonts w:hint="eastAsia" w:ascii="宋体" w:hAnsi="宋体" w:eastAsia="宋体" w:cs="宋体"/>
          <w:b/>
          <w:color w:val="auto"/>
          <w:sz w:val="24"/>
          <w:highlight w:val="none"/>
        </w:rPr>
        <w:t>诚信</w:t>
      </w:r>
      <w:r>
        <w:rPr>
          <w:rFonts w:hint="eastAsia" w:ascii="宋体" w:hAnsi="宋体" w:eastAsia="宋体" w:cs="宋体"/>
          <w:b/>
          <w:color w:val="auto"/>
          <w:sz w:val="24"/>
          <w:highlight w:val="none"/>
          <w:lang w:val="en-US" w:eastAsia="zh-CN"/>
        </w:rPr>
        <w:t>响应</w:t>
      </w:r>
      <w:r>
        <w:rPr>
          <w:rFonts w:hint="eastAsia" w:ascii="宋体" w:hAnsi="宋体" w:eastAsia="宋体" w:cs="宋体"/>
          <w:b/>
          <w:color w:val="auto"/>
          <w:sz w:val="24"/>
          <w:highlight w:val="none"/>
        </w:rPr>
        <w:t>承诺书</w:t>
      </w:r>
    </w:p>
    <w:p w14:paraId="12812C4A">
      <w:pPr>
        <w:keepNext w:val="0"/>
        <w:keepLines w:val="0"/>
        <w:widowControl w:val="0"/>
        <w:suppressLineNumbers w:val="0"/>
        <w:spacing w:before="0" w:beforeAutospacing="0" w:after="0" w:afterAutospacing="0" w:line="50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本人以企业法定代表人的身份郑重承诺：</w:t>
      </w:r>
    </w:p>
    <w:p w14:paraId="301AB7AE">
      <w:pPr>
        <w:keepNext w:val="0"/>
        <w:keepLines w:val="0"/>
        <w:widowControl w:val="0"/>
        <w:suppressLineNumbers w:val="0"/>
        <w:spacing w:before="0" w:beforeAutospacing="0" w:after="0" w:afterAutospacing="0" w:line="50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一、将遵循公开、公正和诚实信用的原则自愿参加</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项目的响应，所提供的一切材料都是真实、有效、合法的；</w:t>
      </w:r>
    </w:p>
    <w:p w14:paraId="0DCDAEDB">
      <w:pPr>
        <w:keepNext w:val="0"/>
        <w:keepLines w:val="0"/>
        <w:widowControl w:val="0"/>
        <w:suppressLineNumbers w:val="0"/>
        <w:spacing w:before="0" w:beforeAutospacing="0" w:after="0" w:afterAutospacing="0" w:line="50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二、本单位郑重声明，根据《中华人民共和国政府采购法》及《中华人民共和国政府采购法实施条例》的规定，我公司具有良好的商业信誉和健全的财务会计制度，具有履行合同所必需的设备和专业技术能力，有依法缴纳税收和社会保障资金的良好记录；参加政府采购活动前三年内，本单位在经营活动中没有重大违法记录，没有因违法经营受到刑事处罚或者责令停产停业、吊销许可证或者执照、较大数额罚款等行政处罚。</w:t>
      </w:r>
    </w:p>
    <w:p w14:paraId="7F7057DF">
      <w:pPr>
        <w:keepNext w:val="0"/>
        <w:keepLines w:val="0"/>
        <w:widowControl w:val="0"/>
        <w:suppressLineNumbers w:val="0"/>
        <w:spacing w:before="0" w:beforeAutospacing="0" w:after="0" w:afterAutospacing="0" w:line="50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三、不出借、转让资质证书，不让他人挂靠，不以他人名义参与或者以其他方式弄虚作假，骗取成交；</w:t>
      </w:r>
    </w:p>
    <w:p w14:paraId="0AC5AFBF">
      <w:pPr>
        <w:keepNext w:val="0"/>
        <w:keepLines w:val="0"/>
        <w:widowControl w:val="0"/>
        <w:suppressLineNumbers w:val="0"/>
        <w:spacing w:before="0" w:beforeAutospacing="0" w:after="0" w:afterAutospacing="0" w:line="50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四、不与其他供应商相互串通响应报价，不排挤其他供应商的公平竞争、损害采购人的合法权益；</w:t>
      </w:r>
    </w:p>
    <w:p w14:paraId="6FBDD35F">
      <w:pPr>
        <w:keepNext w:val="0"/>
        <w:keepLines w:val="0"/>
        <w:widowControl w:val="0"/>
        <w:suppressLineNumbers w:val="0"/>
        <w:spacing w:before="0" w:beforeAutospacing="0" w:after="0" w:afterAutospacing="0" w:line="50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五、不与采购人、采购代理机构或其他供应商串通响应，损害国家利益、社会公共利益或者他人的合法权益；</w:t>
      </w:r>
    </w:p>
    <w:p w14:paraId="1E24222A">
      <w:pPr>
        <w:keepNext w:val="0"/>
        <w:keepLines w:val="0"/>
        <w:widowControl w:val="0"/>
        <w:suppressLineNumbers w:val="0"/>
        <w:spacing w:before="0" w:beforeAutospacing="0" w:after="0" w:afterAutospacing="0" w:line="50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六、</w:t>
      </w:r>
      <w:r>
        <w:rPr>
          <w:rFonts w:hint="eastAsia" w:ascii="宋体" w:hAnsi="宋体" w:eastAsia="宋体" w:cs="宋体"/>
          <w:color w:val="auto"/>
          <w:kern w:val="2"/>
          <w:sz w:val="21"/>
          <w:szCs w:val="21"/>
          <w:highlight w:val="none"/>
          <w:u w:val="single"/>
          <w:lang w:val="en-US" w:eastAsia="zh-CN" w:bidi="ar"/>
        </w:rPr>
        <w:t xml:space="preserve">       （企业名称）</w:t>
      </w:r>
      <w:r>
        <w:rPr>
          <w:rFonts w:hint="eastAsia" w:ascii="宋体" w:hAnsi="宋体" w:eastAsia="宋体" w:cs="宋体"/>
          <w:color w:val="auto"/>
          <w:kern w:val="2"/>
          <w:sz w:val="21"/>
          <w:szCs w:val="21"/>
          <w:highlight w:val="none"/>
          <w:lang w:val="en-US" w:eastAsia="zh-CN" w:bidi="ar"/>
        </w:rPr>
        <w:t>或</w:t>
      </w:r>
      <w:r>
        <w:rPr>
          <w:rFonts w:hint="eastAsia" w:ascii="宋体" w:hAnsi="宋体" w:eastAsia="宋体" w:cs="宋体"/>
          <w:color w:val="auto"/>
          <w:kern w:val="2"/>
          <w:sz w:val="21"/>
          <w:szCs w:val="21"/>
          <w:highlight w:val="none"/>
          <w:u w:val="single"/>
          <w:lang w:val="en-US" w:eastAsia="zh-CN" w:bidi="ar"/>
        </w:rPr>
        <w:t xml:space="preserve">       （企业名称）</w:t>
      </w:r>
      <w:r>
        <w:rPr>
          <w:rFonts w:hint="eastAsia" w:ascii="宋体" w:hAnsi="宋体" w:eastAsia="宋体" w:cs="宋体"/>
          <w:color w:val="auto"/>
          <w:kern w:val="2"/>
          <w:sz w:val="21"/>
          <w:szCs w:val="21"/>
          <w:highlight w:val="none"/>
          <w:lang w:val="en-US" w:eastAsia="zh-CN" w:bidi="ar"/>
        </w:rPr>
        <w:t>法定代表人或拟派项目经理（负责人）没有下列情形：①被列入“信用中国”网站（www.creditchina.gov.cn）“失信被执行人”的；</w:t>
      </w:r>
    </w:p>
    <w:p w14:paraId="3A93C328">
      <w:pPr>
        <w:keepNext w:val="0"/>
        <w:keepLines w:val="0"/>
        <w:widowControl w:val="0"/>
        <w:suppressLineNumbers w:val="0"/>
        <w:spacing w:before="0" w:beforeAutospacing="0" w:after="0" w:afterAutospacing="0" w:line="50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②被列入“信用中国”网站（www.creditchina.gov.cn）“重大税收违法失信主体”的；</w:t>
      </w:r>
    </w:p>
    <w:p w14:paraId="7E2AF291">
      <w:pPr>
        <w:keepNext w:val="0"/>
        <w:keepLines w:val="0"/>
        <w:widowControl w:val="0"/>
        <w:suppressLineNumbers w:val="0"/>
        <w:spacing w:before="0" w:beforeAutospacing="0" w:after="0" w:afterAutospacing="0" w:line="50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③被列入“信用中国”网站（www.creditchina.gov.cn） “安全生产严重失信主体名单”的；</w:t>
      </w:r>
    </w:p>
    <w:p w14:paraId="044CC958">
      <w:pPr>
        <w:keepNext w:val="0"/>
        <w:keepLines w:val="0"/>
        <w:widowControl w:val="0"/>
        <w:suppressLineNumbers w:val="0"/>
        <w:spacing w:before="0" w:beforeAutospacing="0" w:after="0" w:afterAutospacing="0" w:line="500" w:lineRule="exact"/>
        <w:ind w:left="0" w:right="0" w:firstLine="420" w:firstLineChars="20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④被列入国家企业信用信息公示系统网站（www.gsxt.gov.cn）“严重违法失信名单”的。</w:t>
      </w:r>
    </w:p>
    <w:p w14:paraId="65A3CE23">
      <w:pPr>
        <w:keepNext w:val="0"/>
        <w:keepLines w:val="0"/>
        <w:widowControl w:val="0"/>
        <w:suppressLineNumbers w:val="0"/>
        <w:spacing w:before="0" w:beforeAutospacing="0" w:after="0" w:afterAutospacing="0" w:line="50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⑤被列入中国政府采购网站“政府采购严重违法失信行为信息记录”的。</w:t>
      </w:r>
    </w:p>
    <w:p w14:paraId="71241E99">
      <w:pPr>
        <w:keepNext w:val="0"/>
        <w:keepLines w:val="0"/>
        <w:widowControl w:val="0"/>
        <w:suppressLineNumbers w:val="0"/>
        <w:spacing w:before="0" w:beforeAutospacing="0" w:after="0" w:afterAutospacing="0" w:line="50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七、严格遵守会议现场纪律，服从监管人员管理；</w:t>
      </w:r>
    </w:p>
    <w:p w14:paraId="1B219BC9">
      <w:pPr>
        <w:keepNext w:val="0"/>
        <w:keepLines w:val="0"/>
        <w:widowControl w:val="0"/>
        <w:suppressLineNumbers w:val="0"/>
        <w:spacing w:before="0" w:beforeAutospacing="0" w:after="0" w:afterAutospacing="0" w:line="50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八、保证成交后不转包，若有分包征得采购人同意；</w:t>
      </w:r>
    </w:p>
    <w:p w14:paraId="02E42114">
      <w:pPr>
        <w:keepNext w:val="0"/>
        <w:keepLines w:val="0"/>
        <w:widowControl w:val="0"/>
        <w:suppressLineNumbers w:val="0"/>
        <w:spacing w:before="0" w:beforeAutospacing="0" w:after="0" w:afterAutospacing="0" w:line="50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九、保证成交之后，按照响应文件要求提供相关后续服务；</w:t>
      </w:r>
    </w:p>
    <w:p w14:paraId="05A79723">
      <w:pPr>
        <w:keepNext w:val="0"/>
        <w:keepLines w:val="0"/>
        <w:widowControl w:val="0"/>
        <w:suppressLineNumbers w:val="0"/>
        <w:spacing w:before="0" w:beforeAutospacing="0" w:after="0" w:afterAutospacing="0" w:line="50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十、保证企业及所属相关人员在本次响应中无行贿等犯罪行为；</w:t>
      </w:r>
    </w:p>
    <w:p w14:paraId="72CF119B">
      <w:pPr>
        <w:keepNext w:val="0"/>
        <w:keepLines w:val="0"/>
        <w:widowControl w:val="0"/>
        <w:suppressLineNumbers w:val="0"/>
        <w:spacing w:before="0" w:beforeAutospacing="0" w:after="0" w:afterAutospacing="0" w:line="50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十一、如在响应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7A5AE37B">
      <w:pPr>
        <w:keepNext w:val="0"/>
        <w:keepLines w:val="0"/>
        <w:widowControl w:val="0"/>
        <w:suppressLineNumbers w:val="0"/>
        <w:spacing w:before="0" w:beforeAutospacing="0" w:after="0" w:afterAutospacing="0" w:line="50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以上内容我已仔细阅读，本公司若有违反承诺内容的行为，自愿接受取消磋商或者中标（成交）资格、中标（成交）无效、记入不良行为记录等有关处理，愿意承担法律责任，给采购人造成损失的，依法承担赔偿责任。</w:t>
      </w:r>
    </w:p>
    <w:p w14:paraId="624B55B4">
      <w:pPr>
        <w:spacing w:line="500" w:lineRule="exact"/>
        <w:ind w:firstLine="420" w:firstLineChars="200"/>
        <w:rPr>
          <w:rFonts w:ascii="宋体" w:hAnsi="宋体" w:eastAsia="宋体" w:cs="宋体"/>
          <w:color w:val="auto"/>
          <w:szCs w:val="21"/>
          <w:highlight w:val="none"/>
        </w:rPr>
      </w:pPr>
    </w:p>
    <w:p w14:paraId="0C8DE46C">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开户银行：</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基本账户：</w:t>
      </w:r>
    </w:p>
    <w:p w14:paraId="6E4DA456">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单位（签章）：</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法定代表人（签章）：</w:t>
      </w:r>
    </w:p>
    <w:p w14:paraId="0B9F9172">
      <w:pPr>
        <w:spacing w:line="500" w:lineRule="exact"/>
        <w:ind w:firstLine="420" w:firstLineChars="200"/>
        <w:rPr>
          <w:rFonts w:ascii="宋体" w:hAnsi="宋体" w:eastAsia="宋体" w:cs="宋体"/>
          <w:color w:val="auto"/>
          <w:szCs w:val="21"/>
          <w:highlight w:val="none"/>
        </w:rPr>
      </w:pPr>
    </w:p>
    <w:p w14:paraId="4A24D181">
      <w:pPr>
        <w:widowControl/>
        <w:jc w:val="right"/>
        <w:rPr>
          <w:rFonts w:ascii="宋体" w:hAnsi="宋体" w:eastAsia="宋体" w:cs="宋体"/>
          <w:b/>
          <w:color w:val="auto"/>
          <w:sz w:val="28"/>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日</w:t>
      </w:r>
    </w:p>
    <w:p w14:paraId="6D501185">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十一、其他相关证明材料</w:t>
      </w:r>
      <w:bookmarkEnd w:id="77"/>
      <w:bookmarkEnd w:id="78"/>
    </w:p>
    <w:p w14:paraId="21059B10">
      <w:pPr>
        <w:tabs>
          <w:tab w:val="left" w:pos="4620"/>
        </w:tabs>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提供符合磋商邀请、采购需求及评审方法和标准规定的相关证明文件。</w:t>
      </w:r>
    </w:p>
    <w:p w14:paraId="09C53153">
      <w:pPr>
        <w:spacing w:line="360" w:lineRule="auto"/>
        <w:ind w:firstLine="435"/>
        <w:rPr>
          <w:rFonts w:asciiTheme="minorEastAsia" w:hAnsiTheme="minorEastAsia" w:eastAsiaTheme="minorEastAsia"/>
          <w:color w:val="auto"/>
          <w:sz w:val="24"/>
          <w:highlight w:val="none"/>
        </w:rPr>
      </w:pPr>
    </w:p>
    <w:p w14:paraId="46BF2D36">
      <w:pPr>
        <w:spacing w:line="360" w:lineRule="auto"/>
        <w:ind w:firstLine="480" w:firstLineChars="200"/>
        <w:rPr>
          <w:rFonts w:asciiTheme="minorEastAsia" w:hAnsiTheme="minorEastAsia" w:eastAsiaTheme="minorEastAsia"/>
          <w:color w:val="auto"/>
          <w:sz w:val="24"/>
          <w:highlight w:val="none"/>
        </w:rPr>
      </w:pPr>
    </w:p>
    <w:p w14:paraId="1032C3F3">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17F94F75">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供应商在响应文件制作时可在此栏内上传磋商文件要求上传的证明资料，如营业执照、证书等，应将上述证明材料制作成扫描件上传。</w:t>
      </w:r>
    </w:p>
    <w:p w14:paraId="2275E62F">
      <w:pPr>
        <w:spacing w:line="360" w:lineRule="auto"/>
        <w:jc w:val="center"/>
        <w:rPr>
          <w:rFonts w:asciiTheme="minorEastAsia" w:hAnsiTheme="minorEastAsia" w:eastAsiaTheme="minorEastAsia"/>
          <w:b/>
          <w:color w:val="auto"/>
          <w:sz w:val="24"/>
          <w:highlight w:val="none"/>
        </w:rPr>
      </w:pPr>
    </w:p>
    <w:p w14:paraId="277EB776">
      <w:pPr>
        <w:widowControl/>
        <w:jc w:val="left"/>
        <w:rPr>
          <w:rFonts w:ascii="宋体" w:hAnsi="宋体" w:eastAsia="宋体"/>
          <w:bCs/>
          <w:color w:val="auto"/>
          <w:sz w:val="24"/>
          <w:highlight w:val="none"/>
        </w:rPr>
      </w:pPr>
      <w:r>
        <w:rPr>
          <w:rFonts w:asciiTheme="minorEastAsia" w:hAnsiTheme="minorEastAsia" w:eastAsiaTheme="minorEastAsia"/>
          <w:color w:val="auto"/>
          <w:sz w:val="24"/>
          <w:highlight w:val="none"/>
        </w:rPr>
        <w:br w:type="page"/>
      </w:r>
    </w:p>
    <w:p w14:paraId="25E89E16">
      <w:pPr>
        <w:spacing w:line="360" w:lineRule="auto"/>
        <w:jc w:val="center"/>
        <w:outlineLvl w:val="0"/>
        <w:rPr>
          <w:rFonts w:ascii="宋体" w:hAnsi="宋体" w:eastAsia="宋体"/>
          <w:b/>
          <w:bCs/>
          <w:color w:val="auto"/>
          <w:sz w:val="28"/>
          <w:highlight w:val="none"/>
        </w:rPr>
      </w:pPr>
      <w:bookmarkStart w:id="79" w:name="_Toc63440924"/>
      <w:bookmarkStart w:id="80" w:name="_Toc145"/>
      <w:bookmarkStart w:id="81" w:name="_Toc19418"/>
      <w:r>
        <w:rPr>
          <w:rFonts w:hint="eastAsia" w:ascii="宋体" w:hAnsi="宋体" w:eastAsia="宋体"/>
          <w:b/>
          <w:bCs/>
          <w:color w:val="auto"/>
          <w:sz w:val="28"/>
          <w:highlight w:val="none"/>
        </w:rPr>
        <w:t>第七章  政府采购</w:t>
      </w:r>
      <w:bookmarkEnd w:id="79"/>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80"/>
      <w:bookmarkEnd w:id="81"/>
    </w:p>
    <w:p w14:paraId="7CEE2A35">
      <w:pPr>
        <w:spacing w:line="360" w:lineRule="auto"/>
        <w:jc w:val="center"/>
        <w:outlineLvl w:val="1"/>
        <w:rPr>
          <w:rFonts w:ascii="仿宋" w:hAnsi="仿宋" w:eastAsia="仿宋" w:cs="仿宋"/>
          <w:b/>
          <w:bCs/>
          <w:color w:val="auto"/>
          <w:sz w:val="32"/>
          <w:szCs w:val="44"/>
          <w:highlight w:val="none"/>
        </w:rPr>
      </w:pPr>
      <w:bookmarkStart w:id="82" w:name="_Toc2142"/>
      <w:bookmarkStart w:id="83" w:name="_Toc8735"/>
      <w:r>
        <w:rPr>
          <w:rFonts w:hint="eastAsia" w:ascii="仿宋" w:hAnsi="仿宋" w:eastAsia="仿宋" w:cs="仿宋"/>
          <w:b/>
          <w:bCs/>
          <w:color w:val="auto"/>
          <w:sz w:val="32"/>
          <w:szCs w:val="44"/>
          <w:highlight w:val="none"/>
        </w:rPr>
        <w:t>询问函范本</w:t>
      </w:r>
      <w:bookmarkEnd w:id="82"/>
      <w:bookmarkEnd w:id="83"/>
    </w:p>
    <w:p w14:paraId="5AA38A35">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6906B1EE">
      <w:pPr>
        <w:adjustRightInd w:val="0"/>
        <w:snapToGrid w:val="0"/>
        <w:spacing w:line="360" w:lineRule="auto"/>
        <w:rPr>
          <w:rFonts w:cs="仿宋" w:asciiTheme="minorEastAsia" w:hAnsiTheme="minorEastAsia" w:eastAsiaTheme="minorEastAsia"/>
          <w:b/>
          <w:bCs/>
          <w:color w:val="auto"/>
          <w:sz w:val="24"/>
          <w:szCs w:val="24"/>
          <w:highlight w:val="none"/>
        </w:rPr>
      </w:pPr>
      <w:r>
        <w:rPr>
          <w:rFonts w:hint="eastAsia" w:cs="仿宋" w:asciiTheme="minorEastAsia" w:hAnsiTheme="minorEastAsia" w:eastAsiaTheme="minorEastAsia"/>
          <w:b/>
          <w:bCs/>
          <w:color w:val="auto"/>
          <w:sz w:val="24"/>
          <w:szCs w:val="24"/>
          <w:highlight w:val="none"/>
        </w:rPr>
        <w:t>致：采购人</w:t>
      </w:r>
    </w:p>
    <w:p w14:paraId="14885833">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rPr>
        <w:t xml:space="preserve">             </w:t>
      </w:r>
      <w:r>
        <w:rPr>
          <w:rFonts w:hint="eastAsia" w:cs="仿宋" w:asciiTheme="minorEastAsia" w:hAnsiTheme="minorEastAsia" w:eastAsiaTheme="minorEastAsia"/>
          <w:i/>
          <w:iCs/>
          <w:color w:val="auto"/>
          <w:sz w:val="24"/>
          <w:szCs w:val="24"/>
          <w:highlight w:val="none"/>
        </w:rPr>
        <w:t>（项目名称、编号)</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600DCA7B">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84" w:name="_Toc9092"/>
      <w:bookmarkStart w:id="85" w:name="_Toc26386"/>
      <w:r>
        <w:rPr>
          <w:rFonts w:hint="eastAsia" w:cs="仿宋" w:asciiTheme="minorEastAsia" w:hAnsiTheme="minorEastAsia" w:eastAsiaTheme="minorEastAsia"/>
          <w:color w:val="auto"/>
          <w:sz w:val="24"/>
          <w:szCs w:val="24"/>
          <w:highlight w:val="none"/>
        </w:rPr>
        <w:t>一、(事项一)</w:t>
      </w:r>
      <w:bookmarkEnd w:id="84"/>
      <w:bookmarkEnd w:id="85"/>
    </w:p>
    <w:p w14:paraId="096A379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2FAADEA0">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1EE47203">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20ACAC6C">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86" w:name="_Toc17582"/>
      <w:bookmarkStart w:id="87" w:name="_Toc9273"/>
      <w:r>
        <w:rPr>
          <w:rFonts w:hint="eastAsia" w:cs="仿宋" w:asciiTheme="minorEastAsia" w:hAnsiTheme="minorEastAsia" w:eastAsiaTheme="minorEastAsia"/>
          <w:color w:val="auto"/>
          <w:sz w:val="24"/>
          <w:szCs w:val="24"/>
          <w:highlight w:val="none"/>
        </w:rPr>
        <w:t>二、(事项二)</w:t>
      </w:r>
      <w:bookmarkEnd w:id="86"/>
      <w:bookmarkEnd w:id="87"/>
    </w:p>
    <w:p w14:paraId="345A675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751B556F">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0B87F2C7">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2BF7A62D">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4EA5AAB2">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5EE3596B">
      <w:pPr>
        <w:rPr>
          <w:rFonts w:asciiTheme="minorEastAsia" w:hAnsiTheme="minorEastAsia" w:eastAsiaTheme="minorEastAsia"/>
          <w:b/>
          <w:color w:val="auto"/>
          <w:sz w:val="52"/>
          <w:highlight w:val="none"/>
        </w:rPr>
      </w:pPr>
      <w:r>
        <w:rPr>
          <w:rFonts w:hint="eastAsia" w:ascii="仿宋" w:hAnsi="仿宋" w:eastAsia="仿宋" w:cs="仿宋"/>
          <w:b/>
          <w:bCs/>
          <w:color w:val="auto"/>
          <w:sz w:val="32"/>
          <w:szCs w:val="44"/>
          <w:highlight w:val="none"/>
        </w:rPr>
        <w:br w:type="page"/>
      </w:r>
    </w:p>
    <w:p w14:paraId="181F8151">
      <w:pPr>
        <w:jc w:val="center"/>
        <w:outlineLvl w:val="1"/>
        <w:rPr>
          <w:rFonts w:ascii="仿宋" w:hAnsi="仿宋" w:eastAsia="仿宋" w:cs="仿宋"/>
          <w:b/>
          <w:bCs/>
          <w:color w:val="auto"/>
          <w:sz w:val="32"/>
          <w:szCs w:val="44"/>
          <w:highlight w:val="none"/>
        </w:rPr>
      </w:pPr>
      <w:bookmarkStart w:id="88" w:name="_Toc26673"/>
      <w:bookmarkStart w:id="89" w:name="_Toc6990"/>
      <w:r>
        <w:rPr>
          <w:rFonts w:hint="eastAsia" w:ascii="仿宋" w:hAnsi="仿宋" w:eastAsia="仿宋" w:cs="仿宋"/>
          <w:b/>
          <w:bCs/>
          <w:color w:val="auto"/>
          <w:sz w:val="32"/>
          <w:szCs w:val="44"/>
          <w:highlight w:val="none"/>
        </w:rPr>
        <w:t>质疑函范本</w:t>
      </w:r>
      <w:bookmarkEnd w:id="88"/>
      <w:bookmarkEnd w:id="89"/>
    </w:p>
    <w:p w14:paraId="5D679401">
      <w:pPr>
        <w:adjustRightInd w:val="0"/>
        <w:snapToGrid w:val="0"/>
        <w:spacing w:beforeLines="100" w:line="360" w:lineRule="auto"/>
        <w:outlineLvl w:val="1"/>
        <w:rPr>
          <w:rFonts w:cs="仿宋" w:asciiTheme="minorEastAsia" w:hAnsiTheme="minorEastAsia" w:eastAsiaTheme="minorEastAsia"/>
          <w:b/>
          <w:bCs/>
          <w:color w:val="auto"/>
          <w:sz w:val="24"/>
          <w:szCs w:val="24"/>
          <w:highlight w:val="none"/>
        </w:rPr>
      </w:pPr>
      <w:bookmarkStart w:id="90" w:name="_Toc29510"/>
      <w:bookmarkStart w:id="91" w:name="_Toc2994"/>
      <w:r>
        <w:rPr>
          <w:rFonts w:hint="eastAsia" w:cs="仿宋" w:asciiTheme="minorEastAsia" w:hAnsiTheme="minorEastAsia" w:eastAsiaTheme="minorEastAsia"/>
          <w:b/>
          <w:bCs/>
          <w:color w:val="auto"/>
          <w:sz w:val="24"/>
          <w:szCs w:val="24"/>
          <w:highlight w:val="none"/>
        </w:rPr>
        <w:t>一、质疑供应商基本信息</w:t>
      </w:r>
      <w:bookmarkEnd w:id="90"/>
      <w:bookmarkEnd w:id="91"/>
    </w:p>
    <w:p w14:paraId="2D51239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708F6BB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0E56762E">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6A24E275">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4BA5600E">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3681C451">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6029F72D">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92" w:name="_Toc31042"/>
      <w:bookmarkStart w:id="93" w:name="_Toc28130"/>
      <w:r>
        <w:rPr>
          <w:rFonts w:hint="eastAsia" w:cs="仿宋" w:asciiTheme="minorEastAsia" w:hAnsiTheme="minorEastAsia" w:eastAsiaTheme="minorEastAsia"/>
          <w:b/>
          <w:bCs/>
          <w:color w:val="auto"/>
          <w:sz w:val="24"/>
          <w:szCs w:val="24"/>
          <w:highlight w:val="none"/>
        </w:rPr>
        <w:t>二、质疑项目基本情况</w:t>
      </w:r>
      <w:bookmarkEnd w:id="92"/>
      <w:bookmarkEnd w:id="93"/>
    </w:p>
    <w:p w14:paraId="02F3E92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6CBE61F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3FA25A2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77CE84F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7CFB3189">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94" w:name="_Toc20587"/>
      <w:bookmarkStart w:id="95" w:name="_Toc6486"/>
      <w:r>
        <w:rPr>
          <w:rFonts w:hint="eastAsia" w:cs="仿宋" w:asciiTheme="minorEastAsia" w:hAnsiTheme="minorEastAsia" w:eastAsiaTheme="minorEastAsia"/>
          <w:b/>
          <w:bCs/>
          <w:color w:val="auto"/>
          <w:sz w:val="24"/>
          <w:szCs w:val="24"/>
          <w:highlight w:val="none"/>
        </w:rPr>
        <w:t>三、质疑事项具体内容</w:t>
      </w:r>
      <w:bookmarkEnd w:id="94"/>
      <w:bookmarkEnd w:id="95"/>
    </w:p>
    <w:p w14:paraId="3EF8963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2B462D0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638B8BF5">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1297166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52656E0B">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2E38C56B">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52A52A3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34D6F59F">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96" w:name="_Toc32755"/>
      <w:bookmarkStart w:id="97" w:name="_Toc20470"/>
      <w:r>
        <w:rPr>
          <w:rFonts w:hint="eastAsia" w:cs="仿宋" w:asciiTheme="minorEastAsia" w:hAnsiTheme="minorEastAsia" w:eastAsiaTheme="minorEastAsia"/>
          <w:b/>
          <w:bCs/>
          <w:color w:val="auto"/>
          <w:sz w:val="24"/>
          <w:szCs w:val="24"/>
          <w:highlight w:val="none"/>
        </w:rPr>
        <w:t>四、与质疑事项相关的质疑请求</w:t>
      </w:r>
      <w:bookmarkEnd w:id="96"/>
      <w:bookmarkEnd w:id="97"/>
    </w:p>
    <w:p w14:paraId="0FC55BD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5C70B833">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7AAFC379">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35DA76BD">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4FE28F9D">
      <w:pPr>
        <w:outlineLvl w:val="0"/>
        <w:rPr>
          <w:rFonts w:asciiTheme="minorEastAsia" w:hAnsiTheme="minorEastAsia" w:eastAsiaTheme="minorEastAsia"/>
          <w:b/>
          <w:color w:val="auto"/>
          <w:sz w:val="28"/>
          <w:szCs w:val="32"/>
          <w:highlight w:val="none"/>
        </w:rPr>
      </w:pPr>
      <w:bookmarkStart w:id="98" w:name="_Toc10815"/>
      <w:bookmarkStart w:id="99" w:name="_Toc8368"/>
      <w:bookmarkStart w:id="100" w:name="_Toc21667"/>
      <w:r>
        <w:rPr>
          <w:rFonts w:hint="eastAsia" w:asciiTheme="minorEastAsia" w:hAnsiTheme="minorEastAsia" w:eastAsiaTheme="minorEastAsia"/>
          <w:b/>
          <w:color w:val="auto"/>
          <w:sz w:val="28"/>
          <w:szCs w:val="32"/>
          <w:highlight w:val="none"/>
        </w:rPr>
        <w:t>质疑函制作说明：</w:t>
      </w:r>
      <w:bookmarkEnd w:id="98"/>
      <w:bookmarkEnd w:id="99"/>
      <w:bookmarkEnd w:id="100"/>
    </w:p>
    <w:p w14:paraId="3FDF604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35EBFA9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FF9C5E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0767FA5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088A29E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24312586">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r>
        <w:rPr>
          <w:rFonts w:hint="eastAsia" w:asciiTheme="minorEastAsia" w:hAnsiTheme="minorEastAsia" w:eastAsiaTheme="minorEastAsia"/>
          <w:color w:val="auto"/>
          <w:sz w:val="24"/>
          <w:highlight w:val="none"/>
          <w:lang w:eastAsia="zh-CN"/>
        </w:rPr>
        <w:t>。</w:t>
      </w:r>
    </w:p>
    <w:p w14:paraId="76151B5E">
      <w:pPr>
        <w:spacing w:line="360" w:lineRule="auto"/>
        <w:ind w:firstLine="435"/>
        <w:rPr>
          <w:rFonts w:hint="eastAsia" w:asciiTheme="minorEastAsia" w:hAnsiTheme="minorEastAsia" w:eastAsiaTheme="minorEastAsia"/>
          <w:color w:val="auto"/>
          <w:sz w:val="24"/>
          <w:highlight w:val="none"/>
        </w:rPr>
      </w:pPr>
    </w:p>
    <w:p w14:paraId="0DEF8EFB">
      <w:pPr>
        <w:spacing w:line="360" w:lineRule="auto"/>
        <w:ind w:firstLine="435"/>
        <w:rPr>
          <w:rFonts w:hint="eastAsia" w:asciiTheme="minorEastAsia" w:hAnsiTheme="minorEastAsia" w:eastAsiaTheme="minorEastAsia"/>
          <w:color w:val="auto"/>
          <w:sz w:val="24"/>
          <w:highlight w:val="none"/>
        </w:rPr>
      </w:pPr>
    </w:p>
    <w:p w14:paraId="3659AB2C">
      <w:pPr>
        <w:rPr>
          <w:rFonts w:hint="eastAsia" w:asciiTheme="minorEastAsia" w:hAnsiTheme="minorEastAsia" w:eastAsiaTheme="minorEastAsia"/>
          <w:color w:val="auto"/>
          <w:sz w:val="24"/>
          <w:highlight w:val="none"/>
          <w:lang w:val="en-US" w:eastAsia="zh-CN"/>
        </w:rPr>
      </w:pPr>
      <w:bookmarkStart w:id="101" w:name="OLE_LINK7"/>
      <w:bookmarkEnd w:id="101"/>
      <w:bookmarkStart w:id="102" w:name="_Toc12723"/>
      <w:bookmarkEnd w:id="102"/>
      <w:bookmarkStart w:id="103" w:name="OLE_LINK24"/>
      <w:bookmarkEnd w:id="103"/>
    </w:p>
    <w:sectPr>
      <w:headerReference r:id="rId5" w:type="default"/>
      <w:footerReference r:id="rId6" w:type="default"/>
      <w:pgSz w:w="11906" w:h="16838"/>
      <w:pgMar w:top="1440" w:right="1800" w:bottom="1440" w:left="1800" w:header="851" w:footer="992" w:gutter="0"/>
      <w:pgNumType w:fmt="decimal" w:start="3"/>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2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Cambria">
    <w:panose1 w:val="02040503050406030204"/>
    <w:charset w:val="00"/>
    <w:family w:val="roman"/>
    <w:pitch w:val="default"/>
    <w:sig w:usb0="E00006FF" w:usb1="420024FF" w:usb2="02000000" w:usb3="00000000" w:csb0="2000019F"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B3BD58">
    <w:pPr>
      <w:pStyle w:val="16"/>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CD447">
    <w:pPr>
      <w:pStyle w:val="16"/>
      <w:rPr>
        <w:rFonts w:asciiTheme="minorEastAsia" w:hAnsiTheme="minorEastAsia" w:eastAsiaTheme="minorEastAsia"/>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06DC8D">
                          <w:pPr>
                            <w:pStyle w:val="16"/>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80</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106DC8D">
                    <w:pPr>
                      <w:pStyle w:val="16"/>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80</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6CE64">
    <w:pPr>
      <w:pStyle w:val="17"/>
      <w:jc w:val="left"/>
    </w:pPr>
    <w:r>
      <w:rPr>
        <w:rFonts w:hint="eastAsia" w:asciiTheme="minorEastAsia" w:hAnsiTheme="minorEastAsia" w:eastAsiaTheme="minorEastAsia"/>
      </w:rPr>
      <w:t>安徽省政府采购项目竞争性磋商文件示范文本（服务类）</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63DB7F">
    <w:pPr>
      <w:pStyle w:val="17"/>
      <w:jc w:val="left"/>
    </w:pPr>
    <w:r>
      <w:rPr>
        <w:rFonts w:hint="eastAsia" w:asciiTheme="minorEastAsia" w:hAnsiTheme="minorEastAsia" w:eastAsiaTheme="minorEastAsia"/>
      </w:rPr>
      <w:t>安徽省政府采购项目竞争性磋商文件示范文本（服务类）</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6329C4"/>
    <w:multiLevelType w:val="singleLevel"/>
    <w:tmpl w:val="946329C4"/>
    <w:lvl w:ilvl="0" w:tentative="0">
      <w:start w:val="5"/>
      <w:numFmt w:val="chineseCounting"/>
      <w:suff w:val="space"/>
      <w:lvlText w:val="第%1章"/>
      <w:lvlJc w:val="left"/>
      <w:rPr>
        <w:rFonts w:hint="eastAsia"/>
      </w:rPr>
    </w:lvl>
  </w:abstractNum>
  <w:abstractNum w:abstractNumId="1">
    <w:nsid w:val="0000000C"/>
    <w:multiLevelType w:val="multilevel"/>
    <w:tmpl w:val="0000000C"/>
    <w:lvl w:ilvl="0" w:tentative="0">
      <w:start w:val="1"/>
      <w:numFmt w:val="chineseCountingThousand"/>
      <w:pStyle w:val="22"/>
      <w:lvlText w:val="%1、"/>
      <w:lvlJc w:val="left"/>
      <w:pPr>
        <w:ind w:left="420" w:hanging="4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16"/>
        <w:szCs w:val="0"/>
        <w:u w:val="none" w:color="000000"/>
        <w:shd w:val="clear" w:color="000000" w:fill="000000"/>
        <w:vertAlign w:val="baseline"/>
        <w:lang w:val="zh-CN" w:eastAsia="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Q1MDdmYTBjM2ViZGYxM2E0NGE5ZWVlZjI5ZjI1ZTgifQ=="/>
  </w:docVars>
  <w:rsids>
    <w:rsidRoot w:val="00276BA1"/>
    <w:rsid w:val="0000043F"/>
    <w:rsid w:val="000037F9"/>
    <w:rsid w:val="000049DA"/>
    <w:rsid w:val="00005403"/>
    <w:rsid w:val="000056B7"/>
    <w:rsid w:val="00007D87"/>
    <w:rsid w:val="000131F7"/>
    <w:rsid w:val="00014039"/>
    <w:rsid w:val="00016B6C"/>
    <w:rsid w:val="00020B57"/>
    <w:rsid w:val="00020B6D"/>
    <w:rsid w:val="000323E2"/>
    <w:rsid w:val="00040C25"/>
    <w:rsid w:val="00042139"/>
    <w:rsid w:val="00042B14"/>
    <w:rsid w:val="00044F49"/>
    <w:rsid w:val="000450C3"/>
    <w:rsid w:val="00050A3F"/>
    <w:rsid w:val="00052F95"/>
    <w:rsid w:val="00054AA3"/>
    <w:rsid w:val="00056ECB"/>
    <w:rsid w:val="00057B40"/>
    <w:rsid w:val="000648D2"/>
    <w:rsid w:val="00070E0E"/>
    <w:rsid w:val="0007146E"/>
    <w:rsid w:val="00076DB7"/>
    <w:rsid w:val="00080FEB"/>
    <w:rsid w:val="00094D41"/>
    <w:rsid w:val="00097CB9"/>
    <w:rsid w:val="000A0161"/>
    <w:rsid w:val="000A10A9"/>
    <w:rsid w:val="000A6693"/>
    <w:rsid w:val="000A7970"/>
    <w:rsid w:val="000A7D94"/>
    <w:rsid w:val="000B1511"/>
    <w:rsid w:val="000B6249"/>
    <w:rsid w:val="000C1CB8"/>
    <w:rsid w:val="000C1DB1"/>
    <w:rsid w:val="000D19EC"/>
    <w:rsid w:val="000D3F37"/>
    <w:rsid w:val="000E3C74"/>
    <w:rsid w:val="000E3F9B"/>
    <w:rsid w:val="000E478E"/>
    <w:rsid w:val="000E6689"/>
    <w:rsid w:val="000F0EBF"/>
    <w:rsid w:val="000F172B"/>
    <w:rsid w:val="000F2198"/>
    <w:rsid w:val="000F39B6"/>
    <w:rsid w:val="000F3A94"/>
    <w:rsid w:val="000F6B7B"/>
    <w:rsid w:val="000F6F95"/>
    <w:rsid w:val="0010021F"/>
    <w:rsid w:val="00100B0F"/>
    <w:rsid w:val="0010187C"/>
    <w:rsid w:val="0010219C"/>
    <w:rsid w:val="001037E3"/>
    <w:rsid w:val="00107022"/>
    <w:rsid w:val="0011660B"/>
    <w:rsid w:val="0012143A"/>
    <w:rsid w:val="0012203E"/>
    <w:rsid w:val="001258BA"/>
    <w:rsid w:val="00126201"/>
    <w:rsid w:val="00130601"/>
    <w:rsid w:val="00132F4D"/>
    <w:rsid w:val="00133EA0"/>
    <w:rsid w:val="00137249"/>
    <w:rsid w:val="00140687"/>
    <w:rsid w:val="00146421"/>
    <w:rsid w:val="00153B20"/>
    <w:rsid w:val="00155F64"/>
    <w:rsid w:val="00157856"/>
    <w:rsid w:val="00160729"/>
    <w:rsid w:val="0016455F"/>
    <w:rsid w:val="00165398"/>
    <w:rsid w:val="00166794"/>
    <w:rsid w:val="00166ED8"/>
    <w:rsid w:val="001714C9"/>
    <w:rsid w:val="00171515"/>
    <w:rsid w:val="00172B93"/>
    <w:rsid w:val="001768BC"/>
    <w:rsid w:val="0018119B"/>
    <w:rsid w:val="001844AB"/>
    <w:rsid w:val="001853C7"/>
    <w:rsid w:val="00192879"/>
    <w:rsid w:val="001944B8"/>
    <w:rsid w:val="001967D2"/>
    <w:rsid w:val="00196DA3"/>
    <w:rsid w:val="001970C3"/>
    <w:rsid w:val="001971E5"/>
    <w:rsid w:val="001A0C0F"/>
    <w:rsid w:val="001A68E5"/>
    <w:rsid w:val="001B2A54"/>
    <w:rsid w:val="001B2BA4"/>
    <w:rsid w:val="001B5014"/>
    <w:rsid w:val="001B7327"/>
    <w:rsid w:val="001C2A15"/>
    <w:rsid w:val="001D22EA"/>
    <w:rsid w:val="001D53B4"/>
    <w:rsid w:val="001E1835"/>
    <w:rsid w:val="001F28D2"/>
    <w:rsid w:val="001F2F45"/>
    <w:rsid w:val="001F3023"/>
    <w:rsid w:val="001F35F6"/>
    <w:rsid w:val="001F4AAF"/>
    <w:rsid w:val="001F74CA"/>
    <w:rsid w:val="001F7590"/>
    <w:rsid w:val="002003B6"/>
    <w:rsid w:val="0020244A"/>
    <w:rsid w:val="002049B4"/>
    <w:rsid w:val="0020520B"/>
    <w:rsid w:val="002076AD"/>
    <w:rsid w:val="00213C55"/>
    <w:rsid w:val="00223CF4"/>
    <w:rsid w:val="00224B69"/>
    <w:rsid w:val="00224C4A"/>
    <w:rsid w:val="00231187"/>
    <w:rsid w:val="0023407E"/>
    <w:rsid w:val="00240B40"/>
    <w:rsid w:val="00244182"/>
    <w:rsid w:val="002544A1"/>
    <w:rsid w:val="00257ECE"/>
    <w:rsid w:val="00260382"/>
    <w:rsid w:val="00260B94"/>
    <w:rsid w:val="00264F2E"/>
    <w:rsid w:val="00271245"/>
    <w:rsid w:val="00272BD6"/>
    <w:rsid w:val="00273F66"/>
    <w:rsid w:val="00274A9E"/>
    <w:rsid w:val="00276BA1"/>
    <w:rsid w:val="00280984"/>
    <w:rsid w:val="002832CF"/>
    <w:rsid w:val="00283599"/>
    <w:rsid w:val="002835E3"/>
    <w:rsid w:val="00284542"/>
    <w:rsid w:val="002A14D1"/>
    <w:rsid w:val="002A1A1D"/>
    <w:rsid w:val="002A28AD"/>
    <w:rsid w:val="002B04FD"/>
    <w:rsid w:val="002B5318"/>
    <w:rsid w:val="002B6D27"/>
    <w:rsid w:val="002B7A09"/>
    <w:rsid w:val="002C060C"/>
    <w:rsid w:val="002C078A"/>
    <w:rsid w:val="002D05DD"/>
    <w:rsid w:val="002D0E4D"/>
    <w:rsid w:val="002D2965"/>
    <w:rsid w:val="002D3D02"/>
    <w:rsid w:val="002D4CB5"/>
    <w:rsid w:val="002D5900"/>
    <w:rsid w:val="002D684B"/>
    <w:rsid w:val="002E2D3A"/>
    <w:rsid w:val="002E3B26"/>
    <w:rsid w:val="002E4AB8"/>
    <w:rsid w:val="002E7FC4"/>
    <w:rsid w:val="00310070"/>
    <w:rsid w:val="0031081B"/>
    <w:rsid w:val="003110EC"/>
    <w:rsid w:val="00314289"/>
    <w:rsid w:val="003206A6"/>
    <w:rsid w:val="0032560D"/>
    <w:rsid w:val="00327C92"/>
    <w:rsid w:val="00333292"/>
    <w:rsid w:val="003344E7"/>
    <w:rsid w:val="0033580B"/>
    <w:rsid w:val="003365E7"/>
    <w:rsid w:val="003378D5"/>
    <w:rsid w:val="003473D7"/>
    <w:rsid w:val="00351995"/>
    <w:rsid w:val="00351AC8"/>
    <w:rsid w:val="00353075"/>
    <w:rsid w:val="00363E02"/>
    <w:rsid w:val="00373A96"/>
    <w:rsid w:val="003826C2"/>
    <w:rsid w:val="00383728"/>
    <w:rsid w:val="00384E57"/>
    <w:rsid w:val="003903BB"/>
    <w:rsid w:val="0039195E"/>
    <w:rsid w:val="00392627"/>
    <w:rsid w:val="00394128"/>
    <w:rsid w:val="00394ADC"/>
    <w:rsid w:val="00395235"/>
    <w:rsid w:val="0039561A"/>
    <w:rsid w:val="00397C7D"/>
    <w:rsid w:val="003A004F"/>
    <w:rsid w:val="003A2158"/>
    <w:rsid w:val="003A3AC4"/>
    <w:rsid w:val="003B25A5"/>
    <w:rsid w:val="003B4130"/>
    <w:rsid w:val="003B6FA1"/>
    <w:rsid w:val="003B715B"/>
    <w:rsid w:val="003C2C62"/>
    <w:rsid w:val="003C5566"/>
    <w:rsid w:val="003C577A"/>
    <w:rsid w:val="003C7C74"/>
    <w:rsid w:val="003D1D14"/>
    <w:rsid w:val="003D6C7C"/>
    <w:rsid w:val="003D6EFB"/>
    <w:rsid w:val="003D7E52"/>
    <w:rsid w:val="003E25C6"/>
    <w:rsid w:val="003F7528"/>
    <w:rsid w:val="004011AA"/>
    <w:rsid w:val="0040202C"/>
    <w:rsid w:val="00404A8F"/>
    <w:rsid w:val="00406508"/>
    <w:rsid w:val="00410867"/>
    <w:rsid w:val="004110F6"/>
    <w:rsid w:val="004134F8"/>
    <w:rsid w:val="0041456E"/>
    <w:rsid w:val="004148E3"/>
    <w:rsid w:val="00414F7E"/>
    <w:rsid w:val="004164F8"/>
    <w:rsid w:val="00422224"/>
    <w:rsid w:val="00426F05"/>
    <w:rsid w:val="004328E1"/>
    <w:rsid w:val="004427B7"/>
    <w:rsid w:val="0044349F"/>
    <w:rsid w:val="00445F1F"/>
    <w:rsid w:val="00447862"/>
    <w:rsid w:val="00451F60"/>
    <w:rsid w:val="00452BB2"/>
    <w:rsid w:val="00456054"/>
    <w:rsid w:val="0045656D"/>
    <w:rsid w:val="00462D98"/>
    <w:rsid w:val="00463E7D"/>
    <w:rsid w:val="00472A44"/>
    <w:rsid w:val="00473A89"/>
    <w:rsid w:val="00475899"/>
    <w:rsid w:val="00482C78"/>
    <w:rsid w:val="00483ABC"/>
    <w:rsid w:val="0048634A"/>
    <w:rsid w:val="004874AE"/>
    <w:rsid w:val="0049056F"/>
    <w:rsid w:val="00492217"/>
    <w:rsid w:val="00494D24"/>
    <w:rsid w:val="004951D1"/>
    <w:rsid w:val="004960BB"/>
    <w:rsid w:val="004A1BA3"/>
    <w:rsid w:val="004A27D0"/>
    <w:rsid w:val="004A4D67"/>
    <w:rsid w:val="004B7E79"/>
    <w:rsid w:val="004C13CB"/>
    <w:rsid w:val="004C1AAB"/>
    <w:rsid w:val="004C5B90"/>
    <w:rsid w:val="004D3D4B"/>
    <w:rsid w:val="004D5498"/>
    <w:rsid w:val="004D66A5"/>
    <w:rsid w:val="004D6B00"/>
    <w:rsid w:val="004E1D50"/>
    <w:rsid w:val="004E3266"/>
    <w:rsid w:val="004E38BA"/>
    <w:rsid w:val="004E50CA"/>
    <w:rsid w:val="004F27A0"/>
    <w:rsid w:val="0050027D"/>
    <w:rsid w:val="00501382"/>
    <w:rsid w:val="005048FB"/>
    <w:rsid w:val="00510563"/>
    <w:rsid w:val="00510798"/>
    <w:rsid w:val="005119B5"/>
    <w:rsid w:val="005125F1"/>
    <w:rsid w:val="00524A11"/>
    <w:rsid w:val="00527768"/>
    <w:rsid w:val="00530EA4"/>
    <w:rsid w:val="005327FB"/>
    <w:rsid w:val="00533251"/>
    <w:rsid w:val="00533FCA"/>
    <w:rsid w:val="005346EF"/>
    <w:rsid w:val="00542F0C"/>
    <w:rsid w:val="005470D4"/>
    <w:rsid w:val="0055705E"/>
    <w:rsid w:val="005616B5"/>
    <w:rsid w:val="00566690"/>
    <w:rsid w:val="005679A4"/>
    <w:rsid w:val="00574CE6"/>
    <w:rsid w:val="0059223D"/>
    <w:rsid w:val="0059365B"/>
    <w:rsid w:val="00593ABC"/>
    <w:rsid w:val="00597B15"/>
    <w:rsid w:val="005A044C"/>
    <w:rsid w:val="005A149F"/>
    <w:rsid w:val="005A3A32"/>
    <w:rsid w:val="005B2C9F"/>
    <w:rsid w:val="005B34C9"/>
    <w:rsid w:val="005B571E"/>
    <w:rsid w:val="005C1D52"/>
    <w:rsid w:val="005C46AC"/>
    <w:rsid w:val="005D0200"/>
    <w:rsid w:val="005D44EF"/>
    <w:rsid w:val="005D5112"/>
    <w:rsid w:val="005D5D67"/>
    <w:rsid w:val="005F34CC"/>
    <w:rsid w:val="005F3914"/>
    <w:rsid w:val="005F3B5A"/>
    <w:rsid w:val="005F6AB4"/>
    <w:rsid w:val="00607471"/>
    <w:rsid w:val="00610A66"/>
    <w:rsid w:val="006119B8"/>
    <w:rsid w:val="00613177"/>
    <w:rsid w:val="00613F7C"/>
    <w:rsid w:val="00614BF2"/>
    <w:rsid w:val="0061557C"/>
    <w:rsid w:val="00623DE2"/>
    <w:rsid w:val="00627601"/>
    <w:rsid w:val="006300D0"/>
    <w:rsid w:val="00632012"/>
    <w:rsid w:val="00634694"/>
    <w:rsid w:val="00636517"/>
    <w:rsid w:val="00636EE7"/>
    <w:rsid w:val="00637690"/>
    <w:rsid w:val="00640E1E"/>
    <w:rsid w:val="0064389A"/>
    <w:rsid w:val="00645442"/>
    <w:rsid w:val="006525CD"/>
    <w:rsid w:val="00653F7F"/>
    <w:rsid w:val="00662DCD"/>
    <w:rsid w:val="00662EE8"/>
    <w:rsid w:val="00663813"/>
    <w:rsid w:val="00664AFD"/>
    <w:rsid w:val="00667567"/>
    <w:rsid w:val="0067391A"/>
    <w:rsid w:val="00674173"/>
    <w:rsid w:val="00674CCF"/>
    <w:rsid w:val="0067534F"/>
    <w:rsid w:val="00677D87"/>
    <w:rsid w:val="006834FA"/>
    <w:rsid w:val="00690DB1"/>
    <w:rsid w:val="00693404"/>
    <w:rsid w:val="006953D9"/>
    <w:rsid w:val="006A1269"/>
    <w:rsid w:val="006A5803"/>
    <w:rsid w:val="006A69C3"/>
    <w:rsid w:val="006A7C15"/>
    <w:rsid w:val="006B1242"/>
    <w:rsid w:val="006B1DBC"/>
    <w:rsid w:val="006B3712"/>
    <w:rsid w:val="006B7D9A"/>
    <w:rsid w:val="006C06D9"/>
    <w:rsid w:val="006C3E22"/>
    <w:rsid w:val="006C5716"/>
    <w:rsid w:val="006C64B2"/>
    <w:rsid w:val="006C74A9"/>
    <w:rsid w:val="006D07DE"/>
    <w:rsid w:val="006D361A"/>
    <w:rsid w:val="006D6A81"/>
    <w:rsid w:val="006E06D9"/>
    <w:rsid w:val="006E1D40"/>
    <w:rsid w:val="006E2E1F"/>
    <w:rsid w:val="006E5059"/>
    <w:rsid w:val="006F5F03"/>
    <w:rsid w:val="006F5FFF"/>
    <w:rsid w:val="00710804"/>
    <w:rsid w:val="00711FC6"/>
    <w:rsid w:val="00712952"/>
    <w:rsid w:val="007130B1"/>
    <w:rsid w:val="00713487"/>
    <w:rsid w:val="00715071"/>
    <w:rsid w:val="007231E9"/>
    <w:rsid w:val="00724F0E"/>
    <w:rsid w:val="007270A6"/>
    <w:rsid w:val="00727C59"/>
    <w:rsid w:val="00733730"/>
    <w:rsid w:val="00734E5D"/>
    <w:rsid w:val="0073600C"/>
    <w:rsid w:val="00736013"/>
    <w:rsid w:val="00737BF8"/>
    <w:rsid w:val="0074339B"/>
    <w:rsid w:val="0074478E"/>
    <w:rsid w:val="00750B60"/>
    <w:rsid w:val="00756245"/>
    <w:rsid w:val="00761662"/>
    <w:rsid w:val="00764043"/>
    <w:rsid w:val="00766A36"/>
    <w:rsid w:val="007757CF"/>
    <w:rsid w:val="007769F6"/>
    <w:rsid w:val="00780F9D"/>
    <w:rsid w:val="0078128F"/>
    <w:rsid w:val="007819D9"/>
    <w:rsid w:val="0078683C"/>
    <w:rsid w:val="00790EDB"/>
    <w:rsid w:val="00791538"/>
    <w:rsid w:val="0079326E"/>
    <w:rsid w:val="00796EDE"/>
    <w:rsid w:val="007A5A58"/>
    <w:rsid w:val="007B1C56"/>
    <w:rsid w:val="007B2EDC"/>
    <w:rsid w:val="007C1DD7"/>
    <w:rsid w:val="007C3CD5"/>
    <w:rsid w:val="007C4756"/>
    <w:rsid w:val="007C5E88"/>
    <w:rsid w:val="007C61EF"/>
    <w:rsid w:val="007C6783"/>
    <w:rsid w:val="007D03DE"/>
    <w:rsid w:val="007D1C0D"/>
    <w:rsid w:val="007D2D23"/>
    <w:rsid w:val="007E1AE9"/>
    <w:rsid w:val="007E27D6"/>
    <w:rsid w:val="007E3921"/>
    <w:rsid w:val="00801028"/>
    <w:rsid w:val="00803793"/>
    <w:rsid w:val="00804000"/>
    <w:rsid w:val="00810066"/>
    <w:rsid w:val="008101A2"/>
    <w:rsid w:val="00817A01"/>
    <w:rsid w:val="00820937"/>
    <w:rsid w:val="00825E35"/>
    <w:rsid w:val="00830A4E"/>
    <w:rsid w:val="008334F8"/>
    <w:rsid w:val="00835FFD"/>
    <w:rsid w:val="0084381F"/>
    <w:rsid w:val="00843E35"/>
    <w:rsid w:val="008524CE"/>
    <w:rsid w:val="00857633"/>
    <w:rsid w:val="0086440C"/>
    <w:rsid w:val="008674ED"/>
    <w:rsid w:val="00874EE6"/>
    <w:rsid w:val="00876659"/>
    <w:rsid w:val="0087734C"/>
    <w:rsid w:val="00882141"/>
    <w:rsid w:val="00886BD4"/>
    <w:rsid w:val="008876EC"/>
    <w:rsid w:val="008922A8"/>
    <w:rsid w:val="00895BD5"/>
    <w:rsid w:val="008A16C4"/>
    <w:rsid w:val="008A4A27"/>
    <w:rsid w:val="008A649F"/>
    <w:rsid w:val="008A6FED"/>
    <w:rsid w:val="008B39C5"/>
    <w:rsid w:val="008B51AA"/>
    <w:rsid w:val="008C67F2"/>
    <w:rsid w:val="008D064A"/>
    <w:rsid w:val="008D2537"/>
    <w:rsid w:val="008D2B0F"/>
    <w:rsid w:val="008D633C"/>
    <w:rsid w:val="008E449E"/>
    <w:rsid w:val="008E4BDD"/>
    <w:rsid w:val="008E770C"/>
    <w:rsid w:val="008F187F"/>
    <w:rsid w:val="008F402F"/>
    <w:rsid w:val="008F76E8"/>
    <w:rsid w:val="00904508"/>
    <w:rsid w:val="009078A1"/>
    <w:rsid w:val="00911E9C"/>
    <w:rsid w:val="00917405"/>
    <w:rsid w:val="00920C1F"/>
    <w:rsid w:val="00920F7C"/>
    <w:rsid w:val="00922718"/>
    <w:rsid w:val="00924743"/>
    <w:rsid w:val="00932A87"/>
    <w:rsid w:val="00934CAE"/>
    <w:rsid w:val="0093560E"/>
    <w:rsid w:val="0094257D"/>
    <w:rsid w:val="009443B6"/>
    <w:rsid w:val="00946F68"/>
    <w:rsid w:val="0095467C"/>
    <w:rsid w:val="00954A61"/>
    <w:rsid w:val="00955C6F"/>
    <w:rsid w:val="00966C7B"/>
    <w:rsid w:val="009701DC"/>
    <w:rsid w:val="009715D8"/>
    <w:rsid w:val="009811A8"/>
    <w:rsid w:val="009862EB"/>
    <w:rsid w:val="00991460"/>
    <w:rsid w:val="00995BF9"/>
    <w:rsid w:val="009975CC"/>
    <w:rsid w:val="009A0CAF"/>
    <w:rsid w:val="009A2207"/>
    <w:rsid w:val="009A2D34"/>
    <w:rsid w:val="009A6565"/>
    <w:rsid w:val="009B0EDA"/>
    <w:rsid w:val="009B6C42"/>
    <w:rsid w:val="009D2998"/>
    <w:rsid w:val="009D31F7"/>
    <w:rsid w:val="009D32C2"/>
    <w:rsid w:val="009D50DB"/>
    <w:rsid w:val="009E2932"/>
    <w:rsid w:val="009E3A0A"/>
    <w:rsid w:val="009F1936"/>
    <w:rsid w:val="009F3E91"/>
    <w:rsid w:val="00A008DA"/>
    <w:rsid w:val="00A00C93"/>
    <w:rsid w:val="00A0571E"/>
    <w:rsid w:val="00A13A27"/>
    <w:rsid w:val="00A1499B"/>
    <w:rsid w:val="00A170D8"/>
    <w:rsid w:val="00A30A1B"/>
    <w:rsid w:val="00A311AD"/>
    <w:rsid w:val="00A314C2"/>
    <w:rsid w:val="00A34C55"/>
    <w:rsid w:val="00A375BF"/>
    <w:rsid w:val="00A501BF"/>
    <w:rsid w:val="00A519A0"/>
    <w:rsid w:val="00A5274A"/>
    <w:rsid w:val="00A62A2E"/>
    <w:rsid w:val="00A63A4D"/>
    <w:rsid w:val="00A63E86"/>
    <w:rsid w:val="00A67AF7"/>
    <w:rsid w:val="00A75185"/>
    <w:rsid w:val="00A754A0"/>
    <w:rsid w:val="00A757C3"/>
    <w:rsid w:val="00A75E5B"/>
    <w:rsid w:val="00A75F4B"/>
    <w:rsid w:val="00A7684A"/>
    <w:rsid w:val="00A83B69"/>
    <w:rsid w:val="00A86533"/>
    <w:rsid w:val="00A91CA2"/>
    <w:rsid w:val="00A92FB8"/>
    <w:rsid w:val="00A948F1"/>
    <w:rsid w:val="00A9773F"/>
    <w:rsid w:val="00AA0BE3"/>
    <w:rsid w:val="00AA18F9"/>
    <w:rsid w:val="00AA1D7D"/>
    <w:rsid w:val="00AA2790"/>
    <w:rsid w:val="00AA3806"/>
    <w:rsid w:val="00AA4EE3"/>
    <w:rsid w:val="00AB139D"/>
    <w:rsid w:val="00AB2A35"/>
    <w:rsid w:val="00AB2D05"/>
    <w:rsid w:val="00AB3EFB"/>
    <w:rsid w:val="00AC0B05"/>
    <w:rsid w:val="00AC1962"/>
    <w:rsid w:val="00AC7F9D"/>
    <w:rsid w:val="00AD079A"/>
    <w:rsid w:val="00AD1890"/>
    <w:rsid w:val="00AE2149"/>
    <w:rsid w:val="00AE2BF3"/>
    <w:rsid w:val="00AE33AE"/>
    <w:rsid w:val="00AE3986"/>
    <w:rsid w:val="00AE3F91"/>
    <w:rsid w:val="00AF5B63"/>
    <w:rsid w:val="00B0053D"/>
    <w:rsid w:val="00B01176"/>
    <w:rsid w:val="00B039E3"/>
    <w:rsid w:val="00B06D36"/>
    <w:rsid w:val="00B12BC4"/>
    <w:rsid w:val="00B22838"/>
    <w:rsid w:val="00B33E8F"/>
    <w:rsid w:val="00B33E95"/>
    <w:rsid w:val="00B3720B"/>
    <w:rsid w:val="00B4044F"/>
    <w:rsid w:val="00B45D0B"/>
    <w:rsid w:val="00B52FA0"/>
    <w:rsid w:val="00B5558A"/>
    <w:rsid w:val="00B56513"/>
    <w:rsid w:val="00B61B64"/>
    <w:rsid w:val="00B631E4"/>
    <w:rsid w:val="00B64376"/>
    <w:rsid w:val="00B6570C"/>
    <w:rsid w:val="00B6790B"/>
    <w:rsid w:val="00B7401F"/>
    <w:rsid w:val="00B769CF"/>
    <w:rsid w:val="00B76F2D"/>
    <w:rsid w:val="00B806C3"/>
    <w:rsid w:val="00B80D6F"/>
    <w:rsid w:val="00B84FCA"/>
    <w:rsid w:val="00B9089F"/>
    <w:rsid w:val="00B91826"/>
    <w:rsid w:val="00B91AEE"/>
    <w:rsid w:val="00B95F5A"/>
    <w:rsid w:val="00B96EAD"/>
    <w:rsid w:val="00BA4962"/>
    <w:rsid w:val="00BA4B7C"/>
    <w:rsid w:val="00BA79F5"/>
    <w:rsid w:val="00BA7EA7"/>
    <w:rsid w:val="00BB2E28"/>
    <w:rsid w:val="00BB3AB6"/>
    <w:rsid w:val="00BB766D"/>
    <w:rsid w:val="00BC007B"/>
    <w:rsid w:val="00BC1715"/>
    <w:rsid w:val="00BC26BA"/>
    <w:rsid w:val="00BC35F8"/>
    <w:rsid w:val="00BC481B"/>
    <w:rsid w:val="00BD08DF"/>
    <w:rsid w:val="00BD2D29"/>
    <w:rsid w:val="00BD617C"/>
    <w:rsid w:val="00BE782C"/>
    <w:rsid w:val="00BF376F"/>
    <w:rsid w:val="00BF46A6"/>
    <w:rsid w:val="00BF6CAD"/>
    <w:rsid w:val="00BF71FB"/>
    <w:rsid w:val="00C04DBF"/>
    <w:rsid w:val="00C05E4C"/>
    <w:rsid w:val="00C06545"/>
    <w:rsid w:val="00C134AF"/>
    <w:rsid w:val="00C20768"/>
    <w:rsid w:val="00C220FC"/>
    <w:rsid w:val="00C24DFA"/>
    <w:rsid w:val="00C24F9D"/>
    <w:rsid w:val="00C30182"/>
    <w:rsid w:val="00C31FC9"/>
    <w:rsid w:val="00C37A63"/>
    <w:rsid w:val="00C42248"/>
    <w:rsid w:val="00C46A36"/>
    <w:rsid w:val="00C47037"/>
    <w:rsid w:val="00C50235"/>
    <w:rsid w:val="00C509E3"/>
    <w:rsid w:val="00C53625"/>
    <w:rsid w:val="00C548BA"/>
    <w:rsid w:val="00C5679D"/>
    <w:rsid w:val="00C57784"/>
    <w:rsid w:val="00C602C1"/>
    <w:rsid w:val="00C63FC0"/>
    <w:rsid w:val="00C66392"/>
    <w:rsid w:val="00C7075D"/>
    <w:rsid w:val="00C73D09"/>
    <w:rsid w:val="00C74895"/>
    <w:rsid w:val="00C74C5E"/>
    <w:rsid w:val="00C82558"/>
    <w:rsid w:val="00C827A2"/>
    <w:rsid w:val="00C82B69"/>
    <w:rsid w:val="00C82C8E"/>
    <w:rsid w:val="00C82CB3"/>
    <w:rsid w:val="00C91B28"/>
    <w:rsid w:val="00C91F3A"/>
    <w:rsid w:val="00C93590"/>
    <w:rsid w:val="00CA31EA"/>
    <w:rsid w:val="00CA5446"/>
    <w:rsid w:val="00CB14E5"/>
    <w:rsid w:val="00CB218D"/>
    <w:rsid w:val="00CB5625"/>
    <w:rsid w:val="00CB5797"/>
    <w:rsid w:val="00CC1C17"/>
    <w:rsid w:val="00CC4F7F"/>
    <w:rsid w:val="00CC5D70"/>
    <w:rsid w:val="00CD09E1"/>
    <w:rsid w:val="00CE1780"/>
    <w:rsid w:val="00CE4913"/>
    <w:rsid w:val="00CE66BD"/>
    <w:rsid w:val="00CF0671"/>
    <w:rsid w:val="00CF247A"/>
    <w:rsid w:val="00CF44AD"/>
    <w:rsid w:val="00CF4D7C"/>
    <w:rsid w:val="00CF4FC0"/>
    <w:rsid w:val="00CF7486"/>
    <w:rsid w:val="00D00637"/>
    <w:rsid w:val="00D1072F"/>
    <w:rsid w:val="00D108A5"/>
    <w:rsid w:val="00D14585"/>
    <w:rsid w:val="00D153C8"/>
    <w:rsid w:val="00D17F98"/>
    <w:rsid w:val="00D20EFF"/>
    <w:rsid w:val="00D215B9"/>
    <w:rsid w:val="00D31324"/>
    <w:rsid w:val="00D4386E"/>
    <w:rsid w:val="00D51432"/>
    <w:rsid w:val="00D53ED8"/>
    <w:rsid w:val="00D541A0"/>
    <w:rsid w:val="00D64857"/>
    <w:rsid w:val="00D6493A"/>
    <w:rsid w:val="00D649A5"/>
    <w:rsid w:val="00D66833"/>
    <w:rsid w:val="00D67875"/>
    <w:rsid w:val="00D71E86"/>
    <w:rsid w:val="00D731C6"/>
    <w:rsid w:val="00D745C5"/>
    <w:rsid w:val="00D75327"/>
    <w:rsid w:val="00D77D6B"/>
    <w:rsid w:val="00D80C36"/>
    <w:rsid w:val="00D81A32"/>
    <w:rsid w:val="00D86EE1"/>
    <w:rsid w:val="00D95E90"/>
    <w:rsid w:val="00D96126"/>
    <w:rsid w:val="00DA2FD5"/>
    <w:rsid w:val="00DB4B1C"/>
    <w:rsid w:val="00DB5085"/>
    <w:rsid w:val="00DB619F"/>
    <w:rsid w:val="00DB7211"/>
    <w:rsid w:val="00DC1062"/>
    <w:rsid w:val="00DC132C"/>
    <w:rsid w:val="00DC181A"/>
    <w:rsid w:val="00DC5727"/>
    <w:rsid w:val="00DD43F0"/>
    <w:rsid w:val="00DD44DE"/>
    <w:rsid w:val="00DE09AB"/>
    <w:rsid w:val="00DE1DCC"/>
    <w:rsid w:val="00DE352F"/>
    <w:rsid w:val="00DE4A3F"/>
    <w:rsid w:val="00DE5A99"/>
    <w:rsid w:val="00DF4367"/>
    <w:rsid w:val="00DF7291"/>
    <w:rsid w:val="00E0574A"/>
    <w:rsid w:val="00E1243D"/>
    <w:rsid w:val="00E12742"/>
    <w:rsid w:val="00E146D4"/>
    <w:rsid w:val="00E14815"/>
    <w:rsid w:val="00E21D37"/>
    <w:rsid w:val="00E220ED"/>
    <w:rsid w:val="00E22B44"/>
    <w:rsid w:val="00E30ACD"/>
    <w:rsid w:val="00E32735"/>
    <w:rsid w:val="00E34236"/>
    <w:rsid w:val="00E44B88"/>
    <w:rsid w:val="00E60DDB"/>
    <w:rsid w:val="00E65AD9"/>
    <w:rsid w:val="00E66E36"/>
    <w:rsid w:val="00E67F21"/>
    <w:rsid w:val="00E702ED"/>
    <w:rsid w:val="00E709A4"/>
    <w:rsid w:val="00E75917"/>
    <w:rsid w:val="00E772DB"/>
    <w:rsid w:val="00E86012"/>
    <w:rsid w:val="00E860CA"/>
    <w:rsid w:val="00E86BAB"/>
    <w:rsid w:val="00E92962"/>
    <w:rsid w:val="00E94E10"/>
    <w:rsid w:val="00E96743"/>
    <w:rsid w:val="00E96A42"/>
    <w:rsid w:val="00E97497"/>
    <w:rsid w:val="00EA16D5"/>
    <w:rsid w:val="00EA49C5"/>
    <w:rsid w:val="00EA6279"/>
    <w:rsid w:val="00EB5027"/>
    <w:rsid w:val="00EB6C87"/>
    <w:rsid w:val="00EC1836"/>
    <w:rsid w:val="00EC2F6E"/>
    <w:rsid w:val="00EC3990"/>
    <w:rsid w:val="00EC484B"/>
    <w:rsid w:val="00EC7E58"/>
    <w:rsid w:val="00ED15FA"/>
    <w:rsid w:val="00ED5C9F"/>
    <w:rsid w:val="00EE050C"/>
    <w:rsid w:val="00EE2113"/>
    <w:rsid w:val="00EE5730"/>
    <w:rsid w:val="00EE6E9A"/>
    <w:rsid w:val="00EF2AC4"/>
    <w:rsid w:val="00EF397E"/>
    <w:rsid w:val="00F0340C"/>
    <w:rsid w:val="00F06F68"/>
    <w:rsid w:val="00F11241"/>
    <w:rsid w:val="00F15E9D"/>
    <w:rsid w:val="00F23FA7"/>
    <w:rsid w:val="00F24C2D"/>
    <w:rsid w:val="00F27BEC"/>
    <w:rsid w:val="00F27D59"/>
    <w:rsid w:val="00F316E1"/>
    <w:rsid w:val="00F32155"/>
    <w:rsid w:val="00F32A81"/>
    <w:rsid w:val="00F40C82"/>
    <w:rsid w:val="00F4197F"/>
    <w:rsid w:val="00F46998"/>
    <w:rsid w:val="00F5382D"/>
    <w:rsid w:val="00F53D9C"/>
    <w:rsid w:val="00F54195"/>
    <w:rsid w:val="00F5462B"/>
    <w:rsid w:val="00F54653"/>
    <w:rsid w:val="00F54FAC"/>
    <w:rsid w:val="00F569DE"/>
    <w:rsid w:val="00F57205"/>
    <w:rsid w:val="00F634AD"/>
    <w:rsid w:val="00F63677"/>
    <w:rsid w:val="00F70658"/>
    <w:rsid w:val="00F7417E"/>
    <w:rsid w:val="00F75B81"/>
    <w:rsid w:val="00F761CA"/>
    <w:rsid w:val="00F804C4"/>
    <w:rsid w:val="00F80C7E"/>
    <w:rsid w:val="00F82F83"/>
    <w:rsid w:val="00F86097"/>
    <w:rsid w:val="00F90C64"/>
    <w:rsid w:val="00F9210C"/>
    <w:rsid w:val="00F92B30"/>
    <w:rsid w:val="00F933B9"/>
    <w:rsid w:val="00F94674"/>
    <w:rsid w:val="00F94919"/>
    <w:rsid w:val="00F94A59"/>
    <w:rsid w:val="00FA25B6"/>
    <w:rsid w:val="00FA2FAF"/>
    <w:rsid w:val="00FA54F6"/>
    <w:rsid w:val="00FA64B1"/>
    <w:rsid w:val="00FA70F3"/>
    <w:rsid w:val="00FA71CD"/>
    <w:rsid w:val="00FB0453"/>
    <w:rsid w:val="00FB0C07"/>
    <w:rsid w:val="00FB205F"/>
    <w:rsid w:val="00FB298D"/>
    <w:rsid w:val="00FB3171"/>
    <w:rsid w:val="00FB444E"/>
    <w:rsid w:val="00FC1439"/>
    <w:rsid w:val="00FC3F65"/>
    <w:rsid w:val="00FC5007"/>
    <w:rsid w:val="00FC70AD"/>
    <w:rsid w:val="00FC724B"/>
    <w:rsid w:val="00FC7910"/>
    <w:rsid w:val="00FD01E0"/>
    <w:rsid w:val="00FD50FC"/>
    <w:rsid w:val="00FE1627"/>
    <w:rsid w:val="00FE2D4E"/>
    <w:rsid w:val="00FE3F22"/>
    <w:rsid w:val="00FF092F"/>
    <w:rsid w:val="00FF0DA7"/>
    <w:rsid w:val="00FF2B09"/>
    <w:rsid w:val="00FF44E0"/>
    <w:rsid w:val="00FF6C72"/>
    <w:rsid w:val="01722E9F"/>
    <w:rsid w:val="01915CC2"/>
    <w:rsid w:val="022B5117"/>
    <w:rsid w:val="02745D1F"/>
    <w:rsid w:val="02EB0203"/>
    <w:rsid w:val="0621750B"/>
    <w:rsid w:val="06516012"/>
    <w:rsid w:val="06653D4C"/>
    <w:rsid w:val="06AE129F"/>
    <w:rsid w:val="072D20A4"/>
    <w:rsid w:val="073B420D"/>
    <w:rsid w:val="07754A75"/>
    <w:rsid w:val="07972A1D"/>
    <w:rsid w:val="09A909AA"/>
    <w:rsid w:val="0A3D35AB"/>
    <w:rsid w:val="0A542106"/>
    <w:rsid w:val="0A6C4667"/>
    <w:rsid w:val="0AFA2E20"/>
    <w:rsid w:val="0BBE711B"/>
    <w:rsid w:val="0BD47173"/>
    <w:rsid w:val="0BDC2918"/>
    <w:rsid w:val="0BE10AC9"/>
    <w:rsid w:val="0C1B47F2"/>
    <w:rsid w:val="0C355B5B"/>
    <w:rsid w:val="0C4264AA"/>
    <w:rsid w:val="0C6157E5"/>
    <w:rsid w:val="0C71390F"/>
    <w:rsid w:val="0DB63633"/>
    <w:rsid w:val="0E873A37"/>
    <w:rsid w:val="0EB16245"/>
    <w:rsid w:val="0FC64A2E"/>
    <w:rsid w:val="10607C4F"/>
    <w:rsid w:val="106E6418"/>
    <w:rsid w:val="11323C4E"/>
    <w:rsid w:val="11365128"/>
    <w:rsid w:val="11E07AD1"/>
    <w:rsid w:val="12D71D5F"/>
    <w:rsid w:val="13297F3F"/>
    <w:rsid w:val="13862548"/>
    <w:rsid w:val="138E2FF9"/>
    <w:rsid w:val="151B7FB7"/>
    <w:rsid w:val="15D63E65"/>
    <w:rsid w:val="162A5E87"/>
    <w:rsid w:val="1679722C"/>
    <w:rsid w:val="167B6427"/>
    <w:rsid w:val="169940A6"/>
    <w:rsid w:val="16B27D38"/>
    <w:rsid w:val="17852965"/>
    <w:rsid w:val="17A1031E"/>
    <w:rsid w:val="1930691F"/>
    <w:rsid w:val="19F142E2"/>
    <w:rsid w:val="1A6528FE"/>
    <w:rsid w:val="1A835004"/>
    <w:rsid w:val="1A8609A3"/>
    <w:rsid w:val="1B4A02FA"/>
    <w:rsid w:val="1B7A7169"/>
    <w:rsid w:val="1BA61F6F"/>
    <w:rsid w:val="1C63029E"/>
    <w:rsid w:val="1C715A71"/>
    <w:rsid w:val="1CC921E7"/>
    <w:rsid w:val="1CD71AF0"/>
    <w:rsid w:val="1D1C4205"/>
    <w:rsid w:val="1D444EB6"/>
    <w:rsid w:val="1DA840EB"/>
    <w:rsid w:val="1DCE3BD5"/>
    <w:rsid w:val="1DCF0FA3"/>
    <w:rsid w:val="1E124827"/>
    <w:rsid w:val="1E1265D5"/>
    <w:rsid w:val="1ED8162C"/>
    <w:rsid w:val="1F884DA0"/>
    <w:rsid w:val="1FA41353"/>
    <w:rsid w:val="1FFD4988"/>
    <w:rsid w:val="2045317E"/>
    <w:rsid w:val="20C16461"/>
    <w:rsid w:val="20FF5536"/>
    <w:rsid w:val="21311468"/>
    <w:rsid w:val="2259527B"/>
    <w:rsid w:val="226F2197"/>
    <w:rsid w:val="23146520"/>
    <w:rsid w:val="231A05A2"/>
    <w:rsid w:val="23585502"/>
    <w:rsid w:val="23596C26"/>
    <w:rsid w:val="23805B40"/>
    <w:rsid w:val="23BF31D9"/>
    <w:rsid w:val="23D24CDA"/>
    <w:rsid w:val="24577437"/>
    <w:rsid w:val="24A00DDE"/>
    <w:rsid w:val="262D78EB"/>
    <w:rsid w:val="262F5BC1"/>
    <w:rsid w:val="271144FC"/>
    <w:rsid w:val="27CA60F4"/>
    <w:rsid w:val="27E85AF1"/>
    <w:rsid w:val="27F460A8"/>
    <w:rsid w:val="286766E4"/>
    <w:rsid w:val="28C929C1"/>
    <w:rsid w:val="295220BC"/>
    <w:rsid w:val="29995DFC"/>
    <w:rsid w:val="29BB2216"/>
    <w:rsid w:val="29DA6B0B"/>
    <w:rsid w:val="2A093B18"/>
    <w:rsid w:val="2A8D7B4E"/>
    <w:rsid w:val="2ABD245A"/>
    <w:rsid w:val="2B412386"/>
    <w:rsid w:val="2BB34FD2"/>
    <w:rsid w:val="2C077995"/>
    <w:rsid w:val="2CAE32CD"/>
    <w:rsid w:val="2CEA687B"/>
    <w:rsid w:val="2D005F6D"/>
    <w:rsid w:val="2D1633EB"/>
    <w:rsid w:val="2DB043AE"/>
    <w:rsid w:val="2DE16C1F"/>
    <w:rsid w:val="2E1B2EA1"/>
    <w:rsid w:val="2E355F22"/>
    <w:rsid w:val="2E5A4804"/>
    <w:rsid w:val="2E63511A"/>
    <w:rsid w:val="2EB35320"/>
    <w:rsid w:val="2F111D48"/>
    <w:rsid w:val="2F317872"/>
    <w:rsid w:val="2F3F0C54"/>
    <w:rsid w:val="2F4615DA"/>
    <w:rsid w:val="30633EF1"/>
    <w:rsid w:val="30ED2B9B"/>
    <w:rsid w:val="31197749"/>
    <w:rsid w:val="318F0210"/>
    <w:rsid w:val="32691053"/>
    <w:rsid w:val="32A538A5"/>
    <w:rsid w:val="32DC1960"/>
    <w:rsid w:val="330E360D"/>
    <w:rsid w:val="33B37D2E"/>
    <w:rsid w:val="34202E26"/>
    <w:rsid w:val="347B0F20"/>
    <w:rsid w:val="352620DC"/>
    <w:rsid w:val="352B46F4"/>
    <w:rsid w:val="355A315F"/>
    <w:rsid w:val="35E5310F"/>
    <w:rsid w:val="3661430F"/>
    <w:rsid w:val="369D587E"/>
    <w:rsid w:val="36CF1D5D"/>
    <w:rsid w:val="36F230C4"/>
    <w:rsid w:val="370F3BF6"/>
    <w:rsid w:val="37B7401D"/>
    <w:rsid w:val="38AD0855"/>
    <w:rsid w:val="38DD08FE"/>
    <w:rsid w:val="39293004"/>
    <w:rsid w:val="39882115"/>
    <w:rsid w:val="39E10D60"/>
    <w:rsid w:val="3A586EF8"/>
    <w:rsid w:val="3BFC5E74"/>
    <w:rsid w:val="3C0059BB"/>
    <w:rsid w:val="3C53008C"/>
    <w:rsid w:val="3C5F3E33"/>
    <w:rsid w:val="3CDB255C"/>
    <w:rsid w:val="3D294576"/>
    <w:rsid w:val="3E0B15B7"/>
    <w:rsid w:val="3F5E4365"/>
    <w:rsid w:val="3FC17179"/>
    <w:rsid w:val="4012536A"/>
    <w:rsid w:val="41134650"/>
    <w:rsid w:val="415470E2"/>
    <w:rsid w:val="41AF5742"/>
    <w:rsid w:val="41BB759E"/>
    <w:rsid w:val="41F83352"/>
    <w:rsid w:val="42B740A7"/>
    <w:rsid w:val="432767AD"/>
    <w:rsid w:val="433168CD"/>
    <w:rsid w:val="4353477A"/>
    <w:rsid w:val="43642916"/>
    <w:rsid w:val="43783307"/>
    <w:rsid w:val="43C05511"/>
    <w:rsid w:val="43FB5326"/>
    <w:rsid w:val="446B6021"/>
    <w:rsid w:val="44CE57BC"/>
    <w:rsid w:val="44E00C42"/>
    <w:rsid w:val="44FF52DD"/>
    <w:rsid w:val="45376011"/>
    <w:rsid w:val="45FC7108"/>
    <w:rsid w:val="46781287"/>
    <w:rsid w:val="473A7BED"/>
    <w:rsid w:val="47863A67"/>
    <w:rsid w:val="478F71C4"/>
    <w:rsid w:val="4821786A"/>
    <w:rsid w:val="4825146D"/>
    <w:rsid w:val="482B373E"/>
    <w:rsid w:val="48FD5F50"/>
    <w:rsid w:val="49C10C94"/>
    <w:rsid w:val="4A6169D0"/>
    <w:rsid w:val="4B014864"/>
    <w:rsid w:val="4B954E7C"/>
    <w:rsid w:val="4C520360"/>
    <w:rsid w:val="4D0478AD"/>
    <w:rsid w:val="4D256967"/>
    <w:rsid w:val="4DBD0F93"/>
    <w:rsid w:val="4E6B046C"/>
    <w:rsid w:val="4E707289"/>
    <w:rsid w:val="4E9E4717"/>
    <w:rsid w:val="4EEA3D40"/>
    <w:rsid w:val="4F00728A"/>
    <w:rsid w:val="4F033E58"/>
    <w:rsid w:val="4F3F6AB1"/>
    <w:rsid w:val="4F5D071B"/>
    <w:rsid w:val="4F9B688F"/>
    <w:rsid w:val="51301B01"/>
    <w:rsid w:val="51350283"/>
    <w:rsid w:val="51D75590"/>
    <w:rsid w:val="530E74B7"/>
    <w:rsid w:val="53811198"/>
    <w:rsid w:val="54087D99"/>
    <w:rsid w:val="54A72003"/>
    <w:rsid w:val="54DC4C6B"/>
    <w:rsid w:val="55831174"/>
    <w:rsid w:val="56023921"/>
    <w:rsid w:val="569752EE"/>
    <w:rsid w:val="56CB2890"/>
    <w:rsid w:val="56F24C1A"/>
    <w:rsid w:val="576F626A"/>
    <w:rsid w:val="5809250B"/>
    <w:rsid w:val="584A135A"/>
    <w:rsid w:val="59392054"/>
    <w:rsid w:val="5A2E085E"/>
    <w:rsid w:val="5A3617D9"/>
    <w:rsid w:val="5A43484D"/>
    <w:rsid w:val="5A7F6B6C"/>
    <w:rsid w:val="5AFB613D"/>
    <w:rsid w:val="5B2353A2"/>
    <w:rsid w:val="5B884B20"/>
    <w:rsid w:val="5BC0556E"/>
    <w:rsid w:val="5BC81C40"/>
    <w:rsid w:val="5C2F7D76"/>
    <w:rsid w:val="5CE60C2C"/>
    <w:rsid w:val="5D425FED"/>
    <w:rsid w:val="5DA327CA"/>
    <w:rsid w:val="5F942D12"/>
    <w:rsid w:val="5FD74633"/>
    <w:rsid w:val="6061107E"/>
    <w:rsid w:val="60E412C0"/>
    <w:rsid w:val="61030B5A"/>
    <w:rsid w:val="611E4310"/>
    <w:rsid w:val="615163DA"/>
    <w:rsid w:val="61A8353B"/>
    <w:rsid w:val="61E323AE"/>
    <w:rsid w:val="623331AC"/>
    <w:rsid w:val="625772C4"/>
    <w:rsid w:val="636F3034"/>
    <w:rsid w:val="63AC2982"/>
    <w:rsid w:val="64E75692"/>
    <w:rsid w:val="650516A8"/>
    <w:rsid w:val="65330581"/>
    <w:rsid w:val="65830E72"/>
    <w:rsid w:val="65A219E5"/>
    <w:rsid w:val="66522FDF"/>
    <w:rsid w:val="66E81280"/>
    <w:rsid w:val="678B055D"/>
    <w:rsid w:val="678E6299"/>
    <w:rsid w:val="683B10D2"/>
    <w:rsid w:val="69110DD3"/>
    <w:rsid w:val="691D526F"/>
    <w:rsid w:val="69676D3F"/>
    <w:rsid w:val="6984475F"/>
    <w:rsid w:val="699532F4"/>
    <w:rsid w:val="699A27C7"/>
    <w:rsid w:val="69D07A66"/>
    <w:rsid w:val="6A2E3597"/>
    <w:rsid w:val="6AB54320"/>
    <w:rsid w:val="6AFC79BD"/>
    <w:rsid w:val="6C8D150C"/>
    <w:rsid w:val="6CE35249"/>
    <w:rsid w:val="6D812CE1"/>
    <w:rsid w:val="6E39711A"/>
    <w:rsid w:val="6E997D6C"/>
    <w:rsid w:val="6EF616F6"/>
    <w:rsid w:val="6F4D524D"/>
    <w:rsid w:val="6F5D575B"/>
    <w:rsid w:val="705619F8"/>
    <w:rsid w:val="71467526"/>
    <w:rsid w:val="72435ED2"/>
    <w:rsid w:val="73155AC0"/>
    <w:rsid w:val="73361363"/>
    <w:rsid w:val="73775968"/>
    <w:rsid w:val="74A66271"/>
    <w:rsid w:val="74FC2405"/>
    <w:rsid w:val="750B0F29"/>
    <w:rsid w:val="754058DD"/>
    <w:rsid w:val="759A1C61"/>
    <w:rsid w:val="764B4001"/>
    <w:rsid w:val="76B3592F"/>
    <w:rsid w:val="771A04F8"/>
    <w:rsid w:val="77D81D41"/>
    <w:rsid w:val="784A4B73"/>
    <w:rsid w:val="786924FD"/>
    <w:rsid w:val="789518CC"/>
    <w:rsid w:val="79027145"/>
    <w:rsid w:val="799B26EC"/>
    <w:rsid w:val="79B61CA1"/>
    <w:rsid w:val="7A5B3FA8"/>
    <w:rsid w:val="7AFD7566"/>
    <w:rsid w:val="7BA174E1"/>
    <w:rsid w:val="7BC04FC3"/>
    <w:rsid w:val="7CA72746"/>
    <w:rsid w:val="7D1103F8"/>
    <w:rsid w:val="7DC33C3F"/>
    <w:rsid w:val="7DE652B4"/>
    <w:rsid w:val="7E1F4FD8"/>
    <w:rsid w:val="7E6D055E"/>
    <w:rsid w:val="7EA81A90"/>
    <w:rsid w:val="7F2B14FE"/>
    <w:rsid w:val="7FD73E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qFormat="1" w:unhideWhenUsed="0" w:uiPriority="39" w:semiHidden="0"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1"/>
    <w:basedOn w:val="1"/>
    <w:next w:val="1"/>
    <w:link w:val="60"/>
    <w:autoRedefine/>
    <w:qFormat/>
    <w:uiPriority w:val="9"/>
    <w:pPr>
      <w:keepNext/>
      <w:keepLines/>
      <w:spacing w:before="340" w:after="330" w:line="578" w:lineRule="auto"/>
      <w:outlineLvl w:val="0"/>
    </w:pPr>
    <w:rPr>
      <w:b/>
      <w:bCs/>
      <w:kern w:val="44"/>
      <w:sz w:val="44"/>
      <w:szCs w:val="44"/>
    </w:rPr>
  </w:style>
  <w:style w:type="paragraph" w:styleId="3">
    <w:name w:val="heading 2"/>
    <w:basedOn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62"/>
    <w:autoRedefine/>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67"/>
    <w:autoRedefine/>
    <w:qFormat/>
    <w:uiPriority w:val="0"/>
    <w:pPr>
      <w:keepNext/>
      <w:keepLines/>
      <w:spacing w:before="280" w:after="290" w:line="376" w:lineRule="auto"/>
      <w:outlineLvl w:val="3"/>
    </w:pPr>
    <w:rPr>
      <w:b/>
      <w:bCs/>
      <w:sz w:val="28"/>
      <w:szCs w:val="28"/>
    </w:rPr>
  </w:style>
  <w:style w:type="character" w:default="1" w:styleId="27">
    <w:name w:val="Default Paragraph Font"/>
    <w:semiHidden/>
    <w:unhideWhenUsed/>
    <w:qFormat/>
    <w:uiPriority w:val="1"/>
  </w:style>
  <w:style w:type="table" w:default="1" w:styleId="2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toc 7"/>
    <w:basedOn w:val="1"/>
    <w:next w:val="1"/>
    <w:qFormat/>
    <w:uiPriority w:val="39"/>
    <w:pPr>
      <w:ind w:left="1260"/>
      <w:jc w:val="left"/>
    </w:pPr>
    <w:rPr>
      <w:sz w:val="18"/>
      <w:szCs w:val="18"/>
    </w:rPr>
  </w:style>
  <w:style w:type="paragraph" w:styleId="7">
    <w:name w:val="Normal Indent"/>
    <w:basedOn w:val="1"/>
    <w:autoRedefine/>
    <w:qFormat/>
    <w:uiPriority w:val="0"/>
    <w:pPr>
      <w:autoSpaceDE w:val="0"/>
      <w:autoSpaceDN w:val="0"/>
      <w:adjustRightInd w:val="0"/>
      <w:ind w:firstLine="420"/>
      <w:jc w:val="left"/>
    </w:pPr>
    <w:rPr>
      <w:rFonts w:ascii="宋体" w:hAnsi="Times New Roman" w:eastAsia="宋体" w:cs="Times New Roman"/>
      <w:kern w:val="0"/>
      <w:sz w:val="24"/>
    </w:rPr>
  </w:style>
  <w:style w:type="paragraph" w:styleId="8">
    <w:name w:val="annotation text"/>
    <w:basedOn w:val="1"/>
    <w:link w:val="59"/>
    <w:autoRedefine/>
    <w:qFormat/>
    <w:uiPriority w:val="0"/>
    <w:pPr>
      <w:jc w:val="left"/>
    </w:pPr>
    <w:rPr>
      <w:rFonts w:ascii="Arial" w:hAnsi="Arial" w:eastAsia="黑体" w:cs="Arial"/>
    </w:rPr>
  </w:style>
  <w:style w:type="paragraph" w:styleId="9">
    <w:name w:val="Body Text"/>
    <w:basedOn w:val="1"/>
    <w:link w:val="68"/>
    <w:autoRedefine/>
    <w:qFormat/>
    <w:uiPriority w:val="0"/>
    <w:pPr>
      <w:spacing w:after="120"/>
    </w:pPr>
    <w:rPr>
      <w:rFonts w:ascii="@微软简标宋" w:hAnsi="@微软简标宋" w:eastAsia="@微软简标宋" w:cs="@微软简标宋"/>
      <w:szCs w:val="24"/>
      <w:lang w:val="zh-CN"/>
    </w:rPr>
  </w:style>
  <w:style w:type="paragraph" w:styleId="10">
    <w:name w:val="Body Text Indent"/>
    <w:basedOn w:val="1"/>
    <w:next w:val="11"/>
    <w:qFormat/>
    <w:uiPriority w:val="0"/>
    <w:pPr>
      <w:spacing w:after="120"/>
      <w:ind w:left="420" w:leftChars="200"/>
    </w:pPr>
    <w:rPr>
      <w:rFonts w:ascii="Times New Roman" w:hAnsi="Times New Roman" w:eastAsia="宋体"/>
      <w:szCs w:val="24"/>
    </w:rPr>
  </w:style>
  <w:style w:type="paragraph" w:styleId="11">
    <w:name w:val="envelope return"/>
    <w:basedOn w:val="1"/>
    <w:next w:val="6"/>
    <w:qFormat/>
    <w:uiPriority w:val="0"/>
    <w:pPr>
      <w:snapToGrid w:val="0"/>
    </w:pPr>
    <w:rPr>
      <w:rFonts w:ascii="Arial" w:hAnsi="Arial"/>
    </w:rPr>
  </w:style>
  <w:style w:type="paragraph" w:styleId="12">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3">
    <w:name w:val="Plain Text"/>
    <w:basedOn w:val="1"/>
    <w:link w:val="48"/>
    <w:autoRedefine/>
    <w:qFormat/>
    <w:uiPriority w:val="99"/>
    <w:rPr>
      <w:rFonts w:ascii="宋体" w:hAnsi="Courier New" w:eastAsiaTheme="minorEastAsia" w:cstheme="minorBidi"/>
      <w:szCs w:val="22"/>
    </w:rPr>
  </w:style>
  <w:style w:type="paragraph" w:styleId="14">
    <w:name w:val="Date"/>
    <w:basedOn w:val="1"/>
    <w:next w:val="1"/>
    <w:link w:val="55"/>
    <w:autoRedefine/>
    <w:qFormat/>
    <w:uiPriority w:val="0"/>
    <w:rPr>
      <w:rFonts w:ascii="Arial" w:hAnsi="Arial" w:eastAsia="宋体" w:cs="Arial"/>
      <w:b/>
      <w:sz w:val="28"/>
    </w:rPr>
  </w:style>
  <w:style w:type="paragraph" w:styleId="15">
    <w:name w:val="Balloon Text"/>
    <w:basedOn w:val="1"/>
    <w:link w:val="42"/>
    <w:autoRedefine/>
    <w:semiHidden/>
    <w:unhideWhenUsed/>
    <w:qFormat/>
    <w:uiPriority w:val="99"/>
    <w:rPr>
      <w:sz w:val="18"/>
      <w:szCs w:val="18"/>
    </w:rPr>
  </w:style>
  <w:style w:type="paragraph" w:styleId="16">
    <w:name w:val="footer"/>
    <w:basedOn w:val="1"/>
    <w:link w:val="47"/>
    <w:autoRedefine/>
    <w:unhideWhenUsed/>
    <w:qFormat/>
    <w:uiPriority w:val="99"/>
    <w:pPr>
      <w:tabs>
        <w:tab w:val="center" w:pos="4153"/>
        <w:tab w:val="right" w:pos="8306"/>
      </w:tabs>
      <w:snapToGrid w:val="0"/>
      <w:jc w:val="left"/>
    </w:pPr>
    <w:rPr>
      <w:sz w:val="18"/>
      <w:szCs w:val="18"/>
    </w:rPr>
  </w:style>
  <w:style w:type="paragraph" w:styleId="17">
    <w:name w:val="header"/>
    <w:basedOn w:val="1"/>
    <w:link w:val="46"/>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autoRedefine/>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9">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0">
    <w:name w:val="Normal (Web)"/>
    <w:basedOn w:val="1"/>
    <w:autoRedefine/>
    <w:qFormat/>
    <w:uiPriority w:val="0"/>
    <w:pPr>
      <w:spacing w:before="100" w:beforeAutospacing="1" w:after="100" w:afterAutospacing="1"/>
      <w:jc w:val="left"/>
    </w:pPr>
    <w:rPr>
      <w:rFonts w:cs="Times New Roman"/>
      <w:kern w:val="0"/>
      <w:sz w:val="24"/>
    </w:rPr>
  </w:style>
  <w:style w:type="paragraph" w:styleId="21">
    <w:name w:val="index 1"/>
    <w:basedOn w:val="1"/>
    <w:next w:val="1"/>
    <w:autoRedefine/>
    <w:qFormat/>
    <w:uiPriority w:val="0"/>
    <w:pPr>
      <w:jc w:val="center"/>
    </w:pPr>
    <w:rPr>
      <w:rFonts w:ascii="Arial" w:hAnsi="Arial" w:eastAsia="Arial" w:cs="Arial"/>
      <w:b/>
      <w:bCs/>
      <w:sz w:val="28"/>
    </w:rPr>
  </w:style>
  <w:style w:type="paragraph" w:styleId="22">
    <w:name w:val="Title"/>
    <w:basedOn w:val="1"/>
    <w:next w:val="1"/>
    <w:qFormat/>
    <w:uiPriority w:val="0"/>
    <w:pPr>
      <w:numPr>
        <w:ilvl w:val="0"/>
        <w:numId w:val="1"/>
      </w:numPr>
      <w:spacing w:line="360" w:lineRule="auto"/>
      <w:jc w:val="left"/>
      <w:outlineLvl w:val="0"/>
    </w:pPr>
    <w:rPr>
      <w:rFonts w:ascii="Cambria" w:hAnsi="Cambria" w:cs="Times New Roman"/>
      <w:b/>
      <w:bCs/>
      <w:sz w:val="28"/>
      <w:szCs w:val="32"/>
    </w:rPr>
  </w:style>
  <w:style w:type="paragraph" w:styleId="23">
    <w:name w:val="Body Text First Indent"/>
    <w:basedOn w:val="9"/>
    <w:autoRedefine/>
    <w:unhideWhenUsed/>
    <w:qFormat/>
    <w:uiPriority w:val="99"/>
    <w:pPr>
      <w:ind w:firstLine="420" w:firstLineChars="100"/>
    </w:pPr>
  </w:style>
  <w:style w:type="paragraph" w:styleId="24">
    <w:name w:val="Body Text First Indent 2"/>
    <w:basedOn w:val="10"/>
    <w:next w:val="1"/>
    <w:qFormat/>
    <w:uiPriority w:val="0"/>
    <w:pPr>
      <w:spacing w:line="360" w:lineRule="auto"/>
      <w:ind w:firstLine="200" w:firstLineChars="200"/>
    </w:pPr>
    <w:rPr>
      <w:rFonts w:ascii="宋体"/>
      <w:szCs w:val="20"/>
    </w:rPr>
  </w:style>
  <w:style w:type="table" w:styleId="26">
    <w:name w:val="Table Grid"/>
    <w:basedOn w:val="25"/>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autoRedefine/>
    <w:qFormat/>
    <w:uiPriority w:val="0"/>
    <w:rPr>
      <w:b/>
      <w:bCs/>
    </w:rPr>
  </w:style>
  <w:style w:type="character" w:styleId="29">
    <w:name w:val="FollowedHyperlink"/>
    <w:basedOn w:val="27"/>
    <w:autoRedefine/>
    <w:semiHidden/>
    <w:unhideWhenUsed/>
    <w:qFormat/>
    <w:uiPriority w:val="99"/>
    <w:rPr>
      <w:color w:val="800080"/>
      <w:u w:val="none"/>
    </w:rPr>
  </w:style>
  <w:style w:type="character" w:styleId="30">
    <w:name w:val="Emphasis"/>
    <w:basedOn w:val="27"/>
    <w:autoRedefine/>
    <w:qFormat/>
    <w:uiPriority w:val="20"/>
    <w:rPr>
      <w:b/>
      <w:bCs/>
    </w:rPr>
  </w:style>
  <w:style w:type="character" w:styleId="31">
    <w:name w:val="HTML Definition"/>
    <w:basedOn w:val="27"/>
    <w:autoRedefine/>
    <w:semiHidden/>
    <w:unhideWhenUsed/>
    <w:qFormat/>
    <w:uiPriority w:val="99"/>
  </w:style>
  <w:style w:type="character" w:styleId="32">
    <w:name w:val="HTML Typewriter"/>
    <w:basedOn w:val="27"/>
    <w:autoRedefine/>
    <w:semiHidden/>
    <w:unhideWhenUsed/>
    <w:qFormat/>
    <w:uiPriority w:val="99"/>
    <w:rPr>
      <w:rFonts w:hint="default" w:ascii="monospace" w:hAnsi="monospace" w:eastAsia="monospace" w:cs="monospace"/>
      <w:sz w:val="20"/>
    </w:rPr>
  </w:style>
  <w:style w:type="character" w:styleId="33">
    <w:name w:val="HTML Acronym"/>
    <w:basedOn w:val="27"/>
    <w:autoRedefine/>
    <w:semiHidden/>
    <w:unhideWhenUsed/>
    <w:qFormat/>
    <w:uiPriority w:val="99"/>
  </w:style>
  <w:style w:type="character" w:styleId="34">
    <w:name w:val="HTML Variable"/>
    <w:basedOn w:val="27"/>
    <w:autoRedefine/>
    <w:semiHidden/>
    <w:unhideWhenUsed/>
    <w:qFormat/>
    <w:uiPriority w:val="99"/>
  </w:style>
  <w:style w:type="character" w:styleId="35">
    <w:name w:val="Hyperlink"/>
    <w:basedOn w:val="27"/>
    <w:autoRedefine/>
    <w:unhideWhenUsed/>
    <w:qFormat/>
    <w:uiPriority w:val="99"/>
    <w:rPr>
      <w:color w:val="0000FF" w:themeColor="hyperlink"/>
      <w:u w:val="single"/>
      <w14:textFill>
        <w14:solidFill>
          <w14:schemeClr w14:val="hlink"/>
        </w14:solidFill>
      </w14:textFill>
    </w:rPr>
  </w:style>
  <w:style w:type="character" w:styleId="36">
    <w:name w:val="HTML Code"/>
    <w:basedOn w:val="27"/>
    <w:autoRedefine/>
    <w:semiHidden/>
    <w:unhideWhenUsed/>
    <w:qFormat/>
    <w:uiPriority w:val="99"/>
    <w:rPr>
      <w:rFonts w:ascii="monospace" w:hAnsi="monospace" w:eastAsia="monospace" w:cs="monospace"/>
      <w:sz w:val="20"/>
    </w:rPr>
  </w:style>
  <w:style w:type="character" w:styleId="37">
    <w:name w:val="HTML Cite"/>
    <w:basedOn w:val="27"/>
    <w:autoRedefine/>
    <w:semiHidden/>
    <w:unhideWhenUsed/>
    <w:qFormat/>
    <w:uiPriority w:val="99"/>
  </w:style>
  <w:style w:type="character" w:styleId="38">
    <w:name w:val="HTML Keyboard"/>
    <w:basedOn w:val="27"/>
    <w:autoRedefine/>
    <w:semiHidden/>
    <w:unhideWhenUsed/>
    <w:qFormat/>
    <w:uiPriority w:val="99"/>
    <w:rPr>
      <w:rFonts w:hint="default" w:ascii="monospace" w:hAnsi="monospace" w:eastAsia="monospace" w:cs="monospace"/>
      <w:sz w:val="20"/>
    </w:rPr>
  </w:style>
  <w:style w:type="character" w:styleId="39">
    <w:name w:val="HTML Sample"/>
    <w:basedOn w:val="27"/>
    <w:autoRedefine/>
    <w:semiHidden/>
    <w:unhideWhenUsed/>
    <w:qFormat/>
    <w:uiPriority w:val="99"/>
    <w:rPr>
      <w:rFonts w:hint="default" w:ascii="monospace" w:hAnsi="monospace" w:eastAsia="monospace" w:cs="monospace"/>
    </w:rPr>
  </w:style>
  <w:style w:type="paragraph" w:customStyle="1" w:styleId="4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1">
    <w:name w:val="样式 ！正文 + 首行缩进:  2 字符"/>
    <w:basedOn w:val="1"/>
    <w:qFormat/>
    <w:uiPriority w:val="0"/>
    <w:pPr>
      <w:ind w:firstLine="480" w:firstLineChars="200"/>
    </w:pPr>
    <w:rPr>
      <w:rFonts w:hint="eastAsia" w:ascii="Arial" w:hAnsi="Arial" w:cs="宋体"/>
    </w:rPr>
  </w:style>
  <w:style w:type="character" w:customStyle="1" w:styleId="42">
    <w:name w:val="批注框文本 Char"/>
    <w:basedOn w:val="27"/>
    <w:link w:val="15"/>
    <w:autoRedefine/>
    <w:semiHidden/>
    <w:qFormat/>
    <w:uiPriority w:val="99"/>
    <w:rPr>
      <w:rFonts w:ascii="@仿宋_GB2312" w:hAnsi="@仿宋_GB2312" w:eastAsia="@仿宋_GB2312" w:cs="@仿宋_GB2312"/>
      <w:sz w:val="18"/>
      <w:szCs w:val="18"/>
    </w:rPr>
  </w:style>
  <w:style w:type="paragraph" w:customStyle="1" w:styleId="43">
    <w:name w:val="正文（缩进）"/>
    <w:basedOn w:val="1"/>
    <w:autoRedefine/>
    <w:qFormat/>
    <w:uiPriority w:val="0"/>
    <w:pPr>
      <w:widowControl/>
      <w:spacing w:before="156" w:after="156"/>
      <w:ind w:firstLine="480" w:firstLineChars="200"/>
      <w:jc w:val="left"/>
    </w:pPr>
    <w:rPr>
      <w:kern w:val="0"/>
      <w:sz w:val="24"/>
      <w:szCs w:val="24"/>
    </w:rPr>
  </w:style>
  <w:style w:type="paragraph" w:customStyle="1" w:styleId="44">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45">
    <w:name w:val="D&amp;L"/>
    <w:basedOn w:val="17"/>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46">
    <w:name w:val="页眉 Char"/>
    <w:basedOn w:val="27"/>
    <w:link w:val="17"/>
    <w:autoRedefine/>
    <w:qFormat/>
    <w:uiPriority w:val="0"/>
    <w:rPr>
      <w:rFonts w:ascii="@仿宋_GB2312" w:hAnsi="@仿宋_GB2312" w:eastAsia="@仿宋_GB2312" w:cs="@仿宋_GB2312"/>
      <w:sz w:val="18"/>
      <w:szCs w:val="18"/>
    </w:rPr>
  </w:style>
  <w:style w:type="character" w:customStyle="1" w:styleId="47">
    <w:name w:val="页脚 Char"/>
    <w:basedOn w:val="27"/>
    <w:link w:val="16"/>
    <w:autoRedefine/>
    <w:qFormat/>
    <w:uiPriority w:val="99"/>
    <w:rPr>
      <w:rFonts w:ascii="@仿宋_GB2312" w:hAnsi="@仿宋_GB2312" w:eastAsia="@仿宋_GB2312" w:cs="@仿宋_GB2312"/>
      <w:sz w:val="18"/>
      <w:szCs w:val="18"/>
    </w:rPr>
  </w:style>
  <w:style w:type="character" w:customStyle="1" w:styleId="48">
    <w:name w:val="纯文本 Char"/>
    <w:link w:val="13"/>
    <w:autoRedefine/>
    <w:qFormat/>
    <w:uiPriority w:val="0"/>
    <w:rPr>
      <w:rFonts w:ascii="宋体" w:hAnsi="Courier New"/>
    </w:rPr>
  </w:style>
  <w:style w:type="character" w:customStyle="1" w:styleId="49">
    <w:name w:val="纯文本 字符1"/>
    <w:basedOn w:val="27"/>
    <w:autoRedefine/>
    <w:semiHidden/>
    <w:qFormat/>
    <w:uiPriority w:val="99"/>
    <w:rPr>
      <w:rFonts w:hAnsi="Courier New" w:cs="Courier New" w:asciiTheme="minorEastAsia"/>
      <w:szCs w:val="20"/>
    </w:rPr>
  </w:style>
  <w:style w:type="character" w:customStyle="1" w:styleId="50">
    <w:name w:val="未处理的提及1"/>
    <w:basedOn w:val="27"/>
    <w:autoRedefine/>
    <w:semiHidden/>
    <w:unhideWhenUsed/>
    <w:qFormat/>
    <w:uiPriority w:val="99"/>
    <w:rPr>
      <w:color w:val="605E5C"/>
      <w:shd w:val="clear" w:color="auto" w:fill="E1DFDD"/>
    </w:rPr>
  </w:style>
  <w:style w:type="paragraph" w:styleId="51">
    <w:name w:val="List Paragraph"/>
    <w:basedOn w:val="1"/>
    <w:autoRedefine/>
    <w:qFormat/>
    <w:uiPriority w:val="34"/>
    <w:pPr>
      <w:ind w:firstLine="420" w:firstLineChars="200"/>
    </w:pPr>
  </w:style>
  <w:style w:type="paragraph" w:customStyle="1" w:styleId="52">
    <w:name w:val="Char Char Char Char Char Char Char1 Char"/>
    <w:basedOn w:val="1"/>
    <w:autoRedefine/>
    <w:qFormat/>
    <w:uiPriority w:val="0"/>
    <w:rPr>
      <w:rFonts w:ascii="Arial" w:hAnsi="Arial" w:eastAsia="宋体" w:cs="Arial"/>
      <w:sz w:val="24"/>
    </w:rPr>
  </w:style>
  <w:style w:type="table" w:customStyle="1" w:styleId="53">
    <w:name w:val="网格表 1 浅色1"/>
    <w:basedOn w:val="25"/>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54">
    <w:name w:val="日期 字符"/>
    <w:basedOn w:val="27"/>
    <w:autoRedefine/>
    <w:semiHidden/>
    <w:qFormat/>
    <w:uiPriority w:val="99"/>
    <w:rPr>
      <w:rFonts w:ascii="@仿宋_GB2312" w:hAnsi="@仿宋_GB2312" w:eastAsia="@仿宋_GB2312" w:cs="@仿宋_GB2312"/>
      <w:szCs w:val="20"/>
    </w:rPr>
  </w:style>
  <w:style w:type="character" w:customStyle="1" w:styleId="55">
    <w:name w:val="日期 Char"/>
    <w:link w:val="14"/>
    <w:autoRedefine/>
    <w:qFormat/>
    <w:uiPriority w:val="0"/>
    <w:rPr>
      <w:rFonts w:ascii="Arial" w:hAnsi="Arial" w:eastAsia="宋体" w:cs="Arial"/>
      <w:b/>
      <w:sz w:val="28"/>
      <w:szCs w:val="20"/>
    </w:rPr>
  </w:style>
  <w:style w:type="character" w:customStyle="1" w:styleId="56">
    <w:name w:val="纯文本 Char1"/>
    <w:link w:val="57"/>
    <w:autoRedefine/>
    <w:qFormat/>
    <w:locked/>
    <w:uiPriority w:val="0"/>
    <w:rPr>
      <w:rFonts w:ascii="Arial" w:hAnsi="Arial" w:eastAsia="Arial"/>
      <w:kern w:val="2"/>
      <w:sz w:val="21"/>
      <w:lang w:val="en-US" w:eastAsia="zh-CN" w:bidi="ar-SA"/>
    </w:rPr>
  </w:style>
  <w:style w:type="paragraph" w:customStyle="1" w:styleId="57">
    <w:name w:val="纯文本1"/>
    <w:basedOn w:val="1"/>
    <w:link w:val="56"/>
    <w:autoRedefine/>
    <w:qFormat/>
    <w:uiPriority w:val="0"/>
    <w:rPr>
      <w:rFonts w:ascii="Arial" w:hAnsi="Arial" w:eastAsia="Arial" w:cstheme="minorBidi"/>
    </w:rPr>
  </w:style>
  <w:style w:type="character" w:customStyle="1" w:styleId="58">
    <w:name w:val="批注文字 Char"/>
    <w:basedOn w:val="27"/>
    <w:autoRedefine/>
    <w:semiHidden/>
    <w:qFormat/>
    <w:uiPriority w:val="99"/>
    <w:rPr>
      <w:rFonts w:ascii="@仿宋_GB2312" w:hAnsi="@仿宋_GB2312" w:eastAsia="@仿宋_GB2312" w:cs="@仿宋_GB2312"/>
      <w:szCs w:val="20"/>
    </w:rPr>
  </w:style>
  <w:style w:type="character" w:customStyle="1" w:styleId="59">
    <w:name w:val="批注文字 Char1"/>
    <w:link w:val="8"/>
    <w:autoRedefine/>
    <w:qFormat/>
    <w:uiPriority w:val="0"/>
    <w:rPr>
      <w:rFonts w:ascii="Arial" w:hAnsi="Arial" w:eastAsia="黑体" w:cs="Arial"/>
      <w:szCs w:val="20"/>
    </w:rPr>
  </w:style>
  <w:style w:type="character" w:customStyle="1" w:styleId="60">
    <w:name w:val="标题 1 Char"/>
    <w:basedOn w:val="27"/>
    <w:link w:val="2"/>
    <w:autoRedefine/>
    <w:qFormat/>
    <w:uiPriority w:val="9"/>
    <w:rPr>
      <w:rFonts w:ascii="@仿宋_GB2312" w:hAnsi="@仿宋_GB2312" w:eastAsia="@仿宋_GB2312" w:cs="@仿宋_GB2312"/>
      <w:b/>
      <w:bCs/>
      <w:kern w:val="44"/>
      <w:sz w:val="44"/>
      <w:szCs w:val="44"/>
    </w:rPr>
  </w:style>
  <w:style w:type="paragraph" w:customStyle="1" w:styleId="61">
    <w:name w:val="TOC 标题1"/>
    <w:basedOn w:val="2"/>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2">
    <w:name w:val="标题 3 Char"/>
    <w:basedOn w:val="27"/>
    <w:link w:val="4"/>
    <w:autoRedefine/>
    <w:semiHidden/>
    <w:qFormat/>
    <w:uiPriority w:val="9"/>
    <w:rPr>
      <w:rFonts w:ascii="@仿宋_GB2312" w:hAnsi="@仿宋_GB2312" w:eastAsia="@仿宋_GB2312" w:cs="@仿宋_GB2312"/>
      <w:b/>
      <w:bCs/>
      <w:sz w:val="32"/>
      <w:szCs w:val="32"/>
    </w:rPr>
  </w:style>
  <w:style w:type="character" w:customStyle="1" w:styleId="63">
    <w:name w:val="fontstyle01"/>
    <w:basedOn w:val="27"/>
    <w:autoRedefine/>
    <w:qFormat/>
    <w:uiPriority w:val="0"/>
    <w:rPr>
      <w:rFonts w:hint="eastAsia" w:ascii="宋体" w:hAnsi="宋体" w:eastAsia="宋体"/>
      <w:color w:val="000000"/>
      <w:sz w:val="22"/>
      <w:szCs w:val="22"/>
    </w:rPr>
  </w:style>
  <w:style w:type="character" w:customStyle="1" w:styleId="64">
    <w:name w:val="fontstyle21"/>
    <w:basedOn w:val="27"/>
    <w:autoRedefine/>
    <w:qFormat/>
    <w:uiPriority w:val="0"/>
    <w:rPr>
      <w:rFonts w:hint="default" w:ascii="TimesNewRomanPSMT" w:hAnsi="TimesNewRomanPSMT"/>
      <w:color w:val="000000"/>
      <w:sz w:val="22"/>
      <w:szCs w:val="22"/>
    </w:rPr>
  </w:style>
  <w:style w:type="character" w:customStyle="1" w:styleId="65">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66">
    <w:name w:val="标题 4 字符"/>
    <w:basedOn w:val="27"/>
    <w:autoRedefine/>
    <w:semiHidden/>
    <w:qFormat/>
    <w:uiPriority w:val="9"/>
    <w:rPr>
      <w:rFonts w:asciiTheme="majorHAnsi" w:hAnsiTheme="majorHAnsi" w:eastAsiaTheme="majorEastAsia" w:cstheme="majorBidi"/>
      <w:b/>
      <w:bCs/>
      <w:sz w:val="28"/>
      <w:szCs w:val="28"/>
    </w:rPr>
  </w:style>
  <w:style w:type="character" w:customStyle="1" w:styleId="67">
    <w:name w:val="标题 4 Char"/>
    <w:link w:val="5"/>
    <w:autoRedefine/>
    <w:qFormat/>
    <w:uiPriority w:val="0"/>
    <w:rPr>
      <w:rFonts w:ascii="@仿宋_GB2312" w:hAnsi="@仿宋_GB2312" w:eastAsia="@仿宋_GB2312" w:cs="@仿宋_GB2312"/>
      <w:b/>
      <w:bCs/>
      <w:sz w:val="28"/>
      <w:szCs w:val="28"/>
    </w:rPr>
  </w:style>
  <w:style w:type="character" w:customStyle="1" w:styleId="68">
    <w:name w:val="正文文本 Char"/>
    <w:basedOn w:val="27"/>
    <w:link w:val="9"/>
    <w:autoRedefine/>
    <w:qFormat/>
    <w:uiPriority w:val="0"/>
    <w:rPr>
      <w:rFonts w:ascii="@微软简标宋" w:hAnsi="@微软简标宋" w:eastAsia="@微软简标宋" w:cs="@微软简标宋"/>
      <w:szCs w:val="24"/>
      <w:lang w:val="zh-CN" w:eastAsia="zh-CN"/>
    </w:rPr>
  </w:style>
  <w:style w:type="table" w:customStyle="1" w:styleId="69">
    <w:name w:val="网格型1"/>
    <w:basedOn w:val="25"/>
    <w:autoRedefine/>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0">
    <w:name w:val="Table Normal"/>
    <w:autoRedefine/>
    <w:semiHidden/>
    <w:unhideWhenUsed/>
    <w:qFormat/>
    <w:uiPriority w:val="0"/>
    <w:tblPr>
      <w:tblCellMar>
        <w:top w:w="0" w:type="dxa"/>
        <w:left w:w="0" w:type="dxa"/>
        <w:bottom w:w="0" w:type="dxa"/>
        <w:right w:w="0" w:type="dxa"/>
      </w:tblCellMar>
    </w:tblPr>
  </w:style>
  <w:style w:type="paragraph" w:customStyle="1" w:styleId="71">
    <w:name w:val="Table Text"/>
    <w:basedOn w:val="1"/>
    <w:autoRedefine/>
    <w:semiHidden/>
    <w:qFormat/>
    <w:uiPriority w:val="0"/>
    <w:rPr>
      <w:rFonts w:ascii="Arial" w:hAnsi="Arial" w:eastAsia="Arial" w:cs="Arial"/>
      <w:szCs w:val="21"/>
      <w:lang w:eastAsia="en-US"/>
    </w:rPr>
  </w:style>
  <w:style w:type="paragraph" w:customStyle="1" w:styleId="72">
    <w:name w:val="正文_2"/>
    <w:qFormat/>
    <w:uiPriority w:val="0"/>
    <w:pPr>
      <w:widowControl w:val="0"/>
      <w:jc w:val="both"/>
    </w:pPr>
    <w:rPr>
      <w:rFonts w:ascii="Times New Roman" w:hAnsi="Times New Roman" w:eastAsia="宋体" w:cs="Times New Roman"/>
      <w:sz w:val="21"/>
      <w:szCs w:val="22"/>
      <w:lang w:val="en-US" w:eastAsia="zh-CN" w:bidi="ar-SA"/>
    </w:rPr>
  </w:style>
  <w:style w:type="character" w:customStyle="1" w:styleId="73">
    <w:name w:val="hover"/>
    <w:basedOn w:val="27"/>
    <w:qFormat/>
    <w:uiPriority w:val="0"/>
    <w:rPr>
      <w:color w:val="2590EB"/>
    </w:rPr>
  </w:style>
  <w:style w:type="character" w:customStyle="1" w:styleId="74">
    <w:name w:val="hover1"/>
    <w:basedOn w:val="27"/>
    <w:qFormat/>
    <w:uiPriority w:val="0"/>
    <w:rPr>
      <w:color w:val="2590EB"/>
    </w:rPr>
  </w:style>
  <w:style w:type="character" w:customStyle="1" w:styleId="75">
    <w:name w:val="hover2"/>
    <w:basedOn w:val="27"/>
    <w:qFormat/>
    <w:uiPriority w:val="0"/>
  </w:style>
  <w:style w:type="character" w:customStyle="1" w:styleId="76">
    <w:name w:val="hover3"/>
    <w:basedOn w:val="27"/>
    <w:qFormat/>
    <w:uiPriority w:val="0"/>
    <w:rPr>
      <w:color w:val="2590EB"/>
      <w:shd w:val="clear" w:fill="E9F4FD"/>
    </w:rPr>
  </w:style>
  <w:style w:type="character" w:customStyle="1" w:styleId="77">
    <w:name w:val="15"/>
    <w:basedOn w:val="27"/>
    <w:qFormat/>
    <w:uiPriority w:val="0"/>
    <w:rPr>
      <w:rFonts w:hint="eastAsia" w:ascii="仿宋" w:hAnsi="仿宋" w:eastAsia="仿宋" w:cs="仿宋"/>
      <w:color w:val="000000"/>
      <w:sz w:val="24"/>
      <w:szCs w:val="24"/>
    </w:rPr>
  </w:style>
  <w:style w:type="character" w:customStyle="1" w:styleId="78">
    <w:name w:val="17"/>
    <w:basedOn w:val="27"/>
    <w:qFormat/>
    <w:uiPriority w:val="0"/>
    <w:rPr>
      <w:rFonts w:hint="eastAsia" w:ascii="仿宋" w:hAnsi="仿宋" w:eastAsia="仿宋" w:cs="仿宋"/>
      <w:color w:val="000000"/>
      <w:sz w:val="22"/>
      <w:szCs w:val="22"/>
    </w:rPr>
  </w:style>
  <w:style w:type="character" w:customStyle="1" w:styleId="79">
    <w:name w:val="16"/>
    <w:basedOn w:val="27"/>
    <w:qFormat/>
    <w:uiPriority w:val="0"/>
    <w:rPr>
      <w:rFonts w:hint="eastAsia" w:ascii="仿宋" w:hAnsi="仿宋" w:eastAsia="仿宋" w:cs="仿宋"/>
      <w:color w:val="000000"/>
      <w:sz w:val="24"/>
      <w:szCs w:val="24"/>
    </w:rPr>
  </w:style>
  <w:style w:type="character" w:customStyle="1" w:styleId="80">
    <w:name w:val="10"/>
    <w:basedOn w:val="27"/>
    <w:qFormat/>
    <w:uiPriority w:val="0"/>
    <w:rPr>
      <w:rFonts w:hint="default" w:ascii="Times New Roman" w:hAnsi="Times New Roman" w:cs="Times New Roman"/>
    </w:rPr>
  </w:style>
  <w:style w:type="paragraph" w:customStyle="1" w:styleId="81">
    <w:name w:val="正文 New"/>
    <w:autoRedefine/>
    <w:qFormat/>
    <w:uiPriority w:val="0"/>
    <w:pPr>
      <w:widowControl w:val="0"/>
      <w:spacing w:line="440" w:lineRule="exact"/>
      <w:ind w:left="357" w:hanging="357"/>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988DD5-C983-4872-8775-8B5EA31FDFED}">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61</Pages>
  <Words>2517</Words>
  <Characters>2968</Characters>
  <Lines>1</Lines>
  <Paragraphs>1</Paragraphs>
  <TotalTime>0</TotalTime>
  <ScaleCrop>false</ScaleCrop>
  <LinksUpToDate>false</LinksUpToDate>
  <CharactersWithSpaces>3050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Pim Pom丶</cp:lastModifiedBy>
  <cp:lastPrinted>2026-03-19T13:18:00Z</cp:lastPrinted>
  <dcterms:modified xsi:type="dcterms:W3CDTF">2026-08-28T07:24:31Z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C4EBC83394044F5FBC37651CB02EE662_13</vt:lpwstr>
  </property>
  <property fmtid="{D5CDD505-2E9C-101B-9397-08002B2CF9AE}" pid="4" name="KSOTemplateDocerSaveRecord">
    <vt:lpwstr>eyJoZGlkIjoiOTk1OGJkZDZlMmJiZjgxZThhZWQ4YzE0YWIxYTUyMmQiLCJ1c2VySWQiOiI0MDkyMjI1MTkifQ==</vt:lpwstr>
  </property>
</Properties>
</file>