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3694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7AE7F68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432D040D">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97AA04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1538CE0A">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33905E4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76FA39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A837B5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94592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74C221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F551E01">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spacing w:val="0"/>
          <w:kern w:val="0"/>
          <w:sz w:val="32"/>
          <w:szCs w:val="32"/>
          <w:highlight w:val="none"/>
        </w:rPr>
      </w:pPr>
    </w:p>
    <w:p w14:paraId="518E24DB">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spacing w:val="0"/>
          <w:kern w:val="0"/>
          <w:sz w:val="32"/>
          <w:szCs w:val="32"/>
          <w:highlight w:val="none"/>
        </w:rPr>
      </w:pPr>
    </w:p>
    <w:p w14:paraId="139D6A5C">
      <w:pPr>
        <w:tabs>
          <w:tab w:val="left" w:pos="2410"/>
        </w:tabs>
        <w:autoSpaceDE w:val="0"/>
        <w:autoSpaceDN w:val="0"/>
        <w:adjustRightInd w:val="0"/>
        <w:snapToGrid w:val="0"/>
        <w:spacing w:line="360" w:lineRule="auto"/>
        <w:ind w:left="2244" w:leftChars="304" w:hanging="1606" w:hangingChars="500"/>
        <w:rPr>
          <w:rFonts w:hint="default" w:ascii="宋体" w:hAnsi="宋体" w:eastAsia="宋体"/>
          <w:b/>
          <w:color w:val="auto"/>
          <w:spacing w:val="0"/>
          <w:kern w:val="0"/>
          <w:sz w:val="32"/>
          <w:szCs w:val="32"/>
          <w:highlight w:val="none"/>
          <w:lang w:val="en-US" w:eastAsia="zh-CN"/>
        </w:rPr>
      </w:pPr>
      <w:r>
        <w:rPr>
          <w:rFonts w:hint="eastAsia" w:ascii="宋体" w:hAnsi="宋体" w:eastAsia="宋体"/>
          <w:b/>
          <w:color w:val="auto"/>
          <w:spacing w:val="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滁州市紫薇与清流路交口肯帝亚地块棚户区改造（二期）项目监理（重新发布）</w:t>
      </w:r>
    </w:p>
    <w:p w14:paraId="53C74886">
      <w:pPr>
        <w:tabs>
          <w:tab w:val="left" w:pos="2410"/>
        </w:tabs>
        <w:autoSpaceDE w:val="0"/>
        <w:autoSpaceDN w:val="0"/>
        <w:adjustRightInd w:val="0"/>
        <w:snapToGrid w:val="0"/>
        <w:spacing w:line="360" w:lineRule="auto"/>
        <w:ind w:firstLine="643" w:firstLineChars="200"/>
        <w:rPr>
          <w:rFonts w:hint="default" w:ascii="宋体" w:hAnsi="宋体" w:eastAsia="宋体"/>
          <w:b/>
          <w:color w:val="auto"/>
          <w:spacing w:val="0"/>
          <w:kern w:val="0"/>
          <w:sz w:val="32"/>
          <w:szCs w:val="32"/>
          <w:highlight w:val="none"/>
          <w:lang w:val="en-US"/>
        </w:rPr>
      </w:pPr>
      <w:r>
        <w:rPr>
          <w:rFonts w:hint="eastAsia" w:ascii="宋体" w:hAnsi="宋体" w:eastAsia="宋体"/>
          <w:b/>
          <w:color w:val="auto"/>
          <w:spacing w:val="0"/>
          <w:kern w:val="0"/>
          <w:sz w:val="32"/>
          <w:szCs w:val="32"/>
          <w:highlight w:val="none"/>
        </w:rPr>
        <w:t>项目编号：</w:t>
      </w:r>
      <w:r>
        <w:rPr>
          <w:rFonts w:hint="eastAsia" w:ascii="宋体" w:hAnsi="宋体" w:eastAsia="宋体"/>
          <w:b/>
          <w:color w:val="auto"/>
          <w:spacing w:val="0"/>
          <w:kern w:val="0"/>
          <w:sz w:val="32"/>
          <w:szCs w:val="32"/>
          <w:highlight w:val="none"/>
          <w:u w:val="single"/>
          <w:lang w:val="en-US" w:eastAsia="zh-CN"/>
        </w:rPr>
        <w:t>cznqcg202512-007</w:t>
      </w:r>
      <w:r>
        <w:rPr>
          <w:rFonts w:hint="eastAsia" w:ascii="宋体" w:hAnsi="宋体" w:eastAsia="宋体"/>
          <w:b/>
          <w:color w:val="auto"/>
          <w:spacing w:val="0"/>
          <w:kern w:val="0"/>
          <w:sz w:val="32"/>
          <w:szCs w:val="32"/>
          <w:highlight w:val="none"/>
          <w:u w:val="single"/>
          <w:lang w:val="en-US" w:eastAsia="zh-CN"/>
        </w:rPr>
        <w:t xml:space="preserve"> </w:t>
      </w:r>
    </w:p>
    <w:p w14:paraId="2E4B1144">
      <w:pPr>
        <w:tabs>
          <w:tab w:val="left" w:pos="2410"/>
        </w:tabs>
        <w:autoSpaceDE w:val="0"/>
        <w:autoSpaceDN w:val="0"/>
        <w:adjustRightInd w:val="0"/>
        <w:snapToGrid w:val="0"/>
        <w:spacing w:line="360" w:lineRule="auto"/>
        <w:ind w:firstLine="643" w:firstLineChars="200"/>
        <w:rPr>
          <w:rFonts w:ascii="宋体" w:hAnsi="宋体" w:eastAsia="宋体"/>
          <w:b/>
          <w:color w:val="auto"/>
          <w:spacing w:val="0"/>
          <w:kern w:val="0"/>
          <w:sz w:val="32"/>
          <w:szCs w:val="32"/>
          <w:highlight w:val="none"/>
        </w:rPr>
      </w:pPr>
      <w:r>
        <w:rPr>
          <w:rFonts w:hint="eastAsia" w:ascii="宋体" w:hAnsi="宋体" w:eastAsia="宋体"/>
          <w:b/>
          <w:color w:val="auto"/>
          <w:spacing w:val="0"/>
          <w:kern w:val="0"/>
          <w:sz w:val="32"/>
          <w:szCs w:val="32"/>
          <w:highlight w:val="none"/>
        </w:rPr>
        <w:t>采 购 人：</w:t>
      </w:r>
      <w:r>
        <w:rPr>
          <w:rFonts w:hint="eastAsia" w:ascii="宋体" w:hAnsi="宋体" w:eastAsia="宋体"/>
          <w:b/>
          <w:color w:val="auto"/>
          <w:spacing w:val="-6"/>
          <w:kern w:val="0"/>
          <w:sz w:val="32"/>
          <w:szCs w:val="32"/>
          <w:highlight w:val="none"/>
          <w:u w:val="single"/>
          <w:lang w:val="en-US" w:eastAsia="zh-CN"/>
        </w:rPr>
        <w:t>滁州市南谯区重点工程建设管理处</w:t>
      </w:r>
    </w:p>
    <w:p w14:paraId="61773014">
      <w:pPr>
        <w:tabs>
          <w:tab w:val="left" w:pos="2410"/>
        </w:tabs>
        <w:autoSpaceDE w:val="0"/>
        <w:autoSpaceDN w:val="0"/>
        <w:adjustRightInd w:val="0"/>
        <w:snapToGrid w:val="0"/>
        <w:spacing w:line="360" w:lineRule="auto"/>
        <w:ind w:firstLine="643" w:firstLineChars="200"/>
        <w:rPr>
          <w:rFonts w:hint="default" w:ascii="宋体" w:hAnsi="宋体" w:eastAsia="宋体"/>
          <w:b/>
          <w:color w:val="auto"/>
          <w:spacing w:val="0"/>
          <w:kern w:val="0"/>
          <w:sz w:val="32"/>
          <w:szCs w:val="32"/>
          <w:highlight w:val="none"/>
          <w:lang w:val="en-US"/>
        </w:rPr>
      </w:pPr>
      <w:r>
        <w:rPr>
          <w:rFonts w:hint="eastAsia" w:ascii="宋体" w:hAnsi="宋体" w:eastAsia="宋体"/>
          <w:b/>
          <w:color w:val="auto"/>
          <w:spacing w:val="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2A6FC25B">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0"/>
          <w:kern w:val="0"/>
          <w:sz w:val="32"/>
          <w:szCs w:val="32"/>
          <w:highlight w:val="none"/>
        </w:rPr>
      </w:pPr>
    </w:p>
    <w:p w14:paraId="4C9F0F6B">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12</w:t>
      </w:r>
      <w:r>
        <w:rPr>
          <w:rFonts w:hint="eastAsia" w:ascii="宋体" w:hAnsi="宋体" w:eastAsia="宋体"/>
          <w:b/>
          <w:color w:val="auto"/>
          <w:sz w:val="36"/>
          <w:highlight w:val="none"/>
        </w:rPr>
        <w:t>月</w:t>
      </w:r>
    </w:p>
    <w:p w14:paraId="16EACF8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6B3E044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E2CE30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48A0D08D">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_Toc19927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_Toc19927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98D178">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85D7C7">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0967A8">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D58D2A">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AE3240">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59BAC6">
      <w:pPr>
        <w:pStyle w:val="20"/>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章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9FE303">
      <w:pPr>
        <w:pStyle w:val="22"/>
        <w:tabs>
          <w:tab w:val="right" w:leader="dot" w:pos="8296"/>
        </w:tabs>
        <w:rPr>
          <w:rFonts w:asciiTheme="minorEastAsia" w:hAnsiTheme="minorEastAsia"/>
          <w:b/>
          <w:color w:val="auto"/>
          <w:sz w:val="32"/>
          <w:highlight w:val="none"/>
        </w:rPr>
      </w:pPr>
      <w:r>
        <w:rPr>
          <w:rFonts w:hint="eastAsia" w:ascii="宋体" w:hAnsi="宋体" w:eastAsia="宋体" w:cs="宋体"/>
          <w:color w:val="auto"/>
          <w:sz w:val="24"/>
          <w:szCs w:val="24"/>
          <w:highlight w:val="none"/>
        </w:rPr>
        <w:fldChar w:fldCharType="end"/>
      </w:r>
    </w:p>
    <w:p w14:paraId="7A9189AC">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134" w:right="1814" w:bottom="1474" w:left="1814" w:header="851" w:footer="992" w:gutter="0"/>
          <w:pgBorders>
            <w:top w:val="none" w:sz="0" w:space="0"/>
            <w:left w:val="none" w:sz="0" w:space="0"/>
            <w:bottom w:val="none" w:sz="0" w:space="0"/>
            <w:right w:val="none" w:sz="0" w:space="0"/>
          </w:pgBorders>
          <w:cols w:space="720" w:num="1"/>
          <w:docGrid w:linePitch="462" w:charSpace="0"/>
        </w:sectPr>
      </w:pPr>
    </w:p>
    <w:p w14:paraId="3B944D49">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27"/>
      <w:bookmarkStart w:id="3"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2DCF0D7E">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项目概况</w:t>
      </w:r>
    </w:p>
    <w:p w14:paraId="52B09448">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滁州市紫薇与清流路交口肯帝亚地块棚户区改造（二期）项目监理（重新发布）</w:t>
      </w:r>
      <w:r>
        <w:rPr>
          <w:rFonts w:hint="eastAsia" w:ascii="宋体" w:hAnsi="宋体" w:eastAsia="宋体" w:cs="宋体"/>
          <w:color w:val="auto"/>
          <w:kern w:val="2"/>
          <w:sz w:val="24"/>
          <w:szCs w:val="24"/>
          <w:highlight w:val="none"/>
          <w:lang w:val="en-US" w:eastAsia="zh-CN" w:bidi="ar"/>
        </w:rPr>
        <w:t>的潜在供应商应在滁州市公共资源交易中心网（http://ggzy.chuzhou.gov.cn/）获取采购文件，并于2025年12月22日8点50分（北京时间）前递交响应文件。</w:t>
      </w:r>
    </w:p>
    <w:p w14:paraId="06AD6A2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一、项目名称及内容</w:t>
      </w:r>
    </w:p>
    <w:p w14:paraId="207842AB">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项目编号：cznqcg202512-007 </w:t>
      </w:r>
    </w:p>
    <w:p w14:paraId="0E020772">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项目名称：滁州市紫薇与清流路交口肯帝亚地块棚户区改造（二期）项目监理（重新发布）</w:t>
      </w:r>
    </w:p>
    <w:p w14:paraId="037BBCEC">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采购方式：竞争性磋商</w:t>
      </w:r>
    </w:p>
    <w:p w14:paraId="312E2672">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预算金额：810000.00元</w:t>
      </w:r>
    </w:p>
    <w:p w14:paraId="4A5BCB03">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最高限价：本项目监理费用最高投标限价（费率）为：0.80%。响应报价不得高于最高限价，否则按无效响应处理</w:t>
      </w:r>
    </w:p>
    <w:p w14:paraId="1D918781">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olor w:val="auto"/>
          <w:sz w:val="24"/>
          <w:szCs w:val="18"/>
          <w:highlight w:val="none"/>
          <w:lang w:val="en-US" w:eastAsia="zh-CN"/>
        </w:rPr>
      </w:pPr>
      <w:r>
        <w:rPr>
          <w:rFonts w:hint="eastAsia" w:ascii="宋体" w:hAnsi="宋体" w:eastAsia="宋体" w:cs="宋体"/>
          <w:color w:val="auto"/>
          <w:kern w:val="2"/>
          <w:sz w:val="24"/>
          <w:szCs w:val="24"/>
          <w:highlight w:val="none"/>
          <w:lang w:val="en-US" w:eastAsia="zh-CN" w:bidi="ar"/>
        </w:rPr>
        <w:t>采购需求：</w:t>
      </w:r>
      <w:r>
        <w:rPr>
          <w:rFonts w:hint="eastAsia" w:ascii="宋体" w:hAnsi="宋体" w:eastAsia="宋体"/>
          <w:color w:val="auto"/>
          <w:sz w:val="24"/>
          <w:szCs w:val="18"/>
          <w:highlight w:val="none"/>
          <w:lang w:val="en-US" w:eastAsia="zh-CN"/>
        </w:rPr>
        <w:t>工程的施工准备阶段，协助招标单位开展上述前期工作，接受招标单位安排履行项目各项前期手续、施工阶段的质量、安全、造价控制及工期的全过程、竣工结算阶段、保修阶段（缺陷责任期）的监理服务以及国家法律法规规定的其他监理服务。</w:t>
      </w:r>
    </w:p>
    <w:p w14:paraId="760D2EA3">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合同履行期限：自合同签订之日起至本项目竣工结算及保修阶段（缺陷责任期）期满止。</w:t>
      </w:r>
    </w:p>
    <w:p w14:paraId="4903ADF6">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本项目不接受联合体。</w:t>
      </w:r>
    </w:p>
    <w:p w14:paraId="79572665">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申请人的资格要求</w:t>
      </w:r>
    </w:p>
    <w:p w14:paraId="0C73CCC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60BAFF9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3F1144D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s="宋体"/>
          <w:color w:val="auto"/>
          <w:kern w:val="2"/>
          <w:sz w:val="24"/>
          <w:szCs w:val="24"/>
          <w:highlight w:val="none"/>
          <w:lang w:val="en-US" w:eastAsia="zh-CN" w:bidi="ar"/>
        </w:rPr>
        <w:t>3.本项目的特定资格要求：</w:t>
      </w:r>
      <w:r>
        <w:rPr>
          <w:rFonts w:hint="eastAsia" w:ascii="宋体" w:hAnsi="宋体" w:eastAsia="宋体"/>
          <w:color w:val="auto"/>
          <w:sz w:val="24"/>
          <w:szCs w:val="18"/>
          <w:highlight w:val="none"/>
          <w:lang w:val="en-US" w:eastAsia="zh-CN"/>
        </w:rPr>
        <w:t>①供应商具有工程监理综合资质或房屋建筑工程监理乙级（或）以上资质；②项目负责人（总监理工程师）具有在本单位注册的国家级监理工程师证书（专业为房屋建筑工程）。</w:t>
      </w:r>
    </w:p>
    <w:p w14:paraId="0BA21E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4.信誉要求：供应商不得存在以下情形：</w:t>
      </w:r>
    </w:p>
    <w:p w14:paraId="0862CF1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2AEC5A9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2A2ACF8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75DF977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w:t>
      </w:r>
      <w:bookmarkStart w:id="4" w:name="OLE_LINK128"/>
      <w:bookmarkStart w:id="5" w:name="OLE_LINK129"/>
      <w:bookmarkStart w:id="6" w:name="OLE_LINK127"/>
      <w:r>
        <w:rPr>
          <w:rFonts w:hint="eastAsia" w:ascii="宋体" w:hAnsi="宋体" w:eastAsia="宋体" w:cs="宋体"/>
          <w:color w:val="auto"/>
          <w:kern w:val="2"/>
          <w:sz w:val="24"/>
          <w:szCs w:val="24"/>
          <w:highlight w:val="none"/>
          <w:lang w:val="en-US" w:eastAsia="zh-CN" w:bidi="ar"/>
        </w:rPr>
        <w:t>“信用中国”网站</w:t>
      </w:r>
      <w:bookmarkEnd w:id="4"/>
      <w:bookmarkEnd w:id="5"/>
      <w:bookmarkEnd w:id="6"/>
      <w:r>
        <w:rPr>
          <w:rFonts w:hint="eastAsia" w:ascii="宋体" w:hAnsi="宋体" w:eastAsia="宋体" w:cs="宋体"/>
          <w:color w:val="auto"/>
          <w:kern w:val="2"/>
          <w:sz w:val="24"/>
          <w:szCs w:val="24"/>
          <w:highlight w:val="none"/>
          <w:lang w:val="en-US" w:eastAsia="zh-CN" w:bidi="ar"/>
        </w:rPr>
        <w:t>上披露的仍在公示期的严重失信行为(具体行为类别及判定依据见“信用中国”查询的严重失信行为类别及判定依据)的。</w:t>
      </w:r>
    </w:p>
    <w:p w14:paraId="00B08A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5EC981C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bookmarkStart w:id="7" w:name="OLE_LINK114"/>
      <w:bookmarkStart w:id="8" w:name="OLE_LINK113"/>
      <w:r>
        <w:rPr>
          <w:rFonts w:hint="eastAsia" w:ascii="宋体" w:hAnsi="宋体" w:eastAsia="宋体" w:cs="宋体"/>
          <w:color w:val="auto"/>
          <w:kern w:val="2"/>
          <w:sz w:val="24"/>
          <w:szCs w:val="24"/>
          <w:highlight w:val="none"/>
          <w:lang w:val="en-US" w:eastAsia="zh-CN" w:bidi="ar"/>
        </w:rPr>
        <w:t>⑥</w:t>
      </w:r>
      <w:bookmarkEnd w:id="7"/>
      <w:bookmarkEnd w:id="8"/>
      <w:r>
        <w:rPr>
          <w:rFonts w:hint="eastAsia" w:ascii="宋体" w:hAnsi="宋体" w:eastAsia="宋体" w:cs="宋体"/>
          <w:color w:val="auto"/>
          <w:kern w:val="2"/>
          <w:sz w:val="24"/>
          <w:szCs w:val="24"/>
          <w:highlight w:val="none"/>
          <w:lang w:val="en-US" w:eastAsia="zh-CN" w:bidi="ar"/>
        </w:rPr>
        <w:t>被列入中国政府采购网站“政府采购严重违法失信行为信息记录”的。</w:t>
      </w:r>
    </w:p>
    <w:p w14:paraId="28C2B17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3F7EB3E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5.供应商所属分公司、办事处等分支机构存在第4条信誉要求①-⑦项情形之一的，接受供应商参加本项目；</w:t>
      </w:r>
    </w:p>
    <w:p w14:paraId="13A4091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975697C">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w:t>
      </w:r>
      <w:r>
        <w:rPr>
          <w:rFonts w:hint="eastAsia" w:ascii="宋体" w:hAnsi="宋体" w:eastAsia="宋体" w:cs="宋体"/>
          <w:b/>
          <w:bCs w:val="0"/>
          <w:color w:val="auto"/>
          <w:kern w:val="2"/>
          <w:sz w:val="24"/>
          <w:szCs w:val="24"/>
          <w:highlight w:val="none"/>
          <w:lang w:val="en-US" w:eastAsia="zh-CN" w:bidi="ar"/>
        </w:rPr>
        <w:t>、获取采购文件</w:t>
      </w:r>
    </w:p>
    <w:p w14:paraId="2E8308E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none"/>
          <w:lang w:val="en-US" w:eastAsia="zh-CN" w:bidi="ar"/>
        </w:rPr>
        <w:t>2025年12月10日至2025年12月22日</w:t>
      </w:r>
    </w:p>
    <w:p w14:paraId="5B729517">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color w:val="auto"/>
          <w:kern w:val="2"/>
          <w:sz w:val="24"/>
          <w:szCs w:val="24"/>
          <w:highlight w:val="none"/>
          <w:u w:val="single"/>
          <w:lang w:val="en-US" w:eastAsia="zh-CN" w:bidi="ar"/>
        </w:rPr>
        <w:t>滁州市公共资源交易中心网</w:t>
      </w:r>
    </w:p>
    <w:p w14:paraId="5BBC6769">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w:t>
      </w:r>
      <w:r>
        <w:rPr>
          <w:rFonts w:hint="eastAsia" w:ascii="宋体" w:hAnsi="宋体" w:eastAsia="宋体" w:cs="宋体"/>
          <w:color w:val="auto"/>
          <w:kern w:val="2"/>
          <w:sz w:val="24"/>
          <w:szCs w:val="24"/>
          <w:highlight w:val="none"/>
          <w:u w:val="single"/>
          <w:lang w:val="en-US" w:eastAsia="zh-CN" w:bidi="ar"/>
        </w:rPr>
        <w:t>网上下载</w:t>
      </w:r>
    </w:p>
    <w:p w14:paraId="2F8B0435">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售价：</w:t>
      </w:r>
      <w:r>
        <w:rPr>
          <w:rFonts w:hint="eastAsia" w:ascii="宋体" w:hAnsi="宋体" w:eastAsia="宋体" w:cs="宋体"/>
          <w:color w:val="auto"/>
          <w:kern w:val="2"/>
          <w:sz w:val="24"/>
          <w:szCs w:val="24"/>
          <w:highlight w:val="none"/>
          <w:u w:val="single"/>
          <w:lang w:val="en-US" w:eastAsia="zh-CN" w:bidi="ar"/>
        </w:rPr>
        <w:t>0元</w:t>
      </w:r>
    </w:p>
    <w:p w14:paraId="28F555AC">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响应文件提交</w:t>
      </w:r>
    </w:p>
    <w:p w14:paraId="0CD5491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截止时间：</w:t>
      </w:r>
      <w:r>
        <w:rPr>
          <w:rFonts w:hint="eastAsia" w:ascii="宋体" w:hAnsi="宋体" w:eastAsia="宋体" w:cs="宋体"/>
          <w:color w:val="auto"/>
          <w:kern w:val="2"/>
          <w:sz w:val="24"/>
          <w:szCs w:val="24"/>
          <w:highlight w:val="none"/>
          <w:u w:val="single"/>
          <w:lang w:val="en-US" w:eastAsia="zh-CN" w:bidi="ar"/>
        </w:rPr>
        <w:t>2025年12月22日</w:t>
      </w:r>
      <w:r>
        <w:rPr>
          <w:rFonts w:hint="eastAsia" w:ascii="宋体" w:hAnsi="宋体" w:eastAsia="宋体" w:cs="宋体"/>
          <w:bCs/>
          <w:color w:val="auto"/>
          <w:kern w:val="2"/>
          <w:sz w:val="24"/>
          <w:szCs w:val="24"/>
          <w:highlight w:val="none"/>
          <w:u w:val="single"/>
          <w:lang w:val="en-US" w:eastAsia="zh-CN" w:bidi="ar"/>
        </w:rPr>
        <w:t>8点50分</w:t>
      </w:r>
      <w:r>
        <w:rPr>
          <w:rFonts w:hint="eastAsia" w:ascii="宋体" w:hAnsi="宋体" w:eastAsia="宋体" w:cs="宋体"/>
          <w:bCs/>
          <w:color w:val="auto"/>
          <w:kern w:val="2"/>
          <w:sz w:val="24"/>
          <w:szCs w:val="24"/>
          <w:highlight w:val="none"/>
          <w:lang w:val="en-US" w:eastAsia="zh-CN" w:bidi="ar"/>
        </w:rPr>
        <w:t>（北京时间）</w:t>
      </w:r>
    </w:p>
    <w:p w14:paraId="3338ADFC">
      <w:pPr>
        <w:keepNext w:val="0"/>
        <w:keepLines w:val="0"/>
        <w:widowControl w:val="0"/>
        <w:suppressLineNumbers w:val="0"/>
        <w:spacing w:before="0" w:beforeAutospacing="0" w:after="0" w:afterAutospacing="0" w:line="480" w:lineRule="exact"/>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地点：滁州市公共资源交易平台电子交易系统</w:t>
      </w:r>
    </w:p>
    <w:p w14:paraId="48E86873">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五</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开启</w:t>
      </w:r>
    </w:p>
    <w:p w14:paraId="7CB84E76">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2025年12月22日</w:t>
      </w:r>
      <w:r>
        <w:rPr>
          <w:rFonts w:hint="eastAsia" w:ascii="宋体" w:hAnsi="宋体" w:eastAsia="宋体" w:cs="宋体"/>
          <w:bCs/>
          <w:color w:val="auto"/>
          <w:kern w:val="2"/>
          <w:sz w:val="24"/>
          <w:szCs w:val="24"/>
          <w:highlight w:val="none"/>
          <w:u w:val="single"/>
          <w:lang w:val="en-US" w:eastAsia="zh-CN" w:bidi="ar"/>
        </w:rPr>
        <w:t>8点50分</w:t>
      </w:r>
      <w:r>
        <w:rPr>
          <w:rFonts w:hint="eastAsia" w:ascii="宋体" w:hAnsi="宋体" w:eastAsia="宋体" w:cs="宋体"/>
          <w:bCs/>
          <w:color w:val="auto"/>
          <w:kern w:val="2"/>
          <w:sz w:val="24"/>
          <w:szCs w:val="24"/>
          <w:highlight w:val="none"/>
          <w:lang w:val="en-US" w:eastAsia="zh-CN" w:bidi="ar"/>
        </w:rPr>
        <w:t>（北京时间）</w:t>
      </w:r>
    </w:p>
    <w:p w14:paraId="0650878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地点：滁州市公共资源交易平台电子交易系统</w:t>
      </w:r>
    </w:p>
    <w:p w14:paraId="1510FB2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六、公告期限</w:t>
      </w:r>
    </w:p>
    <w:p w14:paraId="37434D3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自本公告发布之日起3个工作日。</w:t>
      </w:r>
    </w:p>
    <w:p w14:paraId="78FF6FE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七、其他补充事宜</w:t>
      </w:r>
    </w:p>
    <w:p w14:paraId="7A5F495B">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34770181">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2.请供应商登录滁州市公共资源交易中心网站查看参加本项目的程序。（具体操作步骤和程序请参见服务指南&gt;交易须知&gt;投标人填写投标信息、下载文件及网上提问操作手册）。</w:t>
      </w:r>
    </w:p>
    <w:p w14:paraId="1A07E542">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76806A66">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759609E0">
      <w:pPr>
        <w:keepNext w:val="0"/>
        <w:keepLines w:val="0"/>
        <w:widowControl w:val="0"/>
        <w:suppressLineNumbers w:val="0"/>
        <w:spacing w:before="0" w:beforeAutospacing="0" w:after="0" w:afterAutospacing="0" w:line="360" w:lineRule="auto"/>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凡对本次采购提出询问，请按以下方式联系</w:t>
      </w:r>
    </w:p>
    <w:p w14:paraId="5F93143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4330BBD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滁州市南谯区重点工程建设管理处</w:t>
      </w:r>
    </w:p>
    <w:p w14:paraId="060E9F3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滁州市南谯新城7号楼4楼</w:t>
      </w:r>
    </w:p>
    <w:p w14:paraId="017916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费程</w:t>
      </w:r>
    </w:p>
    <w:p w14:paraId="2A8C0E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0550-3117308</w:t>
      </w:r>
    </w:p>
    <w:p w14:paraId="7E88303C">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6D34AA0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滁州市城投工程咨询管理有限公司</w:t>
      </w:r>
    </w:p>
    <w:p w14:paraId="4C53C5C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滁州市龙蟠大道109号房产商务大厦6楼605室</w:t>
      </w:r>
    </w:p>
    <w:p w14:paraId="0C31CA6A">
      <w:pPr>
        <w:keepNext w:val="0"/>
        <w:keepLines w:val="0"/>
        <w:widowControl w:val="0"/>
        <w:suppressLineNumbers w:val="0"/>
        <w:spacing w:before="0" w:beforeAutospacing="0" w:after="0" w:afterAutospacing="0" w:line="360" w:lineRule="auto"/>
        <w:ind w:left="0" w:right="0" w:firstLine="435"/>
        <w:jc w:val="both"/>
        <w:rPr>
          <w:rFonts w:hint="eastAsia" w:ascii="@仿宋_GB2312" w:hAnsi="@仿宋_GB2312" w:eastAsia="宋体" w:cs="@仿宋_GB2312"/>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张夏骄</w:t>
      </w:r>
    </w:p>
    <w:p w14:paraId="496265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0550-3519512、18155023588</w:t>
      </w:r>
    </w:p>
    <w:p w14:paraId="2CB54CD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政府采购监督管理部门信息</w:t>
      </w:r>
    </w:p>
    <w:p w14:paraId="2C4CC74A">
      <w:pPr>
        <w:keepNext w:val="0"/>
        <w:keepLines w:val="0"/>
        <w:widowControl w:val="0"/>
        <w:suppressLineNumbers w:val="0"/>
        <w:spacing w:before="0" w:beforeAutospacing="0" w:after="0" w:afterAutospacing="0" w:line="360" w:lineRule="auto"/>
        <w:ind w:left="0" w:right="0" w:firstLine="435"/>
        <w:jc w:val="both"/>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滁州市南谯区财政局</w:t>
      </w:r>
    </w:p>
    <w:p w14:paraId="566382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滁州市乌衣镇南谯政务新区5号楼</w:t>
      </w:r>
    </w:p>
    <w:p w14:paraId="06A31DB5">
      <w:pPr>
        <w:keepNext w:val="0"/>
        <w:keepLines w:val="0"/>
        <w:widowControl w:val="0"/>
        <w:suppressLineNumbers w:val="0"/>
        <w:spacing w:before="0" w:beforeAutospacing="0" w:after="0" w:afterAutospacing="0" w:line="360" w:lineRule="auto"/>
        <w:ind w:left="0" w:right="0" w:firstLine="435"/>
        <w:jc w:val="both"/>
        <w:rPr>
          <w:color w:val="auto"/>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0550-3919183</w:t>
      </w:r>
    </w:p>
    <w:p w14:paraId="375DE35D">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7C6CDEE6">
      <w:pPr>
        <w:spacing w:line="360" w:lineRule="auto"/>
        <w:jc w:val="center"/>
        <w:outlineLvl w:val="0"/>
        <w:rPr>
          <w:rFonts w:asciiTheme="minorEastAsia" w:hAnsiTheme="minorEastAsia" w:eastAsiaTheme="minorEastAsia"/>
          <w:b/>
          <w:color w:val="auto"/>
          <w:sz w:val="28"/>
          <w:highlight w:val="none"/>
        </w:rPr>
      </w:pPr>
      <w:bookmarkStart w:id="9" w:name="_Toc7162"/>
      <w:bookmarkStart w:id="10" w:name="_Toc37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9"/>
      <w:bookmarkEnd w:id="10"/>
    </w:p>
    <w:p w14:paraId="675ADB61">
      <w:pPr>
        <w:spacing w:line="360" w:lineRule="auto"/>
        <w:jc w:val="center"/>
        <w:outlineLvl w:val="1"/>
        <w:rPr>
          <w:rFonts w:asciiTheme="minorEastAsia" w:hAnsiTheme="minorEastAsia" w:eastAsiaTheme="minorEastAsia"/>
          <w:b/>
          <w:color w:val="auto"/>
          <w:sz w:val="24"/>
          <w:highlight w:val="none"/>
        </w:rPr>
      </w:pPr>
      <w:bookmarkStart w:id="11" w:name="_Toc11709"/>
      <w:bookmarkStart w:id="12"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1"/>
      <w:bookmarkEnd w:id="12"/>
    </w:p>
    <w:p w14:paraId="77FDAA8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214"/>
        <w:gridCol w:w="6234"/>
      </w:tblGrid>
      <w:tr w14:paraId="7228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76C736">
            <w:pPr>
              <w:pStyle w:val="4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3F81D8">
            <w:pPr>
              <w:pStyle w:val="4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8180A84">
            <w:pPr>
              <w:pStyle w:val="4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B57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146D1E7">
            <w:pPr>
              <w:pStyle w:val="4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34798187">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4D85C90D">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CDB00DD">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500E5AB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3884B4E">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5C9BC48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0FBEE02">
            <w:pPr>
              <w:pStyle w:val="4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3AF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894666F">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DB781CB">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236F591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15</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21C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25405E40">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31645533">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4E2C2FD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个包</w:t>
            </w:r>
          </w:p>
          <w:p w14:paraId="2DA50C6A">
            <w:pPr>
              <w:pStyle w:val="4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default"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r>
              <w:rPr>
                <w:rFonts w:hint="eastAsia" w:ascii="宋体" w:hAnsi="宋体" w:eastAsia="宋体"/>
                <w:b w:val="0"/>
                <w:bCs w:val="0"/>
                <w:color w:val="0000FF"/>
                <w:sz w:val="24"/>
                <w:szCs w:val="24"/>
                <w:highlight w:val="none"/>
                <w:lang w:val="en-US" w:eastAsia="zh-CN"/>
              </w:rPr>
              <w:t>。</w:t>
            </w:r>
          </w:p>
        </w:tc>
      </w:tr>
      <w:tr w14:paraId="0DA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41D95278">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14674D83">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6A40945C">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39AC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25DEB39">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C92C8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37383AB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071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67CF3E">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45D55D9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4BA80261">
            <w:pPr>
              <w:pStyle w:val="45"/>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分钟内（以本项目网上招投标系统解密倒计时为准）</w:t>
            </w:r>
            <w:r>
              <w:rPr>
                <w:rFonts w:hint="eastAsia" w:ascii="宋体" w:hAnsi="宋体" w:eastAsia="宋体"/>
                <w:b w:val="0"/>
                <w:color w:val="auto"/>
                <w:sz w:val="24"/>
                <w:highlight w:val="none"/>
                <w:u w:val="none"/>
                <w:lang w:eastAsia="zh-CN"/>
              </w:rPr>
              <w:t>。</w:t>
            </w:r>
          </w:p>
        </w:tc>
      </w:tr>
      <w:tr w14:paraId="5E65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AC6C35">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389A0B0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0942052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51D6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BF7B848">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432952A2">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最后报价扣除</w:t>
            </w:r>
          </w:p>
        </w:tc>
        <w:tc>
          <w:tcPr>
            <w:tcW w:w="3267" w:type="pct"/>
            <w:vAlign w:val="center"/>
          </w:tcPr>
          <w:p w14:paraId="7179F35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195133E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7D1E96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8523718">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4FC73DFD">
            <w:pPr>
              <w:pStyle w:val="4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070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74520B40">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0BA8F0C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6149A878">
            <w:pPr>
              <w:pStyle w:val="4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6D1C6F60">
            <w:pPr>
              <w:pStyle w:val="4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61A8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2AD3D19">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0F1A82B4">
            <w:pPr>
              <w:pStyle w:val="45"/>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6423F6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1A339E50">
            <w:pPr>
              <w:pStyle w:val="4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采购人委托磋商小组确定     </w:t>
            </w: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采购人确定</w:t>
            </w:r>
          </w:p>
        </w:tc>
      </w:tr>
      <w:tr w14:paraId="3C66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6E55BEC">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0E71789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426DC988">
            <w:pPr>
              <w:pStyle w:val="4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0F1A0A46">
            <w:pPr>
              <w:pStyle w:val="45"/>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E9586BB">
            <w:pPr>
              <w:pStyle w:val="45"/>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14:paraId="346A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C68936A">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2756FD49">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1DBE7650">
            <w:pPr>
              <w:pStyle w:val="4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39D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53DD30F">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1E26AA9C">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5A722817">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052FC6F">
            <w:pPr>
              <w:pStyle w:val="4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0C0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A43BE5C">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7507067C">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1A41585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D91AB8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58FEFFE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6FFB14F">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376D45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9CE5D3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809DD62">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4A882A2">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21C6A784">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262FD87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CAF906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A06909D">
            <w:pPr>
              <w:pStyle w:val="45"/>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1F0A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14537F">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5803E5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3C780672">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236F1B5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领取成交通知书时一次性支付给代理机构。</w:t>
            </w:r>
          </w:p>
          <w:p w14:paraId="687E4988">
            <w:pPr>
              <w:pStyle w:val="45"/>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bookmarkStart w:id="262" w:name="_GoBack"/>
            <w:r>
              <w:rPr>
                <w:rFonts w:hint="eastAsia" w:ascii="宋体" w:hAnsi="宋体" w:eastAsia="宋体" w:cs="@仿宋_GB2312"/>
                <w:b w:val="0"/>
                <w:bCs/>
                <w:color w:val="auto"/>
                <w:kern w:val="0"/>
                <w:sz w:val="24"/>
                <w:szCs w:val="28"/>
                <w:highlight w:val="none"/>
                <w:u w:val="single" w:color="auto"/>
                <w:lang w:val="en-US" w:eastAsia="zh-CN" w:bidi="ar-SA"/>
              </w:rPr>
              <w:t>参考</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《滁州市公共资源交易代理机构及从业人员管理暂行办法》滁公管〔2022〕5号，以及补充文件滁公管综〔2023〕19号《关于进一步明确代理费计取标准的通知》标准，以最高限价（控制价）计算</w:t>
            </w:r>
            <w:bookmarkEnd w:id="262"/>
            <w:r>
              <w:rPr>
                <w:rFonts w:hint="eastAsia" w:ascii="宋体" w:hAnsi="宋体" w:eastAsia="宋体" w:cs="宋体"/>
                <w:b w:val="0"/>
                <w:bCs/>
                <w:color w:val="auto"/>
                <w:sz w:val="24"/>
                <w:szCs w:val="24"/>
                <w:highlight w:val="none"/>
                <w:u w:val="single" w:color="auto"/>
              </w:rPr>
              <w:t>。</w:t>
            </w:r>
            <w:r>
              <w:rPr>
                <w:rFonts w:hint="eastAsia" w:ascii="宋体" w:hAnsi="宋体" w:eastAsia="宋体" w:cs="宋体"/>
                <w:b w:val="0"/>
                <w:bCs/>
                <w:color w:val="auto"/>
                <w:sz w:val="24"/>
                <w:szCs w:val="24"/>
                <w:highlight w:val="none"/>
                <w:u w:val="single" w:color="auto"/>
                <w:lang w:val="en-US" w:eastAsia="zh-CN"/>
              </w:rPr>
              <w:t>6220元。</w:t>
            </w:r>
          </w:p>
        </w:tc>
      </w:tr>
      <w:tr w14:paraId="49BA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5FFBFDC">
            <w:pPr>
              <w:pStyle w:val="46"/>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7395B1FE">
            <w:pPr>
              <w:pStyle w:val="4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5FE2CFF9">
            <w:pPr>
              <w:pStyle w:val="45"/>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2F9A423">
            <w:pPr>
              <w:pStyle w:val="4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color w:val="auto"/>
                <w:sz w:val="24"/>
                <w:szCs w:val="24"/>
                <w:highlight w:val="none"/>
                <w:lang w:val="en-US" w:eastAsia="zh-CN"/>
              </w:rPr>
              <w:t>和滁州市公共资源交易中心网</w:t>
            </w:r>
            <w:r>
              <w:rPr>
                <w:rFonts w:ascii="宋体" w:hAnsi="宋体" w:eastAsia="宋体" w:cs="宋体"/>
                <w:color w:val="auto"/>
                <w:sz w:val="24"/>
                <w:szCs w:val="24"/>
                <w:highlight w:val="none"/>
              </w:rPr>
              <w:t>发布政府采购合同变更公告，但涉及国家秘密、商业秘密的信息和其他依法不得公开的信息除外。</w:t>
            </w:r>
          </w:p>
        </w:tc>
      </w:tr>
      <w:tr w14:paraId="5330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4FEADA">
            <w:pPr>
              <w:pStyle w:val="4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357BFA5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5F1DC7E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6161663">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lang w:eastAsia="zh-CN"/>
              </w:rPr>
              <w:t>滁州市南谯区重点工程建设管理处</w:t>
            </w:r>
            <w:r>
              <w:rPr>
                <w:rFonts w:hint="eastAsia" w:ascii="宋体" w:hAnsi="宋体" w:eastAsia="宋体"/>
                <w:bCs/>
                <w:color w:val="auto"/>
                <w:kern w:val="0"/>
                <w:sz w:val="24"/>
                <w:szCs w:val="28"/>
                <w:highlight w:val="none"/>
                <w:u w:val="single"/>
              </w:rPr>
              <w:t>、滁州市城投工程咨询管理有限公司；</w:t>
            </w:r>
          </w:p>
          <w:p w14:paraId="4101A95B">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lang w:eastAsia="zh-CN"/>
              </w:rPr>
              <w:t>0550-3117308</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0550-3519512</w:t>
            </w:r>
            <w:r>
              <w:rPr>
                <w:rFonts w:hint="eastAsia" w:ascii="宋体" w:hAnsi="宋体" w:eastAsia="宋体"/>
                <w:bCs/>
                <w:color w:val="auto"/>
                <w:kern w:val="0"/>
                <w:sz w:val="24"/>
                <w:szCs w:val="28"/>
                <w:highlight w:val="none"/>
                <w:u w:val="single"/>
              </w:rPr>
              <w:t>；</w:t>
            </w:r>
          </w:p>
          <w:p w14:paraId="5D6ABDCF">
            <w:pPr>
              <w:pStyle w:val="4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lang w:eastAsia="zh-CN"/>
              </w:rPr>
              <w:t>滁州市南谯新城7号楼4楼</w:t>
            </w:r>
            <w:r>
              <w:rPr>
                <w:rFonts w:hint="eastAsia" w:ascii="宋体" w:hAnsi="宋体" w:eastAsia="宋体"/>
                <w:bCs/>
                <w:color w:val="auto"/>
                <w:kern w:val="0"/>
                <w:sz w:val="24"/>
                <w:szCs w:val="28"/>
                <w:highlight w:val="none"/>
                <w:u w:val="single"/>
              </w:rPr>
              <w:t>、滁州市龙蟠大道109号房产商务大厦6楼</w:t>
            </w:r>
            <w:r>
              <w:rPr>
                <w:rFonts w:hint="eastAsia" w:ascii="宋体" w:hAnsi="宋体" w:eastAsia="宋体"/>
                <w:bCs/>
                <w:color w:val="auto"/>
                <w:kern w:val="0"/>
                <w:sz w:val="24"/>
                <w:szCs w:val="28"/>
                <w:highlight w:val="none"/>
                <w:u w:val="single"/>
                <w:lang w:val="en-US" w:eastAsia="zh-CN"/>
              </w:rPr>
              <w:t>。</w:t>
            </w:r>
          </w:p>
        </w:tc>
      </w:tr>
      <w:tr w14:paraId="4C94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0EB030">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01DFA0F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2A87A920">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0FDB2F4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26DFE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2E83E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118320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D62B5A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2A6CD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8680B5D">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2BAF5046">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Theme="minorEastAsia" w:hAnsiTheme="minorEastAsia" w:eastAsiaTheme="minorEastAsia"/>
                <w:b w:val="0"/>
                <w:bCs w:val="0"/>
                <w:color w:val="auto"/>
                <w:kern w:val="2"/>
                <w:sz w:val="24"/>
                <w:szCs w:val="24"/>
                <w:highlight w:val="none"/>
                <w:u w:val="none"/>
                <w:lang w:val="en-US" w:eastAsia="zh-CN"/>
              </w:rPr>
              <w:t>部分可提供线下政采贷的金融机构：</w:t>
            </w:r>
          </w:p>
          <w:p w14:paraId="50B555A6">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市本级</w:t>
            </w:r>
          </w:p>
          <w:p w14:paraId="498F0F3E">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金融机构名称：兴业银行滁州分行</w:t>
            </w:r>
          </w:p>
          <w:p w14:paraId="37406F76">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安徽省滁州市琅琊区丰乐大道1090号</w:t>
            </w:r>
          </w:p>
          <w:p w14:paraId="4BAC6DEF">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伏庚：17755080811</w:t>
            </w:r>
          </w:p>
          <w:p w14:paraId="73B4C342">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5.特别提示：</w:t>
            </w:r>
          </w:p>
          <w:p w14:paraId="47AA294E">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（1）供应商应填写投标信息并下载采购文件，否则无法上传响应文件。</w:t>
            </w:r>
          </w:p>
          <w:p w14:paraId="077FC28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0512-58188516。</w:t>
            </w:r>
          </w:p>
          <w:p w14:paraId="58148428">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（3）如果过程中出现采购文件更改，应以最后发布的招标答疑澄清文件中的模板制作本项目最新响应文件。</w:t>
            </w:r>
          </w:p>
          <w:p w14:paraId="16882B3F">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 xml:space="preserve">（4）供应商应当用本单位CA数字证书制作响应文件，制作成功后进行响应文件上传。 </w:t>
            </w:r>
          </w:p>
          <w:p w14:paraId="6E5A1A5C">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E26489D">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（6）请供应商注意加密响应文件CA数字证书的有效期，不在有效期的CA数字证书无法解密响应文件。</w:t>
            </w:r>
          </w:p>
          <w:p w14:paraId="77FBE6F2">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（7）供应商投标MAC地址一致，由磋商小组否决其磋商资格。</w:t>
            </w:r>
          </w:p>
          <w:p w14:paraId="3F0073C2">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（8）供应商单方面出现其他供应商材料的，由磋商小组否决其磋商资格。</w:t>
            </w:r>
          </w:p>
          <w:p w14:paraId="72CEBB67">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57BF80A7">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（10）供应商联系人或联系电话相同的，由磋商小组否决其响应资格，并报告监管部门作不良行为处理和进一步调查。</w:t>
            </w:r>
          </w:p>
          <w:p w14:paraId="4EDAFB79">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11）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6955329F">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6.评审过程中的澄清、说明或补正：</w:t>
            </w:r>
          </w:p>
          <w:p w14:paraId="29B514E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（1）磋商小组通过网上招投标系统将需要澄清、说明或补正的内容以询标函的形式发送给供应商，供应商应安排专人登录网上招投标系统并保持在线状态，以便及时接收磋商小组可能发出的询标函。</w:t>
            </w:r>
          </w:p>
          <w:p w14:paraId="7B179231">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44F1F0C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7.同义词语：</w:t>
            </w:r>
          </w:p>
          <w:p w14:paraId="2351A126">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磋商文件第六章  响应文件格式、附件1“关于联合惩戒失信行为 加强信用查询管理的通知”等章节中 “招标人”、“投标人”，等同于“采购人”、“供应商”。</w:t>
            </w:r>
          </w:p>
          <w:p w14:paraId="7EEB172E">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8.落实政府采购支持节能产品、环境标志产品政策。</w:t>
            </w:r>
          </w:p>
          <w:p w14:paraId="480771D7">
            <w:pPr>
              <w:spacing w:line="360" w:lineRule="auto"/>
              <w:rPr>
                <w:rFonts w:hint="default"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 w:val="0"/>
                <w:bCs w:val="0"/>
                <w:color w:val="auto"/>
                <w:kern w:val="2"/>
                <w:sz w:val="24"/>
                <w:szCs w:val="24"/>
                <w:highlight w:val="none"/>
                <w:u w:val="none"/>
                <w:lang w:val="en-US" w:eastAsia="zh-CN"/>
              </w:rPr>
              <w:t>9.系统中提供的表格与采购文件中不一致时，以采购文件中提供的表格格式为准。</w:t>
            </w:r>
          </w:p>
        </w:tc>
      </w:tr>
    </w:tbl>
    <w:p w14:paraId="0B23396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3" w:name="_Toc27470"/>
      <w:bookmarkStart w:id="14"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3"/>
      <w:bookmarkEnd w:id="14"/>
    </w:p>
    <w:p w14:paraId="008BC1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3F10D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7326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17411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026383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4E695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500E3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3466C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58F6A7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44D6F11">
      <w:pPr>
        <w:spacing w:line="360" w:lineRule="auto"/>
        <w:ind w:firstLine="435"/>
        <w:rPr>
          <w:rFonts w:ascii="宋体" w:hAnsi="宋体" w:eastAsia="宋体"/>
          <w:color w:val="auto"/>
          <w:sz w:val="24"/>
          <w:highlight w:val="none"/>
        </w:rPr>
      </w:pPr>
      <w:bookmarkStart w:id="15"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5"/>
    <w:p w14:paraId="667F6A41">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94A9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2002A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19119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6677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20BAF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A84B3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763EB2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0857359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D99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0F9028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037EF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2D83F7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9143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BF0BB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6D4F3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DA60B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089996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8D31E7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F6F11B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D0D384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5E7C9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6B907D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DE6CE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3643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343A3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795E5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86A3C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6" w:name="_Hlk16458572"/>
      <w:r>
        <w:rPr>
          <w:rFonts w:hint="eastAsia" w:ascii="宋体" w:hAnsi="宋体" w:eastAsia="宋体"/>
          <w:color w:val="auto"/>
          <w:sz w:val="24"/>
          <w:szCs w:val="18"/>
          <w:highlight w:val="none"/>
        </w:rPr>
        <w:t>安徽省政府采购网</w:t>
      </w:r>
      <w:bookmarkEnd w:id="16"/>
      <w:r>
        <w:rPr>
          <w:rFonts w:hint="eastAsia" w:ascii="宋体" w:hAnsi="宋体" w:eastAsia="宋体"/>
          <w:color w:val="auto"/>
          <w:sz w:val="24"/>
          <w:szCs w:val="18"/>
          <w:highlight w:val="none"/>
        </w:rPr>
        <w:t>和滁州市公共资源交易中心网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79FEE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6AB82DD4">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27C641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EEEAD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90F68B1">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ADA4C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628AD6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BADA5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091B35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8D8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5CD4DDC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DE6A2F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082102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44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21F3A0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EED7A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907C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43E18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70DA7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19C05F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6B3A5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32C6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C9D79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46AD0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B3BE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E711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BA3453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5FB3F2B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C0774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C63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4899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3F42C0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E94E0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D2B04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6B611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2062B1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51AB02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692364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5E59AE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D1FBF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11194B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1E81B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3AE52A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41AE2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DDB2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1BF7DB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1AFD2F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22A1D8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9945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64C78B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318E46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D6F56A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3A24D5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560842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0DB0E5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44B23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95F71E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6CAD13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848BEA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8E25A1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752CE918">
      <w:pPr>
        <w:spacing w:line="360" w:lineRule="auto"/>
        <w:ind w:firstLine="435"/>
        <w:rPr>
          <w:rFonts w:hint="eastAsia"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7E38277">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5054C3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16F9C39">
      <w:pPr>
        <w:spacing w:line="520" w:lineRule="exact"/>
        <w:ind w:firstLine="435"/>
        <w:rPr>
          <w:rFonts w:hint="eastAsia" w:ascii="宋体" w:hAnsi="宋体" w:eastAsia="宋体" w:cs="宋体"/>
          <w:color w:val="auto"/>
          <w:kern w:val="0"/>
          <w:sz w:val="24"/>
          <w:szCs w:val="20"/>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kern w:val="0"/>
          <w:sz w:val="24"/>
          <w:szCs w:val="20"/>
          <w:highlight w:val="none"/>
        </w:rPr>
        <w:t>（本项目约定为两次报价）</w:t>
      </w:r>
    </w:p>
    <w:p w14:paraId="5F3F32B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color w:val="auto"/>
          <w:kern w:val="0"/>
          <w:sz w:val="24"/>
          <w:szCs w:val="20"/>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须签字盖章），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4C693C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3E54B4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2245E87">
      <w:pPr>
        <w:spacing w:line="360" w:lineRule="auto"/>
        <w:ind w:firstLine="435"/>
        <w:rPr>
          <w:rFonts w:asciiTheme="majorEastAsia" w:hAnsiTheme="majorEastAsia" w:eastAsiaTheme="majorEastAsia"/>
          <w:color w:val="auto"/>
          <w:sz w:val="24"/>
          <w:highlight w:val="none"/>
        </w:rPr>
      </w:pPr>
      <w:bookmarkStart w:id="17" w:name="_Hlk60607655"/>
      <w:bookmarkStart w:id="18"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18E02C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FCBA00C">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17"/>
    </w:p>
    <w:bookmarkEnd w:id="18"/>
    <w:p w14:paraId="3A6A90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75B9B4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F8183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FDE73B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28F04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0D0DE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8CA56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3A1C9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55EB7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95CA5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3B437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采购代理机构将在安徽省政府采购网（www.ccgp-anhui.gov.cn）和滁州市公共资源交易中心网</w:t>
      </w:r>
      <w:r>
        <w:rPr>
          <w:rFonts w:asciiTheme="minorEastAsia" w:hAnsiTheme="minorEastAsia" w:eastAsiaTheme="minorEastAsia"/>
          <w:color w:val="auto"/>
          <w:sz w:val="24"/>
          <w:highlight w:val="none"/>
        </w:rPr>
        <w:t>上发布成交结果公告。</w:t>
      </w:r>
    </w:p>
    <w:p w14:paraId="4A50FB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服务范围、服务要求、服务时间、服务标准</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10F1C1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452F4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宋体" w:hAnsi="宋体" w:eastAsia="宋体"/>
          <w:color w:val="auto"/>
          <w:sz w:val="24"/>
          <w:highlight w:val="none"/>
        </w:rPr>
        <w:t>。成交通知书须加盖采购人、采购代理机构公章并经公共资源交易中心加盖见证章后，方可发出</w:t>
      </w:r>
      <w:r>
        <w:rPr>
          <w:rFonts w:ascii="宋体" w:hAnsi="宋体" w:eastAsia="宋体"/>
          <w:color w:val="auto"/>
          <w:sz w:val="24"/>
          <w:highlight w:val="none"/>
        </w:rPr>
        <w:t>。</w:t>
      </w:r>
    </w:p>
    <w:p w14:paraId="23F6F1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F01F7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0D5F69F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12AB1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53E3F12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02EF77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787DC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0FCFC9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30534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2DC18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8BA30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5DAE7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B4C9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074BD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002312B1">
      <w:pPr>
        <w:spacing w:line="360" w:lineRule="auto"/>
        <w:ind w:firstLine="470" w:firstLineChars="196"/>
        <w:rPr>
          <w:rFonts w:ascii="宋体" w:hAnsi="宋体" w:eastAsia="宋体"/>
          <w:color w:val="auto"/>
          <w:sz w:val="24"/>
          <w:highlight w:val="none"/>
        </w:rPr>
      </w:pPr>
      <w:bookmarkStart w:id="19"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19"/>
    </w:p>
    <w:p w14:paraId="586665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6A2F36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1022C9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ADE0EA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24BB8D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EC771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B2CAC56">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u w:val="none"/>
        </w:rPr>
        <w:t>。</w:t>
      </w:r>
    </w:p>
    <w:p w14:paraId="13D431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u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r>
        <w:rPr>
          <w:rFonts w:hint="eastAsia" w:ascii="宋体" w:hAnsi="宋体" w:eastAsia="宋体"/>
          <w:color w:val="auto"/>
          <w:sz w:val="24"/>
          <w:highlight w:val="none"/>
        </w:rPr>
        <w:t>。</w:t>
      </w:r>
    </w:p>
    <w:p w14:paraId="608642C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3B1C9F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60F5011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E62023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0E2723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30.3政府采购监督管理部门在处理投诉事项期间，可以视具体情况书面通知采购人暂停采购活动，但暂停时间最长不得超过30日。</w:t>
      </w:r>
    </w:p>
    <w:p w14:paraId="4A5A3C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7816682">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0031BB0E">
      <w:pPr>
        <w:spacing w:line="360" w:lineRule="auto"/>
        <w:jc w:val="center"/>
        <w:outlineLvl w:val="0"/>
        <w:rPr>
          <w:rFonts w:asciiTheme="minorEastAsia" w:hAnsiTheme="minorEastAsia" w:eastAsiaTheme="minorEastAsia"/>
          <w:b/>
          <w:color w:val="auto"/>
          <w:sz w:val="28"/>
          <w:highlight w:val="none"/>
        </w:rPr>
      </w:pPr>
      <w:bookmarkStart w:id="20" w:name="_Toc19440"/>
      <w:bookmarkStart w:id="21" w:name="_Toc28125"/>
      <w:r>
        <w:rPr>
          <w:rFonts w:hint="eastAsia" w:asciiTheme="minorEastAsia" w:hAnsiTheme="minorEastAsia" w:eastAsiaTheme="minorEastAsia"/>
          <w:b/>
          <w:color w:val="auto"/>
          <w:sz w:val="28"/>
          <w:highlight w:val="none"/>
        </w:rPr>
        <w:t>第三章  采购需求</w:t>
      </w:r>
      <w:bookmarkEnd w:id="20"/>
      <w:bookmarkEnd w:id="21"/>
    </w:p>
    <w:p w14:paraId="3A89F79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0DE19B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13E6F22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28A055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在响应文件中提供</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2796F1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A8852E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6D3A75CF">
      <w:pPr>
        <w:spacing w:line="360" w:lineRule="auto"/>
        <w:ind w:firstLine="437"/>
        <w:outlineLvl w:val="1"/>
        <w:rPr>
          <w:rFonts w:ascii="宋体" w:hAnsi="宋体" w:eastAsia="宋体"/>
          <w:b/>
          <w:color w:val="auto"/>
          <w:sz w:val="24"/>
          <w:szCs w:val="18"/>
          <w:highlight w:val="none"/>
        </w:rPr>
      </w:pPr>
      <w:bookmarkStart w:id="22" w:name="_Toc26349"/>
      <w:bookmarkStart w:id="23" w:name="_Toc7699"/>
      <w:r>
        <w:rPr>
          <w:rFonts w:hint="eastAsia" w:ascii="宋体" w:hAnsi="宋体" w:eastAsia="宋体"/>
          <w:b/>
          <w:color w:val="auto"/>
          <w:sz w:val="24"/>
          <w:szCs w:val="18"/>
          <w:highlight w:val="none"/>
        </w:rPr>
        <w:t>一、采购需求前附表</w:t>
      </w:r>
      <w:bookmarkEnd w:id="22"/>
      <w:bookmarkEnd w:id="2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40B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B267A2">
            <w:pPr>
              <w:pStyle w:val="4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24" w:name="_Hlk16461016"/>
            <w:r>
              <w:rPr>
                <w:rFonts w:hint="eastAsia" w:ascii="宋体" w:hAnsi="宋体" w:eastAsia="宋体"/>
                <w:b/>
                <w:color w:val="auto"/>
                <w:kern w:val="2"/>
                <w:highlight w:val="none"/>
              </w:rPr>
              <w:t>序号</w:t>
            </w:r>
          </w:p>
        </w:tc>
        <w:tc>
          <w:tcPr>
            <w:tcW w:w="1192" w:type="pct"/>
            <w:vAlign w:val="center"/>
          </w:tcPr>
          <w:p w14:paraId="6A3505F7">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D365F77">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6D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8A1A8D">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1019F99">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56CFE9D4">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合同签订后可支付合同价的40%预付款（预付款支付前，中标人须提供同等金额的见索即付保函）</w:t>
            </w:r>
            <w:r>
              <w:rPr>
                <w:rFonts w:hint="eastAsia" w:ascii="宋体" w:hAnsi="宋体" w:eastAsia="宋体"/>
                <w:b w:val="0"/>
                <w:color w:val="auto"/>
                <w:sz w:val="24"/>
                <w:highlight w:val="none"/>
                <w:u w:val="single"/>
                <w:lang w:val="en-US" w:eastAsia="zh-CN"/>
              </w:rPr>
              <w:t>。</w:t>
            </w:r>
          </w:p>
          <w:p w14:paraId="686CC20B">
            <w:pPr>
              <w:pStyle w:val="45"/>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single"/>
                <w:lang w:val="en-US" w:eastAsia="zh-CN"/>
              </w:rPr>
              <w:t>后期根据施工请款资料，每四个月按照完成合格工程量的85%支付监理费，累计支付至监理范围内全部合格工程量的85%（首次支付进度款时扣回，一次性扣回，扣完为止），停止拨付，竣工验收合格、施工结算、资料归档及审计结束后付至结算总价的100%</w:t>
            </w:r>
            <w:r>
              <w:rPr>
                <w:rFonts w:hint="eastAsia" w:ascii="宋体" w:hAnsi="宋体" w:eastAsia="宋体"/>
                <w:b w:val="0"/>
                <w:color w:val="auto"/>
                <w:sz w:val="24"/>
                <w:highlight w:val="none"/>
                <w:u w:val="single"/>
              </w:rPr>
              <w:t>。</w:t>
            </w:r>
          </w:p>
        </w:tc>
      </w:tr>
      <w:tr w14:paraId="345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D2FD4F">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EA04B91">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97EC722">
            <w:pPr>
              <w:pStyle w:val="45"/>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滁州市南谯区</w:t>
            </w:r>
          </w:p>
        </w:tc>
      </w:tr>
      <w:tr w14:paraId="275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D354FD">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5CDCA40A">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62D6374B">
            <w:pPr>
              <w:pStyle w:val="45"/>
              <w:widowControl w:val="0"/>
              <w:spacing w:before="0" w:beforeAutospacing="0" w:after="0" w:afterAutospacing="0" w:line="360" w:lineRule="auto"/>
              <w:jc w:val="both"/>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自合同签订之日起至本项目竣工结算及保修阶段（缺陷责任期）期满止。</w:t>
            </w:r>
          </w:p>
          <w:p w14:paraId="559C04F9">
            <w:pPr>
              <w:pStyle w:val="45"/>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color w:val="auto"/>
                <w:sz w:val="24"/>
                <w:szCs w:val="18"/>
                <w:highlight w:val="none"/>
                <w:lang w:val="en-US" w:eastAsia="zh-CN"/>
              </w:rPr>
              <w:t>系统中暂按365天填写。</w:t>
            </w:r>
          </w:p>
        </w:tc>
      </w:tr>
      <w:tr w14:paraId="6A7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0" w:type="pct"/>
            <w:vAlign w:val="center"/>
          </w:tcPr>
          <w:p w14:paraId="1F59B19C">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75074A5C">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3D1DF6E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滁州市紫薇与清流路交口肯帝亚地块棚户区改造（二期）项目监理（重新发布）</w:t>
            </w:r>
          </w:p>
          <w:p w14:paraId="479E0895">
            <w:pPr>
              <w:rPr>
                <w:rFonts w:hint="default" w:ascii="宋体" w:hAnsi="宋体" w:eastAsiaTheme="minorEastAsia"/>
                <w:b w:val="0"/>
                <w:color w:val="auto"/>
                <w:sz w:val="24"/>
                <w:highlight w:val="none"/>
                <w:u w:val="single"/>
                <w:lang w:val="en-US" w:eastAsia="zh-CN"/>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tbl>
    <w:p w14:paraId="4B061E3C">
      <w:pPr>
        <w:spacing w:line="360" w:lineRule="auto"/>
        <w:ind w:firstLine="437"/>
        <w:outlineLvl w:val="1"/>
        <w:rPr>
          <w:rFonts w:hint="eastAsia" w:ascii="宋体" w:hAnsi="宋体" w:eastAsia="宋体"/>
          <w:b/>
          <w:color w:val="auto"/>
          <w:sz w:val="24"/>
          <w:szCs w:val="18"/>
          <w:highlight w:val="none"/>
        </w:rPr>
      </w:pPr>
      <w:bookmarkStart w:id="25" w:name="_Toc23116"/>
      <w:bookmarkStart w:id="26" w:name="_Toc25144"/>
      <w:r>
        <w:rPr>
          <w:rFonts w:hint="eastAsia" w:ascii="宋体" w:hAnsi="宋体" w:eastAsia="宋体"/>
          <w:b/>
          <w:color w:val="auto"/>
          <w:sz w:val="24"/>
          <w:szCs w:val="18"/>
          <w:highlight w:val="none"/>
        </w:rPr>
        <w:t>二、项目概况</w:t>
      </w:r>
      <w:bookmarkEnd w:id="25"/>
      <w:bookmarkEnd w:id="26"/>
    </w:p>
    <w:p w14:paraId="7339B9F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滁州市紫薇与清流路交口肯帝亚地块棚户区改造项目11#、15#、17#、18#楼地上部分，本项目位于安徽省滁州市琅琊区 ，总建筑面积：297953.87</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sz w:val="24"/>
          <w:szCs w:val="24"/>
          <w:highlight w:val="none"/>
          <w:lang w:eastAsia="zh-CN"/>
        </w:rPr>
        <w:t>包括11#、15#、17#、18#住宅楼地上部分。</w:t>
      </w:r>
    </w:p>
    <w:p w14:paraId="0208D526">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其中：11#楼地上面积：12231.27m2,地上26层；</w:t>
      </w:r>
    </w:p>
    <w:p w14:paraId="458BD4FE">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15#楼地上面积：12778.44m2，地上26层；</w:t>
      </w:r>
    </w:p>
    <w:p w14:paraId="745D4E35">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17#楼地上面积：9936.96m2,地上23层；</w:t>
      </w:r>
    </w:p>
    <w:p w14:paraId="455EEBA6">
      <w:pPr>
        <w:numPr>
          <w:ilvl w:val="0"/>
          <w:numId w:val="0"/>
        </w:numPr>
        <w:spacing w:line="360" w:lineRule="auto"/>
        <w:ind w:left="437" w:leftChars="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18#楼地上面积：11218.62m2,地上26层</w:t>
      </w:r>
      <w:bookmarkStart w:id="27" w:name="_Toc13016"/>
      <w:bookmarkStart w:id="28" w:name="_Toc27920"/>
      <w:r>
        <w:rPr>
          <w:rFonts w:hint="eastAsia" w:ascii="宋体" w:hAnsi="宋体" w:eastAsia="宋体" w:cs="宋体"/>
          <w:color w:val="auto"/>
          <w:sz w:val="24"/>
          <w:szCs w:val="24"/>
          <w:highlight w:val="none"/>
          <w:lang w:eastAsia="zh-CN"/>
        </w:rPr>
        <w:t>。</w:t>
      </w:r>
    </w:p>
    <w:p w14:paraId="276EE225">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服务需求</w:t>
      </w:r>
      <w:bookmarkEnd w:id="27"/>
      <w:bookmarkEnd w:id="28"/>
    </w:p>
    <w:p w14:paraId="782A3D49">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1、本次采购内容为</w:t>
      </w:r>
      <w:r>
        <w:rPr>
          <w:rFonts w:hint="eastAsia" w:ascii="宋体" w:hAnsi="宋体" w:eastAsia="宋体" w:cs="宋体"/>
          <w:color w:val="auto"/>
          <w:sz w:val="24"/>
          <w:szCs w:val="24"/>
          <w:highlight w:val="none"/>
          <w:lang w:eastAsia="zh-CN"/>
        </w:rPr>
        <w:t>施工阶段的全过程监理，具体包括但不限于本工程的施工准备阶段，协助采购人开展上述前期工作，接受采购人安排履行项目各项前期手续、施工阶段的质量、安全、造价控制及工期的全过程、竣工结算阶段、保修阶段（缺陷责任期）的监理服务以及国家法律法规规定的其他监理服务。</w:t>
      </w:r>
    </w:p>
    <w:p w14:paraId="66ED7222">
      <w:pPr>
        <w:spacing w:line="360" w:lineRule="auto"/>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人员配备</w:t>
      </w:r>
      <w:r>
        <w:rPr>
          <w:rFonts w:hint="eastAsia" w:ascii="宋体" w:hAnsi="宋体" w:eastAsia="宋体" w:cs="宋体"/>
          <w:b/>
          <w:bCs/>
          <w:color w:val="auto"/>
          <w:sz w:val="24"/>
          <w:szCs w:val="24"/>
          <w:highlight w:val="none"/>
          <w:lang w:val="en-US" w:eastAsia="zh-CN"/>
        </w:rPr>
        <w:t>（以下人员配备为本项目的最低配备要求，未按下列人员要求配备齐全监理人员的，视为不响应竞争性磋商文件，按无效标处理）</w:t>
      </w:r>
    </w:p>
    <w:p w14:paraId="68BBB2E6">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）总监理工程师 1 人（总监须具有国家级注册监理工程师执业资格，注册专业为</w:t>
      </w:r>
      <w:r>
        <w:rPr>
          <w:rFonts w:hint="eastAsia" w:ascii="宋体" w:hAnsi="宋体" w:eastAsia="宋体" w:cs="宋体"/>
          <w:color w:val="auto"/>
          <w:sz w:val="24"/>
          <w:szCs w:val="24"/>
          <w:highlight w:val="none"/>
          <w:lang w:val="en-US" w:eastAsia="zh-CN"/>
        </w:rPr>
        <w:t>房屋建筑</w:t>
      </w:r>
      <w:r>
        <w:rPr>
          <w:rFonts w:hint="eastAsia" w:ascii="宋体" w:hAnsi="宋体" w:eastAsia="宋体" w:cs="宋体"/>
          <w:color w:val="auto"/>
          <w:sz w:val="24"/>
          <w:szCs w:val="24"/>
          <w:highlight w:val="none"/>
          <w:lang w:eastAsia="zh-CN"/>
        </w:rPr>
        <w:t>工程专业），不多于两个在建项目且项目建设单位书面同意参与本项目总监投标履约。</w:t>
      </w:r>
    </w:p>
    <w:p w14:paraId="47B521BB">
      <w:pPr>
        <w:spacing w:line="360" w:lineRule="auto"/>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注：①</w:t>
      </w:r>
      <w:r>
        <w:rPr>
          <w:rFonts w:hint="eastAsia" w:ascii="宋体" w:hAnsi="宋体" w:eastAsia="宋体" w:cs="宋体"/>
          <w:b/>
          <w:bCs/>
          <w:color w:val="auto"/>
          <w:sz w:val="24"/>
          <w:szCs w:val="24"/>
          <w:highlight w:val="none"/>
          <w:lang w:eastAsia="zh-CN"/>
        </w:rPr>
        <w:t>投标人拟派的总监理工程师不多于两个在建项目（</w:t>
      </w:r>
      <w:r>
        <w:rPr>
          <w:rFonts w:hint="eastAsia" w:ascii="宋体" w:hAnsi="宋体" w:eastAsia="宋体" w:cs="宋体"/>
          <w:b/>
          <w:bCs/>
          <w:color w:val="auto"/>
          <w:sz w:val="24"/>
          <w:szCs w:val="24"/>
          <w:highlight w:val="none"/>
          <w:lang w:val="en-US" w:eastAsia="zh-CN"/>
        </w:rPr>
        <w:t>需在响应文件中提供承诺书</w:t>
      </w:r>
      <w:r>
        <w:rPr>
          <w:rFonts w:hint="eastAsia" w:ascii="宋体" w:hAnsi="宋体" w:eastAsia="宋体" w:cs="宋体"/>
          <w:b/>
          <w:bCs/>
          <w:color w:val="auto"/>
          <w:sz w:val="24"/>
          <w:szCs w:val="24"/>
          <w:highlight w:val="none"/>
          <w:lang w:eastAsia="zh-CN"/>
        </w:rPr>
        <w:t>）。</w:t>
      </w:r>
    </w:p>
    <w:p w14:paraId="4084DFFE">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②投标人拟派的总监理工程师不多于两个在建项目的，须提供项目建设单位书面同意总监参与本项目响应履约的证明材料（格式自拟，需在响应文件中提供证明材料须加盖项目建设单位公章）。</w:t>
      </w:r>
    </w:p>
    <w:p w14:paraId="1ECB8C18">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专业监理工程师</w:t>
      </w:r>
      <w:r>
        <w:rPr>
          <w:rFonts w:hint="eastAsia" w:ascii="宋体" w:hAnsi="宋体" w:eastAsia="宋体" w:cs="宋体"/>
          <w:color w:val="auto"/>
          <w:sz w:val="24"/>
          <w:szCs w:val="24"/>
          <w:highlight w:val="none"/>
          <w:lang w:val="en-US" w:eastAsia="zh-CN"/>
        </w:rPr>
        <w:t>不少于1</w:t>
      </w:r>
      <w:r>
        <w:rPr>
          <w:rFonts w:hint="eastAsia" w:ascii="宋体" w:hAnsi="宋体" w:eastAsia="宋体" w:cs="宋体"/>
          <w:color w:val="auto"/>
          <w:sz w:val="24"/>
          <w:szCs w:val="24"/>
          <w:highlight w:val="none"/>
          <w:lang w:eastAsia="zh-CN"/>
        </w:rPr>
        <w:t>人【具有</w:t>
      </w:r>
      <w:r>
        <w:rPr>
          <w:rFonts w:hint="eastAsia" w:ascii="宋体" w:hAnsi="宋体" w:eastAsia="宋体" w:cs="宋体"/>
          <w:color w:val="auto"/>
          <w:sz w:val="24"/>
          <w:szCs w:val="24"/>
          <w:highlight w:val="none"/>
          <w:lang w:val="en-US" w:eastAsia="zh-CN"/>
        </w:rPr>
        <w:t>房屋建筑</w:t>
      </w:r>
      <w:r>
        <w:rPr>
          <w:rFonts w:hint="eastAsia" w:ascii="宋体" w:hAnsi="宋体" w:eastAsia="宋体" w:cs="宋体"/>
          <w:color w:val="auto"/>
          <w:sz w:val="24"/>
          <w:szCs w:val="24"/>
          <w:highlight w:val="none"/>
          <w:lang w:eastAsia="zh-CN"/>
        </w:rPr>
        <w:t>工程专业省级及以上监理工程师证书。专业监理工程师的专业以注册专业（或学历专业或职称专业）为准，以学历专业（或职称专业）证明其专业的，除需省级监理工程师证书外，还需学历证书（或职称证书）。专业监理工程师可以采用国家级注册监理工程师代替，但其专业应满足上述要求】</w:t>
      </w:r>
    </w:p>
    <w:p w14:paraId="7A82E1F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监理员</w:t>
      </w:r>
      <w:r>
        <w:rPr>
          <w:rFonts w:hint="eastAsia" w:ascii="宋体" w:hAnsi="宋体" w:eastAsia="宋体" w:cs="宋体"/>
          <w:color w:val="auto"/>
          <w:sz w:val="24"/>
          <w:szCs w:val="24"/>
          <w:highlight w:val="none"/>
          <w:lang w:val="en-US" w:eastAsia="zh-CN"/>
        </w:rPr>
        <w:t xml:space="preserve">不少于1人； </w:t>
      </w:r>
    </w:p>
    <w:p w14:paraId="72A9EBC8">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见证员</w:t>
      </w:r>
      <w:r>
        <w:rPr>
          <w:rFonts w:hint="eastAsia" w:ascii="宋体" w:hAnsi="宋体" w:eastAsia="宋体" w:cs="宋体"/>
          <w:color w:val="auto"/>
          <w:sz w:val="24"/>
          <w:szCs w:val="24"/>
          <w:highlight w:val="none"/>
          <w:lang w:val="en-US" w:eastAsia="zh-CN"/>
        </w:rPr>
        <w:t>不少于1人(可由监理员兼任)</w:t>
      </w:r>
      <w:r>
        <w:rPr>
          <w:rFonts w:hint="eastAsia" w:ascii="宋体" w:hAnsi="宋体" w:eastAsia="宋体" w:cs="宋体"/>
          <w:color w:val="auto"/>
          <w:sz w:val="24"/>
          <w:szCs w:val="24"/>
          <w:highlight w:val="none"/>
          <w:lang w:eastAsia="zh-CN"/>
        </w:rPr>
        <w:t>；</w:t>
      </w:r>
    </w:p>
    <w:p w14:paraId="76BE896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响应时仅须按要求提供总监理工程师的注册监理工程证书</w:t>
      </w:r>
      <w:r>
        <w:rPr>
          <w:rFonts w:hint="eastAsia" w:ascii="宋体" w:hAnsi="宋体" w:eastAsia="宋体" w:cs="宋体"/>
          <w:color w:val="auto"/>
          <w:sz w:val="24"/>
          <w:szCs w:val="24"/>
          <w:highlight w:val="none"/>
          <w:lang w:val="en-US" w:eastAsia="zh-CN"/>
        </w:rPr>
        <w:t>，其他人员在投标文件中按投标文件格式“拟组建的监理部人员情况一览表”中填写人员信息即可，无需提供人员证书等证明材料。</w:t>
      </w:r>
    </w:p>
    <w:p w14:paraId="78158A4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3、监理单位进驻现场后，须按施工现场情况增加或调整人员数量和相关专业，费用不予调整。现场监理人员不得随意更换或减少；</w:t>
      </w:r>
    </w:p>
    <w:p w14:paraId="7551D88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4、监理单位根据施工现场情况或采购人需求，在分项专业施工时，拟派相关专业人员在场监理服务。费用全部含在投标报价中，采购人不再另行支付任何费用。</w:t>
      </w:r>
    </w:p>
    <w:p w14:paraId="078563A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5.本项目监理费用最终支付以工程结算总造价为计费基数，监理费用=工程结算总造价*中标费率。中标后中标费率不予调整。无论任何原因导致的工期延长，委托人均不再增加监理费用。</w:t>
      </w:r>
    </w:p>
    <w:p w14:paraId="5CD8EF2E">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如由于工程量减少等原因造成监理费用减少，不得向建设单位提出索赔。</w:t>
      </w:r>
    </w:p>
    <w:bookmarkEnd w:id="24"/>
    <w:p w14:paraId="4468C46D">
      <w:pPr>
        <w:rPr>
          <w:rFonts w:hint="default"/>
          <w:lang w:val="en-US" w:eastAsia="zh-CN"/>
        </w:rPr>
      </w:pPr>
    </w:p>
    <w:p w14:paraId="2D9CD889">
      <w:pPr>
        <w:spacing w:line="360" w:lineRule="auto"/>
        <w:rPr>
          <w:rFonts w:asciiTheme="minorEastAsia" w:hAnsiTheme="minorEastAsia" w:eastAsiaTheme="minorEastAsia"/>
          <w:color w:val="auto"/>
          <w:sz w:val="24"/>
          <w:highlight w:val="none"/>
        </w:rPr>
      </w:pPr>
    </w:p>
    <w:p w14:paraId="7686852F">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color w:val="auto"/>
          <w:sz w:val="28"/>
          <w:highlight w:val="none"/>
        </w:rPr>
      </w:pPr>
      <w:bookmarkStart w:id="29" w:name="_Toc17554"/>
      <w:bookmarkStart w:id="30" w:name="_Toc8668"/>
      <w:r>
        <w:rPr>
          <w:rFonts w:hint="eastAsia" w:asciiTheme="minorEastAsia" w:hAnsiTheme="minorEastAsia" w:eastAsiaTheme="minorEastAsia"/>
          <w:b/>
          <w:color w:val="auto"/>
          <w:sz w:val="28"/>
          <w:highlight w:val="none"/>
        </w:rPr>
        <w:t>第四章  评审方法和标准</w:t>
      </w:r>
      <w:bookmarkEnd w:id="29"/>
      <w:bookmarkEnd w:id="30"/>
    </w:p>
    <w:p w14:paraId="0230286B">
      <w:pPr>
        <w:spacing w:line="360" w:lineRule="auto"/>
        <w:ind w:firstLine="437"/>
        <w:outlineLvl w:val="1"/>
        <w:rPr>
          <w:rFonts w:asciiTheme="minorEastAsia" w:hAnsiTheme="minorEastAsia" w:eastAsiaTheme="minorEastAsia"/>
          <w:b/>
          <w:color w:val="auto"/>
          <w:sz w:val="24"/>
          <w:highlight w:val="none"/>
        </w:rPr>
      </w:pPr>
      <w:bookmarkStart w:id="31" w:name="_Toc21211"/>
      <w:bookmarkStart w:id="32" w:name="_Toc12199"/>
      <w:r>
        <w:rPr>
          <w:rFonts w:hint="eastAsia" w:asciiTheme="minorEastAsia" w:hAnsiTheme="minorEastAsia" w:eastAsiaTheme="minorEastAsia"/>
          <w:b/>
          <w:color w:val="auto"/>
          <w:sz w:val="24"/>
          <w:highlight w:val="none"/>
        </w:rPr>
        <w:t>一、总则</w:t>
      </w:r>
      <w:bookmarkEnd w:id="31"/>
      <w:bookmarkEnd w:id="32"/>
    </w:p>
    <w:p w14:paraId="03A108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1A8A375">
      <w:pPr>
        <w:spacing w:line="360" w:lineRule="auto"/>
        <w:ind w:firstLine="437"/>
        <w:outlineLvl w:val="1"/>
        <w:rPr>
          <w:rFonts w:asciiTheme="minorEastAsia" w:hAnsiTheme="minorEastAsia" w:eastAsiaTheme="minorEastAsia"/>
          <w:b/>
          <w:color w:val="auto"/>
          <w:sz w:val="24"/>
          <w:highlight w:val="none"/>
        </w:rPr>
      </w:pPr>
      <w:bookmarkStart w:id="33" w:name="_Toc16885"/>
      <w:bookmarkStart w:id="34" w:name="_Toc13039"/>
      <w:r>
        <w:rPr>
          <w:rFonts w:hint="eastAsia" w:asciiTheme="minorEastAsia" w:hAnsiTheme="minorEastAsia" w:eastAsiaTheme="minorEastAsia"/>
          <w:b/>
          <w:color w:val="auto"/>
          <w:sz w:val="24"/>
          <w:highlight w:val="none"/>
        </w:rPr>
        <w:t>二、评审方法</w:t>
      </w:r>
      <w:bookmarkEnd w:id="33"/>
      <w:bookmarkEnd w:id="34"/>
    </w:p>
    <w:p w14:paraId="5A7B5BFF">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C959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99"/>
        <w:gridCol w:w="4964"/>
        <w:gridCol w:w="2093"/>
      </w:tblGrid>
      <w:tr w14:paraId="7D2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025ABD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2D55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32FDCDE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BF8148">
            <w:pPr>
              <w:pStyle w:val="46"/>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3967CB8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95" w:type="pct"/>
            <w:tcBorders>
              <w:bottom w:val="single" w:color="auto" w:sz="4" w:space="0"/>
            </w:tcBorders>
            <w:vAlign w:val="center"/>
          </w:tcPr>
          <w:p w14:paraId="4D2DD44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7F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2" w:type="pct"/>
            <w:tcBorders>
              <w:bottom w:val="single" w:color="auto" w:sz="4" w:space="0"/>
            </w:tcBorders>
            <w:vAlign w:val="center"/>
          </w:tcPr>
          <w:p w14:paraId="160D9948">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D0AD89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74CF4C4F">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D70A79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EFC484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9166E77">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273AD47">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95" w:type="pct"/>
            <w:vAlign w:val="center"/>
          </w:tcPr>
          <w:p w14:paraId="6EE6ED78">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98F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2" w:type="pct"/>
            <w:tcBorders>
              <w:bottom w:val="single" w:color="auto" w:sz="4" w:space="0"/>
            </w:tcBorders>
            <w:vAlign w:val="center"/>
          </w:tcPr>
          <w:p w14:paraId="5894E8A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1003AF3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0" w:type="pct"/>
            <w:tcBorders>
              <w:bottom w:val="single" w:color="auto" w:sz="4" w:space="0"/>
            </w:tcBorders>
            <w:vAlign w:val="center"/>
          </w:tcPr>
          <w:p w14:paraId="1903538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95" w:type="pct"/>
            <w:vAlign w:val="center"/>
          </w:tcPr>
          <w:p w14:paraId="60D70372">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D6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6AD5DA6">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4F5B237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7D491FA0">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邀请》第4条信誉要求和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5" w:type="pct"/>
            <w:tcBorders>
              <w:bottom w:val="single" w:color="auto" w:sz="4" w:space="0"/>
            </w:tcBorders>
            <w:vAlign w:val="center"/>
          </w:tcPr>
          <w:p w14:paraId="6538DB4E">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7DBB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bottom w:val="single" w:color="auto" w:sz="4" w:space="0"/>
            </w:tcBorders>
            <w:vAlign w:val="center"/>
          </w:tcPr>
          <w:p w14:paraId="6720FE71">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14:paraId="32BF1E3D">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rPr>
              <w:t>中小企业证明文件</w:t>
            </w:r>
          </w:p>
        </w:tc>
        <w:tc>
          <w:tcPr>
            <w:tcW w:w="4556" w:type="dxa"/>
            <w:tcBorders>
              <w:bottom w:val="single" w:color="auto" w:sz="4" w:space="0"/>
            </w:tcBorders>
            <w:vAlign w:val="top"/>
          </w:tcPr>
          <w:p w14:paraId="5865566A">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80767B7">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4F21D63">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920" w:type="dxa"/>
            <w:tcBorders>
              <w:bottom w:val="single" w:color="auto" w:sz="4" w:space="0"/>
            </w:tcBorders>
            <w:vAlign w:val="center"/>
          </w:tcPr>
          <w:p w14:paraId="7F39D9A3">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B9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167D191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shd w:val="clear" w:color="auto" w:fill="auto"/>
            <w:vAlign w:val="center"/>
          </w:tcPr>
          <w:p w14:paraId="74BFA1AA">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kern w:val="2"/>
                <w:sz w:val="24"/>
                <w:szCs w:val="24"/>
                <w:highlight w:val="none"/>
                <w:lang w:val="en-US" w:eastAsia="zh-CN" w:bidi="ar-SA"/>
              </w:rPr>
              <w:t>诚信响应承诺书</w:t>
            </w:r>
          </w:p>
        </w:tc>
        <w:tc>
          <w:tcPr>
            <w:tcW w:w="2600" w:type="pct"/>
            <w:tcBorders>
              <w:bottom w:val="single" w:color="auto" w:sz="4" w:space="0"/>
            </w:tcBorders>
            <w:shd w:val="clear" w:color="auto" w:fill="auto"/>
            <w:vAlign w:val="center"/>
          </w:tcPr>
          <w:p w14:paraId="49E68B49">
            <w:pPr>
              <w:spacing w:after="50" w:line="360" w:lineRule="auto"/>
              <w:ind w:right="-10" w:rightChars="0"/>
              <w:jc w:val="center"/>
              <w:rPr>
                <w:rFonts w:hint="eastAsia" w:ascii="宋体" w:hAnsi="宋体" w:eastAsia="宋体" w:cs="宋体"/>
                <w:color w:val="auto"/>
                <w:spacing w:val="-2"/>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zh-CN" w:bidi="ar-SA"/>
              </w:rPr>
              <w:t>格式、填写要求符合磋商文件规定并加盖供应商电子签章</w:t>
            </w:r>
          </w:p>
        </w:tc>
        <w:tc>
          <w:tcPr>
            <w:tcW w:w="1095" w:type="pct"/>
            <w:tcBorders>
              <w:bottom w:val="single" w:color="auto" w:sz="4" w:space="0"/>
            </w:tcBorders>
            <w:shd w:val="clear" w:color="auto" w:fill="auto"/>
            <w:vAlign w:val="center"/>
          </w:tcPr>
          <w:p w14:paraId="33F95176">
            <w:pPr>
              <w:spacing w:after="50"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详见第六章响应文件格式。</w:t>
            </w:r>
          </w:p>
        </w:tc>
      </w:tr>
      <w:tr w14:paraId="3A35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753DFE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tcBorders>
              <w:bottom w:val="single" w:color="auto" w:sz="4" w:space="0"/>
            </w:tcBorders>
            <w:shd w:val="clear" w:color="auto" w:fill="auto"/>
            <w:vAlign w:val="center"/>
          </w:tcPr>
          <w:p w14:paraId="56AF9AC2">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27782F34">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095" w:type="pct"/>
            <w:tcBorders>
              <w:bottom w:val="single" w:color="auto" w:sz="4" w:space="0"/>
            </w:tcBorders>
            <w:shd w:val="clear" w:color="auto" w:fill="auto"/>
            <w:vAlign w:val="center"/>
          </w:tcPr>
          <w:p w14:paraId="0D21E6C0">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265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29BF3BFB">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shd w:val="clear" w:color="auto" w:fill="auto"/>
            <w:vAlign w:val="center"/>
          </w:tcPr>
          <w:p w14:paraId="1EA89C3D">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磋商响应函</w:t>
            </w:r>
          </w:p>
        </w:tc>
        <w:tc>
          <w:tcPr>
            <w:tcW w:w="2600" w:type="pct"/>
            <w:tcBorders>
              <w:bottom w:val="single" w:color="auto" w:sz="4" w:space="0"/>
            </w:tcBorders>
            <w:shd w:val="clear" w:color="auto" w:fill="auto"/>
            <w:vAlign w:val="center"/>
          </w:tcPr>
          <w:p w14:paraId="13C660EB">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95" w:type="pct"/>
            <w:tcBorders>
              <w:bottom w:val="single" w:color="auto" w:sz="4" w:space="0"/>
            </w:tcBorders>
            <w:shd w:val="clear" w:color="auto" w:fill="auto"/>
            <w:vAlign w:val="center"/>
          </w:tcPr>
          <w:p w14:paraId="301DB32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8D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A41E25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942" w:type="pct"/>
            <w:tcBorders>
              <w:bottom w:val="single" w:color="auto" w:sz="4" w:space="0"/>
            </w:tcBorders>
            <w:shd w:val="clear" w:color="auto" w:fill="auto"/>
            <w:vAlign w:val="center"/>
          </w:tcPr>
          <w:p w14:paraId="022402AB">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600" w:type="pct"/>
            <w:tcBorders>
              <w:bottom w:val="single" w:color="auto" w:sz="4" w:space="0"/>
            </w:tcBorders>
            <w:shd w:val="clear" w:color="auto" w:fill="auto"/>
            <w:vAlign w:val="center"/>
          </w:tcPr>
          <w:p w14:paraId="33BD4C68">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95" w:type="pct"/>
            <w:tcBorders>
              <w:bottom w:val="single" w:color="auto" w:sz="4" w:space="0"/>
            </w:tcBorders>
            <w:shd w:val="clear" w:color="auto" w:fill="auto"/>
            <w:vAlign w:val="center"/>
          </w:tcPr>
          <w:p w14:paraId="207C02F2">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3708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0BFFA57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9</w:t>
            </w:r>
          </w:p>
        </w:tc>
        <w:tc>
          <w:tcPr>
            <w:tcW w:w="942" w:type="pct"/>
            <w:shd w:val="clear" w:color="auto" w:fill="auto"/>
            <w:vAlign w:val="center"/>
          </w:tcPr>
          <w:p w14:paraId="7C5459E6">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0" w:type="pct"/>
            <w:shd w:val="clear" w:color="auto" w:fill="auto"/>
            <w:vAlign w:val="center"/>
          </w:tcPr>
          <w:p w14:paraId="0031EBD4">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95" w:type="pct"/>
            <w:shd w:val="clear" w:color="auto" w:fill="auto"/>
            <w:vAlign w:val="center"/>
          </w:tcPr>
          <w:p w14:paraId="0D2AE422">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6CD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122F764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shd w:val="clear" w:color="auto" w:fill="auto"/>
            <w:vAlign w:val="center"/>
          </w:tcPr>
          <w:p w14:paraId="69E28C0D">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商务响应情况</w:t>
            </w:r>
          </w:p>
        </w:tc>
        <w:tc>
          <w:tcPr>
            <w:tcW w:w="2600" w:type="pct"/>
            <w:shd w:val="clear" w:color="auto" w:fill="auto"/>
            <w:vAlign w:val="center"/>
          </w:tcPr>
          <w:p w14:paraId="551E6396">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符合磋商文件采购需求中对付款方式、服务地点、服务期限等实质性要求</w:t>
            </w:r>
          </w:p>
        </w:tc>
        <w:tc>
          <w:tcPr>
            <w:tcW w:w="1095" w:type="pct"/>
            <w:shd w:val="clear" w:color="auto" w:fill="auto"/>
            <w:vAlign w:val="center"/>
          </w:tcPr>
          <w:p w14:paraId="0F372AB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详见第六章响应文件格式。</w:t>
            </w:r>
          </w:p>
        </w:tc>
      </w:tr>
      <w:tr w14:paraId="268F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651AD33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942" w:type="pct"/>
            <w:shd w:val="clear" w:color="auto" w:fill="auto"/>
            <w:vAlign w:val="center"/>
          </w:tcPr>
          <w:p w14:paraId="007DB32C">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600" w:type="pct"/>
            <w:shd w:val="clear" w:color="auto" w:fill="auto"/>
            <w:vAlign w:val="center"/>
          </w:tcPr>
          <w:p w14:paraId="0BBED11E">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95" w:type="pct"/>
            <w:vAlign w:val="center"/>
          </w:tcPr>
          <w:p w14:paraId="01017BCD">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p>
        </w:tc>
      </w:tr>
    </w:tbl>
    <w:p w14:paraId="6D2AF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4732968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13B02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0529A605">
      <w:pPr>
        <w:spacing w:line="360" w:lineRule="auto"/>
        <w:ind w:firstLine="435"/>
        <w:rPr>
          <w:rFonts w:hint="eastAsia" w:eastAsiaTheme="minorEastAsia"/>
          <w:color w:val="auto"/>
          <w:highlight w:val="non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82</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18</w:t>
      </w:r>
      <w:r>
        <w:rPr>
          <w:rFonts w:asciiTheme="minorEastAsia" w:hAnsiTheme="minorEastAsia" w:eastAsiaTheme="minorEastAsia"/>
          <w:color w:val="auto"/>
          <w:sz w:val="24"/>
          <w:highlight w:val="none"/>
        </w:rPr>
        <w:t>%。具体评分细则如下：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注：每包均按以下评分办法进行评分</w:t>
      </w:r>
      <w:r>
        <w:rPr>
          <w:rFonts w:hint="eastAsia" w:asciiTheme="minorEastAsia" w:hAnsiTheme="minorEastAsia" w:eastAsiaTheme="minorEastAsia"/>
          <w:color w:val="auto"/>
          <w:sz w:val="24"/>
          <w:highlight w:val="none"/>
          <w:lang w:eastAsia="zh-CN"/>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362"/>
        <w:gridCol w:w="5033"/>
        <w:gridCol w:w="1287"/>
      </w:tblGrid>
      <w:tr w14:paraId="40D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 w:type="pct"/>
            <w:tcBorders>
              <w:top w:val="single" w:color="auto" w:sz="4" w:space="0"/>
              <w:left w:val="single" w:color="auto" w:sz="4" w:space="0"/>
              <w:bottom w:val="single" w:color="auto" w:sz="4" w:space="0"/>
              <w:right w:val="single" w:color="auto" w:sz="4" w:space="0"/>
            </w:tcBorders>
            <w:vAlign w:val="center"/>
          </w:tcPr>
          <w:p w14:paraId="5DE26E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33" w:type="pct"/>
            <w:tcBorders>
              <w:top w:val="single" w:color="auto" w:sz="4" w:space="0"/>
              <w:left w:val="single" w:color="auto" w:sz="4" w:space="0"/>
              <w:bottom w:val="single" w:color="auto" w:sz="4" w:space="0"/>
              <w:right w:val="single" w:color="auto" w:sz="4" w:space="0"/>
            </w:tcBorders>
            <w:vAlign w:val="center"/>
          </w:tcPr>
          <w:p w14:paraId="707439E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09" w:type="pct"/>
            <w:tcBorders>
              <w:top w:val="single" w:color="auto" w:sz="4" w:space="0"/>
              <w:left w:val="single" w:color="auto" w:sz="4" w:space="0"/>
              <w:bottom w:val="single" w:color="auto" w:sz="4" w:space="0"/>
              <w:right w:val="single" w:color="auto" w:sz="4" w:space="0"/>
            </w:tcBorders>
            <w:vAlign w:val="center"/>
          </w:tcPr>
          <w:p w14:paraId="3793DE7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92" w:type="pct"/>
            <w:tcBorders>
              <w:top w:val="single" w:color="auto" w:sz="4" w:space="0"/>
              <w:left w:val="single" w:color="auto" w:sz="4" w:space="0"/>
              <w:bottom w:val="single" w:color="auto" w:sz="4" w:space="0"/>
              <w:right w:val="single" w:color="auto" w:sz="4" w:space="0"/>
            </w:tcBorders>
            <w:vAlign w:val="center"/>
          </w:tcPr>
          <w:p w14:paraId="1274877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3A6C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top w:val="single" w:color="auto" w:sz="4" w:space="0"/>
              <w:left w:val="single" w:color="auto" w:sz="4" w:space="0"/>
              <w:right w:val="single" w:color="auto" w:sz="4" w:space="0"/>
            </w:tcBorders>
            <w:vAlign w:val="center"/>
          </w:tcPr>
          <w:p w14:paraId="0999CB4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2A97556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82</w:t>
            </w:r>
            <w:r>
              <w:rPr>
                <w:rFonts w:hint="eastAsia" w:asciiTheme="minorEastAsia" w:hAnsiTheme="minorEastAsia" w:eastAsiaTheme="minorEastAsia"/>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D81ABD3">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资信部分</w:t>
            </w:r>
          </w:p>
        </w:tc>
      </w:tr>
      <w:tr w14:paraId="4EDD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EC551AC">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A799ED5">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供应商业绩</w:t>
            </w:r>
          </w:p>
        </w:tc>
        <w:tc>
          <w:tcPr>
            <w:tcW w:w="2709" w:type="pct"/>
            <w:tcBorders>
              <w:top w:val="single" w:color="auto" w:sz="4" w:space="0"/>
              <w:left w:val="single" w:color="auto" w:sz="4" w:space="0"/>
              <w:bottom w:val="single" w:color="auto" w:sz="4" w:space="0"/>
              <w:right w:val="single" w:color="auto" w:sz="4" w:space="0"/>
            </w:tcBorders>
            <w:vAlign w:val="center"/>
          </w:tcPr>
          <w:p w14:paraId="53127B5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自2022年1月1日至磋商截止日期（业绩时间以竣工时间为准），供应商具有一个房屋建筑监理业绩的得2分，本项最高得2分。</w:t>
            </w:r>
          </w:p>
          <w:p w14:paraId="6D2B4BB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注：（1）响应文件中需提供合同、竣工验收证明材料扫描件，如证明材料中无法体现项目类型等内容，须另外提供业主单位出具的加盖业主单位公章的证明材料。</w:t>
            </w:r>
          </w:p>
          <w:p w14:paraId="12F3B3D8">
            <w:pPr>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供应商投标时只须提供1个评审业绩，若供应商提供业绩个数超过1个，则按照排列顺序从首个业绩开始评审至对应数量（1个），超出部分业绩不进行评审。对应数量（1个）内业绩不符合采购文件要求不得分的，不再补充评审超出部分业绩。</w:t>
            </w:r>
          </w:p>
        </w:tc>
        <w:tc>
          <w:tcPr>
            <w:tcW w:w="692" w:type="pct"/>
            <w:tcBorders>
              <w:top w:val="single" w:color="auto" w:sz="4" w:space="0"/>
              <w:left w:val="single" w:color="auto" w:sz="4" w:space="0"/>
              <w:bottom w:val="single" w:color="auto" w:sz="4" w:space="0"/>
              <w:right w:val="single" w:color="auto" w:sz="4" w:space="0"/>
            </w:tcBorders>
            <w:vAlign w:val="center"/>
          </w:tcPr>
          <w:p w14:paraId="15370AC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196A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96F8B09">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9B86C38">
            <w:pPr>
              <w:spacing w:line="360" w:lineRule="auto"/>
              <w:jc w:val="center"/>
              <w:rPr>
                <w:rFonts w:hint="default" w:asciiTheme="minorEastAsia" w:hAnsiTheme="minorEastAsia" w:eastAsiaTheme="minorEastAsia"/>
                <w:bCs/>
                <w:color w:val="auto"/>
                <w:sz w:val="24"/>
                <w:highlight w:val="none"/>
                <w:lang w:val="en-US" w:eastAsia="zh-CN"/>
              </w:rPr>
            </w:pPr>
            <w:r>
              <w:rPr>
                <w:rFonts w:hint="default" w:cs="@仿宋_GB2312" w:asciiTheme="minorEastAsia" w:hAnsiTheme="minorEastAsia" w:eastAsiaTheme="minorEastAsia"/>
                <w:color w:val="auto"/>
                <w:kern w:val="2"/>
                <w:sz w:val="24"/>
                <w:szCs w:val="20"/>
                <w:highlight w:val="none"/>
                <w:lang w:val="en-US" w:eastAsia="zh-CN" w:bidi="ar-SA"/>
              </w:rPr>
              <w:t>项目负责人（总监理工程师）</w:t>
            </w:r>
            <w:r>
              <w:rPr>
                <w:rFonts w:hint="eastAsia" w:cs="@仿宋_GB2312" w:asciiTheme="minorEastAsia" w:hAnsiTheme="minorEastAsia" w:eastAsiaTheme="minorEastAsia"/>
                <w:color w:val="auto"/>
                <w:kern w:val="2"/>
                <w:sz w:val="24"/>
                <w:szCs w:val="20"/>
                <w:highlight w:val="none"/>
                <w:lang w:val="en-US" w:eastAsia="zh-CN" w:bidi="ar-SA"/>
              </w:rPr>
              <w:t>业绩</w:t>
            </w:r>
          </w:p>
        </w:tc>
        <w:tc>
          <w:tcPr>
            <w:tcW w:w="2709" w:type="pct"/>
            <w:tcBorders>
              <w:top w:val="single" w:color="auto" w:sz="4" w:space="0"/>
              <w:left w:val="single" w:color="auto" w:sz="4" w:space="0"/>
              <w:bottom w:val="single" w:color="auto" w:sz="4" w:space="0"/>
              <w:right w:val="single" w:color="auto" w:sz="4" w:space="0"/>
            </w:tcBorders>
            <w:vAlign w:val="center"/>
          </w:tcPr>
          <w:p w14:paraId="7F4F47F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自2022年1月1日至磋商截止日期（业绩时间以竣工时间为准），</w:t>
            </w:r>
            <w:r>
              <w:rPr>
                <w:rFonts w:hint="default" w:cs="@仿宋_GB2312" w:asciiTheme="minorEastAsia" w:hAnsiTheme="minorEastAsia" w:eastAsiaTheme="minorEastAsia"/>
                <w:color w:val="auto"/>
                <w:kern w:val="2"/>
                <w:sz w:val="24"/>
                <w:szCs w:val="20"/>
                <w:highlight w:val="none"/>
                <w:lang w:val="en-US" w:eastAsia="zh-CN" w:bidi="ar-SA"/>
              </w:rPr>
              <w:t>项目负责人（总监理工程师）</w:t>
            </w:r>
            <w:r>
              <w:rPr>
                <w:rFonts w:hint="eastAsia" w:asciiTheme="minorEastAsia" w:hAnsiTheme="minorEastAsia" w:eastAsiaTheme="minorEastAsia"/>
                <w:bCs/>
                <w:color w:val="auto"/>
                <w:sz w:val="24"/>
                <w:highlight w:val="none"/>
                <w:lang w:val="en-US" w:eastAsia="zh-CN"/>
              </w:rPr>
              <w:t>具有一个房屋建筑监理业绩的得2分，本项最高得2分。</w:t>
            </w:r>
          </w:p>
          <w:p w14:paraId="3A14AD8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注：（1）响应文件中需提供合同、竣工验收证明材料扫描件，如证明材料中无法体现项目类型等内容，须另外提供业主单位出具的加盖业主单位公章的证明材料。</w:t>
            </w:r>
          </w:p>
          <w:p w14:paraId="6ED163DD">
            <w:pPr>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供应商投标时只须提供1个评审业绩，若供应商提供业绩个数超过1个，则按照排列顺序从首个业绩开始评审至对应数量（1个），超出部分业绩不进行评审。对应数量（1个）内业绩不符合采购文件要求不得分的，不再补充评审超出部分业绩。（3）</w:t>
            </w:r>
            <w:r>
              <w:rPr>
                <w:rFonts w:hint="default" w:cs="@仿宋_GB2312" w:asciiTheme="minorEastAsia" w:hAnsiTheme="minorEastAsia" w:eastAsiaTheme="minorEastAsia"/>
                <w:color w:val="auto"/>
                <w:kern w:val="2"/>
                <w:sz w:val="24"/>
                <w:szCs w:val="20"/>
                <w:highlight w:val="none"/>
                <w:lang w:val="en-US" w:eastAsia="zh-CN" w:bidi="ar-SA"/>
              </w:rPr>
              <w:t>项目负责人（总监理工程师）</w:t>
            </w:r>
            <w:r>
              <w:rPr>
                <w:rFonts w:hint="eastAsia" w:cs="@仿宋_GB2312" w:asciiTheme="minorEastAsia" w:hAnsiTheme="minorEastAsia" w:eastAsiaTheme="minorEastAsia"/>
                <w:color w:val="auto"/>
                <w:kern w:val="2"/>
                <w:sz w:val="24"/>
                <w:szCs w:val="20"/>
                <w:highlight w:val="none"/>
                <w:lang w:val="en-US" w:eastAsia="zh-CN" w:bidi="ar-SA"/>
              </w:rPr>
              <w:t>业绩与</w:t>
            </w:r>
            <w:r>
              <w:rPr>
                <w:rFonts w:hint="eastAsia" w:asciiTheme="minorEastAsia" w:hAnsiTheme="minorEastAsia" w:eastAsiaTheme="minorEastAsia"/>
                <w:bCs/>
                <w:color w:val="auto"/>
                <w:sz w:val="24"/>
                <w:highlight w:val="none"/>
                <w:lang w:val="en-US" w:eastAsia="zh-CN"/>
              </w:rPr>
              <w:t>供应商业绩为同一业绩的，不重复计分。</w:t>
            </w:r>
          </w:p>
        </w:tc>
        <w:tc>
          <w:tcPr>
            <w:tcW w:w="692" w:type="pct"/>
            <w:tcBorders>
              <w:top w:val="single" w:color="auto" w:sz="4" w:space="0"/>
              <w:left w:val="single" w:color="auto" w:sz="4" w:space="0"/>
              <w:bottom w:val="single" w:color="auto" w:sz="4" w:space="0"/>
              <w:right w:val="single" w:color="auto" w:sz="4" w:space="0"/>
            </w:tcBorders>
            <w:vAlign w:val="center"/>
          </w:tcPr>
          <w:p w14:paraId="3D6AF555">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7CB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12840A5">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D37E9BD">
            <w:pPr>
              <w:spacing w:line="360" w:lineRule="auto"/>
              <w:jc w:val="center"/>
              <w:rPr>
                <w:rFonts w:hint="default" w:cs="@仿宋_GB2312" w:asciiTheme="minorEastAsia" w:hAnsiTheme="minorEastAsia" w:eastAsiaTheme="minorEastAsia"/>
                <w:color w:val="auto"/>
                <w:kern w:val="2"/>
                <w:sz w:val="24"/>
                <w:szCs w:val="20"/>
                <w:highlight w:val="none"/>
                <w:lang w:val="en-US" w:eastAsia="zh-CN" w:bidi="ar-SA"/>
              </w:rPr>
            </w:pPr>
            <w:r>
              <w:rPr>
                <w:rFonts w:hint="default" w:cs="@仿宋_GB2312" w:asciiTheme="minorEastAsia" w:hAnsiTheme="minorEastAsia" w:eastAsiaTheme="minorEastAsia"/>
                <w:color w:val="auto"/>
                <w:kern w:val="2"/>
                <w:sz w:val="24"/>
                <w:szCs w:val="20"/>
                <w:highlight w:val="none"/>
                <w:lang w:val="en-US" w:eastAsia="zh-CN" w:bidi="ar-SA"/>
              </w:rPr>
              <w:t>项目负责人（总监理工程师）</w:t>
            </w:r>
            <w:r>
              <w:rPr>
                <w:rFonts w:hint="eastAsia" w:cs="@仿宋_GB2312" w:asciiTheme="minorEastAsia" w:hAnsiTheme="minorEastAsia" w:eastAsiaTheme="minorEastAsia"/>
                <w:color w:val="auto"/>
                <w:kern w:val="2"/>
                <w:sz w:val="24"/>
                <w:szCs w:val="20"/>
                <w:highlight w:val="none"/>
                <w:lang w:val="en-US" w:eastAsia="zh-CN" w:bidi="ar-SA"/>
              </w:rPr>
              <w:t>能力</w:t>
            </w:r>
          </w:p>
        </w:tc>
        <w:tc>
          <w:tcPr>
            <w:tcW w:w="2709" w:type="pct"/>
            <w:tcBorders>
              <w:top w:val="single" w:color="auto" w:sz="4" w:space="0"/>
              <w:left w:val="single" w:color="auto" w:sz="4" w:space="0"/>
              <w:bottom w:val="single" w:color="auto" w:sz="4" w:space="0"/>
              <w:right w:val="single" w:color="auto" w:sz="4" w:space="0"/>
            </w:tcBorders>
            <w:vAlign w:val="center"/>
          </w:tcPr>
          <w:p w14:paraId="4A92173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项目负责人（总监理工程师）具有下列任意一个证书的得2分，本项满分4分。</w:t>
            </w:r>
          </w:p>
          <w:p w14:paraId="42BEB63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（1）二级（或以上）注册建造师；</w:t>
            </w:r>
          </w:p>
          <w:p w14:paraId="36552F2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（2）二级（或以上）注册造价师；</w:t>
            </w:r>
          </w:p>
          <w:p w14:paraId="7AF188E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（3）注册设备监理师；</w:t>
            </w:r>
          </w:p>
          <w:p w14:paraId="22F0AEC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（4）注册安全工程师；</w:t>
            </w:r>
          </w:p>
          <w:p w14:paraId="7EF9CDB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（5）建筑工程（或土建工程）相关专业中级（或以上）工程师职称。</w:t>
            </w:r>
          </w:p>
          <w:p w14:paraId="09F2E8E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注：同时提供下列材料</w:t>
            </w:r>
          </w:p>
          <w:p w14:paraId="14C5634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①证书扫描件；</w:t>
            </w:r>
          </w:p>
          <w:p w14:paraId="0729D78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②社保部门出具的本单位为其缴纳的投标前近三个月内任意一月的社保证明（含官网在线打印件）或供应商提供承诺已为上述人员缴纳社保保险证明的承诺书（格式自拟）。</w:t>
            </w:r>
          </w:p>
        </w:tc>
        <w:tc>
          <w:tcPr>
            <w:tcW w:w="692" w:type="pct"/>
            <w:tcBorders>
              <w:top w:val="single" w:color="auto" w:sz="4" w:space="0"/>
              <w:left w:val="single" w:color="auto" w:sz="4" w:space="0"/>
              <w:bottom w:val="single" w:color="auto" w:sz="4" w:space="0"/>
              <w:right w:val="single" w:color="auto" w:sz="4" w:space="0"/>
            </w:tcBorders>
            <w:vAlign w:val="center"/>
          </w:tcPr>
          <w:p w14:paraId="33E9D0CC">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452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AE1B8E1">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01DAE1AB">
            <w:pPr>
              <w:spacing w:line="360" w:lineRule="auto"/>
              <w:jc w:val="center"/>
              <w:rPr>
                <w:rFonts w:hint="eastAsia" w:cs="@仿宋_GB2312" w:asciiTheme="minorEastAsia" w:hAnsiTheme="minorEastAsia" w:eastAsiaTheme="minorEastAsia"/>
                <w:bCs/>
                <w:color w:val="auto"/>
                <w:kern w:val="2"/>
                <w:sz w:val="24"/>
                <w:highlight w:val="none"/>
                <w:lang w:val="en-US" w:eastAsia="zh-CN" w:bidi="ar-SA"/>
              </w:rPr>
            </w:pPr>
            <w:r>
              <w:rPr>
                <w:rFonts w:hint="eastAsia" w:asciiTheme="minorEastAsia" w:hAnsiTheme="minorEastAsia" w:eastAsiaTheme="minorEastAsia"/>
                <w:bCs/>
                <w:color w:val="auto"/>
                <w:sz w:val="24"/>
                <w:highlight w:val="none"/>
                <w:lang w:val="en-US" w:eastAsia="zh-CN"/>
              </w:rPr>
              <w:t>监理工程师</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24CD045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专业监理工程师具有下列任意一个证书的得2分，本项满分2分。</w:t>
            </w:r>
          </w:p>
          <w:p w14:paraId="2BAED4C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（1）二级（或以上）注册建造师；</w:t>
            </w:r>
          </w:p>
          <w:p w14:paraId="4C79E9D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（2）二级（或以上）注册造价师；</w:t>
            </w:r>
          </w:p>
          <w:p w14:paraId="5AC6010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（3）建筑工程（或土建工程）相关专业中级（或以上）工程师职称。</w:t>
            </w:r>
          </w:p>
          <w:p w14:paraId="28D0E2A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注：同时提供下列材料</w:t>
            </w:r>
          </w:p>
          <w:p w14:paraId="6B66EB9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①证书扫描件；</w:t>
            </w:r>
          </w:p>
          <w:p w14:paraId="735ACF16">
            <w:pPr>
              <w:spacing w:line="360" w:lineRule="auto"/>
              <w:jc w:val="left"/>
              <w:rPr>
                <w:rFonts w:hint="eastAsia" w:cs="@仿宋_GB2312" w:asciiTheme="minorEastAsia" w:hAnsiTheme="minorEastAsia" w:eastAsiaTheme="minorEastAsia"/>
                <w:bCs/>
                <w:color w:val="auto"/>
                <w:kern w:val="2"/>
                <w:sz w:val="24"/>
                <w:highlight w:val="none"/>
                <w:lang w:val="en-US" w:eastAsia="zh-CN" w:bidi="ar-SA"/>
              </w:rPr>
            </w:pPr>
            <w:r>
              <w:rPr>
                <w:rFonts w:hint="eastAsia" w:asciiTheme="minorEastAsia" w:hAnsiTheme="minorEastAsia" w:eastAsiaTheme="minorEastAsia"/>
                <w:bCs/>
                <w:color w:val="auto"/>
                <w:sz w:val="24"/>
                <w:highlight w:val="none"/>
                <w:lang w:val="en-US" w:eastAsia="zh-CN"/>
              </w:rPr>
              <w:t>②社保部门出具的本单位为其缴纳的投标前近三个月内任意一月的社保证明（含官网在线打印件）或供应商提供承诺已为上述人员缴纳社保保险证明的承诺书（格式自拟）。</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6FA06CC">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0-2分</w:t>
            </w:r>
          </w:p>
        </w:tc>
      </w:tr>
      <w:tr w14:paraId="733D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3584B23">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7FD04DE7">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监理员</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61BE609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监理员具有下列建筑工程（或土建工程）相关专业初级（或以上）工程师职称得2分，本项满分2分。</w:t>
            </w:r>
          </w:p>
          <w:p w14:paraId="567C78F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注：同时提供下列材料</w:t>
            </w:r>
          </w:p>
          <w:p w14:paraId="68E16F7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①证书扫描件；</w:t>
            </w:r>
          </w:p>
          <w:p w14:paraId="5C62781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②社保部门出具的本单位为其缴纳的投标前近三个月内任意一月的社保证明（含官网在线打印件）或供应商提供承诺已为上述人员缴纳社保保险证明的承诺书（格式自拟）。</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22C0724">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71E8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4DD7066">
            <w:pPr>
              <w:spacing w:line="360" w:lineRule="auto"/>
              <w:ind w:firstLine="435"/>
              <w:jc w:val="center"/>
              <w:rPr>
                <w:rFonts w:asciiTheme="minorEastAsia" w:hAnsiTheme="minorEastAsia" w:eastAsiaTheme="minorEastAsia"/>
                <w:b/>
                <w:bCs/>
                <w:color w:val="auto"/>
                <w:sz w:val="24"/>
                <w:highlight w:val="none"/>
              </w:rPr>
            </w:pP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7015D09C">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技术部分</w:t>
            </w:r>
          </w:p>
        </w:tc>
      </w:tr>
      <w:tr w14:paraId="4F31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5E7788A">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48077A4">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项目监理机构组织形式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人员岗位职责</w:t>
            </w:r>
          </w:p>
        </w:tc>
        <w:tc>
          <w:tcPr>
            <w:tcW w:w="2709" w:type="pct"/>
            <w:tcBorders>
              <w:top w:val="single" w:color="auto" w:sz="4" w:space="0"/>
              <w:left w:val="single" w:color="auto" w:sz="4" w:space="0"/>
              <w:bottom w:val="single" w:color="auto" w:sz="4" w:space="0"/>
              <w:right w:val="single" w:color="auto" w:sz="4" w:space="0"/>
            </w:tcBorders>
            <w:vAlign w:val="center"/>
          </w:tcPr>
          <w:p w14:paraId="0E7AE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1、有明确的组织形式并且组织机构优化；项目监理班子人员结构、职责任务明确并满足项目实际监理情况得5分；</w:t>
            </w:r>
          </w:p>
          <w:p w14:paraId="263DF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2、有明确的组织形式并且组织机构合理；项目监理班子人员结构、职责任务明确得4分；</w:t>
            </w:r>
          </w:p>
          <w:p w14:paraId="1C889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3、有组织形式、组织机构合理；监理班子人员符合项目需求得3分；</w:t>
            </w:r>
          </w:p>
          <w:p w14:paraId="149DCA1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4、未提供的不得分。 </w:t>
            </w:r>
          </w:p>
        </w:tc>
        <w:tc>
          <w:tcPr>
            <w:tcW w:w="692" w:type="pct"/>
            <w:tcBorders>
              <w:top w:val="single" w:color="auto" w:sz="4" w:space="0"/>
              <w:left w:val="single" w:color="auto" w:sz="4" w:space="0"/>
              <w:bottom w:val="single" w:color="auto" w:sz="4" w:space="0"/>
              <w:right w:val="single" w:color="auto" w:sz="4" w:space="0"/>
            </w:tcBorders>
            <w:vAlign w:val="center"/>
          </w:tcPr>
          <w:p w14:paraId="3095E76A">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1872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9208B0A">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CB879D0">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管理</w:t>
            </w:r>
          </w:p>
        </w:tc>
        <w:tc>
          <w:tcPr>
            <w:tcW w:w="2709" w:type="pct"/>
            <w:tcBorders>
              <w:top w:val="single" w:color="auto" w:sz="4" w:space="0"/>
              <w:left w:val="single" w:color="auto" w:sz="4" w:space="0"/>
              <w:bottom w:val="single" w:color="auto" w:sz="4" w:space="0"/>
              <w:right w:val="single" w:color="auto" w:sz="4" w:space="0"/>
            </w:tcBorders>
            <w:vAlign w:val="center"/>
          </w:tcPr>
          <w:p w14:paraId="7E5A6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监理质量控制措施科学合理，手段明确，有针对性，内容完整详实，表述清晰，有专门的质量技术管理班子和制度，主要工序应有质量技术保证措施和手段，自控体系完整，能有效的保证技术质量得5分；</w:t>
            </w:r>
          </w:p>
          <w:p w14:paraId="4BB87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有专门的质量技术管理班子和制度，制度健全，主要工序应有质量技术保证措施和手段，自控体系完整，能够保证技术质量</w:t>
            </w:r>
            <w:r>
              <w:rPr>
                <w:rFonts w:hint="eastAsia" w:ascii="宋体" w:hAnsi="宋体" w:eastAsia="宋体" w:cs="宋体"/>
                <w:b w:val="0"/>
                <w:bCs w:val="0"/>
                <w:color w:val="auto"/>
                <w:sz w:val="24"/>
                <w:szCs w:val="24"/>
                <w:highlight w:val="none"/>
                <w:lang w:val="en-US" w:eastAsia="zh-CN"/>
              </w:rPr>
              <w:t>，内容描述满足项目需求的得4分；</w:t>
            </w:r>
          </w:p>
          <w:p w14:paraId="3F047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w:t>
            </w:r>
            <w:r>
              <w:rPr>
                <w:rFonts w:hint="eastAsia" w:ascii="宋体" w:hAnsi="宋体" w:eastAsia="宋体" w:cs="宋体"/>
                <w:b w:val="0"/>
                <w:bCs w:val="0"/>
                <w:color w:val="auto"/>
                <w:sz w:val="24"/>
                <w:szCs w:val="24"/>
                <w:highlight w:val="none"/>
                <w:lang w:val="en-US" w:eastAsia="zh-CN"/>
              </w:rPr>
              <w:t>控制措施清晰，但有所欠缺或出现非专门针对本项目特性内容得3分；</w:t>
            </w:r>
          </w:p>
          <w:p w14:paraId="23D8985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1533B1B0">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4C0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5150349">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E311ABF">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进度控制</w:t>
            </w:r>
          </w:p>
        </w:tc>
        <w:tc>
          <w:tcPr>
            <w:tcW w:w="2709" w:type="pct"/>
            <w:tcBorders>
              <w:top w:val="single" w:color="auto" w:sz="4" w:space="0"/>
              <w:left w:val="single" w:color="auto" w:sz="4" w:space="0"/>
              <w:bottom w:val="single" w:color="auto" w:sz="4" w:space="0"/>
              <w:right w:val="single" w:color="auto" w:sz="4" w:space="0"/>
            </w:tcBorders>
            <w:vAlign w:val="center"/>
          </w:tcPr>
          <w:p w14:paraId="6B385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监理进度控制制度完善、有效，手段明确，有针对性，内容完整详实，表述清晰，能有效的保证项目进度得5分；</w:t>
            </w:r>
          </w:p>
          <w:p w14:paraId="4BCD7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有专门的</w:t>
            </w:r>
            <w:r>
              <w:rPr>
                <w:rFonts w:hint="eastAsia" w:ascii="宋体" w:hAnsi="宋体" w:eastAsia="宋体" w:cs="宋体"/>
                <w:color w:val="auto"/>
                <w:sz w:val="24"/>
                <w:szCs w:val="24"/>
                <w:highlight w:val="none"/>
                <w:lang w:val="en-US" w:eastAsia="zh-CN"/>
              </w:rPr>
              <w:t>进度控制</w:t>
            </w:r>
            <w:r>
              <w:rPr>
                <w:rFonts w:hint="eastAsia" w:ascii="宋体" w:hAnsi="宋体" w:eastAsia="宋体" w:cs="宋体"/>
                <w:color w:val="auto"/>
                <w:sz w:val="24"/>
                <w:szCs w:val="24"/>
                <w:highlight w:val="none"/>
              </w:rPr>
              <w:t>制度，制度健全，能够保证技术质量</w:t>
            </w:r>
            <w:r>
              <w:rPr>
                <w:rFonts w:hint="eastAsia" w:ascii="宋体" w:hAnsi="宋体" w:eastAsia="宋体" w:cs="宋体"/>
                <w:b w:val="0"/>
                <w:bCs w:val="0"/>
                <w:color w:val="auto"/>
                <w:sz w:val="24"/>
                <w:szCs w:val="24"/>
                <w:highlight w:val="none"/>
                <w:lang w:val="en-US" w:eastAsia="zh-CN"/>
              </w:rPr>
              <w:t>，内容描述满足项目需求的得4分；</w:t>
            </w:r>
          </w:p>
          <w:p w14:paraId="7D81A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3、进度控制</w:t>
            </w:r>
            <w:r>
              <w:rPr>
                <w:rFonts w:hint="eastAsia" w:ascii="宋体" w:hAnsi="宋体" w:eastAsia="宋体" w:cs="宋体"/>
                <w:b w:val="0"/>
                <w:bCs w:val="0"/>
                <w:color w:val="auto"/>
                <w:sz w:val="24"/>
                <w:szCs w:val="24"/>
                <w:highlight w:val="none"/>
                <w:lang w:val="en-US" w:eastAsia="zh-CN"/>
              </w:rPr>
              <w:t>措施较为清晰，但有所欠缺或出</w:t>
            </w:r>
            <w:r>
              <w:rPr>
                <w:rFonts w:hint="eastAsia" w:ascii="宋体" w:hAnsi="宋体" w:eastAsia="宋体" w:cs="宋体"/>
                <w:color w:val="auto"/>
                <w:sz w:val="24"/>
                <w:szCs w:val="24"/>
                <w:highlight w:val="none"/>
                <w:lang w:val="en-US" w:eastAsia="zh-CN"/>
              </w:rPr>
              <w:t>现非专门针对本项目特性内容得3分；</w:t>
            </w:r>
          </w:p>
          <w:p w14:paraId="6CF584F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7571E05E">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C82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6936538">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1CF7C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4.造价</w:t>
            </w:r>
            <w:r>
              <w:rPr>
                <w:rFonts w:hint="eastAsia" w:ascii="宋体" w:hAnsi="宋体" w:eastAsia="宋体" w:cs="宋体"/>
                <w:color w:val="auto"/>
                <w:sz w:val="24"/>
                <w:szCs w:val="24"/>
                <w:highlight w:val="none"/>
              </w:rPr>
              <w:t>控制</w:t>
            </w:r>
          </w:p>
        </w:tc>
        <w:tc>
          <w:tcPr>
            <w:tcW w:w="2709" w:type="pct"/>
            <w:tcBorders>
              <w:top w:val="single" w:color="auto" w:sz="4" w:space="0"/>
              <w:left w:val="single" w:color="auto" w:sz="4" w:space="0"/>
              <w:bottom w:val="single" w:color="auto" w:sz="4" w:space="0"/>
              <w:right w:val="single" w:color="auto" w:sz="4" w:space="0"/>
            </w:tcBorders>
            <w:vAlign w:val="top"/>
          </w:tcPr>
          <w:p w14:paraId="47C38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1、造价控制措施完善、高效、有针对性，适应度高，能够充分监督施工过程中造价超限的得5分；</w:t>
            </w:r>
          </w:p>
          <w:p w14:paraId="21088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2、造价控制措施基本能满足施工需要得4分；</w:t>
            </w:r>
          </w:p>
          <w:p w14:paraId="0FAEC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3、针对各主要施工工序有基础的造价控制措施但缺项或关键点缺失或出现非专门针对本项目特性内容，有待完善的得3分。</w:t>
            </w:r>
          </w:p>
          <w:p w14:paraId="48D8B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19E66DC9">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5DB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40B795EE">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6EFE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5.安全生产</w:t>
            </w:r>
          </w:p>
        </w:tc>
        <w:tc>
          <w:tcPr>
            <w:tcW w:w="2709" w:type="pct"/>
            <w:tcBorders>
              <w:top w:val="single" w:color="auto" w:sz="4" w:space="0"/>
              <w:left w:val="single" w:color="auto" w:sz="4" w:space="0"/>
              <w:bottom w:val="single" w:color="auto" w:sz="4" w:space="0"/>
              <w:right w:val="single" w:color="auto" w:sz="4" w:space="0"/>
            </w:tcBorders>
            <w:vAlign w:val="top"/>
          </w:tcPr>
          <w:p w14:paraId="52A4D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1、安全措施有效、工作方案内容完整详实、具有可操作性，符合实际且满足有关安全技术标准要求。现场防火、社会治安安全措施得力满足施工需求得5分；</w:t>
            </w:r>
          </w:p>
          <w:p w14:paraId="76C71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2、安全措施有效、工作方案内容完整、基本符合实际且满足有关安全技术标准要求得得4分；</w:t>
            </w:r>
          </w:p>
          <w:p w14:paraId="035E8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3、安全措施有效、工作方案内容简单，有待提高的得3分；</w:t>
            </w:r>
          </w:p>
          <w:p w14:paraId="15957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20957272">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32B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864" w:type="pct"/>
            <w:vMerge w:val="continue"/>
            <w:tcBorders>
              <w:left w:val="single" w:color="auto" w:sz="4" w:space="0"/>
              <w:right w:val="single" w:color="auto" w:sz="4" w:space="0"/>
            </w:tcBorders>
            <w:vAlign w:val="center"/>
          </w:tcPr>
          <w:p w14:paraId="7D2D5B18">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7AF1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0"/>
                <w:sz w:val="24"/>
                <w:szCs w:val="24"/>
                <w:highlight w:val="none"/>
                <w:lang w:val="en-US" w:eastAsia="zh-CN" w:bidi="ar"/>
              </w:rPr>
              <w:t>6.合同管理</w:t>
            </w:r>
          </w:p>
        </w:tc>
        <w:tc>
          <w:tcPr>
            <w:tcW w:w="2709" w:type="pct"/>
            <w:tcBorders>
              <w:top w:val="single" w:color="auto" w:sz="4" w:space="0"/>
              <w:left w:val="single" w:color="auto" w:sz="4" w:space="0"/>
              <w:bottom w:val="single" w:color="auto" w:sz="4" w:space="0"/>
              <w:right w:val="single" w:color="auto" w:sz="4" w:space="0"/>
            </w:tcBorders>
            <w:vAlign w:val="top"/>
          </w:tcPr>
          <w:p w14:paraId="385C983C">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1、有详细的合同管理方案或措施，合同管理方案或措施和项目实际需要适应度高，对施工全过程的合同管理科发挥有效作用的得5分；</w:t>
            </w:r>
          </w:p>
          <w:p w14:paraId="058EF9A3">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2、合同管理措施内容完整，满足采购需求的得4分；</w:t>
            </w:r>
          </w:p>
          <w:p w14:paraId="20750477">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3、合同管理措施存在缺漏，有待完善的得3分；</w:t>
            </w:r>
          </w:p>
          <w:p w14:paraId="748B6EC6">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textAlignment w:val="auto"/>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22ED164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7567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092D7305">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D443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7.信息管理</w:t>
            </w:r>
          </w:p>
        </w:tc>
        <w:tc>
          <w:tcPr>
            <w:tcW w:w="2709" w:type="pct"/>
            <w:tcBorders>
              <w:top w:val="single" w:color="auto" w:sz="4" w:space="0"/>
              <w:left w:val="single" w:color="auto" w:sz="4" w:space="0"/>
              <w:bottom w:val="single" w:color="auto" w:sz="4" w:space="0"/>
              <w:right w:val="single" w:color="auto" w:sz="4" w:space="0"/>
            </w:tcBorders>
            <w:vAlign w:val="top"/>
          </w:tcPr>
          <w:p w14:paraId="41919012">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1、有详细的信息管理方案或措施，信息管理方案或措施和项目实际需要适应度高，对施工全过程的信息管理科发挥有效作用的得5分；</w:t>
            </w:r>
          </w:p>
          <w:p w14:paraId="59CE7096">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2、信息管理措施内容完整，满足采购需求的得4分；</w:t>
            </w:r>
          </w:p>
          <w:p w14:paraId="62DB3EEC">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3、信息管理措施存在缺漏，有待完善的得3分；</w:t>
            </w:r>
          </w:p>
          <w:p w14:paraId="283DC98D">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1DD275D4">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2CDC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9883E6E">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07E09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文明施工管理</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755A3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1、文明施工管理和措施结合工程施工情况进行全面分析和制定，有明确的措施来保障配合、保障工程有效推进的得5分；</w:t>
            </w:r>
          </w:p>
          <w:p w14:paraId="0F055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2、文明施工管理与措施基本满足采购需求，可配合、保障项目的推进得4分；</w:t>
            </w:r>
          </w:p>
          <w:p w14:paraId="3019C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3、文明施工管理与措施内容简单，有待提高的3分；</w:t>
            </w:r>
          </w:p>
          <w:p w14:paraId="359B9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0"/>
                <w:sz w:val="24"/>
                <w:szCs w:val="24"/>
                <w:highlight w:val="none"/>
                <w:lang w:val="en-US" w:eastAsia="zh-CN" w:bidi="ar"/>
              </w:rPr>
              <w:t>4、未提供的不得分。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13251EFB">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rPr>
              <w:t>0-5分</w:t>
            </w:r>
          </w:p>
        </w:tc>
      </w:tr>
      <w:tr w14:paraId="0CD8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0B41A6E0">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2A72B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组织协调方法</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1C526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sz w:val="24"/>
                <w:szCs w:val="24"/>
                <w:highlight w:val="none"/>
              </w:rPr>
              <w:t>组织</w:t>
            </w:r>
            <w:r>
              <w:rPr>
                <w:rFonts w:hint="eastAsia" w:ascii="宋体" w:hAnsi="宋体" w:eastAsia="宋体" w:cs="宋体"/>
                <w:color w:val="auto"/>
                <w:kern w:val="0"/>
                <w:sz w:val="24"/>
                <w:szCs w:val="24"/>
                <w:highlight w:val="none"/>
                <w:lang w:val="en-US" w:eastAsia="zh-CN" w:bidi="ar"/>
              </w:rPr>
              <w:t>协调方法和措施结合工程施工情况进行全面分析和制定，有明确的措施来保障配合、保障工程有效推进的得5分；</w:t>
            </w:r>
          </w:p>
          <w:p w14:paraId="6DA8F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 w:val="24"/>
                <w:szCs w:val="24"/>
                <w:highlight w:val="none"/>
              </w:rPr>
              <w:t>组织</w:t>
            </w:r>
            <w:r>
              <w:rPr>
                <w:rFonts w:hint="eastAsia" w:ascii="宋体" w:hAnsi="宋体" w:eastAsia="宋体" w:cs="宋体"/>
                <w:color w:val="auto"/>
                <w:kern w:val="0"/>
                <w:sz w:val="24"/>
                <w:szCs w:val="24"/>
                <w:highlight w:val="none"/>
                <w:lang w:val="en-US" w:eastAsia="zh-CN" w:bidi="ar"/>
              </w:rPr>
              <w:t>协调方法与措施基本满足采购需求，可配合、保障项目的推进得4分；</w:t>
            </w:r>
          </w:p>
          <w:p w14:paraId="6B7B6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rPr>
              <w:t>组织</w:t>
            </w:r>
            <w:r>
              <w:rPr>
                <w:rFonts w:hint="eastAsia" w:ascii="宋体" w:hAnsi="宋体" w:eastAsia="宋体" w:cs="宋体"/>
                <w:color w:val="auto"/>
                <w:kern w:val="0"/>
                <w:sz w:val="24"/>
                <w:szCs w:val="24"/>
                <w:highlight w:val="none"/>
                <w:lang w:val="en-US" w:eastAsia="zh-CN" w:bidi="ar"/>
              </w:rPr>
              <w:t>协调方法与措施内容简单，有待提高的3分；</w:t>
            </w:r>
          </w:p>
          <w:p w14:paraId="40CC9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4、未提供的不得分。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34073F4">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3479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7F31218F">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69D86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0"/>
                <w:sz w:val="24"/>
                <w:szCs w:val="24"/>
                <w:highlight w:val="none"/>
                <w:lang w:val="en-US" w:eastAsia="zh-CN" w:bidi="ar"/>
              </w:rPr>
              <w:t>10.关键工序控制</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top"/>
          </w:tcPr>
          <w:p w14:paraId="1203C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1、关键工序控制措施计划、安排完善、详尽，为本工程制定专门的保障措施，有效控制关键工序的得5分；</w:t>
            </w:r>
          </w:p>
          <w:p w14:paraId="7F0D3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2、有相关的关键工序控制措施，内容完整的得4分；</w:t>
            </w:r>
          </w:p>
          <w:p w14:paraId="74D00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3、关键工序控制措施存在缺失，有待完善的得3分。</w:t>
            </w:r>
          </w:p>
          <w:p w14:paraId="3C751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kern w:val="0"/>
                <w:sz w:val="24"/>
                <w:szCs w:val="24"/>
                <w:highlight w:val="none"/>
                <w:lang w:val="en-US" w:eastAsia="zh-CN" w:bidi="ar"/>
              </w:rPr>
              <w:t>4、未提供的不得分。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9F0872F">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rPr>
              <w:t>0-5分</w:t>
            </w:r>
          </w:p>
        </w:tc>
      </w:tr>
      <w:tr w14:paraId="6A4F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E3F618D">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6CD6A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对本工程重点分析</w:t>
            </w:r>
            <w:r>
              <w:rPr>
                <w:rFonts w:hint="eastAsia" w:ascii="宋体" w:hAnsi="宋体" w:eastAsia="宋体" w:cs="宋体"/>
                <w:color w:val="auto"/>
                <w:sz w:val="24"/>
                <w:szCs w:val="24"/>
                <w:highlight w:val="none"/>
                <w:lang w:val="en-US" w:eastAsia="zh-CN"/>
              </w:rPr>
              <w:t>及建议</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top"/>
          </w:tcPr>
          <w:p w14:paraId="562BC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重点分析准确、</w:t>
            </w:r>
            <w:r>
              <w:rPr>
                <w:rFonts w:hint="eastAsia" w:ascii="宋体" w:hAnsi="宋体" w:eastAsia="宋体" w:cs="宋体"/>
                <w:color w:val="auto"/>
                <w:sz w:val="24"/>
                <w:szCs w:val="24"/>
                <w:highlight w:val="none"/>
                <w:lang w:val="en-US" w:eastAsia="zh-CN"/>
              </w:rPr>
              <w:t>逐条列出本工程重点，</w:t>
            </w:r>
            <w:r>
              <w:rPr>
                <w:rFonts w:hint="eastAsia" w:ascii="宋体" w:hAnsi="宋体" w:eastAsia="宋体" w:cs="宋体"/>
                <w:color w:val="auto"/>
                <w:sz w:val="24"/>
                <w:szCs w:val="24"/>
                <w:highlight w:val="none"/>
                <w:lang w:eastAsia="zh-CN"/>
              </w:rPr>
              <w:t>内容完整详实，表述清晰，</w:t>
            </w:r>
            <w:r>
              <w:rPr>
                <w:rFonts w:hint="eastAsia" w:ascii="宋体" w:hAnsi="宋体" w:eastAsia="宋体" w:cs="宋体"/>
                <w:color w:val="auto"/>
                <w:sz w:val="24"/>
                <w:szCs w:val="24"/>
                <w:highlight w:val="none"/>
                <w:lang w:val="en-US" w:eastAsia="zh-CN"/>
              </w:rPr>
              <w:t>并配有重点解决思路的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7ED30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2、针对本工程特点，</w:t>
            </w:r>
            <w:r>
              <w:rPr>
                <w:rFonts w:hint="eastAsia" w:ascii="宋体" w:hAnsi="宋体" w:eastAsia="宋体" w:cs="宋体"/>
                <w:color w:val="auto"/>
                <w:sz w:val="24"/>
                <w:szCs w:val="24"/>
                <w:highlight w:val="none"/>
              </w:rPr>
              <w:t>重点分析</w:t>
            </w:r>
            <w:r>
              <w:rPr>
                <w:rFonts w:hint="eastAsia" w:ascii="宋体" w:hAnsi="宋体" w:eastAsia="宋体" w:cs="宋体"/>
                <w:color w:val="auto"/>
                <w:sz w:val="24"/>
                <w:szCs w:val="24"/>
                <w:highlight w:val="none"/>
                <w:lang w:val="en-US" w:eastAsia="zh-CN"/>
              </w:rPr>
              <w:t>清晰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内容完整的</w:t>
            </w:r>
            <w:r>
              <w:rPr>
                <w:rFonts w:hint="eastAsia" w:ascii="宋体" w:hAnsi="宋体" w:eastAsia="宋体" w:cs="宋体"/>
                <w:color w:val="auto"/>
                <w:sz w:val="24"/>
                <w:szCs w:val="24"/>
                <w:highlight w:val="none"/>
                <w:lang w:val="en-US" w:eastAsia="zh-CN"/>
              </w:rPr>
              <w:t>得4</w:t>
            </w:r>
            <w:r>
              <w:rPr>
                <w:rFonts w:hint="eastAsia" w:ascii="宋体" w:hAnsi="宋体" w:eastAsia="宋体" w:cs="宋体"/>
                <w:color w:val="auto"/>
                <w:sz w:val="24"/>
                <w:szCs w:val="24"/>
                <w:highlight w:val="none"/>
                <w:lang w:eastAsia="zh-CN"/>
              </w:rPr>
              <w:t>分；</w:t>
            </w:r>
          </w:p>
          <w:p w14:paraId="47EA2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对本工程重点分析</w:t>
            </w:r>
            <w:r>
              <w:rPr>
                <w:rFonts w:hint="eastAsia" w:ascii="宋体" w:hAnsi="宋体" w:eastAsia="宋体" w:cs="宋体"/>
                <w:color w:val="auto"/>
                <w:sz w:val="24"/>
                <w:szCs w:val="24"/>
                <w:highlight w:val="none"/>
                <w:lang w:val="en-US" w:eastAsia="zh-CN"/>
              </w:rPr>
              <w:t>及建议未能全面了解，分析简单、有待提升的得3分；</w:t>
            </w:r>
          </w:p>
          <w:p w14:paraId="4A98D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5B3CC43">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6BB7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3CBD1994">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0C033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对本工程</w:t>
            </w:r>
            <w:r>
              <w:rPr>
                <w:rFonts w:hint="eastAsia" w:ascii="宋体" w:hAnsi="宋体" w:eastAsia="宋体" w:cs="宋体"/>
                <w:color w:val="auto"/>
                <w:sz w:val="24"/>
                <w:szCs w:val="24"/>
                <w:highlight w:val="none"/>
                <w:lang w:val="en-US" w:eastAsia="zh-CN"/>
              </w:rPr>
              <w:t>难点</w:t>
            </w:r>
            <w:r>
              <w:rPr>
                <w:rFonts w:hint="eastAsia" w:ascii="宋体" w:hAnsi="宋体" w:eastAsia="宋体" w:cs="宋体"/>
                <w:color w:val="auto"/>
                <w:sz w:val="24"/>
                <w:szCs w:val="24"/>
                <w:highlight w:val="none"/>
              </w:rPr>
              <w:t>分析</w:t>
            </w:r>
            <w:r>
              <w:rPr>
                <w:rFonts w:hint="eastAsia" w:ascii="宋体" w:hAnsi="宋体" w:eastAsia="宋体" w:cs="宋体"/>
                <w:color w:val="auto"/>
                <w:sz w:val="24"/>
                <w:szCs w:val="24"/>
                <w:highlight w:val="none"/>
                <w:lang w:val="en-US" w:eastAsia="zh-CN"/>
              </w:rPr>
              <w:t>及建议</w:t>
            </w:r>
          </w:p>
        </w:tc>
        <w:tc>
          <w:tcPr>
            <w:tcW w:w="2709" w:type="pct"/>
            <w:tcBorders>
              <w:top w:val="single" w:color="auto" w:sz="4" w:space="0"/>
              <w:left w:val="single" w:color="auto" w:sz="4" w:space="0"/>
              <w:bottom w:val="single" w:color="auto" w:sz="4" w:space="0"/>
              <w:right w:val="single" w:color="auto" w:sz="4" w:space="0"/>
            </w:tcBorders>
            <w:vAlign w:val="top"/>
          </w:tcPr>
          <w:p w14:paraId="743C0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难点分析准确、</w:t>
            </w:r>
            <w:r>
              <w:rPr>
                <w:rFonts w:hint="eastAsia" w:ascii="宋体" w:hAnsi="宋体" w:eastAsia="宋体" w:cs="宋体"/>
                <w:color w:val="auto"/>
                <w:sz w:val="24"/>
                <w:szCs w:val="24"/>
                <w:highlight w:val="none"/>
                <w:lang w:val="en-US" w:eastAsia="zh-CN"/>
              </w:rPr>
              <w:t>逐条列出本工程难点，</w:t>
            </w:r>
            <w:r>
              <w:rPr>
                <w:rFonts w:hint="eastAsia" w:ascii="宋体" w:hAnsi="宋体" w:eastAsia="宋体" w:cs="宋体"/>
                <w:color w:val="auto"/>
                <w:sz w:val="24"/>
                <w:szCs w:val="24"/>
                <w:highlight w:val="none"/>
                <w:lang w:eastAsia="zh-CN"/>
              </w:rPr>
              <w:t>内容完整详实，表述清晰，</w:t>
            </w:r>
            <w:r>
              <w:rPr>
                <w:rFonts w:hint="eastAsia" w:ascii="宋体" w:hAnsi="宋体" w:eastAsia="宋体" w:cs="宋体"/>
                <w:color w:val="auto"/>
                <w:sz w:val="24"/>
                <w:szCs w:val="24"/>
                <w:highlight w:val="none"/>
                <w:lang w:val="en-US" w:eastAsia="zh-CN"/>
              </w:rPr>
              <w:t>并配有难点解决思路的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6B981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2、针对本工程特点，</w:t>
            </w:r>
            <w:r>
              <w:rPr>
                <w:rFonts w:hint="eastAsia" w:ascii="宋体" w:hAnsi="宋体" w:eastAsia="宋体" w:cs="宋体"/>
                <w:color w:val="auto"/>
                <w:sz w:val="24"/>
                <w:szCs w:val="24"/>
                <w:highlight w:val="none"/>
              </w:rPr>
              <w:t>难点分析</w:t>
            </w:r>
            <w:r>
              <w:rPr>
                <w:rFonts w:hint="eastAsia" w:ascii="宋体" w:hAnsi="宋体" w:eastAsia="宋体" w:cs="宋体"/>
                <w:color w:val="auto"/>
                <w:sz w:val="24"/>
                <w:szCs w:val="24"/>
                <w:highlight w:val="none"/>
                <w:lang w:val="en-US" w:eastAsia="zh-CN"/>
              </w:rPr>
              <w:t>清晰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内容完整的</w:t>
            </w:r>
            <w:r>
              <w:rPr>
                <w:rFonts w:hint="eastAsia" w:ascii="宋体" w:hAnsi="宋体" w:eastAsia="宋体" w:cs="宋体"/>
                <w:color w:val="auto"/>
                <w:sz w:val="24"/>
                <w:szCs w:val="24"/>
                <w:highlight w:val="none"/>
                <w:lang w:val="en-US" w:eastAsia="zh-CN"/>
              </w:rPr>
              <w:t>得4</w:t>
            </w:r>
            <w:r>
              <w:rPr>
                <w:rFonts w:hint="eastAsia" w:ascii="宋体" w:hAnsi="宋体" w:eastAsia="宋体" w:cs="宋体"/>
                <w:color w:val="auto"/>
                <w:sz w:val="24"/>
                <w:szCs w:val="24"/>
                <w:highlight w:val="none"/>
                <w:lang w:eastAsia="zh-CN"/>
              </w:rPr>
              <w:t>分；</w:t>
            </w:r>
          </w:p>
          <w:p w14:paraId="75791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对本工程难点分析</w:t>
            </w:r>
            <w:r>
              <w:rPr>
                <w:rFonts w:hint="eastAsia" w:ascii="宋体" w:hAnsi="宋体" w:eastAsia="宋体" w:cs="宋体"/>
                <w:color w:val="auto"/>
                <w:sz w:val="24"/>
                <w:szCs w:val="24"/>
                <w:highlight w:val="none"/>
                <w:lang w:val="en-US" w:eastAsia="zh-CN"/>
              </w:rPr>
              <w:t>及建议未能全面了解，分析简单、有待提升的得3分；</w:t>
            </w:r>
          </w:p>
          <w:p w14:paraId="7F72C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767BE6A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3DC7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E9100D7">
            <w:pPr>
              <w:spacing w:line="360" w:lineRule="auto"/>
              <w:ind w:firstLine="435"/>
              <w:jc w:val="center"/>
              <w:rPr>
                <w:rFonts w:asciiTheme="minorEastAsia" w:hAnsiTheme="minorEastAsia" w:eastAsiaTheme="minorEastAsia"/>
                <w:b/>
                <w:bCs/>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782BB185">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拟用主要检测仪器、设备</w:t>
            </w:r>
          </w:p>
        </w:tc>
        <w:tc>
          <w:tcPr>
            <w:tcW w:w="5033" w:type="dxa"/>
            <w:tcBorders>
              <w:top w:val="single" w:color="auto" w:sz="4" w:space="0"/>
              <w:left w:val="single" w:color="auto" w:sz="4" w:space="0"/>
              <w:bottom w:val="single" w:color="auto" w:sz="4" w:space="0"/>
              <w:right w:val="single" w:color="auto" w:sz="4" w:space="0"/>
            </w:tcBorders>
            <w:vAlign w:val="top"/>
          </w:tcPr>
          <w:p w14:paraId="4B05D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1、结合本工程施工特点，拟用主要检测仪器、设备类型齐全且符合监理、监督实际服务需求的得5分；</w:t>
            </w:r>
          </w:p>
          <w:p w14:paraId="12FF6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2、结合本工程特点，拟投入的主要检测仪器、设备能够满足项目需求的得4分；</w:t>
            </w:r>
          </w:p>
          <w:p w14:paraId="0BD2A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3、拟用主要检测仪器、设备稀缺，未贴合本工程特点的得3分；</w:t>
            </w:r>
          </w:p>
          <w:p w14:paraId="5B3A2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6DD42DB1">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74D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54A91F7">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1F36CB96">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right="0"/>
              <w:jc w:val="left"/>
              <w:textAlignment w:val="auto"/>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14.合理化建议</w:t>
            </w:r>
          </w:p>
        </w:tc>
        <w:tc>
          <w:tcPr>
            <w:tcW w:w="2709" w:type="pct"/>
            <w:tcBorders>
              <w:top w:val="single" w:color="auto" w:sz="4" w:space="0"/>
              <w:left w:val="single" w:color="auto" w:sz="4" w:space="0"/>
              <w:bottom w:val="single" w:color="auto" w:sz="4" w:space="0"/>
              <w:right w:val="single" w:color="auto" w:sz="4" w:space="0"/>
            </w:tcBorders>
            <w:vAlign w:val="top"/>
          </w:tcPr>
          <w:p w14:paraId="54FDF650">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1、有详细的合理化建议，合理化建议和项目实际需要适应度高，对施工全过程发挥有效作用的得5分；</w:t>
            </w:r>
          </w:p>
          <w:p w14:paraId="67AE2A3E">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2、合理化建议内容完整，满足采购需求的得4分；</w:t>
            </w:r>
          </w:p>
          <w:p w14:paraId="3119A9BD">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3、合理化建议存在缺漏，有待完善的得3分；</w:t>
            </w:r>
          </w:p>
          <w:p w14:paraId="39EE9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baseline"/>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692" w:type="pct"/>
            <w:tcBorders>
              <w:top w:val="single" w:color="auto" w:sz="4" w:space="0"/>
              <w:left w:val="single" w:color="auto" w:sz="4" w:space="0"/>
              <w:bottom w:val="single" w:color="auto" w:sz="4" w:space="0"/>
              <w:right w:val="single" w:color="auto" w:sz="4" w:space="0"/>
            </w:tcBorders>
            <w:vAlign w:val="center"/>
          </w:tcPr>
          <w:p w14:paraId="35D08FA1">
            <w:pPr>
              <w:spacing w:line="360" w:lineRule="auto"/>
              <w:jc w:val="center"/>
            </w:pPr>
            <w:r>
              <w:rPr>
                <w:rFonts w:hint="eastAsia" w:asciiTheme="minorEastAsia" w:hAnsiTheme="minorEastAsia" w:eastAsiaTheme="minorEastAsia"/>
                <w:b/>
                <w:bCs/>
                <w:color w:val="auto"/>
                <w:sz w:val="24"/>
                <w:highlight w:val="none"/>
              </w:rPr>
              <w:t>0-5分</w:t>
            </w:r>
          </w:p>
        </w:tc>
      </w:tr>
      <w:tr w14:paraId="34BE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tcBorders>
              <w:left w:val="single" w:color="auto" w:sz="4" w:space="0"/>
              <w:right w:val="single" w:color="auto" w:sz="4" w:space="0"/>
            </w:tcBorders>
            <w:vAlign w:val="center"/>
          </w:tcPr>
          <w:p w14:paraId="387F18A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A98008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18</w:t>
            </w:r>
            <w:r>
              <w:rPr>
                <w:rFonts w:hint="eastAsia" w:asciiTheme="minorEastAsia" w:hAnsiTheme="minorEastAsia" w:eastAsiaTheme="minorEastAsia"/>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C8B3D7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18</w:t>
            </w:r>
            <w:r>
              <w:rPr>
                <w:rFonts w:hint="eastAsia" w:asciiTheme="minorEastAsia" w:hAnsiTheme="minorEastAsia" w:eastAsiaTheme="minorEastAsia"/>
                <w:color w:val="auto"/>
                <w:sz w:val="24"/>
                <w:highlight w:val="none"/>
              </w:rPr>
              <w:t>分。其他供应商的价格分统一按照下列公式计算：</w:t>
            </w:r>
          </w:p>
          <w:p w14:paraId="73611942">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18</w:t>
            </w:r>
            <w:r>
              <w:rPr>
                <w:rFonts w:hint="eastAsia" w:asciiTheme="minorEastAsia" w:hAnsiTheme="minorEastAsia" w:eastAsiaTheme="minorEastAsia"/>
                <w:color w:val="auto"/>
                <w:sz w:val="24"/>
                <w:highlight w:val="none"/>
              </w:rPr>
              <w:t>％×100</w:t>
            </w:r>
          </w:p>
        </w:tc>
      </w:tr>
    </w:tbl>
    <w:p w14:paraId="066FCE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CB7E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63A3A7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lang w:eastAsia="zh-CN"/>
        </w:rPr>
        <w:t>。</w:t>
      </w:r>
    </w:p>
    <w:p w14:paraId="371A9EDF">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三、无效条款</w:t>
      </w:r>
    </w:p>
    <w:p w14:paraId="61C92D6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3.1响应文件有下列情形之一的,其响应文件拒收:</w:t>
      </w:r>
    </w:p>
    <w:p w14:paraId="0AC107F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（1）未在提交首次响应文件截止时间前通过网上招标投标系统递交有效电子响应文件的，网上开标系统不予接收。出现上述情况的，响应将被拒绝。</w:t>
      </w:r>
    </w:p>
    <w:p w14:paraId="49336D6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30FA842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8.2供应商有下列情形之一的,资格审查后其投标作无效响应处理：</w:t>
      </w:r>
    </w:p>
    <w:p w14:paraId="106FFDE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（1）为本项目提供采购代理服务的；</w:t>
      </w:r>
    </w:p>
    <w:p w14:paraId="491B177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（2）供应商与在本项目代理机构存在相互任职或工作的；</w:t>
      </w:r>
    </w:p>
    <w:p w14:paraId="2690992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（3）磋商公告写明专门面向中小企业采购，供应商提供的服务非中小企业承接的；</w:t>
      </w:r>
    </w:p>
    <w:p w14:paraId="3C81247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（4）要求供应商以联合体形式参加采购活动，供应商非联合体或者联合协议中中小企业合同金额未达到应当达到的比例；</w:t>
      </w:r>
    </w:p>
    <w:p w14:paraId="0EAB63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(5)要求获得采购合同的供应商向中小企业分包，供应商未提供分包意向协议或者分包意向协议中中小企业合同金额未达到应当达到的比例；</w:t>
      </w:r>
    </w:p>
    <w:p w14:paraId="2B14ED1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(6)评标专家无法查看并检验电子响应文件中相关资料的；</w:t>
      </w:r>
    </w:p>
    <w:p w14:paraId="3B08CFA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(7)联合体投标未提交联合体协议的；</w:t>
      </w:r>
    </w:p>
    <w:p w14:paraId="31D48C0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(8)被责令停产停业的；</w:t>
      </w:r>
    </w:p>
    <w:p w14:paraId="058C568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(9)被暂停或取消参与政府采购项目资格的；</w:t>
      </w:r>
    </w:p>
    <w:p w14:paraId="7E83423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(10)供应商单位负责人为同一人或者存在直接控股、管理关系的不同单位的；</w:t>
      </w:r>
    </w:p>
    <w:p w14:paraId="40EB4BE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(11)供应商基本资格条件和特定资格条件中有一项及以上不符合要求的；</w:t>
      </w:r>
    </w:p>
    <w:p w14:paraId="5FCB09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(12)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0127843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(13)供应商投标MAC地址或供应商联系人或联系电话相同的，由磋商小组否决其响应，并报告监管部门作不良行为处理和进一步调查； </w:t>
      </w:r>
    </w:p>
    <w:p w14:paraId="5DE7E0E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(14)供应商单方面出现其他供应商材料的； </w:t>
      </w:r>
    </w:p>
    <w:p w14:paraId="773D2D9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(15)其它情形，经磋商小组提出按无效响应处理，并经公共资源交易监督部门核准的；</w:t>
      </w:r>
    </w:p>
    <w:p w14:paraId="0516436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(16)磋商文件规定的其它无效响应情形。</w:t>
      </w:r>
    </w:p>
    <w:p w14:paraId="38B8E0A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 供应商有下列情形之一的,符合性审查后其投标按无效响应处理：</w:t>
      </w:r>
    </w:p>
    <w:p w14:paraId="6E14AF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（1）响应文件签章不全，经磋商小组一致认定对开评标内容有实质性影响并经公共资源交易监督部门核准的；</w:t>
      </w:r>
    </w:p>
    <w:p w14:paraId="3C4A53C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（2）未按规定的格式填写导致实质性内容不全以及实质上不响应，或者关键字迹模糊、无法辨认； 经公共资源交易监督部门核准的；</w:t>
      </w:r>
    </w:p>
    <w:p w14:paraId="0E423A1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（3）同一供应商提交两个以上不同的响应文件或者响应报价，但磋商文件规定提交备选方案的除外；</w:t>
      </w:r>
    </w:p>
    <w:p w14:paraId="140D969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（4）响应文件没有对磋商文件的实质性要求和条件作出响应；</w:t>
      </w:r>
    </w:p>
    <w:p w14:paraId="0C7B208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（5）报价超出规定的最高限价或公布的采购预算的或供应商的报价各项单价高于磋商文件给定的单价最高限价；</w:t>
      </w:r>
    </w:p>
    <w:p w14:paraId="5DC6482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（6）不按磋商小组要求澄清、说明或补正的，或者措施小组根据磋商文件的规定对响应文件的计算错误进行修正后，供应商不接受修正的报价的。</w:t>
      </w:r>
    </w:p>
    <w:p w14:paraId="0173B42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（7）其它情形，经磋商小组委提出按无效响应处理，并经公共资源交易监督部门核准的；</w:t>
      </w:r>
    </w:p>
    <w:p w14:paraId="58FABF6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（8）响应文件含有采购人不能接受的附加条件的；</w:t>
      </w:r>
    </w:p>
    <w:p w14:paraId="2548A9C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（9）磋商文件规定的其它无效响应情形。</w:t>
      </w:r>
    </w:p>
    <w:p w14:paraId="455E41A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8.4 供应商有下列情形之一的, 详细评审后其投标按无效响应处理：</w:t>
      </w:r>
    </w:p>
    <w:p w14:paraId="229ABA9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（1）产品不符合必须强制执行的国家标准的；</w:t>
      </w:r>
    </w:p>
    <w:p w14:paraId="5C4BE0B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（2）供应商有串通投标、弄虚作假、行贿等违法行为；</w:t>
      </w:r>
    </w:p>
    <w:p w14:paraId="2E03426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（3）响应文件含有违反国家法律、法规的内容，或附有采购人不能接受的条件的；</w:t>
      </w:r>
    </w:p>
    <w:p w14:paraId="4042717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（4）报价明显低于其他供应商，且不能证明报价合理性的响应无效；</w:t>
      </w:r>
    </w:p>
    <w:p w14:paraId="7F525D6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（5）拒不确认磋商小组评审修正的投标无效；</w:t>
      </w:r>
    </w:p>
    <w:p w14:paraId="41036C7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（6）其它情形，经磋商小组提出按无效响应处理，并经公共资源交易监督部门核准的；</w:t>
      </w:r>
    </w:p>
    <w:p w14:paraId="1744F652">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（7）磋商文件规定的其它无效响应情形。</w:t>
      </w:r>
    </w:p>
    <w:p w14:paraId="0E856D9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08250DA">
      <w:pPr>
        <w:spacing w:line="360" w:lineRule="auto"/>
        <w:jc w:val="center"/>
        <w:outlineLvl w:val="0"/>
        <w:rPr>
          <w:rFonts w:asciiTheme="minorEastAsia" w:hAnsiTheme="minorEastAsia" w:eastAsiaTheme="minorEastAsia"/>
          <w:b/>
          <w:color w:val="auto"/>
          <w:sz w:val="28"/>
          <w:highlight w:val="none"/>
        </w:rPr>
      </w:pPr>
      <w:bookmarkStart w:id="35" w:name="_Toc17167"/>
      <w:bookmarkStart w:id="36" w:name="_Toc6037"/>
      <w:bookmarkStart w:id="37"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5"/>
      <w:bookmarkEnd w:id="36"/>
      <w:bookmarkEnd w:id="37"/>
    </w:p>
    <w:p w14:paraId="60E697BC">
      <w:pPr>
        <w:spacing w:line="480" w:lineRule="auto"/>
        <w:jc w:val="center"/>
        <w:rPr>
          <w:rFonts w:asciiTheme="minorEastAsia" w:hAnsiTheme="minorEastAsia" w:eastAsiaTheme="minorEastAsia"/>
          <w:b/>
          <w:color w:val="auto"/>
          <w:sz w:val="24"/>
          <w:highlight w:val="none"/>
        </w:rPr>
      </w:pPr>
    </w:p>
    <w:p w14:paraId="4F31B161">
      <w:pPr>
        <w:spacing w:line="480" w:lineRule="auto"/>
        <w:jc w:val="center"/>
        <w:rPr>
          <w:rFonts w:asciiTheme="minorEastAsia" w:hAnsiTheme="minorEastAsia" w:eastAsiaTheme="minorEastAsia"/>
          <w:b/>
          <w:color w:val="auto"/>
          <w:sz w:val="24"/>
          <w:highlight w:val="none"/>
        </w:rPr>
      </w:pPr>
    </w:p>
    <w:p w14:paraId="7516B2BB">
      <w:pPr>
        <w:spacing w:line="480" w:lineRule="auto"/>
        <w:jc w:val="center"/>
        <w:rPr>
          <w:rFonts w:asciiTheme="minorEastAsia" w:hAnsiTheme="minorEastAsia" w:eastAsiaTheme="minorEastAsia"/>
          <w:b/>
          <w:color w:val="auto"/>
          <w:sz w:val="24"/>
          <w:highlight w:val="none"/>
        </w:rPr>
      </w:pPr>
    </w:p>
    <w:p w14:paraId="13B7B920">
      <w:pPr>
        <w:spacing w:line="480" w:lineRule="auto"/>
        <w:jc w:val="center"/>
        <w:outlineLvl w:val="1"/>
        <w:rPr>
          <w:rFonts w:asciiTheme="minorEastAsia" w:hAnsiTheme="minorEastAsia" w:eastAsiaTheme="minorEastAsia"/>
          <w:b/>
          <w:color w:val="auto"/>
          <w:sz w:val="32"/>
          <w:szCs w:val="32"/>
          <w:highlight w:val="none"/>
        </w:rPr>
      </w:pPr>
      <w:bookmarkStart w:id="38" w:name="_Toc9456"/>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38"/>
    </w:p>
    <w:p w14:paraId="5FDAA566">
      <w:pPr>
        <w:spacing w:line="480" w:lineRule="auto"/>
        <w:jc w:val="center"/>
        <w:outlineLvl w:val="1"/>
        <w:rPr>
          <w:rFonts w:asciiTheme="minorEastAsia" w:hAnsiTheme="minorEastAsia" w:eastAsiaTheme="minorEastAsia"/>
          <w:b/>
          <w:color w:val="auto"/>
          <w:sz w:val="32"/>
          <w:szCs w:val="32"/>
          <w:highlight w:val="none"/>
        </w:rPr>
      </w:pPr>
      <w:bookmarkStart w:id="39" w:name="_Toc26618"/>
      <w:r>
        <w:rPr>
          <w:rFonts w:hint="eastAsia" w:asciiTheme="minorEastAsia" w:hAnsiTheme="minorEastAsia" w:eastAsiaTheme="minorEastAsia"/>
          <w:b/>
          <w:color w:val="auto"/>
          <w:sz w:val="32"/>
          <w:szCs w:val="32"/>
          <w:highlight w:val="none"/>
        </w:rPr>
        <w:t>（服务类）</w:t>
      </w:r>
      <w:bookmarkEnd w:id="39"/>
    </w:p>
    <w:p w14:paraId="0FC55E50">
      <w:pPr>
        <w:spacing w:line="480" w:lineRule="auto"/>
        <w:jc w:val="center"/>
        <w:rPr>
          <w:rFonts w:asciiTheme="minorEastAsia" w:hAnsiTheme="minorEastAsia" w:eastAsiaTheme="minorEastAsia"/>
          <w:b/>
          <w:color w:val="auto"/>
          <w:sz w:val="24"/>
          <w:highlight w:val="none"/>
        </w:rPr>
      </w:pPr>
    </w:p>
    <w:p w14:paraId="1F20BF1C">
      <w:pPr>
        <w:spacing w:line="480" w:lineRule="auto"/>
        <w:jc w:val="center"/>
        <w:rPr>
          <w:rFonts w:asciiTheme="minorEastAsia" w:hAnsiTheme="minorEastAsia" w:eastAsiaTheme="minorEastAsia"/>
          <w:b/>
          <w:color w:val="auto"/>
          <w:sz w:val="24"/>
          <w:highlight w:val="none"/>
        </w:rPr>
      </w:pPr>
    </w:p>
    <w:p w14:paraId="1839D3CB">
      <w:pPr>
        <w:spacing w:line="480" w:lineRule="auto"/>
        <w:jc w:val="center"/>
        <w:rPr>
          <w:rFonts w:asciiTheme="minorEastAsia" w:hAnsiTheme="minorEastAsia" w:eastAsiaTheme="minorEastAsia"/>
          <w:b/>
          <w:color w:val="auto"/>
          <w:sz w:val="24"/>
          <w:highlight w:val="none"/>
        </w:rPr>
      </w:pPr>
    </w:p>
    <w:p w14:paraId="4F595FDE">
      <w:pPr>
        <w:spacing w:line="360" w:lineRule="auto"/>
        <w:jc w:val="center"/>
        <w:outlineLvl w:val="1"/>
        <w:rPr>
          <w:rFonts w:asciiTheme="minorEastAsia" w:hAnsiTheme="minorEastAsia" w:eastAsiaTheme="minorEastAsia"/>
          <w:b/>
          <w:color w:val="auto"/>
          <w:sz w:val="24"/>
          <w:highlight w:val="none"/>
        </w:rPr>
      </w:pPr>
      <w:bookmarkStart w:id="40" w:name="_Toc18055"/>
      <w:r>
        <w:rPr>
          <w:rFonts w:hint="eastAsia" w:asciiTheme="minorEastAsia" w:hAnsiTheme="minorEastAsia" w:eastAsiaTheme="minorEastAsia"/>
          <w:b/>
          <w:color w:val="auto"/>
          <w:sz w:val="24"/>
          <w:highlight w:val="none"/>
        </w:rPr>
        <w:t>第一部分 合同书</w:t>
      </w:r>
      <w:bookmarkEnd w:id="40"/>
    </w:p>
    <w:p w14:paraId="068DCCEC">
      <w:pPr>
        <w:spacing w:line="480" w:lineRule="auto"/>
        <w:jc w:val="center"/>
        <w:rPr>
          <w:rFonts w:asciiTheme="minorEastAsia" w:hAnsiTheme="minorEastAsia" w:eastAsiaTheme="minorEastAsia"/>
          <w:b/>
          <w:color w:val="auto"/>
          <w:sz w:val="24"/>
          <w:highlight w:val="none"/>
        </w:rPr>
      </w:pPr>
    </w:p>
    <w:p w14:paraId="56EE9B30">
      <w:pPr>
        <w:spacing w:line="480" w:lineRule="auto"/>
        <w:jc w:val="center"/>
        <w:rPr>
          <w:rFonts w:asciiTheme="minorEastAsia" w:hAnsiTheme="minorEastAsia" w:eastAsiaTheme="minorEastAsia"/>
          <w:b/>
          <w:color w:val="auto"/>
          <w:sz w:val="24"/>
          <w:highlight w:val="none"/>
        </w:rPr>
      </w:pPr>
    </w:p>
    <w:p w14:paraId="59EDF169">
      <w:pPr>
        <w:spacing w:line="480" w:lineRule="auto"/>
        <w:jc w:val="center"/>
        <w:rPr>
          <w:rFonts w:asciiTheme="minorEastAsia" w:hAnsiTheme="minorEastAsia" w:eastAsiaTheme="minorEastAsia"/>
          <w:b/>
          <w:color w:val="auto"/>
          <w:sz w:val="24"/>
          <w:highlight w:val="none"/>
        </w:rPr>
      </w:pPr>
    </w:p>
    <w:p w14:paraId="31F3C10D">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34DB6B2E">
      <w:pPr>
        <w:spacing w:before="120" w:line="480" w:lineRule="auto"/>
        <w:ind w:left="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u w:val="single"/>
          <w:lang w:val="en-US" w:eastAsia="zh-CN"/>
        </w:rPr>
        <w:t xml:space="preserve">                                    </w:t>
      </w:r>
    </w:p>
    <w:p w14:paraId="79961AD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p>
    <w:p w14:paraId="0901FC87">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842A06C">
      <w:pPr>
        <w:spacing w:before="120" w:line="48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66B79D0">
      <w:pPr>
        <w:spacing w:before="120" w:line="48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009317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EA57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none"/>
        </w:rPr>
        <w:t>竞争性磋商</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none"/>
        </w:rPr>
        <w:t>磋商小组</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38C2BC1E">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4140E9E6">
      <w:pPr>
        <w:spacing w:line="360" w:lineRule="auto"/>
        <w:ind w:firstLine="437"/>
        <w:outlineLvl w:val="2"/>
        <w:rPr>
          <w:rFonts w:asciiTheme="minorEastAsia" w:hAnsiTheme="minorEastAsia" w:eastAsiaTheme="minorEastAsia"/>
          <w:b/>
          <w:bCs/>
          <w:color w:val="auto"/>
          <w:sz w:val="24"/>
          <w:highlight w:val="none"/>
          <w:lang w:val="zh-CN"/>
        </w:rPr>
      </w:pPr>
      <w:bookmarkStart w:id="41" w:name="_Toc3029"/>
      <w:bookmarkStart w:id="42" w:name="_Toc2232"/>
      <w:bookmarkStart w:id="43"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41"/>
      <w:bookmarkEnd w:id="42"/>
      <w:bookmarkEnd w:id="43"/>
    </w:p>
    <w:p w14:paraId="649DDF8C">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F32C4B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4FA214F5">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1A819D3A">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4F07CB53">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483456C0">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2F50926D">
      <w:pPr>
        <w:spacing w:line="360" w:lineRule="auto"/>
        <w:ind w:firstLine="437"/>
        <w:outlineLvl w:val="2"/>
        <w:rPr>
          <w:rFonts w:asciiTheme="minorEastAsia" w:hAnsiTheme="minorEastAsia" w:eastAsiaTheme="minorEastAsia"/>
          <w:b/>
          <w:bCs/>
          <w:color w:val="auto"/>
          <w:sz w:val="24"/>
          <w:highlight w:val="none"/>
          <w:lang w:val="zh-CN"/>
        </w:rPr>
      </w:pPr>
      <w:bookmarkStart w:id="44" w:name="_Toc21295"/>
      <w:bookmarkStart w:id="45" w:name="_Toc24300"/>
      <w:bookmarkStart w:id="46" w:name="_Toc27126"/>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44"/>
      <w:bookmarkEnd w:id="45"/>
      <w:bookmarkEnd w:id="46"/>
      <w:r>
        <w:rPr>
          <w:rFonts w:hint="eastAsia" w:asciiTheme="minorEastAsia" w:hAnsiTheme="minorEastAsia" w:eastAsiaTheme="minorEastAsia"/>
          <w:b/>
          <w:bCs/>
          <w:color w:val="auto"/>
          <w:sz w:val="24"/>
          <w:highlight w:val="none"/>
          <w:lang w:val="zh-CN"/>
        </w:rPr>
        <w:t>服务</w:t>
      </w:r>
    </w:p>
    <w:p w14:paraId="1A7BB0E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bookmarkStart w:id="47" w:name="_Toc21631"/>
      <w:bookmarkStart w:id="48" w:name="_Toc21551"/>
      <w:bookmarkStart w:id="49" w:name="_Toc23292"/>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1BAFFA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6A2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56119B76">
      <w:pPr>
        <w:spacing w:line="360" w:lineRule="auto"/>
        <w:ind w:firstLine="437"/>
        <w:outlineLvl w:val="2"/>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47"/>
      <w:bookmarkEnd w:id="48"/>
      <w:bookmarkEnd w:id="49"/>
    </w:p>
    <w:p w14:paraId="4C88A8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618CFFE9">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3"/>
        <w:gridCol w:w="13"/>
        <w:gridCol w:w="3514"/>
        <w:gridCol w:w="13"/>
      </w:tblGrid>
      <w:tr w14:paraId="24D0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2EA238A">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2532" w:type="pct"/>
            <w:vAlign w:val="center"/>
          </w:tcPr>
          <w:p w14:paraId="446B9DF3">
            <w:pPr>
              <w:pStyle w:val="58"/>
              <w:ind w:firstLine="20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分项名称</w:t>
            </w:r>
          </w:p>
        </w:tc>
        <w:tc>
          <w:tcPr>
            <w:tcW w:w="1899" w:type="pct"/>
            <w:gridSpan w:val="2"/>
            <w:vAlign w:val="center"/>
          </w:tcPr>
          <w:p w14:paraId="2C344945">
            <w:pPr>
              <w:pStyle w:val="58"/>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分项价格</w:t>
            </w:r>
          </w:p>
        </w:tc>
      </w:tr>
      <w:tr w14:paraId="70A2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58678E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2532" w:type="pct"/>
            <w:vAlign w:val="center"/>
          </w:tcPr>
          <w:p w14:paraId="3D7C162E">
            <w:pPr>
              <w:pStyle w:val="58"/>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66E984E7">
            <w:pPr>
              <w:pStyle w:val="58"/>
              <w:ind w:firstLine="200"/>
              <w:jc w:val="center"/>
              <w:rPr>
                <w:rFonts w:asciiTheme="minorEastAsia" w:hAnsiTheme="minorEastAsia" w:eastAsiaTheme="minorEastAsia"/>
                <w:color w:val="auto"/>
                <w:sz w:val="24"/>
                <w:szCs w:val="24"/>
                <w:highlight w:val="none"/>
              </w:rPr>
            </w:pPr>
          </w:p>
        </w:tc>
      </w:tr>
      <w:tr w14:paraId="37E9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E0583F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2532" w:type="pct"/>
            <w:vAlign w:val="center"/>
          </w:tcPr>
          <w:p w14:paraId="015E6EB2">
            <w:pPr>
              <w:pStyle w:val="58"/>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2CB60C66">
            <w:pPr>
              <w:pStyle w:val="58"/>
              <w:ind w:firstLine="200"/>
              <w:jc w:val="center"/>
              <w:rPr>
                <w:rFonts w:asciiTheme="minorEastAsia" w:hAnsiTheme="minorEastAsia" w:eastAsiaTheme="minorEastAsia"/>
                <w:color w:val="auto"/>
                <w:sz w:val="24"/>
                <w:szCs w:val="24"/>
                <w:highlight w:val="none"/>
              </w:rPr>
            </w:pPr>
          </w:p>
        </w:tc>
      </w:tr>
      <w:tr w14:paraId="292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2A484E6">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2532" w:type="pct"/>
            <w:vAlign w:val="center"/>
          </w:tcPr>
          <w:p w14:paraId="14C9644B">
            <w:pPr>
              <w:pStyle w:val="58"/>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030FF8C4">
            <w:pPr>
              <w:pStyle w:val="58"/>
              <w:ind w:firstLine="200"/>
              <w:jc w:val="center"/>
              <w:rPr>
                <w:rFonts w:asciiTheme="minorEastAsia" w:hAnsiTheme="minorEastAsia" w:eastAsiaTheme="minorEastAsia"/>
                <w:color w:val="auto"/>
                <w:sz w:val="24"/>
                <w:szCs w:val="24"/>
                <w:highlight w:val="none"/>
              </w:rPr>
            </w:pPr>
          </w:p>
        </w:tc>
      </w:tr>
      <w:tr w14:paraId="0785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D45C20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2532" w:type="pct"/>
            <w:vAlign w:val="center"/>
          </w:tcPr>
          <w:p w14:paraId="3488DC23">
            <w:pPr>
              <w:pStyle w:val="58"/>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3C58983F">
            <w:pPr>
              <w:pStyle w:val="58"/>
              <w:ind w:firstLine="200"/>
              <w:jc w:val="center"/>
              <w:rPr>
                <w:rFonts w:asciiTheme="minorEastAsia" w:hAnsiTheme="minorEastAsia" w:eastAsiaTheme="minorEastAsia"/>
                <w:color w:val="auto"/>
                <w:sz w:val="24"/>
                <w:szCs w:val="24"/>
                <w:highlight w:val="none"/>
              </w:rPr>
            </w:pPr>
          </w:p>
        </w:tc>
      </w:tr>
      <w:tr w14:paraId="466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BA80887">
            <w:pPr>
              <w:pStyle w:val="58"/>
              <w:ind w:firstLine="20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总价</w:t>
            </w:r>
          </w:p>
        </w:tc>
        <w:tc>
          <w:tcPr>
            <w:tcW w:w="1899" w:type="pct"/>
            <w:gridSpan w:val="2"/>
            <w:vAlign w:val="center"/>
          </w:tcPr>
          <w:p w14:paraId="35C63AB7">
            <w:pPr>
              <w:pStyle w:val="58"/>
              <w:ind w:firstLine="200"/>
              <w:jc w:val="center"/>
              <w:rPr>
                <w:rFonts w:asciiTheme="minorEastAsia" w:hAnsiTheme="minorEastAsia" w:eastAsiaTheme="minorEastAsia"/>
                <w:color w:val="auto"/>
                <w:sz w:val="24"/>
                <w:szCs w:val="24"/>
                <w:highlight w:val="none"/>
              </w:rPr>
            </w:pPr>
          </w:p>
        </w:tc>
      </w:tr>
    </w:tbl>
    <w:p w14:paraId="46AF2327">
      <w:pPr>
        <w:spacing w:line="360" w:lineRule="auto"/>
        <w:ind w:firstLine="437"/>
        <w:outlineLvl w:val="2"/>
        <w:rPr>
          <w:rFonts w:asciiTheme="minorEastAsia" w:hAnsiTheme="minorEastAsia" w:eastAsiaTheme="minorEastAsia"/>
          <w:b/>
          <w:bCs/>
          <w:color w:val="auto"/>
          <w:sz w:val="24"/>
          <w:highlight w:val="none"/>
          <w:lang w:val="zh-CN"/>
        </w:rPr>
      </w:pPr>
      <w:bookmarkStart w:id="50" w:name="_Toc1814"/>
      <w:bookmarkStart w:id="51" w:name="_Toc10340"/>
      <w:bookmarkStart w:id="52"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50"/>
      <w:bookmarkEnd w:id="51"/>
      <w:bookmarkEnd w:id="52"/>
    </w:p>
    <w:p w14:paraId="7AF5D6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宋体" w:hAnsi="宋体" w:eastAsia="宋体"/>
          <w:b w:val="0"/>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p>
    <w:p w14:paraId="73B00E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cs="Times New Roman" w:asciiTheme="minorEastAsia" w:hAnsiTheme="minorEastAsia" w:eastAsiaTheme="minorEastAsia"/>
          <w:color w:val="auto"/>
          <w:sz w:val="24"/>
          <w:szCs w:val="24"/>
          <w:highlight w:val="none"/>
          <w:u w:val="single"/>
          <w:lang w:val="en-US" w:eastAsia="zh-CN"/>
        </w:rPr>
        <w:t>开具符合要求的发票</w:t>
      </w:r>
      <w:r>
        <w:rPr>
          <w:rFonts w:hint="eastAsia" w:asciiTheme="minorEastAsia" w:hAnsiTheme="minorEastAsia" w:eastAsiaTheme="minorEastAsia"/>
          <w:color w:val="auto"/>
          <w:sz w:val="24"/>
          <w:highlight w:val="none"/>
        </w:rPr>
        <w:t>。</w:t>
      </w:r>
    </w:p>
    <w:p w14:paraId="28E91D9B">
      <w:pPr>
        <w:spacing w:line="360" w:lineRule="auto"/>
        <w:ind w:firstLine="437"/>
        <w:outlineLvl w:val="2"/>
        <w:rPr>
          <w:rFonts w:asciiTheme="minorEastAsia" w:hAnsiTheme="minorEastAsia" w:eastAsiaTheme="minorEastAsia"/>
          <w:b/>
          <w:bCs/>
          <w:color w:val="auto"/>
          <w:sz w:val="24"/>
          <w:highlight w:val="none"/>
          <w:lang w:val="zh-CN"/>
        </w:rPr>
      </w:pPr>
      <w:bookmarkStart w:id="53" w:name="_Toc19304"/>
      <w:bookmarkStart w:id="54" w:name="_Toc32071"/>
      <w:bookmarkStart w:id="55"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bookmarkEnd w:id="53"/>
      <w:bookmarkEnd w:id="54"/>
      <w:bookmarkEnd w:id="55"/>
      <w:r>
        <w:rPr>
          <w:rFonts w:hint="eastAsia" w:asciiTheme="minorEastAsia" w:hAnsiTheme="minorEastAsia" w:eastAsiaTheme="minorEastAsia"/>
          <w:b/>
          <w:bCs/>
          <w:color w:val="auto"/>
          <w:sz w:val="24"/>
          <w:highlight w:val="none"/>
          <w:lang w:val="zh-CN"/>
        </w:rPr>
        <w:t>服务期限、地点和方式</w:t>
      </w:r>
    </w:p>
    <w:p w14:paraId="5CF08B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1.5.1服务期限：</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286D2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7D87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945239F">
      <w:pPr>
        <w:spacing w:line="360" w:lineRule="auto"/>
        <w:ind w:firstLine="437"/>
        <w:outlineLvl w:val="2"/>
        <w:rPr>
          <w:rFonts w:asciiTheme="minorEastAsia" w:hAnsiTheme="minorEastAsia" w:eastAsiaTheme="minorEastAsia"/>
          <w:b/>
          <w:bCs/>
          <w:color w:val="auto"/>
          <w:sz w:val="24"/>
          <w:highlight w:val="none"/>
          <w:lang w:val="zh-CN"/>
        </w:rPr>
      </w:pPr>
      <w:bookmarkStart w:id="56" w:name="_Toc27250"/>
      <w:bookmarkStart w:id="57" w:name="_Toc21423"/>
      <w:bookmarkStart w:id="58" w:name="_Toc19554"/>
      <w:r>
        <w:rPr>
          <w:rFonts w:hint="eastAsia" w:asciiTheme="minorEastAsia" w:hAnsiTheme="minorEastAsia" w:eastAsiaTheme="minorEastAsia"/>
          <w:b/>
          <w:bCs/>
          <w:color w:val="auto"/>
          <w:sz w:val="24"/>
          <w:highlight w:val="none"/>
          <w:lang w:val="zh-CN"/>
        </w:rPr>
        <w:t>1.6 违约责任</w:t>
      </w:r>
      <w:bookmarkEnd w:id="56"/>
      <w:bookmarkEnd w:id="57"/>
      <w:bookmarkEnd w:id="58"/>
    </w:p>
    <w:p w14:paraId="24CDF9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7951CA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lang w:val="en-US" w:eastAsia="zh-CN"/>
        </w:rPr>
        <w:t>0.1</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lang w:val="en-US" w:eastAsia="zh-CN"/>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；迟延付款的违约金计算数额达到前述最高限额之日起，乙方有权在要求甲方支付违约金的同时，书面通知甲方解除本合同；</w:t>
      </w:r>
    </w:p>
    <w:p w14:paraId="218A98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7F1C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0C87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090C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E8AB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cs="Times New Roman" w:asciiTheme="minorEastAsia" w:hAnsiTheme="minorEastAsia" w:eastAsiaTheme="minorEastAsia"/>
          <w:color w:val="auto"/>
          <w:sz w:val="24"/>
          <w:szCs w:val="24"/>
          <w:highlight w:val="none"/>
        </w:rPr>
        <w:t>。</w:t>
      </w:r>
    </w:p>
    <w:p w14:paraId="75625C9E">
      <w:pPr>
        <w:spacing w:line="360" w:lineRule="auto"/>
        <w:ind w:firstLine="437"/>
        <w:outlineLvl w:val="2"/>
        <w:rPr>
          <w:rFonts w:asciiTheme="minorEastAsia" w:hAnsiTheme="minorEastAsia" w:eastAsiaTheme="minorEastAsia"/>
          <w:b/>
          <w:bCs/>
          <w:color w:val="auto"/>
          <w:sz w:val="24"/>
          <w:highlight w:val="none"/>
          <w:lang w:val="zh-CN"/>
        </w:rPr>
      </w:pPr>
      <w:bookmarkStart w:id="59" w:name="_Toc16021"/>
      <w:bookmarkStart w:id="60" w:name="_Toc15583"/>
      <w:bookmarkStart w:id="61"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59"/>
      <w:bookmarkEnd w:id="60"/>
      <w:bookmarkEnd w:id="61"/>
    </w:p>
    <w:p w14:paraId="0254AF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1.7.2</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1CCBD3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滁州</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仲裁委员会依申请仲裁时其现行有效的仲裁规则裁决；</w:t>
      </w:r>
    </w:p>
    <w:p w14:paraId="0155FD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甲方（采购人）</w:t>
      </w:r>
      <w:r>
        <w:rPr>
          <w:rFonts w:hint="eastAsia" w:asciiTheme="minorEastAsia" w:hAnsiTheme="minorEastAsia" w:eastAsiaTheme="minorEastAsia"/>
          <w:color w:val="auto"/>
          <w:sz w:val="24"/>
          <w:highlight w:val="none"/>
          <w:u w:val="single"/>
          <w:lang w:val="en-US" w:eastAsia="zh-CN"/>
        </w:rPr>
        <w:t>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391684A3">
      <w:pPr>
        <w:spacing w:line="360" w:lineRule="auto"/>
        <w:ind w:firstLine="437"/>
        <w:outlineLvl w:val="2"/>
        <w:rPr>
          <w:rFonts w:asciiTheme="minorEastAsia" w:hAnsiTheme="minorEastAsia" w:eastAsiaTheme="minorEastAsia"/>
          <w:b/>
          <w:bCs/>
          <w:color w:val="auto"/>
          <w:sz w:val="24"/>
          <w:highlight w:val="none"/>
          <w:lang w:val="zh-CN"/>
        </w:rPr>
      </w:pPr>
      <w:bookmarkStart w:id="62" w:name="_Toc15322"/>
      <w:bookmarkStart w:id="63" w:name="_Toc11173"/>
      <w:bookmarkStart w:id="64"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62"/>
      <w:bookmarkEnd w:id="63"/>
      <w:bookmarkEnd w:id="64"/>
    </w:p>
    <w:p w14:paraId="71C18EB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0846F488">
      <w:pPr>
        <w:autoSpaceDE w:val="0"/>
        <w:autoSpaceDN w:val="0"/>
        <w:adjustRightInd w:val="0"/>
        <w:spacing w:line="560" w:lineRule="exact"/>
        <w:rPr>
          <w:rFonts w:asciiTheme="minorEastAsia" w:hAnsiTheme="minorEastAsia" w:eastAsiaTheme="minorEastAsia"/>
          <w:color w:val="auto"/>
          <w:sz w:val="24"/>
          <w:highlight w:val="none"/>
          <w:lang w:val="zh-CN"/>
        </w:rPr>
      </w:pPr>
    </w:p>
    <w:p w14:paraId="6665B733">
      <w:pPr>
        <w:autoSpaceDE w:val="0"/>
        <w:autoSpaceDN w:val="0"/>
        <w:adjustRightInd w:val="0"/>
        <w:spacing w:line="560" w:lineRule="exact"/>
        <w:rPr>
          <w:rFonts w:asciiTheme="minorEastAsia" w:hAnsiTheme="minorEastAsia" w:eastAsiaTheme="minorEastAsia"/>
          <w:color w:val="auto"/>
          <w:sz w:val="24"/>
          <w:highlight w:val="none"/>
          <w:lang w:val="zh-CN"/>
        </w:rPr>
      </w:pPr>
    </w:p>
    <w:p w14:paraId="6D3DDFF1">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65"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7167CFE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25D5523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2AD222D7">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4672F82B">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乙方账户信息</w:t>
      </w:r>
    </w:p>
    <w:p w14:paraId="16653EE0">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户名：</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A00207F">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DE002B5">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E636B7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EE2E149">
      <w:pPr>
        <w:spacing w:line="360" w:lineRule="auto"/>
        <w:jc w:val="center"/>
        <w:outlineLvl w:val="1"/>
        <w:rPr>
          <w:rFonts w:asciiTheme="minorEastAsia" w:hAnsiTheme="minorEastAsia" w:eastAsiaTheme="minorEastAsia"/>
          <w:b/>
          <w:color w:val="auto"/>
          <w:sz w:val="24"/>
          <w:highlight w:val="none"/>
        </w:rPr>
      </w:pPr>
      <w:bookmarkStart w:id="66"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65"/>
      <w:bookmarkEnd w:id="66"/>
    </w:p>
    <w:p w14:paraId="73140396">
      <w:pPr>
        <w:spacing w:line="360" w:lineRule="auto"/>
        <w:ind w:firstLine="437"/>
        <w:outlineLvl w:val="2"/>
        <w:rPr>
          <w:rFonts w:asciiTheme="minorEastAsia" w:hAnsiTheme="minorEastAsia" w:eastAsiaTheme="minorEastAsia"/>
          <w:b/>
          <w:bCs/>
          <w:color w:val="auto"/>
          <w:sz w:val="24"/>
          <w:highlight w:val="none"/>
          <w:lang w:val="zh-CN"/>
        </w:rPr>
      </w:pPr>
      <w:bookmarkStart w:id="67" w:name="_Toc487900349"/>
      <w:bookmarkStart w:id="68" w:name="_Ref467379109"/>
      <w:bookmarkStart w:id="69" w:name="_Ref467378463"/>
      <w:bookmarkStart w:id="70" w:name="_Toc19614"/>
      <w:bookmarkStart w:id="71" w:name="_Ref467379225"/>
      <w:bookmarkStart w:id="72" w:name="_Ref467378404"/>
      <w:bookmarkStart w:id="73" w:name="_Ref467378499"/>
      <w:bookmarkStart w:id="74" w:name="_Ref467379195"/>
      <w:bookmarkStart w:id="75" w:name="_Toc16917"/>
      <w:bookmarkStart w:id="76" w:name="_Ref467379101"/>
      <w:bookmarkStart w:id="77" w:name="_Ref467379094"/>
      <w:bookmarkStart w:id="78" w:name="_Ref467379205"/>
      <w:bookmarkStart w:id="79" w:name="_Toc259093669"/>
      <w:bookmarkStart w:id="80" w:name="_Toc28763"/>
      <w:bookmarkStart w:id="81" w:name="_Toc279701240"/>
      <w:bookmarkStart w:id="82" w:name="_Ref467379214"/>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2EA4BC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bookmarkStart w:id="83" w:name="_Ref467379436"/>
      <w:r>
        <w:rPr>
          <w:rFonts w:hint="eastAsia" w:asciiTheme="minorEastAsia" w:hAnsiTheme="minorEastAsia" w:eastAsiaTheme="minorEastAsia"/>
          <w:color w:val="auto"/>
          <w:sz w:val="24"/>
          <w:highlight w:val="none"/>
        </w:rPr>
        <w:t>合同中的下列词语应按以下内容进行解释：</w:t>
      </w:r>
    </w:p>
    <w:p w14:paraId="2FE422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2.1.1“合同”系指采购人和中标人签订的载明双方当事人所达成的协议，并包括所有的附件、附录和构成合同的其他文件。</w:t>
      </w:r>
    </w:p>
    <w:p w14:paraId="791809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2.1.2“合同价”系指根据合同约定，中标人在完全履行合同义务后，采购人应支付给中标人的价格。</w:t>
      </w:r>
    </w:p>
    <w:p w14:paraId="1B8784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2.1.3“服务”系指中标人根据合同约定应向采购人履行的除货物和工程以外的其他政府采购对象，包括采购人自身需要的服务和向社会公众提供的公共服务。</w:t>
      </w:r>
    </w:p>
    <w:p w14:paraId="524837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2.1.4“甲方”系指与中标人签署合同的采购人；采购人委托采购代理机构代表其与乙方签订合同的，采购人的授权委托书作为合同附件。</w:t>
      </w:r>
    </w:p>
    <w:p w14:paraId="24E50E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EA62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2.1.6“现场”系指合同约定提供服务的地点</w:t>
      </w:r>
      <w:r>
        <w:rPr>
          <w:rFonts w:asciiTheme="minorEastAsia" w:hAnsiTheme="minorEastAsia" w:eastAsiaTheme="minorEastAsia"/>
          <w:color w:val="auto"/>
          <w:sz w:val="24"/>
          <w:highlight w:val="none"/>
        </w:rPr>
        <w:t>。</w:t>
      </w:r>
      <w:bookmarkEnd w:id="83"/>
    </w:p>
    <w:p w14:paraId="13C99305">
      <w:pPr>
        <w:spacing w:line="360" w:lineRule="auto"/>
        <w:ind w:firstLine="437"/>
        <w:outlineLvl w:val="2"/>
        <w:rPr>
          <w:rFonts w:asciiTheme="minorEastAsia" w:hAnsiTheme="minorEastAsia" w:eastAsiaTheme="minorEastAsia"/>
          <w:b/>
          <w:bCs/>
          <w:color w:val="auto"/>
          <w:sz w:val="24"/>
          <w:highlight w:val="none"/>
          <w:lang w:val="zh-CN"/>
        </w:rPr>
      </w:pPr>
      <w:bookmarkStart w:id="84" w:name="_Toc13336"/>
      <w:bookmarkStart w:id="85" w:name="_Toc27635"/>
      <w:bookmarkStart w:id="86" w:name="_Toc259093670"/>
      <w:bookmarkStart w:id="87" w:name="_Toc32504"/>
      <w:bookmarkStart w:id="88" w:name="_Toc279701241"/>
      <w:bookmarkStart w:id="89" w:name="_Toc487900350"/>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84"/>
      <w:bookmarkEnd w:id="85"/>
      <w:bookmarkEnd w:id="86"/>
      <w:bookmarkEnd w:id="87"/>
      <w:bookmarkEnd w:id="88"/>
      <w:bookmarkEnd w:id="89"/>
    </w:p>
    <w:p w14:paraId="2771123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w:t>
      </w:r>
      <w:r>
        <w:rPr>
          <w:rFonts w:hint="eastAsia" w:asciiTheme="minorEastAsia" w:hAnsiTheme="minorEastAsia" w:eastAsiaTheme="minorEastAsia"/>
          <w:color w:val="auto"/>
          <w:sz w:val="24"/>
          <w:highlight w:val="none"/>
        </w:rPr>
        <w:t>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r>
        <w:rPr>
          <w:rFonts w:asciiTheme="minorEastAsia" w:hAnsiTheme="minorEastAsia" w:eastAsiaTheme="minorEastAsia"/>
          <w:color w:val="auto"/>
          <w:sz w:val="24"/>
          <w:highlight w:val="none"/>
        </w:rPr>
        <w:t>。</w:t>
      </w:r>
    </w:p>
    <w:p w14:paraId="28C48795">
      <w:pPr>
        <w:spacing w:line="360" w:lineRule="auto"/>
        <w:ind w:firstLine="437"/>
        <w:outlineLvl w:val="2"/>
        <w:rPr>
          <w:rFonts w:asciiTheme="minorEastAsia" w:hAnsiTheme="minorEastAsia" w:eastAsiaTheme="minorEastAsia"/>
          <w:b/>
          <w:bCs/>
          <w:color w:val="auto"/>
          <w:sz w:val="24"/>
          <w:highlight w:val="none"/>
          <w:lang w:val="zh-CN"/>
        </w:rPr>
      </w:pPr>
      <w:bookmarkStart w:id="90" w:name="_Toc279701242"/>
      <w:bookmarkStart w:id="91" w:name="_Toc31634"/>
      <w:bookmarkStart w:id="92" w:name="_Toc27853"/>
      <w:bookmarkStart w:id="93" w:name="_Toc9829"/>
      <w:bookmarkStart w:id="94" w:name="_Toc487900351"/>
      <w:bookmarkStart w:id="95" w:name="_Toc259093671"/>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90"/>
      <w:bookmarkEnd w:id="91"/>
      <w:bookmarkEnd w:id="92"/>
      <w:bookmarkEnd w:id="93"/>
      <w:bookmarkEnd w:id="94"/>
      <w:bookmarkEnd w:id="95"/>
    </w:p>
    <w:p w14:paraId="45FBB5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1A00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2.3.2具有知识产权的计算机软件等货物的知识产权归属，详</w:t>
      </w:r>
      <w:r>
        <w:rPr>
          <w:rFonts w:asciiTheme="minorEastAsia" w:hAnsiTheme="minorEastAsia" w:eastAsiaTheme="minorEastAsia"/>
          <w:color w:val="auto"/>
          <w:sz w:val="24"/>
          <w:highlight w:val="none"/>
        </w:rPr>
        <w:t>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3FC1CEB0">
      <w:pPr>
        <w:spacing w:line="360" w:lineRule="auto"/>
        <w:ind w:firstLine="437"/>
        <w:outlineLvl w:val="2"/>
        <w:rPr>
          <w:rFonts w:asciiTheme="minorEastAsia" w:hAnsiTheme="minorEastAsia" w:eastAsiaTheme="minorEastAsia"/>
          <w:b/>
          <w:color w:val="auto"/>
          <w:sz w:val="24"/>
          <w:highlight w:val="none"/>
        </w:rPr>
      </w:pPr>
      <w:bookmarkStart w:id="96" w:name="_Toc29149"/>
      <w:bookmarkStart w:id="97" w:name="_Toc4194"/>
      <w:bookmarkStart w:id="98" w:name="_Toc11932"/>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bookmarkEnd w:id="96"/>
      <w:bookmarkEnd w:id="97"/>
      <w:bookmarkEnd w:id="98"/>
      <w:r>
        <w:rPr>
          <w:rFonts w:hint="eastAsia" w:asciiTheme="minorEastAsia" w:hAnsiTheme="minorEastAsia" w:eastAsiaTheme="minorEastAsia"/>
          <w:b/>
          <w:bCs/>
          <w:color w:val="auto"/>
          <w:sz w:val="24"/>
          <w:highlight w:val="none"/>
          <w:lang w:val="zh-CN"/>
        </w:rPr>
        <w:t>履约检查和问题反馈</w:t>
      </w:r>
    </w:p>
    <w:p w14:paraId="788676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3B88D6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2.4.2合同履行期间，甲方有权将履行过程中出现的问题反馈给乙方，双方当事人应以书面形式约定需要完善和改进的内容。</w:t>
      </w:r>
    </w:p>
    <w:p w14:paraId="037502B8">
      <w:pPr>
        <w:spacing w:line="360" w:lineRule="auto"/>
        <w:ind w:firstLine="437"/>
        <w:outlineLvl w:val="2"/>
        <w:rPr>
          <w:rFonts w:asciiTheme="minorEastAsia" w:hAnsiTheme="minorEastAsia" w:eastAsiaTheme="minorEastAsia"/>
          <w:b/>
          <w:bCs/>
          <w:color w:val="auto"/>
          <w:sz w:val="24"/>
          <w:highlight w:val="none"/>
          <w:lang w:val="zh-CN"/>
        </w:rPr>
      </w:pPr>
      <w:bookmarkStart w:id="99" w:name="_Toc259093674"/>
      <w:bookmarkStart w:id="100" w:name="_Ref467379527"/>
      <w:bookmarkStart w:id="101" w:name="_Ref467378541"/>
      <w:bookmarkStart w:id="102" w:name="_Toc279701245"/>
      <w:bookmarkStart w:id="103" w:name="_Ref467378591"/>
      <w:bookmarkStart w:id="104" w:name="_Toc487900354"/>
      <w:bookmarkStart w:id="105" w:name="_Ref467379536"/>
      <w:bookmarkStart w:id="106" w:name="_Ref467379542"/>
      <w:bookmarkStart w:id="107" w:name="_Toc26182"/>
      <w:bookmarkStart w:id="108" w:name="_Toc30272"/>
      <w:bookmarkStart w:id="109" w:name="_Toc19074"/>
      <w:r>
        <w:rPr>
          <w:rFonts w:hint="eastAsia" w:asciiTheme="minorEastAsia" w:hAnsiTheme="minorEastAsia" w:eastAsiaTheme="minorEastAsia"/>
          <w:b/>
          <w:bCs/>
          <w:color w:val="auto"/>
          <w:sz w:val="24"/>
          <w:highlight w:val="none"/>
          <w:lang w:val="zh-CN"/>
        </w:rPr>
        <w:t>2.</w:t>
      </w:r>
      <w:bookmarkEnd w:id="99"/>
      <w:bookmarkEnd w:id="100"/>
      <w:bookmarkEnd w:id="101"/>
      <w:bookmarkEnd w:id="102"/>
      <w:bookmarkEnd w:id="103"/>
      <w:bookmarkEnd w:id="104"/>
      <w:bookmarkEnd w:id="105"/>
      <w:bookmarkEnd w:id="106"/>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bookmarkEnd w:id="107"/>
      <w:bookmarkEnd w:id="108"/>
      <w:bookmarkEnd w:id="109"/>
      <w:bookmarkStart w:id="110" w:name="_Ref467379807"/>
      <w:bookmarkStart w:id="111" w:name="_Toc28451"/>
      <w:bookmarkStart w:id="112" w:name="_Toc487900357"/>
      <w:bookmarkStart w:id="113" w:name="_Toc19219"/>
      <w:bookmarkStart w:id="114" w:name="_Toc7836"/>
      <w:bookmarkStart w:id="115" w:name="_Toc259093676"/>
      <w:bookmarkStart w:id="116" w:name="_Ref467379793"/>
      <w:bookmarkStart w:id="117" w:name="_Toc279701247"/>
      <w:r>
        <w:rPr>
          <w:rFonts w:asciiTheme="minorEastAsia" w:hAnsiTheme="minorEastAsia" w:eastAsiaTheme="minorEastAsia"/>
          <w:b/>
          <w:bCs/>
          <w:color w:val="auto"/>
          <w:sz w:val="24"/>
          <w:highlight w:val="none"/>
          <w:lang w:val="zh-CN"/>
        </w:rPr>
        <w:t>结算方式和付款条件</w:t>
      </w:r>
      <w:bookmarkEnd w:id="110"/>
      <w:bookmarkEnd w:id="111"/>
      <w:bookmarkEnd w:id="112"/>
      <w:bookmarkEnd w:id="113"/>
      <w:bookmarkEnd w:id="114"/>
      <w:bookmarkEnd w:id="115"/>
      <w:bookmarkEnd w:id="116"/>
      <w:bookmarkEnd w:id="117"/>
    </w:p>
    <w:p w14:paraId="500C94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45197C8">
      <w:pPr>
        <w:spacing w:line="360" w:lineRule="auto"/>
        <w:ind w:firstLine="437"/>
        <w:outlineLvl w:val="2"/>
        <w:rPr>
          <w:rFonts w:asciiTheme="minorEastAsia" w:hAnsiTheme="minorEastAsia" w:eastAsiaTheme="minorEastAsia"/>
          <w:b/>
          <w:bCs/>
          <w:color w:val="auto"/>
          <w:sz w:val="24"/>
          <w:highlight w:val="none"/>
          <w:lang w:val="zh-CN"/>
        </w:rPr>
      </w:pPr>
      <w:bookmarkStart w:id="118" w:name="_Toc487900358"/>
      <w:bookmarkStart w:id="119" w:name="_Toc259093677"/>
      <w:bookmarkStart w:id="120" w:name="_Ref467379863"/>
      <w:bookmarkStart w:id="121" w:name="_Ref467379923"/>
      <w:bookmarkStart w:id="122" w:name="_Toc279701248"/>
      <w:bookmarkStart w:id="123" w:name="_Ref467379852"/>
      <w:bookmarkStart w:id="124" w:name="_Toc3225"/>
      <w:bookmarkStart w:id="125" w:name="_Toc16110"/>
      <w:bookmarkStart w:id="126" w:name="_Toc7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18"/>
      <w:bookmarkEnd w:id="119"/>
      <w:bookmarkEnd w:id="120"/>
      <w:bookmarkEnd w:id="121"/>
      <w:bookmarkEnd w:id="122"/>
      <w:bookmarkEnd w:id="123"/>
      <w:r>
        <w:rPr>
          <w:rFonts w:asciiTheme="minorEastAsia" w:hAnsiTheme="minorEastAsia" w:eastAsiaTheme="minorEastAsia"/>
          <w:b/>
          <w:bCs/>
          <w:color w:val="auto"/>
          <w:sz w:val="24"/>
          <w:highlight w:val="none"/>
          <w:lang w:val="zh-CN"/>
        </w:rPr>
        <w:t>和保密义务</w:t>
      </w:r>
      <w:bookmarkEnd w:id="124"/>
      <w:bookmarkEnd w:id="125"/>
      <w:bookmarkEnd w:id="126"/>
    </w:p>
    <w:p w14:paraId="1BB1A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2.6.1乙方有权依据合同约定和项目需要，向甲方了解有关情况，调阅有关资料等，甲方应予积极配合；</w:t>
      </w:r>
    </w:p>
    <w:p w14:paraId="182853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2.6.2乙方有义务妥善保管和保护由甲方提供的前款信息和资料等；</w:t>
      </w:r>
    </w:p>
    <w:p w14:paraId="2F1B14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B95ACF">
      <w:pPr>
        <w:spacing w:line="360" w:lineRule="auto"/>
        <w:ind w:firstLine="437"/>
        <w:outlineLvl w:val="2"/>
        <w:rPr>
          <w:rFonts w:asciiTheme="minorEastAsia" w:hAnsiTheme="minorEastAsia" w:eastAsiaTheme="minorEastAsia"/>
          <w:b/>
          <w:bCs/>
          <w:color w:val="auto"/>
          <w:sz w:val="24"/>
          <w:highlight w:val="none"/>
          <w:lang w:val="zh-CN"/>
        </w:rPr>
      </w:pPr>
      <w:bookmarkStart w:id="127"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7</w:t>
      </w:r>
      <w:r>
        <w:rPr>
          <w:rFonts w:asciiTheme="minorEastAsia" w:hAnsiTheme="minorEastAsia" w:eastAsiaTheme="minorEastAsia"/>
          <w:b/>
          <w:bCs/>
          <w:color w:val="auto"/>
          <w:sz w:val="24"/>
          <w:highlight w:val="none"/>
          <w:lang w:val="zh-CN"/>
        </w:rPr>
        <w:t xml:space="preserve"> 质量保证</w:t>
      </w:r>
      <w:bookmarkEnd w:id="127"/>
    </w:p>
    <w:p w14:paraId="754ADB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2.7.1乙方应建立和完善履行合同的内部质量保证体系，并提供相关内部规章制度给甲方，以便甲方进行监督检查；</w:t>
      </w:r>
    </w:p>
    <w:p w14:paraId="511911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2.7.2乙方应保证履行合同的人员数量和素质、软件和硬件设备的配置、场地、环境和设施等满足全面履行合同的要求，并应接受甲方的监督检查。</w:t>
      </w:r>
    </w:p>
    <w:p w14:paraId="47A03D1D">
      <w:pPr>
        <w:spacing w:line="360" w:lineRule="auto"/>
        <w:ind w:firstLine="437"/>
        <w:outlineLvl w:val="2"/>
        <w:rPr>
          <w:rFonts w:asciiTheme="minorEastAsia" w:hAnsiTheme="minorEastAsia" w:eastAsiaTheme="minorEastAsia"/>
          <w:b/>
          <w:bCs/>
          <w:color w:val="auto"/>
          <w:sz w:val="24"/>
          <w:highlight w:val="none"/>
          <w:lang w:val="zh-CN"/>
        </w:rPr>
      </w:pPr>
      <w:bookmarkStart w:id="128" w:name="_Toc259093681"/>
      <w:bookmarkStart w:id="129" w:name="_Toc279701252"/>
      <w:bookmarkStart w:id="130" w:name="_Toc17244"/>
      <w:bookmarkStart w:id="131" w:name="_Toc487900362"/>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8</w:t>
      </w:r>
      <w:r>
        <w:rPr>
          <w:rFonts w:asciiTheme="minorEastAsia" w:hAnsiTheme="minorEastAsia" w:eastAsiaTheme="minorEastAsia"/>
          <w:b/>
          <w:bCs/>
          <w:color w:val="auto"/>
          <w:sz w:val="24"/>
          <w:highlight w:val="none"/>
          <w:lang w:val="zh-CN"/>
        </w:rPr>
        <w:t xml:space="preserve"> </w:t>
      </w:r>
      <w:bookmarkEnd w:id="128"/>
      <w:bookmarkEnd w:id="129"/>
      <w:bookmarkEnd w:id="130"/>
      <w:bookmarkEnd w:id="131"/>
      <w:r>
        <w:rPr>
          <w:rFonts w:hint="eastAsia" w:asciiTheme="minorEastAsia" w:hAnsiTheme="minorEastAsia" w:eastAsiaTheme="minorEastAsia"/>
          <w:b/>
          <w:bCs/>
          <w:color w:val="auto"/>
          <w:sz w:val="24"/>
          <w:highlight w:val="none"/>
          <w:lang w:val="zh-CN"/>
        </w:rPr>
        <w:t>延迟履行</w:t>
      </w:r>
    </w:p>
    <w:p w14:paraId="057889D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Fonts w:asciiTheme="minorEastAsia" w:hAnsiTheme="minorEastAsia" w:eastAsiaTheme="minorEastAsia"/>
          <w:color w:val="auto"/>
          <w:sz w:val="24"/>
          <w:highlight w:val="none"/>
        </w:rPr>
        <w:t>。</w:t>
      </w:r>
    </w:p>
    <w:p w14:paraId="2856E589">
      <w:pPr>
        <w:spacing w:line="360" w:lineRule="auto"/>
        <w:ind w:firstLine="437"/>
        <w:outlineLvl w:val="2"/>
        <w:rPr>
          <w:rFonts w:asciiTheme="minorEastAsia" w:hAnsiTheme="minorEastAsia" w:eastAsiaTheme="minorEastAsia"/>
          <w:b/>
          <w:bCs/>
          <w:color w:val="auto"/>
          <w:sz w:val="24"/>
          <w:highlight w:val="none"/>
          <w:lang w:val="zh-CN"/>
        </w:rPr>
      </w:pPr>
      <w:bookmarkStart w:id="132" w:name="_Toc7502"/>
      <w:bookmarkStart w:id="133" w:name="_Toc487900364"/>
      <w:bookmarkStart w:id="134" w:name="_Ref467378121"/>
      <w:bookmarkStart w:id="135" w:name="_Toc259093683"/>
      <w:bookmarkStart w:id="136" w:name="_Toc279701254"/>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9</w:t>
      </w:r>
      <w:r>
        <w:rPr>
          <w:rFonts w:asciiTheme="minorEastAsia" w:hAnsiTheme="minorEastAsia" w:eastAsiaTheme="minorEastAsia"/>
          <w:b/>
          <w:bCs/>
          <w:color w:val="auto"/>
          <w:sz w:val="24"/>
          <w:highlight w:val="none"/>
          <w:lang w:val="zh-CN"/>
        </w:rPr>
        <w:t xml:space="preserve"> 合同变更</w:t>
      </w:r>
      <w:bookmarkEnd w:id="132"/>
    </w:p>
    <w:p w14:paraId="61FC5B9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2.9.1双方当事人协商一致，可以签订书面补充合同的形式变更合同，但不得违背采购文件确定的事项；</w:t>
      </w:r>
    </w:p>
    <w:p w14:paraId="151F42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7" w:name="_Toc279701259"/>
      <w:bookmarkStart w:id="138" w:name="_Toc487900369"/>
      <w:bookmarkStart w:id="139" w:name="_Toc259093688"/>
    </w:p>
    <w:p w14:paraId="044F346E">
      <w:pPr>
        <w:spacing w:line="360" w:lineRule="auto"/>
        <w:ind w:firstLine="437"/>
        <w:outlineLvl w:val="2"/>
        <w:rPr>
          <w:rFonts w:asciiTheme="minorEastAsia" w:hAnsiTheme="minorEastAsia" w:eastAsiaTheme="minorEastAsia"/>
          <w:b/>
          <w:bCs/>
          <w:color w:val="auto"/>
          <w:sz w:val="24"/>
          <w:highlight w:val="none"/>
          <w:lang w:val="zh-CN"/>
        </w:rPr>
      </w:pPr>
      <w:bookmarkStart w:id="140" w:name="_Toc10366"/>
      <w:bookmarkStart w:id="141" w:name="_Toc22955"/>
      <w:bookmarkStart w:id="142" w:name="_Toc15237"/>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37"/>
      <w:bookmarkEnd w:id="138"/>
      <w:bookmarkEnd w:id="139"/>
      <w:r>
        <w:rPr>
          <w:rFonts w:asciiTheme="minorEastAsia" w:hAnsiTheme="minorEastAsia" w:eastAsiaTheme="minorEastAsia"/>
          <w:b/>
          <w:bCs/>
          <w:color w:val="auto"/>
          <w:sz w:val="24"/>
          <w:highlight w:val="none"/>
          <w:lang w:val="zh-CN"/>
        </w:rPr>
        <w:t>和分包</w:t>
      </w:r>
      <w:bookmarkEnd w:id="140"/>
      <w:bookmarkEnd w:id="141"/>
      <w:bookmarkEnd w:id="142"/>
    </w:p>
    <w:p w14:paraId="28AE5D4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rPr>
        <w:t>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880F42">
      <w:pPr>
        <w:spacing w:line="360" w:lineRule="auto"/>
        <w:ind w:firstLine="437"/>
        <w:outlineLvl w:val="2"/>
        <w:rPr>
          <w:rFonts w:asciiTheme="minorEastAsia" w:hAnsiTheme="minorEastAsia" w:eastAsiaTheme="minorEastAsia"/>
          <w:b/>
          <w:bCs/>
          <w:color w:val="auto"/>
          <w:sz w:val="24"/>
          <w:highlight w:val="none"/>
          <w:lang w:val="zh-CN"/>
        </w:rPr>
      </w:pPr>
      <w:bookmarkStart w:id="143" w:name="_Toc16508"/>
      <w:bookmarkStart w:id="144" w:name="_Toc14066"/>
      <w:bookmarkStart w:id="145" w:name="_Toc1356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1</w:t>
      </w:r>
      <w:r>
        <w:rPr>
          <w:rFonts w:asciiTheme="minorEastAsia" w:hAnsiTheme="minorEastAsia" w:eastAsiaTheme="minorEastAsia"/>
          <w:b/>
          <w:bCs/>
          <w:color w:val="auto"/>
          <w:sz w:val="24"/>
          <w:highlight w:val="none"/>
          <w:lang w:val="zh-CN"/>
        </w:rPr>
        <w:t xml:space="preserve"> 不可抗力</w:t>
      </w:r>
      <w:bookmarkEnd w:id="143"/>
      <w:bookmarkEnd w:id="144"/>
      <w:bookmarkEnd w:id="145"/>
    </w:p>
    <w:p w14:paraId="1D7BCB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2.11.1如果任何一方遭遇法律规定的不可抗力，致使合同履行受阻时，履行合同的期限应予延长，延长的期限应相当于不可抗力所影响的时间；</w:t>
      </w:r>
    </w:p>
    <w:p w14:paraId="6A4D75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2.11.2因不可抗力致使不能实现合同目的的，当事人可以解除合同；</w:t>
      </w:r>
    </w:p>
    <w:p w14:paraId="0CA243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33829E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13D5FA0D">
      <w:pPr>
        <w:spacing w:line="360" w:lineRule="auto"/>
        <w:ind w:firstLine="437"/>
        <w:outlineLvl w:val="2"/>
        <w:rPr>
          <w:rFonts w:asciiTheme="minorEastAsia" w:hAnsiTheme="minorEastAsia" w:eastAsiaTheme="minorEastAsia"/>
          <w:b/>
          <w:bCs/>
          <w:color w:val="auto"/>
          <w:sz w:val="24"/>
          <w:highlight w:val="none"/>
          <w:lang w:val="zh-CN"/>
        </w:rPr>
      </w:pPr>
      <w:bookmarkStart w:id="146" w:name="_Toc487900365"/>
      <w:bookmarkStart w:id="147" w:name="_Toc279701255"/>
      <w:bookmarkStart w:id="148" w:name="_Toc30676"/>
      <w:bookmarkStart w:id="149" w:name="_Toc6969"/>
      <w:bookmarkStart w:id="150" w:name="_Toc689"/>
      <w:bookmarkStart w:id="151" w:name="_Toc25909368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46"/>
      <w:bookmarkEnd w:id="147"/>
      <w:bookmarkEnd w:id="148"/>
      <w:bookmarkEnd w:id="149"/>
      <w:bookmarkEnd w:id="150"/>
      <w:bookmarkEnd w:id="151"/>
    </w:p>
    <w:p w14:paraId="44DB79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合同有关的一切税费，均按照中华人民共和国法律的相关规定缴纳</w:t>
      </w:r>
      <w:r>
        <w:rPr>
          <w:rFonts w:asciiTheme="minorEastAsia" w:hAnsiTheme="minorEastAsia" w:eastAsiaTheme="minorEastAsia"/>
          <w:color w:val="auto"/>
          <w:sz w:val="24"/>
          <w:highlight w:val="none"/>
        </w:rPr>
        <w:t>。</w:t>
      </w:r>
    </w:p>
    <w:p w14:paraId="39A3B788">
      <w:pPr>
        <w:spacing w:line="360" w:lineRule="auto"/>
        <w:ind w:firstLine="437"/>
        <w:outlineLvl w:val="2"/>
        <w:rPr>
          <w:rFonts w:asciiTheme="minorEastAsia" w:hAnsiTheme="minorEastAsia" w:eastAsiaTheme="minorEastAsia"/>
          <w:b/>
          <w:bCs/>
          <w:color w:val="auto"/>
          <w:sz w:val="24"/>
          <w:highlight w:val="none"/>
          <w:lang w:val="zh-CN"/>
        </w:rPr>
      </w:pPr>
      <w:bookmarkStart w:id="152" w:name="_Toc16959"/>
      <w:bookmarkStart w:id="153" w:name="_Toc279701258"/>
      <w:bookmarkStart w:id="154" w:name="_Toc8298"/>
      <w:bookmarkStart w:id="155" w:name="_Toc259093687"/>
      <w:bookmarkStart w:id="156" w:name="_Toc487900368"/>
      <w:bookmarkStart w:id="157" w:name="_Toc7102"/>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52"/>
      <w:bookmarkEnd w:id="153"/>
      <w:bookmarkEnd w:id="154"/>
      <w:bookmarkEnd w:id="155"/>
      <w:bookmarkEnd w:id="156"/>
      <w:bookmarkEnd w:id="157"/>
    </w:p>
    <w:p w14:paraId="0066A1C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AE786B">
      <w:pPr>
        <w:spacing w:line="360" w:lineRule="auto"/>
        <w:ind w:firstLine="437"/>
        <w:outlineLvl w:val="2"/>
        <w:rPr>
          <w:rFonts w:asciiTheme="minorEastAsia" w:hAnsiTheme="minorEastAsia" w:eastAsiaTheme="minorEastAsia"/>
          <w:b/>
          <w:color w:val="auto"/>
          <w:sz w:val="24"/>
          <w:highlight w:val="none"/>
        </w:rPr>
      </w:pPr>
      <w:bookmarkStart w:id="158" w:name="_Toc29333"/>
      <w:bookmarkStart w:id="159" w:name="_Toc6134"/>
      <w:bookmarkStart w:id="160" w:name="_Toc15387"/>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val="zh-CN"/>
        </w:rPr>
        <w:t xml:space="preserve"> 合同中止、终止</w:t>
      </w:r>
      <w:bookmarkEnd w:id="158"/>
      <w:bookmarkEnd w:id="159"/>
      <w:bookmarkEnd w:id="160"/>
    </w:p>
    <w:p w14:paraId="15DA4A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2.14.1双方当事人不得擅自中止或者终止合同；</w:t>
      </w:r>
    </w:p>
    <w:p w14:paraId="02DE74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D79ED66">
      <w:pPr>
        <w:spacing w:line="360" w:lineRule="auto"/>
        <w:ind w:firstLine="437"/>
        <w:outlineLvl w:val="2"/>
        <w:rPr>
          <w:rFonts w:asciiTheme="minorEastAsia" w:hAnsiTheme="minorEastAsia" w:eastAsiaTheme="minorEastAsia"/>
          <w:b/>
          <w:bCs/>
          <w:color w:val="auto"/>
          <w:sz w:val="24"/>
          <w:highlight w:val="none"/>
          <w:lang w:val="zh-CN"/>
        </w:rPr>
      </w:pPr>
      <w:bookmarkStart w:id="161" w:name="_Toc14563"/>
      <w:bookmarkStart w:id="162" w:name="_Toc1125"/>
      <w:bookmarkStart w:id="163" w:name="_Toc659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lang w:val="zh-CN"/>
        </w:rPr>
        <w:t xml:space="preserve"> 检验和验收</w:t>
      </w:r>
      <w:bookmarkEnd w:id="161"/>
      <w:bookmarkEnd w:id="162"/>
      <w:bookmarkEnd w:id="163"/>
    </w:p>
    <w:p w14:paraId="6BAE397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w:t>
      </w:r>
      <w:r>
        <w:rPr>
          <w:rFonts w:hint="eastAsia" w:asciiTheme="minorEastAsia" w:hAnsiTheme="minorEastAsia" w:eastAsiaTheme="minorEastAsia"/>
          <w:color w:val="auto"/>
          <w:sz w:val="24"/>
          <w:highlight w:val="none"/>
          <w:lang w:val="en-US" w:eastAsia="zh-CN"/>
        </w:rPr>
        <w:t>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约定，定期提交服务报告，甲方按照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1B89FC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B3241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33"/>
    <w:bookmarkEnd w:id="134"/>
    <w:bookmarkEnd w:id="135"/>
    <w:bookmarkEnd w:id="136"/>
    <w:p w14:paraId="2D02E0F2">
      <w:pPr>
        <w:spacing w:line="360" w:lineRule="auto"/>
        <w:ind w:firstLine="437"/>
        <w:outlineLvl w:val="2"/>
        <w:rPr>
          <w:rFonts w:asciiTheme="minorEastAsia" w:hAnsiTheme="minorEastAsia" w:eastAsiaTheme="minorEastAsia"/>
          <w:b/>
          <w:bCs/>
          <w:color w:val="auto"/>
          <w:sz w:val="24"/>
          <w:highlight w:val="none"/>
        </w:rPr>
      </w:pPr>
      <w:bookmarkStart w:id="164" w:name="_Toc4355"/>
      <w:bookmarkStart w:id="165" w:name="_Toc259093691"/>
      <w:bookmarkStart w:id="166" w:name="_Toc18540"/>
      <w:bookmarkStart w:id="167" w:name="_Toc279701262"/>
      <w:bookmarkStart w:id="168" w:name="_Toc30599"/>
      <w:bookmarkStart w:id="169" w:name="_Toc487900372"/>
      <w:r>
        <w:rPr>
          <w:rFonts w:hint="eastAsia" w:asciiTheme="minorEastAsia" w:hAnsiTheme="minorEastAsia" w:eastAsiaTheme="minorEastAsia"/>
          <w:b/>
          <w:bCs/>
          <w:color w:val="auto"/>
          <w:sz w:val="24"/>
          <w:highlight w:val="none"/>
          <w:lang w:val="zh-CN"/>
        </w:rPr>
        <w:t>2.1</w:t>
      </w:r>
      <w:bookmarkEnd w:id="164"/>
      <w:bookmarkEnd w:id="165"/>
      <w:bookmarkEnd w:id="166"/>
      <w:bookmarkEnd w:id="167"/>
      <w:bookmarkEnd w:id="168"/>
      <w:bookmarkEnd w:id="169"/>
      <w:bookmarkStart w:id="170" w:name="_Toc10330"/>
      <w:bookmarkStart w:id="171" w:name="_Toc18567"/>
      <w:bookmarkStart w:id="172" w:name="_Toc259093692"/>
      <w:bookmarkStart w:id="173" w:name="_Toc487900373"/>
      <w:bookmarkStart w:id="174" w:name="_Toc12773"/>
      <w:bookmarkStart w:id="175" w:name="_Toc279701263"/>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170"/>
      <w:bookmarkEnd w:id="171"/>
      <w:bookmarkEnd w:id="172"/>
      <w:bookmarkEnd w:id="173"/>
      <w:bookmarkEnd w:id="174"/>
      <w:bookmarkEnd w:id="175"/>
    </w:p>
    <w:p w14:paraId="174DA5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2.16.1合同使用汉语书就、变更和解释；</w:t>
      </w:r>
    </w:p>
    <w:p w14:paraId="5FE86B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2.16.2合同适用中华人民共和国法律</w:t>
      </w:r>
      <w:r>
        <w:rPr>
          <w:rFonts w:asciiTheme="minorEastAsia" w:hAnsiTheme="minorEastAsia" w:eastAsiaTheme="minorEastAsia"/>
          <w:color w:val="auto"/>
          <w:sz w:val="24"/>
          <w:highlight w:val="none"/>
        </w:rPr>
        <w:t>。</w:t>
      </w:r>
    </w:p>
    <w:p w14:paraId="372165C2">
      <w:pPr>
        <w:spacing w:line="360" w:lineRule="auto"/>
        <w:ind w:firstLine="437"/>
        <w:outlineLvl w:val="2"/>
        <w:rPr>
          <w:rFonts w:asciiTheme="minorEastAsia" w:hAnsiTheme="minorEastAsia" w:eastAsiaTheme="minorEastAsia"/>
          <w:b/>
          <w:color w:val="auto"/>
          <w:sz w:val="24"/>
          <w:highlight w:val="none"/>
        </w:rPr>
      </w:pPr>
      <w:bookmarkStart w:id="176" w:name="_Toc16673"/>
      <w:bookmarkStart w:id="177" w:name="_Toc259093693"/>
      <w:bookmarkStart w:id="178" w:name="_Toc279701264"/>
      <w:bookmarkStart w:id="179" w:name="_Toc12004"/>
      <w:bookmarkStart w:id="180" w:name="_Toc3148"/>
      <w:bookmarkStart w:id="181"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17</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176"/>
      <w:bookmarkEnd w:id="177"/>
      <w:bookmarkEnd w:id="178"/>
      <w:bookmarkEnd w:id="179"/>
      <w:bookmarkEnd w:id="180"/>
    </w:p>
    <w:p w14:paraId="0CA390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334EB5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FEB68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1"/>
    <w:p w14:paraId="2A1377AD">
      <w:pPr>
        <w:spacing w:line="360" w:lineRule="auto"/>
        <w:ind w:firstLine="437"/>
        <w:outlineLvl w:val="2"/>
        <w:rPr>
          <w:rFonts w:asciiTheme="minorEastAsia" w:hAnsiTheme="minorEastAsia" w:eastAsiaTheme="minorEastAsia"/>
          <w:b/>
          <w:color w:val="auto"/>
          <w:sz w:val="24"/>
          <w:highlight w:val="none"/>
        </w:rPr>
      </w:pPr>
      <w:bookmarkStart w:id="182" w:name="_Toc19890"/>
      <w:bookmarkStart w:id="183" w:name="_Toc14001"/>
      <w:bookmarkStart w:id="184" w:name="_Toc6885"/>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18</w:t>
      </w:r>
      <w:r>
        <w:rPr>
          <w:rFonts w:hint="eastAsia" w:asciiTheme="minorEastAsia" w:hAnsiTheme="minorEastAsia" w:eastAsiaTheme="minorEastAsia"/>
          <w:b/>
          <w:bCs/>
          <w:color w:val="auto"/>
          <w:sz w:val="24"/>
          <w:highlight w:val="none"/>
          <w:lang w:val="zh-CN"/>
        </w:rPr>
        <w:t xml:space="preserve"> 合同份数</w:t>
      </w:r>
      <w:bookmarkEnd w:id="182"/>
      <w:bookmarkEnd w:id="183"/>
      <w:bookmarkEnd w:id="184"/>
    </w:p>
    <w:p w14:paraId="41DFEAA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21735C2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85" w:name="_Toc331685784"/>
      <w:bookmarkStart w:id="186" w:name="_Toc14669"/>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5"/>
      <w:bookmarkEnd w:id="186"/>
    </w:p>
    <w:p w14:paraId="465113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7"/>
        <w:gridCol w:w="8260"/>
      </w:tblGrid>
      <w:tr w14:paraId="1FF9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D2D553E">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4524" w:type="pct"/>
            <w:vAlign w:val="center"/>
          </w:tcPr>
          <w:p w14:paraId="0BA79DFE">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4F3C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74E9C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2.5</w:t>
            </w:r>
          </w:p>
        </w:tc>
        <w:tc>
          <w:tcPr>
            <w:tcW w:w="4524" w:type="pct"/>
            <w:vAlign w:val="center"/>
          </w:tcPr>
          <w:p w14:paraId="18D0C3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val="en-US" w:eastAsia="zh-CN"/>
              </w:rPr>
              <w:t>乙方每次申请付款时，应向甲方开具合法有效符合甲方要求的税务发票，依法应开具增值税专用发票的，乙方应开具对应金额增值税专用发票。乙方未依约提供发票的，甲方可拒绝支付对应价款。</w:t>
            </w:r>
          </w:p>
        </w:tc>
      </w:tr>
      <w:tr w14:paraId="4528F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F49A0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2.11.3</w:t>
            </w:r>
          </w:p>
        </w:tc>
        <w:tc>
          <w:tcPr>
            <w:tcW w:w="4524" w:type="pct"/>
            <w:vAlign w:val="center"/>
          </w:tcPr>
          <w:p w14:paraId="7A7ACA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w:t>
            </w:r>
            <w:r>
              <w:rPr>
                <w:rFonts w:hint="eastAsia" w:cs="Times New Roman" w:asciiTheme="minorEastAsia" w:hAnsiTheme="minorEastAsia" w:eastAsiaTheme="minorEastAsia"/>
                <w:color w:val="auto"/>
                <w:sz w:val="24"/>
                <w:szCs w:val="24"/>
                <w:highlight w:val="none"/>
                <w:lang w:val="en-US" w:eastAsia="zh-CN"/>
              </w:rPr>
              <w:t>不可抗力发生的3个工作日内</w:t>
            </w:r>
            <w:r>
              <w:rPr>
                <w:rFonts w:hint="eastAsia" w:cs="Times New Roman" w:asciiTheme="minorEastAsia" w:hAnsiTheme="minorEastAsia" w:eastAsiaTheme="minorEastAsia"/>
                <w:color w:val="auto"/>
                <w:sz w:val="24"/>
                <w:szCs w:val="24"/>
                <w:highlight w:val="none"/>
              </w:rPr>
              <w:t>以书面形式变更合同</w:t>
            </w:r>
          </w:p>
        </w:tc>
      </w:tr>
      <w:tr w14:paraId="57E11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D5618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2.11.4</w:t>
            </w:r>
          </w:p>
        </w:tc>
        <w:tc>
          <w:tcPr>
            <w:tcW w:w="4524" w:type="pct"/>
            <w:vAlign w:val="center"/>
          </w:tcPr>
          <w:p w14:paraId="78B88B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w:t>
            </w:r>
            <w:r>
              <w:rPr>
                <w:rFonts w:hint="eastAsia" w:cs="Times New Roman" w:asciiTheme="minorEastAsia" w:hAnsiTheme="minorEastAsia" w:eastAsiaTheme="minorEastAsia"/>
                <w:color w:val="auto"/>
                <w:sz w:val="24"/>
                <w:szCs w:val="24"/>
                <w:highlight w:val="none"/>
                <w:lang w:val="en-US" w:eastAsia="zh-CN"/>
              </w:rPr>
              <w:t>不可抗力发生的1个工作日内</w:t>
            </w:r>
            <w:r>
              <w:rPr>
                <w:rFonts w:hint="eastAsia" w:cs="Times New Roman" w:asciiTheme="minorEastAsia" w:hAnsiTheme="minorEastAsia" w:eastAsiaTheme="minorEastAsia"/>
                <w:color w:val="auto"/>
                <w:sz w:val="24"/>
                <w:szCs w:val="24"/>
                <w:highlight w:val="none"/>
              </w:rPr>
              <w:t>以书面形式通知对方当事人，并在</w:t>
            </w:r>
            <w:r>
              <w:rPr>
                <w:rFonts w:hint="eastAsia" w:cs="Times New Roman" w:asciiTheme="minorEastAsia" w:hAnsiTheme="minorEastAsia" w:eastAsiaTheme="minorEastAsia"/>
                <w:color w:val="auto"/>
                <w:sz w:val="24"/>
                <w:szCs w:val="24"/>
                <w:highlight w:val="none"/>
                <w:lang w:val="en-US" w:eastAsia="zh-CN"/>
              </w:rPr>
              <w:t>1个工作日内</w:t>
            </w:r>
            <w:r>
              <w:rPr>
                <w:rFonts w:hint="eastAsia" w:cs="Times New Roman" w:asciiTheme="minorEastAsia" w:hAnsiTheme="minorEastAsia" w:eastAsiaTheme="minorEastAsia"/>
                <w:color w:val="auto"/>
                <w:sz w:val="24"/>
                <w:szCs w:val="24"/>
                <w:highlight w:val="none"/>
              </w:rPr>
              <w:t>，将有关部门出具的证明文件送达对方当事人</w:t>
            </w:r>
          </w:p>
        </w:tc>
      </w:tr>
      <w:tr w14:paraId="1384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325CF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2.15</w:t>
            </w:r>
          </w:p>
        </w:tc>
        <w:tc>
          <w:tcPr>
            <w:tcW w:w="4524" w:type="pct"/>
            <w:vAlign w:val="center"/>
          </w:tcPr>
          <w:p w14:paraId="16C1D794">
            <w:pPr>
              <w:spacing w:line="440" w:lineRule="exact"/>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tc>
      </w:tr>
      <w:tr w14:paraId="1E758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22420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2.17</w:t>
            </w:r>
          </w:p>
        </w:tc>
        <w:tc>
          <w:tcPr>
            <w:tcW w:w="4524" w:type="pct"/>
            <w:vAlign w:val="center"/>
          </w:tcPr>
          <w:p w14:paraId="1D0D6B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本项目免收</w:t>
            </w:r>
            <w:r>
              <w:rPr>
                <w:rFonts w:hint="eastAsia" w:cs="Times New Roman" w:asciiTheme="minorEastAsia" w:hAnsiTheme="minorEastAsia" w:eastAsiaTheme="minorEastAsia"/>
                <w:color w:val="auto"/>
                <w:sz w:val="24"/>
                <w:szCs w:val="24"/>
                <w:highlight w:val="none"/>
                <w:lang w:val="zh-CN" w:eastAsia="zh-CN"/>
              </w:rPr>
              <w:t>履约保证金。</w:t>
            </w:r>
          </w:p>
        </w:tc>
      </w:tr>
      <w:tr w14:paraId="561C6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64A3F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2.18</w:t>
            </w:r>
          </w:p>
        </w:tc>
        <w:tc>
          <w:tcPr>
            <w:tcW w:w="4524" w:type="pct"/>
            <w:vAlign w:val="center"/>
          </w:tcPr>
          <w:p w14:paraId="0C73D2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合同一式陆份，甲乙双方各执叁份。</w:t>
            </w:r>
          </w:p>
        </w:tc>
      </w:tr>
      <w:tr w14:paraId="5C99B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7A84C47">
            <w:pPr>
              <w:spacing w:line="560" w:lineRule="exact"/>
              <w:jc w:val="center"/>
              <w:rPr>
                <w:rFonts w:asciiTheme="minorEastAsia" w:hAnsiTheme="minorEastAsia" w:eastAsiaTheme="minorEastAsia"/>
                <w:color w:val="auto"/>
                <w:sz w:val="24"/>
                <w:highlight w:val="none"/>
              </w:rPr>
            </w:pPr>
          </w:p>
        </w:tc>
        <w:tc>
          <w:tcPr>
            <w:tcW w:w="4524" w:type="pct"/>
            <w:vAlign w:val="center"/>
          </w:tcPr>
          <w:p w14:paraId="3F7BF534">
            <w:pPr>
              <w:spacing w:line="560" w:lineRule="exact"/>
              <w:rPr>
                <w:rFonts w:hint="default" w:asciiTheme="minorEastAsia" w:hAnsiTheme="minorEastAsia" w:eastAsiaTheme="minorEastAsia"/>
                <w:color w:val="auto"/>
                <w:sz w:val="24"/>
                <w:highlight w:val="none"/>
                <w:u w:val="single"/>
                <w:lang w:val="en-US" w:eastAsia="zh-CN"/>
              </w:rPr>
            </w:pPr>
          </w:p>
        </w:tc>
      </w:tr>
      <w:tr w14:paraId="035D3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8704E9E">
            <w:pPr>
              <w:spacing w:line="560" w:lineRule="exact"/>
              <w:jc w:val="center"/>
              <w:rPr>
                <w:rFonts w:asciiTheme="minorEastAsia" w:hAnsiTheme="minorEastAsia" w:eastAsiaTheme="minorEastAsia"/>
                <w:color w:val="auto"/>
                <w:sz w:val="24"/>
                <w:highlight w:val="none"/>
              </w:rPr>
            </w:pPr>
          </w:p>
        </w:tc>
        <w:tc>
          <w:tcPr>
            <w:tcW w:w="4524" w:type="pct"/>
            <w:vAlign w:val="center"/>
          </w:tcPr>
          <w:p w14:paraId="47A855AF">
            <w:pPr>
              <w:spacing w:line="560" w:lineRule="exact"/>
              <w:rPr>
                <w:rFonts w:asciiTheme="minorEastAsia" w:hAnsiTheme="minorEastAsia" w:eastAsiaTheme="minorEastAsia"/>
                <w:color w:val="auto"/>
                <w:sz w:val="24"/>
                <w:highlight w:val="none"/>
              </w:rPr>
            </w:pPr>
          </w:p>
        </w:tc>
      </w:tr>
      <w:tr w14:paraId="1096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0F98E6A">
            <w:pPr>
              <w:spacing w:line="560" w:lineRule="exact"/>
              <w:jc w:val="center"/>
              <w:rPr>
                <w:rFonts w:asciiTheme="minorEastAsia" w:hAnsiTheme="minorEastAsia" w:eastAsiaTheme="minorEastAsia"/>
                <w:color w:val="auto"/>
                <w:sz w:val="24"/>
                <w:highlight w:val="none"/>
              </w:rPr>
            </w:pPr>
          </w:p>
        </w:tc>
        <w:tc>
          <w:tcPr>
            <w:tcW w:w="4524" w:type="pct"/>
            <w:vAlign w:val="center"/>
          </w:tcPr>
          <w:p w14:paraId="5C23A960">
            <w:pPr>
              <w:spacing w:line="560" w:lineRule="exact"/>
              <w:rPr>
                <w:rFonts w:asciiTheme="minorEastAsia" w:hAnsiTheme="minorEastAsia" w:eastAsiaTheme="minorEastAsia"/>
                <w:color w:val="auto"/>
                <w:sz w:val="24"/>
                <w:highlight w:val="none"/>
              </w:rPr>
            </w:pPr>
          </w:p>
        </w:tc>
      </w:tr>
      <w:tr w14:paraId="6F685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469B05E">
            <w:pPr>
              <w:spacing w:line="560" w:lineRule="exact"/>
              <w:rPr>
                <w:rFonts w:asciiTheme="minorEastAsia" w:hAnsiTheme="minorEastAsia" w:eastAsiaTheme="minorEastAsia"/>
                <w:color w:val="auto"/>
                <w:sz w:val="24"/>
                <w:highlight w:val="none"/>
              </w:rPr>
            </w:pPr>
          </w:p>
        </w:tc>
        <w:tc>
          <w:tcPr>
            <w:tcW w:w="4524" w:type="pct"/>
            <w:vAlign w:val="center"/>
          </w:tcPr>
          <w:p w14:paraId="5C6D2DA2">
            <w:pPr>
              <w:spacing w:line="560" w:lineRule="exact"/>
              <w:rPr>
                <w:rFonts w:asciiTheme="minorEastAsia" w:hAnsiTheme="minorEastAsia" w:eastAsiaTheme="minorEastAsia"/>
                <w:color w:val="auto"/>
                <w:sz w:val="24"/>
                <w:highlight w:val="none"/>
              </w:rPr>
            </w:pPr>
          </w:p>
        </w:tc>
      </w:tr>
      <w:tr w14:paraId="2366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4CF5CE8">
            <w:pPr>
              <w:spacing w:line="560" w:lineRule="exact"/>
              <w:rPr>
                <w:rFonts w:asciiTheme="minorEastAsia" w:hAnsiTheme="minorEastAsia" w:eastAsiaTheme="minorEastAsia"/>
                <w:color w:val="auto"/>
                <w:sz w:val="24"/>
                <w:highlight w:val="none"/>
              </w:rPr>
            </w:pPr>
          </w:p>
        </w:tc>
        <w:tc>
          <w:tcPr>
            <w:tcW w:w="4524" w:type="pct"/>
            <w:tcBorders>
              <w:top w:val="single" w:color="auto" w:sz="6" w:space="0"/>
              <w:left w:val="single" w:color="auto" w:sz="6" w:space="0"/>
              <w:bottom w:val="single" w:color="auto" w:sz="6" w:space="0"/>
              <w:right w:val="single" w:color="auto" w:sz="6" w:space="0"/>
            </w:tcBorders>
            <w:vAlign w:val="center"/>
          </w:tcPr>
          <w:p w14:paraId="129CB286">
            <w:pPr>
              <w:spacing w:line="560" w:lineRule="exact"/>
              <w:rPr>
                <w:rFonts w:asciiTheme="minorEastAsia" w:hAnsiTheme="minorEastAsia" w:eastAsiaTheme="minorEastAsia"/>
                <w:color w:val="auto"/>
                <w:sz w:val="24"/>
                <w:highlight w:val="none"/>
              </w:rPr>
            </w:pPr>
          </w:p>
        </w:tc>
      </w:tr>
      <w:tr w14:paraId="3543E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0E86579">
            <w:pPr>
              <w:spacing w:line="560" w:lineRule="exact"/>
              <w:rPr>
                <w:rFonts w:asciiTheme="minorEastAsia" w:hAnsiTheme="minorEastAsia" w:eastAsiaTheme="minorEastAsia"/>
                <w:color w:val="auto"/>
                <w:sz w:val="24"/>
                <w:highlight w:val="none"/>
              </w:rPr>
            </w:pPr>
          </w:p>
        </w:tc>
        <w:tc>
          <w:tcPr>
            <w:tcW w:w="4524" w:type="pct"/>
            <w:tcBorders>
              <w:top w:val="single" w:color="auto" w:sz="6" w:space="0"/>
              <w:left w:val="single" w:color="auto" w:sz="6" w:space="0"/>
              <w:bottom w:val="single" w:color="auto" w:sz="6" w:space="0"/>
              <w:right w:val="single" w:color="auto" w:sz="6" w:space="0"/>
            </w:tcBorders>
            <w:vAlign w:val="center"/>
          </w:tcPr>
          <w:p w14:paraId="1963B8A4">
            <w:pPr>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（签订合同时可补充）</w:t>
            </w:r>
          </w:p>
        </w:tc>
      </w:tr>
    </w:tbl>
    <w:p w14:paraId="24B8FDD3">
      <w:pPr>
        <w:keepNext w:val="0"/>
        <w:keepLines w:val="0"/>
        <w:pageBreakBefore/>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补充条款</w:t>
      </w:r>
    </w:p>
    <w:p w14:paraId="6FBAE64C">
      <w:pPr>
        <w:pStyle w:val="83"/>
        <w:keepNext w:val="0"/>
        <w:keepLines w:val="0"/>
        <w:pageBreakBefore w:val="0"/>
        <w:widowControl/>
        <w:shd w:val="clear" w:color="auto" w:fill="auto"/>
        <w:kinsoku/>
        <w:wordWrap/>
        <w:overflowPunct/>
        <w:topLinePunct w:val="0"/>
        <w:autoSpaceDE/>
        <w:autoSpaceDN/>
        <w:bidi w:val="0"/>
        <w:snapToGrid/>
        <w:spacing w:before="0" w:after="0" w:line="440" w:lineRule="exact"/>
        <w:ind w:left="0" w:right="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总监理工程师: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17549F21">
      <w:pPr>
        <w:pStyle w:val="83"/>
        <w:keepNext w:val="0"/>
        <w:keepLines w:val="0"/>
        <w:pageBreakBefore w:val="0"/>
        <w:widowControl/>
        <w:shd w:val="clear" w:color="auto" w:fill="auto"/>
        <w:kinsoku/>
        <w:wordWrap/>
        <w:overflowPunct/>
        <w:topLinePunct w:val="0"/>
        <w:autoSpaceDE/>
        <w:autoSpaceDN/>
        <w:bidi w:val="0"/>
        <w:snapToGrid/>
        <w:spacing w:before="0" w:after="0" w:line="44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总监理工程师情况一览表</w:t>
      </w:r>
    </w:p>
    <w:tbl>
      <w:tblPr>
        <w:tblStyle w:val="2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66"/>
        <w:gridCol w:w="788"/>
        <w:gridCol w:w="1395"/>
        <w:gridCol w:w="1540"/>
        <w:gridCol w:w="1985"/>
        <w:gridCol w:w="1640"/>
      </w:tblGrid>
      <w:tr w14:paraId="10DD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1366" w:type="dxa"/>
            <w:noWrap w:val="0"/>
            <w:vAlign w:val="center"/>
          </w:tcPr>
          <w:p w14:paraId="22D5D35A">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  名</w:t>
            </w:r>
          </w:p>
        </w:tc>
        <w:tc>
          <w:tcPr>
            <w:tcW w:w="1166" w:type="dxa"/>
            <w:noWrap w:val="0"/>
            <w:vAlign w:val="center"/>
          </w:tcPr>
          <w:p w14:paraId="5F6E17B1">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年龄</w:t>
            </w:r>
          </w:p>
        </w:tc>
        <w:tc>
          <w:tcPr>
            <w:tcW w:w="788" w:type="dxa"/>
            <w:noWrap w:val="0"/>
            <w:vAlign w:val="center"/>
          </w:tcPr>
          <w:p w14:paraId="1859087D">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性别</w:t>
            </w:r>
          </w:p>
        </w:tc>
        <w:tc>
          <w:tcPr>
            <w:tcW w:w="1395" w:type="dxa"/>
            <w:noWrap w:val="0"/>
            <w:vAlign w:val="center"/>
          </w:tcPr>
          <w:p w14:paraId="2D54FFC7">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职称</w:t>
            </w:r>
          </w:p>
        </w:tc>
        <w:tc>
          <w:tcPr>
            <w:tcW w:w="1540" w:type="dxa"/>
            <w:noWrap w:val="0"/>
            <w:vAlign w:val="center"/>
          </w:tcPr>
          <w:p w14:paraId="77EC9BF4">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拟任职务</w:t>
            </w:r>
          </w:p>
        </w:tc>
        <w:tc>
          <w:tcPr>
            <w:tcW w:w="1985" w:type="dxa"/>
            <w:noWrap w:val="0"/>
            <w:vAlign w:val="center"/>
          </w:tcPr>
          <w:p w14:paraId="3233FD3B">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持证名称</w:t>
            </w:r>
          </w:p>
        </w:tc>
        <w:tc>
          <w:tcPr>
            <w:tcW w:w="1640" w:type="dxa"/>
            <w:noWrap w:val="0"/>
            <w:vAlign w:val="center"/>
          </w:tcPr>
          <w:p w14:paraId="33BBBB97">
            <w:pPr>
              <w:keepNext w:val="0"/>
              <w:keepLines w:val="0"/>
              <w:pageBreakBefore w:val="0"/>
              <w:shd w:val="clear" w:color="auto" w:fill="auto"/>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持证证号</w:t>
            </w:r>
          </w:p>
        </w:tc>
      </w:tr>
      <w:tr w14:paraId="1FB3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noWrap w:val="0"/>
            <w:vAlign w:val="center"/>
          </w:tcPr>
          <w:p w14:paraId="5561F153">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1166" w:type="dxa"/>
            <w:noWrap w:val="0"/>
            <w:vAlign w:val="center"/>
          </w:tcPr>
          <w:p w14:paraId="6EF062AF">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788" w:type="dxa"/>
            <w:noWrap w:val="0"/>
            <w:vAlign w:val="center"/>
          </w:tcPr>
          <w:p w14:paraId="62920DC8">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1395" w:type="dxa"/>
            <w:noWrap w:val="0"/>
            <w:vAlign w:val="center"/>
          </w:tcPr>
          <w:p w14:paraId="0D5F7FF6">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1540" w:type="dxa"/>
            <w:noWrap w:val="0"/>
            <w:vAlign w:val="center"/>
          </w:tcPr>
          <w:p w14:paraId="7612B16D">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1985" w:type="dxa"/>
            <w:noWrap w:val="0"/>
            <w:vAlign w:val="center"/>
          </w:tcPr>
          <w:p w14:paraId="79F860EF">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c>
          <w:tcPr>
            <w:tcW w:w="1640" w:type="dxa"/>
            <w:noWrap w:val="0"/>
            <w:vAlign w:val="center"/>
          </w:tcPr>
          <w:p w14:paraId="2D060745">
            <w:pPr>
              <w:keepNext w:val="0"/>
              <w:keepLines w:val="0"/>
              <w:pageBreakBefore w:val="0"/>
              <w:shd w:val="clear" w:color="auto" w:fill="auto"/>
              <w:kinsoku/>
              <w:wordWrap/>
              <w:overflowPunct/>
              <w:topLinePunct w:val="0"/>
              <w:autoSpaceDE/>
              <w:autoSpaceDN/>
              <w:bidi w:val="0"/>
              <w:snapToGrid/>
              <w:spacing w:line="440" w:lineRule="exact"/>
              <w:jc w:val="left"/>
              <w:textAlignment w:val="auto"/>
              <w:rPr>
                <w:rFonts w:hint="eastAsia" w:ascii="宋体" w:hAnsi="宋体" w:eastAsia="宋体" w:cs="宋体"/>
                <w:color w:val="auto"/>
                <w:sz w:val="24"/>
                <w:szCs w:val="24"/>
                <w:highlight w:val="none"/>
              </w:rPr>
            </w:pPr>
          </w:p>
        </w:tc>
      </w:tr>
    </w:tbl>
    <w:p w14:paraId="3C43E4C3">
      <w:pPr>
        <w:keepNext w:val="0"/>
        <w:keepLines w:val="0"/>
        <w:pageBreakBefore w:val="0"/>
        <w:shd w:val="clear" w:color="auto" w:fill="auto"/>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前期手续办理：</w:t>
      </w:r>
      <w:r>
        <w:rPr>
          <w:rFonts w:hint="eastAsia" w:ascii="宋体" w:hAnsi="宋体" w:eastAsia="宋体" w:cs="宋体"/>
          <w:color w:val="auto"/>
          <w:sz w:val="24"/>
          <w:szCs w:val="24"/>
          <w:highlight w:val="none"/>
        </w:rPr>
        <w:t>合同签订后30日内配合发包人完成质量、安全报监和施工许可证办理，否则，每延期一天处承包人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000元/天的违约金（因发包人原因除外）。</w:t>
      </w:r>
    </w:p>
    <w:p w14:paraId="19FB0C02">
      <w:pPr>
        <w:keepNext w:val="0"/>
        <w:keepLines w:val="0"/>
        <w:pageBreakBefore w:val="0"/>
        <w:shd w:val="clear" w:color="auto" w:fill="auto"/>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监理人员费用考核：</w:t>
      </w:r>
      <w:r>
        <w:rPr>
          <w:rFonts w:hint="eastAsia" w:ascii="宋体" w:hAnsi="宋体" w:eastAsia="宋体" w:cs="宋体"/>
          <w:color w:val="auto"/>
          <w:sz w:val="24"/>
          <w:szCs w:val="24"/>
          <w:highlight w:val="none"/>
        </w:rPr>
        <w:t>监理费总价最终结合投标人员到位数量来结算。即：投标总价/服务期（月）/监理架构总人数=每个监理人员每月应得的费用，经现场考勤，少投入1人扣除1人应得费用（以委托人签字认可的考勤表为准）。中标后，如实际到岗人数不满足要求的，将按上述标准从监理费用中予以扣除。（各专业监理可结合项目的实施阶段经委托人签字认可后分期到岗）</w:t>
      </w:r>
    </w:p>
    <w:p w14:paraId="6C2AEBDC">
      <w:pPr>
        <w:keepNext w:val="0"/>
        <w:keepLines w:val="0"/>
        <w:pageBreakBefore w:val="0"/>
        <w:shd w:val="clear" w:color="auto" w:fill="auto"/>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监理考核考勤：</w:t>
      </w:r>
    </w:p>
    <w:p w14:paraId="56B5A066">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人员考核：成交单位需在项目开工前提前进驻现场，必须按竞争性磋商文件要求和响应承诺配备项目总监、专业监理工程师、监理员等监理部关键岗位人员，以监理单位任命文为准。未经发包人同意，不得更换上述人员。发包人将组织对上述人员进行业务能力考核，对未按投标文件配备或经考核不合格要求更换人员的，（从第一次监理例会进行计算时间）监理单位累计7日内必须整改调整到位。否则，对于总监，按照处以2000元/人/天的违约金，专业监理工程师、监理员按处以1000元/人/天的违约金进行处罚。累计28日内未整改调整到位的，发包人有权终止合同，并提请相关行政主管部门对企业和人员进行处罚。</w:t>
      </w:r>
    </w:p>
    <w:p w14:paraId="4112DBE6">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4.2在第一次监理例会，监理单位为本项目配备的项目总监、专业监理工程师、监理员等监理部关键岗位人员必须全部到场参加，否则发包人有权终止合同，并提请相关行政主管部门对企业和人员进行处罚。</w:t>
      </w:r>
    </w:p>
    <w:p w14:paraId="045E8E3D">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4.3在图纸交底会议，监理单位为本项目配备的项目总监、专业监理工程师、监理员等监理部关键岗位人员必须全部到场参加，否则发包人有权终止合同，并提请相关行政主管部门对企业和人员进行处罚。</w:t>
      </w:r>
    </w:p>
    <w:p w14:paraId="18455AC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在工程施工期间，监理人员每天处理施工现场的施工技术、材料、施工进度、工程质量、并且及时处理施工现场等所有工作。重点分部分项工程施工或重要施工节点需监理旁站时，除专业监理工程师和监理员必须在岗外，总监必须到岗。</w:t>
      </w:r>
    </w:p>
    <w:p w14:paraId="17CE7FFA">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人员考勤：①监理部所有管理人员上下班实行人脸识别电子考勤，人脸识别电子考勤系统设备必须与采购人现行使用的监管平台无缝对接。②监管平台设备及人脸识别电子考勤系统设备，监理人可以租赁或购买，但租赁或购买费用由监理人在投标报价时自行考虑，含在投标报价中，采购人将不再支付任何费用。③监管平台考勤范围为本项目监理部和项目部所有管理人员，监管平台信息及数据录入（包括质量、进度、安全、施工许可办理等）均由监理单位负责。</w:t>
      </w:r>
    </w:p>
    <w:p w14:paraId="42A45386">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施工实际需要安排，按照经批准的人员进场计划进行考勤。总监每月在岗时间不得少于22天（项目开工后，项目总监在岗时间不满足竞争性磋商文件要求的，采购人有权终止合同。），专业监理工程师、监理员每月在岗时间不得少于25天。未按规定在岗履责的，对总监处以2000元/人/天的违约金，对专业监理工程师、监理员处以1000元/人/天的违约金。监理部人员离岗必须向发包人代表履行请假手续，若被相关部门日常检查和随机抽查中发现不在岗的，又未履行请假手续的，处以5000元/人/次的违约金。</w:t>
      </w:r>
    </w:p>
    <w:p w14:paraId="7CCBF5C2">
      <w:pPr>
        <w:keepNext w:val="0"/>
        <w:keepLines w:val="0"/>
        <w:pageBreakBefore w:val="0"/>
        <w:shd w:val="clear" w:color="auto" w:fill="auto"/>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日常履责管理</w:t>
      </w:r>
    </w:p>
    <w:p w14:paraId="1D938BFD">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一、工作纪律</w:t>
      </w:r>
    </w:p>
    <w:p w14:paraId="278974A2">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程项目开工后，应按时向建设单位提供监理规划、监理细则，总监应常驻工程现场，根据施工内容可按响应承诺安排人员进退场，进退场人员报项目组备案纳入考勤。工作期间上下班应与施工单位同步，不得无故离岗、迟到、早退、酗酒，检查中如有发现处以1000元/次的违约金，工作期间酗酒的予以清退。</w:t>
      </w:r>
    </w:p>
    <w:p w14:paraId="00DF42C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2.应认真审核施工图，在施工图纸交底、会审时，提出图纸中各专业存在的错、漏、碰、缺等，并提出优化意见，及时协调图纸变更手续，不及时办理处以2000元/次的违约金。</w:t>
      </w:r>
    </w:p>
    <w:p w14:paraId="147FD0B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3.现场配备必要的检测设备和仪器，按职责做好见证取样、抽检工作；无设备和仪器处以2000元的违约金，未做好见证取样或抽检处以500元/次的违约金。</w:t>
      </w:r>
    </w:p>
    <w:p w14:paraId="0234662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4.审查第三方检测方案并负责第三方检测过程中的协调和报告运用，不审查或协调不力的处以500元/次的违约金。</w:t>
      </w:r>
    </w:p>
    <w:p w14:paraId="634C58B5">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定期召开监理例会，认真书写监理例会纪要并于监理例会后的24小时内下发例会纪要，不及时传发以上资料的处以300元/次的违约金。监理日志填写内容齐全、真实、清晰、可追溯；监理月报应包括监理管理执行情况说明，质量、进度、安全控制情况评析等内容详实。每月3日前报上月监理月报至建设单位项目组审阅，日志、月报内容不详实或超期处以500元/次的违约金。</w:t>
      </w:r>
    </w:p>
    <w:p w14:paraId="108C52B4">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6.应公正开展监理工作，不得故意刁难施工单位，现场验收不得拖延，工程资料应及时签认，一经发现违反规定，处以3000元/次的违约金。</w:t>
      </w:r>
    </w:p>
    <w:p w14:paraId="1EE7E081">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7.不得向施工单位推销材料、介绍队伍、索取钱物、报销费用，不得接受施工单位、供货商的吃请或接受回扣，一经发现处以1-2万元的违约金。同时业主单位有权解除合同。</w:t>
      </w:r>
    </w:p>
    <w:p w14:paraId="78D3FB2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监理人员在服务期内如果有重大失职，造成经济损失的监理单位应予以赔偿损失。不准泄露与工程有关的技术和机密，否则相关责任人员清退出场，构成犯罪的，由司法机关依法追究监理单位及主要责任者的法律责任。</w:t>
      </w:r>
    </w:p>
    <w:p w14:paraId="483418E5">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二、质量控制</w:t>
      </w:r>
    </w:p>
    <w:p w14:paraId="1B3307F6">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1.审核各专业施工方案，使之符合规范及标准强制性条文的规定，并监督施工单位按批准的方案施工，发现问题应及时解决。发现审核后的施工方案有严重错误而不及时处理的，处以1000元/次的违约金。</w:t>
      </w:r>
    </w:p>
    <w:p w14:paraId="44E9E8D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放线及挖槽时监理单位应按规划红线及建设单位提供的坐标基准点、标高进行复核验线并做详细记录，发现偏差应及时纠正。如在竣工验收时发现放线偏差；上部结构轴线偏差在允许范围之外，造成损失的，对监理单位处以监理总费用30%的罚款，构成犯罪的，由司法机关依法追究监理单位及主要责任者的法律责任。</w:t>
      </w:r>
    </w:p>
    <w:p w14:paraId="76CD5EA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3.材料进场验收手续齐全，质量证明资料与实物核验必须符合设计及规范要求。由于发现不及时或发现未经批准的材料使用，监理人员不采取措施制止的，处以1000元/次的违约金。</w:t>
      </w:r>
    </w:p>
    <w:p w14:paraId="597486C2">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现场存在的质量问题、安全隐患应及时发现并及时发出整改通知单。施工中存在质量问题，能够及时发现并进行处理并复查，质量问题不得隐瞒并私自处理；否则处以3000元/次的违约金。经验收合格的工程，应不得再有质量问题。</w:t>
      </w:r>
    </w:p>
    <w:p w14:paraId="2FAA6AE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5.监理单位对各种质量检验报告单、中间交工证书符合要求的要及时签认；对施工单位报验的关键部位或工序要及时进行验收，凡未履行签字验收程序就进行下道工序施工的处以2000元/次的违约金。</w:t>
      </w:r>
    </w:p>
    <w:p w14:paraId="6AB4B488">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行政主管部门及建设单位等各级巡查检查中对现场管理混乱、观感质量差的处以1000元/次的违约金；检查中发现未按图纸及《规范》施工，监理单位理应发现而未发现，视为监理单位工作失职，处违约金1000--10000元/次；上述行为虽被监理人员发现但未采取有效措施，听之任之的，处违约金2000--20000元。构成犯罪的，由司法机关依法追究监理单位及主要责任者的法律责任。</w:t>
      </w:r>
    </w:p>
    <w:p w14:paraId="661095D2">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监理人员在施工阶段对关键部位和关键工序的施工质量实施全过程跟踪旁站，旁站时发现问题要及时予以纠正。当发现施工过程出现了安全隐患、工程质量缺陷可能引发事故时，应立即要求暂停施工并采取拍照、录相等手段予以记录，并立即向总监理工程师汇报，由总监理工程师签发《暂停施工令》，并将所发现问题及处理过程记入监理日志。建设单位抽查发现旁站不到位的，处以1000元/次的违约金。</w:t>
      </w:r>
    </w:p>
    <w:p w14:paraId="66EF6F8D">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三、进度、投资控制</w:t>
      </w:r>
    </w:p>
    <w:p w14:paraId="638C28D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监理单位须根据施工总进度计划,每月25日前督促施工单位报送当月进度完成情况及下月计划安排,包括产值完成情况。组织各专业监理工程师审查其可行性并提出合理化意见，审查完成后报建设单位。如不审查处罚处以1000元/次的违约金。</w:t>
      </w:r>
    </w:p>
    <w:p w14:paraId="7224407C">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了保证施工单位按计划完成施工任务，在施工过程中，监理人员应加强过程检查，对违反施工规范、与图纸不符、有严重错误的问题要及时发现并敢于指出要求整改，必要时签发监理通知，以减少工序验收时返工。</w:t>
      </w:r>
    </w:p>
    <w:p w14:paraId="019FD4C7">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3.监理工程师审核施工单位提交的已完成合格工程量及时进行审查,不符合质量要求的不予签认，对进度滞后提出原因分析并督促采取补救措施，及时汇报建设单位。</w:t>
      </w:r>
    </w:p>
    <w:p w14:paraId="34DBB73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实行建设、监理、跟审和施工单位四方共同计量方式，严格控制工程量清单数量，做到及时、准确、不漏计、不重计。为保证请款资料的完整性、准确性，采取进度款支付联合会审逐级签认，若监理单位出现漏签、错签、代签的处以1000元/次的违约金。</w:t>
      </w:r>
    </w:p>
    <w:p w14:paraId="59B657D2">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四、安全文明生产、扬尘控制</w:t>
      </w:r>
    </w:p>
    <w:p w14:paraId="7E2D67D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1.监理部应定期组织现场安全文明环保施工检查，对检查发现的问题应及时督促施工单位整改，并将整改结果及时报建设单位。</w:t>
      </w:r>
    </w:p>
    <w:p w14:paraId="0E8F92BB">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2.督促施工单位严格执行大气污染防治措施，做好台账，若出现防治措施不到位，被巡查、检查发现的，按行政主管部门大气污染防治相关规定对施工单位进行处罚，监理单位承担连带责任。</w:t>
      </w:r>
    </w:p>
    <w:p w14:paraId="0D76E75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3.做好日常安全监督及督促，对发现下述情况，监理单位不按照要求提出整改听之任之的，对监理单位处以1000元/次的违约金。</w:t>
      </w:r>
    </w:p>
    <w:p w14:paraId="53F2335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（1）工程标牌未设置，或设置位置不醒目，破损未及时修复的。</w:t>
      </w:r>
    </w:p>
    <w:p w14:paraId="71C6294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单位未建立健全安全生产责任制，未落实安全生产的组织保证体系，安全员缺岗或不到位；施工单位安全管理台帐未及时建立或不完善，未对施工作业人员进行安全生产教育或分部分项工程未进行安全技术交底，施工单位特种作业人员未持证上岗等。</w:t>
      </w:r>
    </w:p>
    <w:p w14:paraId="07E7BCB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（3）施工现场消防设施未按要求配置，施工脚手架未按规范搭设、报验不及时及未能满足安全防护要求的，现场安全帽、安全网、安全带等未按要求佩带或配置的。</w:t>
      </w:r>
    </w:p>
    <w:p w14:paraId="6732F11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（4）施工现场扬尘、高空抛物或从高处倾倒物体、随意倾倒垃圾、损坏设施不及时修复的。</w:t>
      </w:r>
    </w:p>
    <w:p w14:paraId="18A800C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（5）外墙脚手架未保持整洁、美观，发生破损，钢管、扣件、栏杆颜色标识不清楚，围档及周边道路、工地出入口未保持清洁，绿化、广告、灯箱等发生破损未及时修复的。</w:t>
      </w:r>
    </w:p>
    <w:p w14:paraId="2B26D104">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现场出入口、通道口、楼梯口、井道口、预留洞口、临边洞口、基坑边缘等容易发生坠落的地方未设置安全警示标志，临边防护未及时设置或不到位的，现场塔吊、吊车及其他施工机具未按要求配备有效的保险、限位等安全设施和装置或超过质检期违规使用的。</w:t>
      </w:r>
    </w:p>
    <w:p w14:paraId="0305E22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（7）施工现场成品、半成品及原材料未按规定要求保护和堆放的。</w:t>
      </w:r>
    </w:p>
    <w:p w14:paraId="5AE1FF4C">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67DBA8AF">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（9）发现生活区、职工集体宿舍、食堂违规使用电器，电线私拉乱接及未配设防火设备的。</w:t>
      </w:r>
    </w:p>
    <w:p w14:paraId="1E0A6EF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严格执行《安徽省建筑工程施工扬尘污染防治规定》、《滁州市城市扬尘管理办法》和《滁州市建筑工程施工扬尘污染防治实施细则》《重点工程建设工地扬尘污染防治管理规定》等相关规定。对违反规定或经检查达不到规定和要求，被相关部门批评、曝光、通报的，处承包人10000元/次的违约金，处监理人3000元/次的违约金。</w:t>
      </w:r>
    </w:p>
    <w:p w14:paraId="7B716D1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w:t>
      </w:r>
    </w:p>
    <w:p w14:paraId="5D6AAB2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1.单位工程质量未达到施工合同约定或验收规范质量标准，每出现一项扣减监理费用人民币5000元，依次类推。</w:t>
      </w:r>
    </w:p>
    <w:p w14:paraId="7A09371E">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2.因监理单位服务不及时造成工期延误每天扣减监理费用人民币5000元。</w:t>
      </w:r>
    </w:p>
    <w:p w14:paraId="346F43FD">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3.因监理单位责任造成的工程质量返工，对监理单位按返工损失总额的10%给予违约处理。</w:t>
      </w:r>
    </w:p>
    <w:p w14:paraId="67379549">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4.如监理人员与施工单位串通弄虚作假，降低工程质量，将不合格材料按照合格签字确认的。根据给建设单位造成损失大小，情节轻重，扣减监理费用10000元—30000元，并追究监理单位及其人员经济法律责任。</w:t>
      </w:r>
    </w:p>
    <w:p w14:paraId="073520E5">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5.若监理人员与施工单位串通弄虚作假，签发不实的变更签证，或擅自签发变更签证给建设单位造成损失的。视其情节轻重，扣减监理费用10000元—20000元，并追究监理单位及其人员经济法律责任。</w:t>
      </w:r>
    </w:p>
    <w:p w14:paraId="4AA963B0">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禁止条款：不得与施工单位同吃同住；不得将罚款、差旅费及相关费用转嫁给施工单位；不得代替施工单位整理相关施工资料及相关有偿服务；不得以监理费支付等为由拒绝履行监理服务，如有发现，委托人有权立即予以清退出场，终止合同，并另行委托同等资质的监理单位完善后续服务。</w:t>
      </w:r>
    </w:p>
    <w:p w14:paraId="0C5509BA">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7、建设单位将严格按此要求进行检查，并对监理单位进行考核。所有处罚均函告监理公司或报行政主管部门。</w:t>
      </w:r>
    </w:p>
    <w:p w14:paraId="43B148BB">
      <w:pPr>
        <w:keepNext w:val="0"/>
        <w:keepLines w:val="0"/>
        <w:pageBreakBefore w:val="0"/>
        <w:numPr>
          <w:ilvl w:val="0"/>
          <w:numId w:val="0"/>
        </w:numPr>
        <w:shd w:val="clear" w:color="auto" w:fill="auto"/>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以上条款中所有处罚方式皆以现金方式交纳至甲方，对于拒不交纳罚款的监理单位不支付监理费。</w:t>
      </w:r>
    </w:p>
    <w:p w14:paraId="3F2E63D2">
      <w:pPr>
        <w:pStyle w:val="2"/>
        <w:rPr>
          <w:rFonts w:hint="eastAsia" w:ascii="宋体" w:hAnsi="宋体" w:cs="宋体"/>
          <w:b/>
          <w:bCs/>
          <w:color w:val="auto"/>
          <w:szCs w:val="21"/>
          <w:highlight w:val="none"/>
        </w:rPr>
      </w:pPr>
    </w:p>
    <w:p w14:paraId="0794B1C1">
      <w:pPr>
        <w:rPr>
          <w:rFonts w:hint="eastAsia" w:ascii="宋体" w:hAnsi="宋体" w:cs="宋体"/>
          <w:b/>
          <w:bCs/>
          <w:color w:val="auto"/>
          <w:szCs w:val="21"/>
          <w:highlight w:val="none"/>
        </w:rPr>
      </w:pPr>
    </w:p>
    <w:p w14:paraId="180DB1CB">
      <w:pPr>
        <w:pStyle w:val="7"/>
        <w:keepNext/>
        <w:keepLines/>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highlight w:val="none"/>
        </w:rPr>
      </w:pPr>
      <w:bookmarkStart w:id="187" w:name="_Toc10071"/>
      <w:r>
        <w:rPr>
          <w:rFonts w:hint="eastAsia" w:ascii="宋体" w:hAnsi="宋体" w:eastAsia="宋体" w:cs="宋体"/>
          <w:color w:val="auto"/>
          <w:sz w:val="32"/>
          <w:szCs w:val="32"/>
          <w:highlight w:val="none"/>
        </w:rPr>
        <w:t>附件</w:t>
      </w:r>
      <w:bookmarkEnd w:id="187"/>
    </w:p>
    <w:p w14:paraId="502CFFA0">
      <w:pPr>
        <w:pStyle w:val="7"/>
        <w:spacing w:line="360" w:lineRule="auto"/>
        <w:jc w:val="center"/>
        <w:rPr>
          <w:rFonts w:hint="eastAsia" w:ascii="宋体" w:hAnsi="宋体" w:eastAsia="宋体" w:cs="宋体"/>
          <w:bCs w:val="0"/>
          <w:color w:val="auto"/>
          <w:sz w:val="21"/>
          <w:szCs w:val="21"/>
          <w:highlight w:val="none"/>
        </w:rPr>
      </w:pPr>
      <w:bookmarkStart w:id="188" w:name="_Toc18741"/>
      <w:r>
        <w:rPr>
          <w:rFonts w:hint="eastAsia" w:ascii="宋体" w:hAnsi="宋体" w:eastAsia="宋体" w:cs="宋体"/>
          <w:bCs w:val="0"/>
          <w:color w:val="auto"/>
          <w:sz w:val="21"/>
          <w:szCs w:val="21"/>
          <w:highlight w:val="none"/>
        </w:rPr>
        <w:t>廉政建设责任书</w:t>
      </w:r>
      <w:bookmarkEnd w:id="188"/>
    </w:p>
    <w:p w14:paraId="608BA53F">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建设工程廉政建设，规范建设工程各项活动中建设单位及监理单位双方的行为，防止谋取不正当利益的违法违纪现象的发生，保护国家、集体和当事人的合法权益，根据国家有关工程建设的法律法规和廉政建设的有关规定，订立本廉政建设责任书。</w:t>
      </w:r>
    </w:p>
    <w:p w14:paraId="1BACED31">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一、双方的责任</w:t>
      </w:r>
    </w:p>
    <w:p w14:paraId="65A1423E">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1.1应严格遵守国家关于建设工程的有关法律、法规，相关政策，以及廉政建设的各项规定。</w:t>
      </w:r>
    </w:p>
    <w:p w14:paraId="0CAE5A48">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1.2严格执行建设工程合同文件，自觉按合同办事。</w:t>
      </w:r>
    </w:p>
    <w:p w14:paraId="3B26B1E6">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1.3各项活动必须坚持公开、公平、公正、诚信、透明的原则(除法律法规另有规定者外)，不得为获取不正当的利益，损害国家、集体和对方利益，不得违反建设工程管理的规章制度。</w:t>
      </w:r>
    </w:p>
    <w:p w14:paraId="611C7F0D">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1.4发现对方在业务活动中有违规、违纪、违法行为的，应及时提醒对方，情节严重的，应向其上级主管部门或纪检监察、司法等有关机关举报。</w:t>
      </w:r>
    </w:p>
    <w:p w14:paraId="63FB14D4">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二、建设单位责任</w:t>
      </w:r>
    </w:p>
    <w:p w14:paraId="7067BB25">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建设单位从事该建设工程项目的负责人和工作人员，在工程建设的事前、事中、事后应遵守以下规定：</w:t>
      </w:r>
    </w:p>
    <w:p w14:paraId="0C856001">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2.1不得向监理单位索要或接受回扣、礼金、有价证券、贵重物品和好处费、感谢费等。</w:t>
      </w:r>
    </w:p>
    <w:p w14:paraId="1939DC79">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2.2不得在监理单位报销任何应由建设单位或个人支付的费用。</w:t>
      </w:r>
    </w:p>
    <w:p w14:paraId="7DC25E7F">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2.3不得要求、暗示或接受监理单位为个人装修住房、婚丧嫁娶、配偶子女的工作安排以及出国(境)、旅游等提供方便。</w:t>
      </w:r>
    </w:p>
    <w:p w14:paraId="37E8BA37">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2.4不得参加有可能影响公正执行公务的监理单位和相关单位的宴请、健身、娱乐等活动。</w:t>
      </w:r>
    </w:p>
    <w:p w14:paraId="51FF96CD">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2.5不得向监理单位和相关单位介绍或为配偶、子女、亲属参与同建设单位工程建设管理合同有关的业务活动；不得向监理单位和相关单位推销材料和设备介绍施工队伍等。</w:t>
      </w:r>
    </w:p>
    <w:p w14:paraId="770D7E75">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三、监理单位责任</w:t>
      </w:r>
    </w:p>
    <w:p w14:paraId="77A3DE3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应与建设、施工单位保持正常的业务交往，按照有关法律法规和程序开展业务工作，严格执行工程建设的有关方针、政策，执行工程建设强制性标准，并遵守以下规定：</w:t>
      </w:r>
    </w:p>
    <w:p w14:paraId="75C2960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3.1不得以任何理由向施工单位及其工作人员索要、接受礼金、有价证券、贵重物品及回扣、好处费、感谢费等。</w:t>
      </w:r>
    </w:p>
    <w:p w14:paraId="311D6FF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3.2不得向建设单位赠送礼金、有价证券、贵重物品等。不得以任何理由为建设单位和相关单位报销应由对方或个人支付的费用。</w:t>
      </w:r>
    </w:p>
    <w:p w14:paraId="40A93FD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3.3不得接受或暗示为建设单位或个人装修住房、婚丧嫁娶、配偶子女的工作安排以及出国(境)、旅游等提供方便。</w:t>
      </w:r>
    </w:p>
    <w:p w14:paraId="19BD8C26">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3.4不得以任何理由为建设单位、相关单位或个人组织有可能影响公正执行公务的宴请、健身、娱乐等活动。</w:t>
      </w:r>
    </w:p>
    <w:p w14:paraId="0E25B6F1">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3.5不得向施工单位介绍或为配偶、子女、亲属参与同建设单位工程建设管理合同有关的业务活动；不得向施工单位推销材料和设备、介绍施工队伍等。</w:t>
      </w:r>
    </w:p>
    <w:p w14:paraId="3599B485">
      <w:pPr>
        <w:pStyle w:val="2"/>
        <w:spacing w:line="440" w:lineRule="exact"/>
        <w:ind w:left="0" w:leftChars="0" w:firstLine="480"/>
        <w:rPr>
          <w:rFonts w:hint="eastAsia" w:ascii="宋体" w:hAnsi="宋体" w:eastAsia="宋体" w:cs="宋体"/>
          <w:color w:val="auto"/>
          <w:sz w:val="21"/>
          <w:szCs w:val="21"/>
          <w:highlight w:val="none"/>
        </w:rPr>
      </w:pPr>
    </w:p>
    <w:p w14:paraId="0944DC74">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14:paraId="1C43F23E">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4.1建设单位工作人员有违反本责任书第一、二条责任行为的，依据有关法律、法规给予处理；涉嫌犯罪的，移交司法机关追究刑事责任。</w:t>
      </w:r>
    </w:p>
    <w:p w14:paraId="4331B11A">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4.2监理单位工作人员有违反本责任书第一、三条责任行为的，依据有关法律法规处理；涉嫌犯罪的，移交司法机关追究刑事责任；造成经济损失的，应予以赔偿。</w:t>
      </w:r>
    </w:p>
    <w:p w14:paraId="56CC6DD5">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4.3本责任书作为本合同的组成部分，与本合同具有同等法律效力，经双方签署后立即生效。</w:t>
      </w:r>
    </w:p>
    <w:p w14:paraId="020066C3">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五、责任书有效期</w:t>
      </w:r>
    </w:p>
    <w:p w14:paraId="73E78A19">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本责任书的有效期为双方签署之日起至该工程项目竣工验收合格时止。</w:t>
      </w:r>
    </w:p>
    <w:p w14:paraId="1528000B">
      <w:pPr>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六、责任书份数</w:t>
      </w:r>
    </w:p>
    <w:p w14:paraId="1B90A8A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本责任书一式两份，建设、监理单位各执一份，具有同等效力。</w:t>
      </w:r>
    </w:p>
    <w:p w14:paraId="053A8031">
      <w:pPr>
        <w:snapToGrid w:val="0"/>
        <w:spacing w:line="440" w:lineRule="exact"/>
        <w:ind w:firstLine="420" w:firstLineChars="200"/>
        <w:rPr>
          <w:rFonts w:hint="eastAsia" w:ascii="宋体" w:hAnsi="宋体" w:eastAsia="宋体" w:cs="宋体"/>
          <w:color w:val="auto"/>
          <w:sz w:val="21"/>
          <w:szCs w:val="21"/>
          <w:highlight w:val="none"/>
        </w:rPr>
      </w:pPr>
    </w:p>
    <w:p w14:paraId="2D0CA8F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建设单位：（公章）                      监理单位（公章）</w:t>
      </w:r>
    </w:p>
    <w:p w14:paraId="158406FD">
      <w:pPr>
        <w:snapToGrid w:val="0"/>
        <w:spacing w:line="360" w:lineRule="auto"/>
        <w:ind w:firstLine="420" w:firstLineChars="200"/>
        <w:rPr>
          <w:rFonts w:hint="eastAsia" w:ascii="宋体" w:hAnsi="宋体" w:eastAsia="宋体" w:cs="宋体"/>
          <w:color w:val="auto"/>
          <w:sz w:val="21"/>
          <w:szCs w:val="21"/>
          <w:highlight w:val="none"/>
        </w:rPr>
      </w:pPr>
    </w:p>
    <w:p w14:paraId="111A1B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75A337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（签字）           </w:t>
      </w:r>
    </w:p>
    <w:p w14:paraId="1E69D9F6">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地址：</w:t>
      </w:r>
    </w:p>
    <w:p w14:paraId="0886732C">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电话：        </w:t>
      </w:r>
    </w:p>
    <w:p w14:paraId="3C232C64">
      <w:pPr>
        <w:spacing w:line="360" w:lineRule="auto"/>
        <w:ind w:firstLine="420" w:firstLineChars="200"/>
        <w:rPr>
          <w:rFonts w:asciiTheme="minorEastAsia" w:hAnsiTheme="minorEastAsia" w:eastAsiaTheme="minorEastAsia" w:cstheme="minorEastAsia"/>
          <w:color w:val="auto"/>
          <w:sz w:val="28"/>
          <w:szCs w:val="27"/>
          <w:highlight w:val="none"/>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p>
    <w:p w14:paraId="192C0ED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color w:val="auto"/>
          <w:sz w:val="28"/>
          <w:highlight w:val="none"/>
        </w:rPr>
      </w:pPr>
      <w:bookmarkStart w:id="189" w:name="_Toc25148"/>
      <w:bookmarkStart w:id="190" w:name="_Toc2430"/>
      <w:bookmarkStart w:id="191" w:name="_Toc16475"/>
      <w:r>
        <w:rPr>
          <w:rFonts w:hint="eastAsia" w:asciiTheme="minorEastAsia" w:hAnsiTheme="minorEastAsia" w:eastAsiaTheme="minorEastAsia"/>
          <w:b/>
          <w:color w:val="auto"/>
          <w:sz w:val="28"/>
          <w:highlight w:val="none"/>
        </w:rPr>
        <w:t>第六章  响应文件格式</w:t>
      </w:r>
      <w:bookmarkEnd w:id="189"/>
      <w:bookmarkEnd w:id="190"/>
      <w:bookmarkEnd w:id="191"/>
    </w:p>
    <w:p w14:paraId="22B512D6">
      <w:pPr>
        <w:spacing w:line="900" w:lineRule="exact"/>
        <w:jc w:val="center"/>
        <w:rPr>
          <w:rFonts w:asciiTheme="minorEastAsia" w:hAnsiTheme="minorEastAsia" w:eastAsiaTheme="minorEastAsia"/>
          <w:b/>
          <w:color w:val="auto"/>
          <w:sz w:val="72"/>
          <w:highlight w:val="none"/>
        </w:rPr>
      </w:pPr>
    </w:p>
    <w:p w14:paraId="2A760AD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1C70137">
      <w:pPr>
        <w:spacing w:line="900" w:lineRule="exact"/>
        <w:jc w:val="center"/>
        <w:rPr>
          <w:rFonts w:asciiTheme="minorEastAsia" w:hAnsiTheme="minorEastAsia" w:eastAsiaTheme="minorEastAsia"/>
          <w:b/>
          <w:color w:val="auto"/>
          <w:sz w:val="72"/>
          <w:highlight w:val="none"/>
        </w:rPr>
      </w:pPr>
    </w:p>
    <w:p w14:paraId="1A61D11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588355">
      <w:pPr>
        <w:spacing w:line="900" w:lineRule="exact"/>
        <w:jc w:val="center"/>
        <w:rPr>
          <w:rFonts w:asciiTheme="minorEastAsia" w:hAnsiTheme="minorEastAsia" w:eastAsiaTheme="minorEastAsia"/>
          <w:b/>
          <w:color w:val="auto"/>
          <w:sz w:val="72"/>
          <w:highlight w:val="none"/>
        </w:rPr>
      </w:pPr>
    </w:p>
    <w:p w14:paraId="1C2D668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A2E9D33">
      <w:pPr>
        <w:spacing w:line="900" w:lineRule="exact"/>
        <w:jc w:val="center"/>
        <w:rPr>
          <w:rFonts w:asciiTheme="minorEastAsia" w:hAnsiTheme="minorEastAsia" w:eastAsiaTheme="minorEastAsia"/>
          <w:b/>
          <w:color w:val="auto"/>
          <w:sz w:val="72"/>
          <w:highlight w:val="none"/>
        </w:rPr>
      </w:pPr>
    </w:p>
    <w:p w14:paraId="5AFDC7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5B85C17E">
      <w:pPr>
        <w:spacing w:after="156" w:afterLines="50"/>
        <w:jc w:val="center"/>
        <w:rPr>
          <w:rFonts w:asciiTheme="minorEastAsia" w:hAnsiTheme="minorEastAsia" w:eastAsiaTheme="minorEastAsia"/>
          <w:b/>
          <w:color w:val="auto"/>
          <w:sz w:val="72"/>
          <w:highlight w:val="none"/>
        </w:rPr>
      </w:pPr>
    </w:p>
    <w:p w14:paraId="7AD1396E">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9"/>
        <w:rPr>
          <w:rFonts w:hint="default" w:ascii="宋体" w:hAnsi="宋体" w:eastAsia="宋体"/>
          <w:color w:val="auto"/>
          <w:sz w:val="24"/>
          <w:szCs w:val="18"/>
          <w:highlight w:val="none"/>
          <w:lang w:val="en-US" w:eastAsia="zh-CN"/>
        </w:rPr>
      </w:pPr>
    </w:p>
    <w:p w14:paraId="40EE5A73">
      <w:pPr>
        <w:spacing w:after="156" w:afterLines="50" w:line="500" w:lineRule="exact"/>
        <w:jc w:val="both"/>
        <w:rPr>
          <w:rFonts w:asciiTheme="minorEastAsia" w:hAnsiTheme="minorEastAsia" w:eastAsiaTheme="minorEastAsia"/>
          <w:b/>
          <w:color w:val="auto"/>
          <w:sz w:val="72"/>
          <w:highlight w:val="none"/>
        </w:rPr>
      </w:pPr>
    </w:p>
    <w:p w14:paraId="70D9474D">
      <w:pPr>
        <w:spacing w:after="156" w:afterLines="50" w:line="500" w:lineRule="exact"/>
        <w:jc w:val="center"/>
        <w:rPr>
          <w:rFonts w:asciiTheme="minorEastAsia" w:hAnsiTheme="minorEastAsia" w:eastAsiaTheme="minorEastAsia"/>
          <w:b/>
          <w:color w:val="auto"/>
          <w:sz w:val="28"/>
          <w:szCs w:val="28"/>
          <w:highlight w:val="none"/>
        </w:rPr>
      </w:pPr>
    </w:p>
    <w:p w14:paraId="323DE5E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01918D">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3C640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3D63126">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2"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2"/>
    </w:p>
    <w:p w14:paraId="339AAE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16186D4">
      <w:pPr>
        <w:spacing w:line="360" w:lineRule="auto"/>
        <w:jc w:val="center"/>
        <w:outlineLvl w:val="1"/>
        <w:rPr>
          <w:rFonts w:asciiTheme="minorEastAsia" w:hAnsiTheme="minorEastAsia" w:eastAsiaTheme="minorEastAsia"/>
          <w:b/>
          <w:color w:val="auto"/>
          <w:sz w:val="24"/>
          <w:highlight w:val="none"/>
        </w:rPr>
      </w:pPr>
      <w:bookmarkStart w:id="193" w:name="_Toc461053086"/>
      <w:bookmarkStart w:id="194" w:name="_Toc461056631"/>
      <w:bookmarkStart w:id="195" w:name="_Toc520983587"/>
      <w:bookmarkStart w:id="196" w:name="_Toc26791"/>
      <w:bookmarkStart w:id="197" w:name="_Toc5881"/>
      <w:r>
        <w:rPr>
          <w:rFonts w:hint="eastAsia" w:asciiTheme="minorEastAsia" w:hAnsiTheme="minorEastAsia" w:eastAsiaTheme="minorEastAsia"/>
          <w:b/>
          <w:color w:val="auto"/>
          <w:sz w:val="24"/>
          <w:highlight w:val="none"/>
        </w:rPr>
        <w:t>一</w:t>
      </w:r>
      <w:bookmarkEnd w:id="193"/>
      <w:bookmarkEnd w:id="194"/>
      <w:r>
        <w:rPr>
          <w:rFonts w:hint="eastAsia" w:asciiTheme="minorEastAsia" w:hAnsiTheme="minorEastAsia" w:eastAsiaTheme="minorEastAsia"/>
          <w:b/>
          <w:color w:val="auto"/>
          <w:sz w:val="24"/>
          <w:highlight w:val="none"/>
        </w:rPr>
        <w:t>、报价表格式</w:t>
      </w:r>
      <w:bookmarkEnd w:id="195"/>
      <w:bookmarkEnd w:id="196"/>
      <w:bookmarkEnd w:id="197"/>
    </w:p>
    <w:p w14:paraId="1F222176">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7C47F77">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5D0CA5FB">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2D0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111D9C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37AEEDB">
            <w:pPr>
              <w:spacing w:line="360" w:lineRule="auto"/>
              <w:rPr>
                <w:rFonts w:ascii="宋体" w:hAnsi="宋体" w:eastAsia="宋体"/>
                <w:b/>
                <w:color w:val="auto"/>
                <w:sz w:val="24"/>
                <w:highlight w:val="none"/>
              </w:rPr>
            </w:pPr>
          </w:p>
        </w:tc>
      </w:tr>
      <w:tr w14:paraId="17FF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343762">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AF23C5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20B0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F68DE9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79BD1F4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B8204D9">
            <w:pPr>
              <w:snapToGrid w:val="0"/>
              <w:spacing w:line="360" w:lineRule="auto"/>
              <w:rPr>
                <w:rFonts w:ascii="宋体" w:hAnsi="宋体" w:eastAsia="宋体"/>
                <w:color w:val="auto"/>
                <w:sz w:val="24"/>
                <w:szCs w:val="28"/>
                <w:highlight w:val="none"/>
              </w:rPr>
            </w:pPr>
          </w:p>
          <w:p w14:paraId="178047D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4AA1EEE">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F0689D0">
            <w:pPr>
              <w:snapToGrid w:val="0"/>
              <w:spacing w:line="360" w:lineRule="auto"/>
              <w:rPr>
                <w:rFonts w:ascii="宋体" w:hAnsi="宋体" w:eastAsia="宋体"/>
                <w:b/>
                <w:color w:val="auto"/>
                <w:sz w:val="24"/>
                <w:highlight w:val="none"/>
              </w:rPr>
            </w:pPr>
          </w:p>
        </w:tc>
      </w:tr>
      <w:tr w14:paraId="5F5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682C0E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F75DD58">
            <w:pPr>
              <w:spacing w:line="360" w:lineRule="auto"/>
              <w:rPr>
                <w:rFonts w:ascii="宋体" w:hAnsi="宋体" w:eastAsia="宋体"/>
                <w:b/>
                <w:color w:val="auto"/>
                <w:sz w:val="24"/>
                <w:highlight w:val="none"/>
              </w:rPr>
            </w:pPr>
          </w:p>
        </w:tc>
      </w:tr>
    </w:tbl>
    <w:p w14:paraId="519B2B1C">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D339F0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12DB8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C94478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1.本表内容根据磋商文件要求包括了服务及其配套的采购、运输、保险、税费以及质保期内的售后服务保障等所有费用。</w:t>
      </w:r>
    </w:p>
    <w:p w14:paraId="0EFBE9EE">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06C83B4A">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279D1545">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1FE83015">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color w:val="auto"/>
          <w:sz w:val="24"/>
          <w:highlight w:val="none"/>
        </w:rPr>
      </w:pPr>
      <w:bookmarkStart w:id="198" w:name="_Toc461053087"/>
      <w:bookmarkStart w:id="199" w:name="_Toc461056632"/>
      <w:bookmarkStart w:id="200" w:name="_Toc28695"/>
      <w:bookmarkStart w:id="201" w:name="_Toc520983588"/>
      <w:bookmarkStart w:id="202" w:name="_Toc32436"/>
      <w:r>
        <w:rPr>
          <w:rFonts w:hint="eastAsia" w:asciiTheme="minorEastAsia" w:hAnsiTheme="minorEastAsia" w:eastAsiaTheme="minorEastAsia"/>
          <w:b/>
          <w:color w:val="auto"/>
          <w:sz w:val="24"/>
          <w:highlight w:val="none"/>
        </w:rPr>
        <w:t>二</w:t>
      </w:r>
      <w:bookmarkEnd w:id="198"/>
      <w:bookmarkEnd w:id="199"/>
      <w:r>
        <w:rPr>
          <w:rFonts w:hint="eastAsia" w:asciiTheme="minorEastAsia" w:hAnsiTheme="minorEastAsia" w:eastAsiaTheme="minorEastAsia"/>
          <w:b/>
          <w:color w:val="auto"/>
          <w:sz w:val="24"/>
          <w:highlight w:val="none"/>
        </w:rPr>
        <w:t>、最后承诺报价表</w:t>
      </w:r>
      <w:bookmarkEnd w:id="200"/>
      <w:bookmarkEnd w:id="201"/>
      <w:bookmarkEnd w:id="202"/>
    </w:p>
    <w:p w14:paraId="6406E3F9">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54F89C98">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53EBF9E8">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5F4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FB746A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4C5D0D0">
            <w:pPr>
              <w:spacing w:line="360" w:lineRule="auto"/>
              <w:rPr>
                <w:rFonts w:ascii="宋体" w:hAnsi="宋体" w:eastAsia="宋体"/>
                <w:b/>
                <w:color w:val="auto"/>
                <w:sz w:val="24"/>
                <w:highlight w:val="none"/>
              </w:rPr>
            </w:pPr>
          </w:p>
        </w:tc>
      </w:tr>
      <w:tr w14:paraId="75B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5481CEC">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2D63E9B">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6E4F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00FFA4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63B13A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2DAAF97">
            <w:pPr>
              <w:snapToGrid w:val="0"/>
              <w:spacing w:line="360" w:lineRule="auto"/>
              <w:rPr>
                <w:rFonts w:ascii="宋体" w:hAnsi="宋体" w:eastAsia="宋体"/>
                <w:color w:val="auto"/>
                <w:sz w:val="24"/>
                <w:szCs w:val="28"/>
                <w:highlight w:val="none"/>
              </w:rPr>
            </w:pPr>
          </w:p>
          <w:p w14:paraId="5E859A7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067EAD8">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7671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E0E8E7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04CB9E59">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1D99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B5EE217">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4E1052C1">
            <w:pPr>
              <w:spacing w:line="360" w:lineRule="auto"/>
              <w:rPr>
                <w:rFonts w:ascii="宋体" w:hAnsi="宋体" w:eastAsia="宋体"/>
                <w:b/>
                <w:color w:val="auto"/>
                <w:sz w:val="24"/>
                <w:highlight w:val="none"/>
              </w:rPr>
            </w:pPr>
          </w:p>
        </w:tc>
      </w:tr>
    </w:tbl>
    <w:p w14:paraId="5C9D49C4">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C22B33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AB2CBC">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336538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val="0"/>
          <w:bCs w:val="0"/>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w:t>
      </w:r>
      <w:r>
        <w:rPr>
          <w:rFonts w:hint="eastAsia" w:ascii="宋体" w:hAnsi="宋体" w:eastAsia="宋体"/>
          <w:b w:val="0"/>
          <w:bCs w:val="0"/>
          <w:color w:val="auto"/>
          <w:sz w:val="24"/>
          <w:highlight w:val="none"/>
        </w:rPr>
        <w:t>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0DDED8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rPr>
        <w:t>.表中大写金额与小写金额不一致的，以大写金额为准。</w:t>
      </w:r>
    </w:p>
    <w:p w14:paraId="4CDBBD08">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87176E5">
      <w:pPr>
        <w:spacing w:line="360" w:lineRule="auto"/>
        <w:jc w:val="center"/>
        <w:outlineLvl w:val="1"/>
        <w:rPr>
          <w:rFonts w:asciiTheme="minorEastAsia" w:hAnsiTheme="minorEastAsia" w:eastAsiaTheme="minorEastAsia"/>
          <w:b/>
          <w:color w:val="auto"/>
          <w:sz w:val="24"/>
          <w:highlight w:val="none"/>
        </w:rPr>
      </w:pPr>
      <w:bookmarkStart w:id="203" w:name="_Toc520983591"/>
      <w:bookmarkStart w:id="204" w:name="_Toc11500"/>
      <w:bookmarkStart w:id="205" w:name="_Toc32385"/>
      <w:r>
        <w:rPr>
          <w:rFonts w:hint="eastAsia" w:asciiTheme="minorEastAsia" w:hAnsiTheme="minorEastAsia" w:eastAsiaTheme="minorEastAsia"/>
          <w:b/>
          <w:color w:val="auto"/>
          <w:sz w:val="24"/>
          <w:highlight w:val="none"/>
        </w:rPr>
        <w:t>三、磋商响应函</w:t>
      </w:r>
      <w:bookmarkEnd w:id="203"/>
      <w:bookmarkEnd w:id="204"/>
      <w:bookmarkEnd w:id="205"/>
    </w:p>
    <w:p w14:paraId="21019DAB">
      <w:pPr>
        <w:pStyle w:val="16"/>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675A8BD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06" w:name="_Hlk44287543"/>
      <w:r>
        <w:rPr>
          <w:rFonts w:hint="eastAsia" w:ascii="宋体" w:hAnsi="宋体" w:eastAsia="宋体"/>
          <w:color w:val="auto"/>
          <w:sz w:val="24"/>
          <w:highlight w:val="none"/>
        </w:rPr>
        <w:t>竞争性磋商公告和磋商邀请</w:t>
      </w:r>
      <w:bookmarkEnd w:id="206"/>
      <w:r>
        <w:rPr>
          <w:rFonts w:hint="eastAsia" w:ascii="宋体" w:hAnsi="宋体" w:eastAsia="宋体"/>
          <w:color w:val="auto"/>
          <w:sz w:val="24"/>
          <w:highlight w:val="none"/>
        </w:rPr>
        <w:t>，我方兹宣布同意如下：</w:t>
      </w:r>
    </w:p>
    <w:p w14:paraId="1EE21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228036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1F7CFD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040D90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5E74E08">
      <w:pPr>
        <w:spacing w:line="360" w:lineRule="auto"/>
        <w:ind w:firstLine="480" w:firstLineChars="200"/>
        <w:rPr>
          <w:rFonts w:ascii="宋体" w:hAnsi="宋体" w:eastAsia="宋体"/>
          <w:color w:val="auto"/>
          <w:sz w:val="24"/>
          <w:highlight w:val="none"/>
        </w:rPr>
      </w:pPr>
    </w:p>
    <w:p w14:paraId="22DAFD13">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088C4D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2CA3F0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C789A8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7" w:name="_Toc21328"/>
      <w:r>
        <w:rPr>
          <w:rFonts w:hint="eastAsia" w:asciiTheme="minorEastAsia" w:hAnsiTheme="minorEastAsia" w:eastAsiaTheme="minorEastAsia"/>
          <w:b/>
          <w:color w:val="auto"/>
          <w:sz w:val="24"/>
          <w:highlight w:val="none"/>
          <w:lang w:val="en-US" w:eastAsia="zh-CN"/>
        </w:rPr>
        <w:t>四、供应商资格声明书</w:t>
      </w:r>
      <w:bookmarkEnd w:id="207"/>
    </w:p>
    <w:p w14:paraId="722D3C7E">
      <w:pPr>
        <w:pStyle w:val="16"/>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7C7D2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4EF002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68E6B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4A44C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01A425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8764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CCEE8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24F9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23A5E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0A023C34">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09BBB59B">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348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32A9266">
            <w:pPr>
              <w:pStyle w:val="13"/>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124BDD44">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6B8DE227">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67F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40427E3">
            <w:pPr>
              <w:pStyle w:val="13"/>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0900AE6D">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63A38F41">
            <w:pPr>
              <w:pStyle w:val="13"/>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40E51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7A6BBE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7784C0E">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ECD5AD6">
      <w:pPr>
        <w:spacing w:line="440" w:lineRule="exact"/>
        <w:ind w:firstLine="4800" w:firstLineChars="2000"/>
        <w:rPr>
          <w:rFonts w:ascii="宋体" w:hAnsi="宋体" w:eastAsia="宋体"/>
          <w:color w:val="auto"/>
          <w:sz w:val="24"/>
          <w:szCs w:val="24"/>
          <w:highlight w:val="none"/>
          <w:u w:val="single"/>
        </w:rPr>
      </w:pPr>
    </w:p>
    <w:p w14:paraId="1E8743C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F2AC9F7">
      <w:pPr>
        <w:spacing w:line="360" w:lineRule="auto"/>
        <w:jc w:val="center"/>
        <w:outlineLvl w:val="1"/>
        <w:rPr>
          <w:rFonts w:asciiTheme="minorEastAsia" w:hAnsiTheme="minorEastAsia" w:eastAsiaTheme="minorEastAsia"/>
          <w:b/>
          <w:color w:val="auto"/>
          <w:sz w:val="24"/>
          <w:highlight w:val="none"/>
        </w:rPr>
      </w:pPr>
      <w:bookmarkStart w:id="208" w:name="_Toc520983594"/>
      <w:bookmarkStart w:id="209" w:name="_Toc31518"/>
      <w:bookmarkStart w:id="210" w:name="_Toc121626298"/>
      <w:bookmarkStart w:id="211" w:name="_Toc516969106"/>
      <w:bookmarkStart w:id="212" w:name="_Toc204594911"/>
      <w:bookmarkStart w:id="213" w:name="_Toc26922"/>
      <w:r>
        <w:rPr>
          <w:rFonts w:hint="eastAsia" w:asciiTheme="minorEastAsia" w:hAnsiTheme="minorEastAsia" w:eastAsiaTheme="minorEastAsia"/>
          <w:b/>
          <w:color w:val="auto"/>
          <w:sz w:val="24"/>
          <w:highlight w:val="none"/>
        </w:rPr>
        <w:t>五、授权书</w:t>
      </w:r>
      <w:bookmarkEnd w:id="208"/>
      <w:bookmarkEnd w:id="209"/>
      <w:bookmarkEnd w:id="210"/>
      <w:bookmarkEnd w:id="211"/>
      <w:bookmarkEnd w:id="212"/>
      <w:bookmarkEnd w:id="213"/>
    </w:p>
    <w:p w14:paraId="43210C10">
      <w:pPr>
        <w:spacing w:line="360" w:lineRule="auto"/>
        <w:jc w:val="center"/>
        <w:rPr>
          <w:rFonts w:asciiTheme="minorEastAsia" w:hAnsiTheme="minorEastAsia" w:eastAsiaTheme="minorEastAsia"/>
          <w:b/>
          <w:color w:val="auto"/>
          <w:sz w:val="24"/>
          <w:highlight w:val="none"/>
        </w:rPr>
      </w:pPr>
    </w:p>
    <w:p w14:paraId="5874F629">
      <w:pPr>
        <w:pStyle w:val="1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DCD3194">
      <w:pPr>
        <w:pStyle w:val="1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80F87C6">
      <w:pPr>
        <w:pStyle w:val="15"/>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1025310E">
      <w:pPr>
        <w:pStyle w:val="15"/>
        <w:snapToGrid w:val="0"/>
        <w:spacing w:line="360" w:lineRule="auto"/>
        <w:ind w:firstLine="480" w:firstLineChars="200"/>
        <w:jc w:val="left"/>
        <w:rPr>
          <w:rFonts w:hAnsi="宋体" w:eastAsia="宋体"/>
          <w:color w:val="auto"/>
          <w:sz w:val="24"/>
          <w:highlight w:val="none"/>
        </w:rPr>
      </w:pPr>
    </w:p>
    <w:p w14:paraId="54BB87F8">
      <w:pPr>
        <w:pStyle w:val="15"/>
        <w:snapToGrid w:val="0"/>
        <w:spacing w:line="360" w:lineRule="auto"/>
        <w:ind w:firstLine="480" w:firstLineChars="200"/>
        <w:jc w:val="left"/>
        <w:rPr>
          <w:rFonts w:hAnsi="宋体" w:eastAsia="宋体"/>
          <w:color w:val="auto"/>
          <w:sz w:val="24"/>
          <w:highlight w:val="none"/>
        </w:rPr>
      </w:pPr>
    </w:p>
    <w:p w14:paraId="5146BC03">
      <w:pPr>
        <w:pStyle w:val="15"/>
        <w:snapToGrid w:val="0"/>
        <w:spacing w:line="360" w:lineRule="auto"/>
        <w:ind w:firstLine="480" w:firstLineChars="200"/>
        <w:jc w:val="left"/>
        <w:rPr>
          <w:rFonts w:hAnsi="宋体" w:eastAsia="宋体"/>
          <w:color w:val="auto"/>
          <w:sz w:val="24"/>
          <w:highlight w:val="none"/>
        </w:rPr>
      </w:pPr>
    </w:p>
    <w:p w14:paraId="3B1E74AA">
      <w:pPr>
        <w:pStyle w:val="15"/>
        <w:snapToGrid w:val="0"/>
        <w:spacing w:line="360" w:lineRule="auto"/>
        <w:ind w:firstLine="480" w:firstLineChars="200"/>
        <w:jc w:val="left"/>
        <w:rPr>
          <w:rFonts w:hAnsi="宋体" w:eastAsia="宋体"/>
          <w:color w:val="auto"/>
          <w:sz w:val="24"/>
          <w:highlight w:val="none"/>
        </w:rPr>
      </w:pPr>
    </w:p>
    <w:p w14:paraId="0F14A851">
      <w:pPr>
        <w:pStyle w:val="15"/>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DC9B3BB">
      <w:pPr>
        <w:pStyle w:val="15"/>
        <w:snapToGrid w:val="0"/>
        <w:spacing w:line="360" w:lineRule="auto"/>
        <w:ind w:firstLine="480" w:firstLineChars="200"/>
        <w:jc w:val="left"/>
        <w:rPr>
          <w:rFonts w:hAnsi="宋体" w:eastAsia="宋体"/>
          <w:color w:val="auto"/>
          <w:sz w:val="24"/>
          <w:szCs w:val="28"/>
          <w:highlight w:val="none"/>
        </w:rPr>
      </w:pPr>
    </w:p>
    <w:p w14:paraId="7884E3EC">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C8DFC4F">
      <w:pPr>
        <w:spacing w:line="360" w:lineRule="auto"/>
        <w:rPr>
          <w:rFonts w:ascii="宋体" w:hAnsi="宋体" w:eastAsia="宋体"/>
          <w:color w:val="auto"/>
          <w:sz w:val="24"/>
          <w:szCs w:val="28"/>
          <w:highlight w:val="none"/>
        </w:rPr>
      </w:pPr>
    </w:p>
    <w:p w14:paraId="0EA3F5A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1160F5">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EDF0A3">
      <w:pPr>
        <w:spacing w:line="360" w:lineRule="auto"/>
        <w:rPr>
          <w:rFonts w:ascii="宋体" w:hAnsi="宋体" w:eastAsia="宋体"/>
          <w:color w:val="auto"/>
          <w:sz w:val="24"/>
          <w:szCs w:val="28"/>
          <w:highlight w:val="none"/>
        </w:rPr>
      </w:pPr>
    </w:p>
    <w:p w14:paraId="6F272CFC">
      <w:pPr>
        <w:spacing w:line="360" w:lineRule="auto"/>
        <w:rPr>
          <w:rFonts w:ascii="宋体" w:hAnsi="宋体" w:eastAsia="宋体"/>
          <w:color w:val="auto"/>
          <w:sz w:val="24"/>
          <w:szCs w:val="28"/>
          <w:highlight w:val="none"/>
        </w:rPr>
      </w:pPr>
    </w:p>
    <w:p w14:paraId="0FD96122">
      <w:pPr>
        <w:pStyle w:val="1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37F1B3B">
      <w:pPr>
        <w:pStyle w:val="1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7763861F">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78BAA0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0302A4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4" w:name="_Toc28033"/>
      <w:bookmarkStart w:id="215" w:name="_Toc22233"/>
      <w:r>
        <w:rPr>
          <w:rFonts w:hint="eastAsia" w:asciiTheme="minorEastAsia" w:hAnsiTheme="minorEastAsia" w:eastAsiaTheme="minorEastAsia"/>
          <w:b/>
          <w:color w:val="auto"/>
          <w:sz w:val="24"/>
          <w:highlight w:val="none"/>
        </w:rPr>
        <w:t>六、</w:t>
      </w:r>
      <w:r>
        <w:rPr>
          <w:rFonts w:hint="eastAsia" w:ascii="宋体" w:hAnsi="宋体" w:eastAsia="宋体" w:cs="宋体"/>
          <w:b/>
          <w:bCs w:val="0"/>
          <w:color w:val="auto"/>
          <w:kern w:val="2"/>
          <w:sz w:val="24"/>
          <w:szCs w:val="24"/>
          <w:highlight w:val="none"/>
          <w:lang w:val="en-US" w:eastAsia="zh-CN" w:bidi="ar"/>
        </w:rPr>
        <w:t>诚信响应承诺书</w:t>
      </w:r>
    </w:p>
    <w:p w14:paraId="702EA1CB">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2975AA4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项目的磋商响应，所提供的一切材料都是真实、有效、合法的；</w:t>
      </w:r>
    </w:p>
    <w:p w14:paraId="124BED8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7ACB8C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57720F7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0D672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760D3958">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供应商所属分公司、办事处等分支机构有上述1-7项信誉要求，在此一并承诺我公司所属分公司、办事处等分支机构没有上述1-7项情形）</w:t>
      </w:r>
    </w:p>
    <w:p w14:paraId="4DB2F6A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3D50524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197566B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522A7A6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19804EB2">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81BC3F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投标或者中标（成交）资格、中标（成交）无效、记入不良行为记录等有关处理，愿意承担法律责任，给采购人人造成损失的，依法承担赔偿责任。</w:t>
      </w:r>
    </w:p>
    <w:p w14:paraId="76B16BA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3D7EF8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C5555D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50F7F3D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供应商（签章）：                 法定代表人（签章）：</w:t>
      </w:r>
    </w:p>
    <w:p w14:paraId="558C14D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F8C4E1D">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155451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67A98BF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p>
    <w:p w14:paraId="55FC2B0F">
      <w:pPr>
        <w:spacing w:line="360" w:lineRule="auto"/>
        <w:jc w:val="center"/>
        <w:outlineLvl w:val="1"/>
        <w:rPr>
          <w:rFonts w:hint="eastAsia" w:asciiTheme="minorEastAsia" w:hAnsiTheme="minorEastAsia" w:eastAsiaTheme="minorEastAsia"/>
          <w:b/>
          <w:color w:val="auto"/>
          <w:sz w:val="24"/>
          <w:highlight w:val="none"/>
        </w:rPr>
      </w:pPr>
    </w:p>
    <w:p w14:paraId="2200FB4F">
      <w:pPr>
        <w:spacing w:line="360" w:lineRule="auto"/>
        <w:jc w:val="center"/>
        <w:outlineLvl w:val="1"/>
        <w:rPr>
          <w:rFonts w:hint="eastAsia" w:asciiTheme="minorEastAsia" w:hAnsiTheme="minorEastAsia" w:eastAsiaTheme="minorEastAsia"/>
          <w:b/>
          <w:color w:val="auto"/>
          <w:sz w:val="24"/>
          <w:highlight w:val="none"/>
        </w:rPr>
      </w:pPr>
    </w:p>
    <w:p w14:paraId="3C612A6E">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AB8E0F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七、磋商</w:t>
      </w:r>
      <w:r>
        <w:rPr>
          <w:rFonts w:hint="eastAsia" w:asciiTheme="minorEastAsia" w:hAnsiTheme="minorEastAsia" w:eastAsiaTheme="minorEastAsia"/>
          <w:b/>
          <w:color w:val="auto"/>
          <w:sz w:val="24"/>
          <w:highlight w:val="none"/>
        </w:rPr>
        <w:t>响应表</w:t>
      </w:r>
      <w:bookmarkEnd w:id="214"/>
      <w:bookmarkEnd w:id="215"/>
    </w:p>
    <w:p w14:paraId="3041E91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7763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7156D61">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5BBBFC6">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E459604">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0887B3C">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CB02072">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78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5BA6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66E086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6B8F7">
            <w:pPr>
              <w:jc w:val="center"/>
              <w:rPr>
                <w:rFonts w:asciiTheme="minorEastAsia" w:hAnsiTheme="minorEastAsia" w:eastAsiaTheme="minorEastAsia"/>
                <w:color w:val="auto"/>
                <w:sz w:val="24"/>
                <w:highlight w:val="none"/>
              </w:rPr>
            </w:pPr>
          </w:p>
        </w:tc>
        <w:tc>
          <w:tcPr>
            <w:tcW w:w="1510" w:type="pct"/>
            <w:vAlign w:val="center"/>
          </w:tcPr>
          <w:p w14:paraId="14256C1B">
            <w:pPr>
              <w:jc w:val="center"/>
              <w:rPr>
                <w:rFonts w:asciiTheme="minorEastAsia" w:hAnsiTheme="minorEastAsia" w:eastAsiaTheme="minorEastAsia"/>
                <w:color w:val="auto"/>
                <w:sz w:val="24"/>
                <w:highlight w:val="none"/>
              </w:rPr>
            </w:pPr>
          </w:p>
        </w:tc>
        <w:tc>
          <w:tcPr>
            <w:tcW w:w="475" w:type="pct"/>
            <w:vAlign w:val="center"/>
          </w:tcPr>
          <w:p w14:paraId="0BE24828">
            <w:pPr>
              <w:jc w:val="center"/>
              <w:rPr>
                <w:rFonts w:asciiTheme="minorEastAsia" w:hAnsiTheme="minorEastAsia" w:eastAsiaTheme="minorEastAsia"/>
                <w:color w:val="auto"/>
                <w:sz w:val="24"/>
                <w:highlight w:val="none"/>
              </w:rPr>
            </w:pPr>
          </w:p>
        </w:tc>
      </w:tr>
      <w:tr w14:paraId="7B1C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6BAD7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6C60A02">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4D0A1964">
            <w:pPr>
              <w:jc w:val="center"/>
              <w:rPr>
                <w:rFonts w:asciiTheme="minorEastAsia" w:hAnsiTheme="minorEastAsia" w:eastAsiaTheme="minorEastAsia"/>
                <w:color w:val="auto"/>
                <w:sz w:val="24"/>
                <w:highlight w:val="none"/>
              </w:rPr>
            </w:pPr>
          </w:p>
        </w:tc>
        <w:tc>
          <w:tcPr>
            <w:tcW w:w="1510" w:type="pct"/>
            <w:vAlign w:val="center"/>
          </w:tcPr>
          <w:p w14:paraId="70D88132">
            <w:pPr>
              <w:jc w:val="center"/>
              <w:rPr>
                <w:rFonts w:asciiTheme="minorEastAsia" w:hAnsiTheme="minorEastAsia" w:eastAsiaTheme="minorEastAsia"/>
                <w:color w:val="auto"/>
                <w:sz w:val="24"/>
                <w:highlight w:val="none"/>
              </w:rPr>
            </w:pPr>
          </w:p>
        </w:tc>
        <w:tc>
          <w:tcPr>
            <w:tcW w:w="475" w:type="pct"/>
            <w:vAlign w:val="center"/>
          </w:tcPr>
          <w:p w14:paraId="2F433C00">
            <w:pPr>
              <w:jc w:val="center"/>
              <w:rPr>
                <w:rFonts w:asciiTheme="minorEastAsia" w:hAnsiTheme="minorEastAsia" w:eastAsiaTheme="minorEastAsia"/>
                <w:color w:val="auto"/>
                <w:sz w:val="24"/>
                <w:highlight w:val="none"/>
              </w:rPr>
            </w:pPr>
          </w:p>
        </w:tc>
      </w:tr>
      <w:tr w14:paraId="7D92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9CB3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C381868">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3B853C4B">
            <w:pPr>
              <w:jc w:val="center"/>
              <w:rPr>
                <w:rFonts w:asciiTheme="minorEastAsia" w:hAnsiTheme="minorEastAsia" w:eastAsiaTheme="minorEastAsia"/>
                <w:color w:val="auto"/>
                <w:sz w:val="24"/>
                <w:highlight w:val="none"/>
              </w:rPr>
            </w:pPr>
          </w:p>
        </w:tc>
        <w:tc>
          <w:tcPr>
            <w:tcW w:w="1510" w:type="pct"/>
            <w:vAlign w:val="center"/>
          </w:tcPr>
          <w:p w14:paraId="3F404322">
            <w:pPr>
              <w:pStyle w:val="53"/>
              <w:jc w:val="center"/>
              <w:rPr>
                <w:rFonts w:asciiTheme="minorEastAsia" w:hAnsiTheme="minorEastAsia" w:eastAsiaTheme="minorEastAsia"/>
                <w:color w:val="auto"/>
                <w:highlight w:val="none"/>
              </w:rPr>
            </w:pPr>
          </w:p>
        </w:tc>
        <w:tc>
          <w:tcPr>
            <w:tcW w:w="475" w:type="pct"/>
            <w:vAlign w:val="center"/>
          </w:tcPr>
          <w:p w14:paraId="713F1D69">
            <w:pPr>
              <w:jc w:val="center"/>
              <w:rPr>
                <w:rFonts w:asciiTheme="minorEastAsia" w:hAnsiTheme="minorEastAsia" w:eastAsiaTheme="minorEastAsia"/>
                <w:color w:val="auto"/>
                <w:sz w:val="24"/>
                <w:highlight w:val="none"/>
              </w:rPr>
            </w:pPr>
          </w:p>
        </w:tc>
      </w:tr>
      <w:tr w14:paraId="2275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D35FD0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1124" w:type="pct"/>
            <w:vAlign w:val="center"/>
          </w:tcPr>
          <w:p w14:paraId="6AABE9D4">
            <w:pPr>
              <w:jc w:val="center"/>
              <w:rPr>
                <w:rFonts w:ascii="宋体" w:hAnsi="宋体" w:eastAsia="宋体"/>
                <w:color w:val="auto"/>
                <w:sz w:val="24"/>
                <w:highlight w:val="none"/>
              </w:rPr>
            </w:pPr>
          </w:p>
        </w:tc>
        <w:tc>
          <w:tcPr>
            <w:tcW w:w="1465" w:type="pct"/>
            <w:vAlign w:val="center"/>
          </w:tcPr>
          <w:p w14:paraId="4E0A9136">
            <w:pPr>
              <w:jc w:val="center"/>
              <w:rPr>
                <w:rFonts w:asciiTheme="minorEastAsia" w:hAnsiTheme="minorEastAsia" w:eastAsiaTheme="minorEastAsia"/>
                <w:color w:val="auto"/>
                <w:sz w:val="24"/>
                <w:highlight w:val="none"/>
              </w:rPr>
            </w:pPr>
          </w:p>
        </w:tc>
        <w:tc>
          <w:tcPr>
            <w:tcW w:w="1510" w:type="pct"/>
            <w:vAlign w:val="center"/>
          </w:tcPr>
          <w:p w14:paraId="0F3BC6C2">
            <w:pPr>
              <w:jc w:val="center"/>
              <w:rPr>
                <w:rFonts w:asciiTheme="minorEastAsia" w:hAnsiTheme="minorEastAsia" w:eastAsiaTheme="minorEastAsia"/>
                <w:color w:val="auto"/>
                <w:sz w:val="24"/>
                <w:highlight w:val="none"/>
              </w:rPr>
            </w:pPr>
          </w:p>
        </w:tc>
        <w:tc>
          <w:tcPr>
            <w:tcW w:w="475" w:type="pct"/>
            <w:vAlign w:val="center"/>
          </w:tcPr>
          <w:p w14:paraId="3ADD7683">
            <w:pPr>
              <w:jc w:val="center"/>
              <w:rPr>
                <w:rFonts w:asciiTheme="minorEastAsia" w:hAnsiTheme="minorEastAsia" w:eastAsiaTheme="minorEastAsia"/>
                <w:color w:val="auto"/>
                <w:sz w:val="24"/>
                <w:highlight w:val="none"/>
              </w:rPr>
            </w:pPr>
          </w:p>
        </w:tc>
      </w:tr>
    </w:tbl>
    <w:p w14:paraId="4B933A44">
      <w:pPr>
        <w:spacing w:line="360" w:lineRule="auto"/>
        <w:ind w:firstLine="4800" w:firstLineChars="2000"/>
        <w:rPr>
          <w:rFonts w:hint="eastAsia" w:ascii="宋体" w:hAnsi="宋体" w:eastAsia="宋体"/>
          <w:color w:val="auto"/>
          <w:sz w:val="24"/>
          <w:highlight w:val="none"/>
          <w:lang w:val="en-US" w:eastAsia="zh-CN"/>
        </w:rPr>
      </w:pPr>
    </w:p>
    <w:p w14:paraId="736E655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CA6EC5B">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25E8E4E">
      <w:pPr>
        <w:pStyle w:val="16"/>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101450E1">
      <w:pPr>
        <w:spacing w:line="360" w:lineRule="auto"/>
        <w:jc w:val="center"/>
        <w:outlineLvl w:val="1"/>
        <w:rPr>
          <w:rFonts w:asciiTheme="minorEastAsia" w:hAnsiTheme="minorEastAsia" w:eastAsiaTheme="minorEastAsia"/>
          <w:b/>
          <w:color w:val="auto"/>
          <w:sz w:val="24"/>
          <w:highlight w:val="none"/>
        </w:rPr>
      </w:pPr>
      <w:bookmarkStart w:id="216" w:name="_Toc29455"/>
      <w:bookmarkStart w:id="217" w:name="_Toc11260"/>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16"/>
      <w:bookmarkEnd w:id="217"/>
      <w:bookmarkStart w:id="218" w:name="_Toc6445"/>
      <w:bookmarkStart w:id="219" w:name="_Toc17888"/>
      <w:bookmarkStart w:id="220" w:name="_Hlk60608597"/>
      <w:r>
        <w:rPr>
          <w:rFonts w:hint="eastAsia" w:asciiTheme="minorEastAsia" w:hAnsiTheme="minorEastAsia" w:eastAsiaTheme="minorEastAsia"/>
          <w:b/>
          <w:color w:val="auto"/>
          <w:sz w:val="24"/>
          <w:highlight w:val="none"/>
        </w:rPr>
        <w:t>中小企业声明函</w:t>
      </w:r>
      <w:bookmarkEnd w:id="218"/>
      <w:bookmarkEnd w:id="219"/>
    </w:p>
    <w:p w14:paraId="5FE5B7D3">
      <w:pPr>
        <w:pStyle w:val="13"/>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9899D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3390C2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E53F3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BD2568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751EA9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4F8C1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8A98570">
      <w:pPr>
        <w:spacing w:line="360" w:lineRule="auto"/>
        <w:ind w:firstLine="435"/>
        <w:rPr>
          <w:rFonts w:asciiTheme="minorEastAsia" w:hAnsiTheme="minorEastAsia" w:eastAsiaTheme="minorEastAsia"/>
          <w:color w:val="auto"/>
          <w:sz w:val="24"/>
          <w:szCs w:val="24"/>
          <w:highlight w:val="none"/>
        </w:rPr>
      </w:pPr>
    </w:p>
    <w:p w14:paraId="1B3C8971">
      <w:pPr>
        <w:spacing w:line="360" w:lineRule="auto"/>
        <w:ind w:firstLine="435"/>
        <w:rPr>
          <w:rFonts w:asciiTheme="minorEastAsia" w:hAnsiTheme="minorEastAsia" w:eastAsiaTheme="minorEastAsia"/>
          <w:color w:val="auto"/>
          <w:sz w:val="24"/>
          <w:szCs w:val="24"/>
          <w:highlight w:val="none"/>
        </w:rPr>
      </w:pPr>
    </w:p>
    <w:p w14:paraId="401ED8C3">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AADDA5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AD8BFAA">
      <w:pPr>
        <w:tabs>
          <w:tab w:val="left" w:pos="4620"/>
        </w:tabs>
        <w:spacing w:line="360" w:lineRule="auto"/>
        <w:jc w:val="left"/>
        <w:rPr>
          <w:rFonts w:asciiTheme="minorEastAsia" w:hAnsiTheme="minorEastAsia" w:eastAsiaTheme="minorEastAsia"/>
          <w:color w:val="auto"/>
          <w:sz w:val="24"/>
          <w:szCs w:val="24"/>
          <w:highlight w:val="none"/>
        </w:rPr>
      </w:pPr>
    </w:p>
    <w:p w14:paraId="08E563D6">
      <w:pPr>
        <w:tabs>
          <w:tab w:val="left" w:pos="4620"/>
        </w:tabs>
        <w:spacing w:line="360" w:lineRule="auto"/>
        <w:jc w:val="left"/>
        <w:rPr>
          <w:rFonts w:asciiTheme="minorEastAsia" w:hAnsiTheme="minorEastAsia" w:eastAsiaTheme="minorEastAsia"/>
          <w:color w:val="auto"/>
          <w:sz w:val="24"/>
          <w:szCs w:val="24"/>
          <w:highlight w:val="none"/>
        </w:rPr>
      </w:pPr>
    </w:p>
    <w:p w14:paraId="389BBA50">
      <w:pPr>
        <w:tabs>
          <w:tab w:val="left" w:pos="4620"/>
        </w:tabs>
        <w:spacing w:line="360" w:lineRule="auto"/>
        <w:jc w:val="left"/>
        <w:rPr>
          <w:rFonts w:asciiTheme="minorEastAsia" w:hAnsiTheme="minorEastAsia" w:eastAsiaTheme="minorEastAsia"/>
          <w:color w:val="auto"/>
          <w:sz w:val="24"/>
          <w:szCs w:val="24"/>
          <w:highlight w:val="none"/>
        </w:rPr>
      </w:pPr>
    </w:p>
    <w:p w14:paraId="1CF28849">
      <w:pPr>
        <w:tabs>
          <w:tab w:val="left" w:pos="4620"/>
        </w:tabs>
        <w:spacing w:line="360" w:lineRule="auto"/>
        <w:jc w:val="left"/>
        <w:rPr>
          <w:rFonts w:asciiTheme="minorEastAsia" w:hAnsiTheme="minorEastAsia" w:eastAsiaTheme="minorEastAsia"/>
          <w:color w:val="auto"/>
          <w:sz w:val="24"/>
          <w:szCs w:val="24"/>
          <w:highlight w:val="none"/>
        </w:rPr>
      </w:pPr>
    </w:p>
    <w:bookmarkEnd w:id="220"/>
    <w:p w14:paraId="4A6467D2">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311D51F">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6F350D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094B4CD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4B8E68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B0BF8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74DC5C9">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1410A09">
      <w:pPr>
        <w:spacing w:line="360" w:lineRule="auto"/>
        <w:jc w:val="center"/>
        <w:outlineLvl w:val="1"/>
        <w:rPr>
          <w:rFonts w:asciiTheme="minorEastAsia" w:hAnsiTheme="minorEastAsia" w:eastAsiaTheme="minorEastAsia"/>
          <w:b/>
          <w:color w:val="auto"/>
          <w:sz w:val="24"/>
          <w:highlight w:val="none"/>
        </w:rPr>
      </w:pPr>
      <w:bookmarkStart w:id="221" w:name="_Toc5908"/>
      <w:bookmarkStart w:id="222" w:name="_Toc17713"/>
      <w:bookmarkStart w:id="223" w:name="_Hlk60608725"/>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、残疾人福利性单位声明函</w:t>
      </w:r>
      <w:bookmarkEnd w:id="221"/>
      <w:bookmarkEnd w:id="222"/>
    </w:p>
    <w:p w14:paraId="7B42FE5D">
      <w:pPr>
        <w:pStyle w:val="13"/>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5FE4CD1C">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E1D68E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42880A1">
      <w:pPr>
        <w:spacing w:line="360" w:lineRule="auto"/>
        <w:ind w:firstLine="4228" w:firstLineChars="1762"/>
        <w:rPr>
          <w:rFonts w:asciiTheme="minorEastAsia" w:hAnsiTheme="minorEastAsia" w:eastAsiaTheme="minorEastAsia"/>
          <w:color w:val="auto"/>
          <w:sz w:val="24"/>
          <w:szCs w:val="24"/>
          <w:highlight w:val="none"/>
        </w:rPr>
      </w:pPr>
    </w:p>
    <w:p w14:paraId="03D6C101">
      <w:pPr>
        <w:spacing w:line="360" w:lineRule="auto"/>
        <w:ind w:firstLine="4228" w:firstLineChars="1762"/>
        <w:rPr>
          <w:rFonts w:asciiTheme="minorEastAsia" w:hAnsiTheme="minorEastAsia" w:eastAsiaTheme="minorEastAsia"/>
          <w:color w:val="auto"/>
          <w:sz w:val="24"/>
          <w:szCs w:val="24"/>
          <w:highlight w:val="none"/>
        </w:rPr>
      </w:pPr>
    </w:p>
    <w:p w14:paraId="5D5F68B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CAC802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23"/>
    <w:p w14:paraId="5C01525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48945A3">
      <w:pPr>
        <w:spacing w:line="360" w:lineRule="auto"/>
        <w:jc w:val="center"/>
        <w:outlineLvl w:val="1"/>
        <w:rPr>
          <w:rFonts w:asciiTheme="minorEastAsia" w:hAnsiTheme="minorEastAsia" w:eastAsiaTheme="minorEastAsia"/>
          <w:b/>
          <w:color w:val="auto"/>
          <w:sz w:val="24"/>
          <w:highlight w:val="none"/>
        </w:rPr>
      </w:pPr>
      <w:bookmarkStart w:id="224" w:name="_Toc2278"/>
      <w:bookmarkStart w:id="225" w:name="_Toc20592"/>
      <w:bookmarkStart w:id="226" w:name="_Hlk44283088"/>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、诚信履约承诺函</w:t>
      </w:r>
      <w:bookmarkEnd w:id="224"/>
      <w:bookmarkEnd w:id="225"/>
    </w:p>
    <w:p w14:paraId="1B67A09E">
      <w:pPr>
        <w:spacing w:line="360" w:lineRule="auto"/>
        <w:rPr>
          <w:rFonts w:asciiTheme="minorEastAsia" w:hAnsiTheme="minorEastAsia" w:eastAsiaTheme="minorEastAsia"/>
          <w:b/>
          <w:bCs/>
          <w:color w:val="auto"/>
          <w:sz w:val="24"/>
          <w:highlight w:val="none"/>
        </w:rPr>
      </w:pPr>
    </w:p>
    <w:p w14:paraId="7380133A">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1C5CA96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A10041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BB654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CF920F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12A480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29B42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0976D1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189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本承诺声明：</w:t>
      </w:r>
      <w:r>
        <w:rPr>
          <w:rFonts w:hint="eastAsia" w:asciiTheme="minorEastAsia" w:hAnsiTheme="minorEastAsia" w:eastAsiaTheme="minorEastAsia"/>
          <w:bCs/>
          <w:color w:val="auto"/>
          <w:sz w:val="24"/>
          <w:highlight w:val="none"/>
          <w:u w:val="single"/>
        </w:rPr>
        <w:t xml:space="preserve">                   （供应商名称）</w:t>
      </w:r>
      <w:r>
        <w:rPr>
          <w:rFonts w:hint="eastAsia" w:asciiTheme="minorEastAsia" w:hAnsiTheme="minorEastAsia" w:eastAsiaTheme="minorEastAsia"/>
          <w:bCs/>
          <w:color w:val="auto"/>
          <w:sz w:val="24"/>
          <w:highlight w:val="none"/>
        </w:rPr>
        <w:t>对本</w:t>
      </w:r>
      <w:r>
        <w:rPr>
          <w:rFonts w:hint="eastAsia" w:asciiTheme="minorEastAsia" w:hAnsiTheme="minorEastAsia" w:eastAsiaTheme="minorEastAsia"/>
          <w:bCs/>
          <w:color w:val="auto"/>
          <w:sz w:val="24"/>
          <w:highlight w:val="none"/>
          <w:lang w:eastAsia="zh-CN"/>
        </w:rPr>
        <w:t>竞争性磋商文件</w:t>
      </w:r>
      <w:r>
        <w:rPr>
          <w:rFonts w:hint="eastAsia" w:asciiTheme="minorEastAsia" w:hAnsiTheme="minorEastAsia" w:eastAsiaTheme="minorEastAsia"/>
          <w:bCs/>
          <w:color w:val="auto"/>
          <w:sz w:val="24"/>
          <w:highlight w:val="none"/>
        </w:rPr>
        <w:t>的相关要求完全响应。若有幸成交将严格按照以上承诺进行服务。</w:t>
      </w:r>
    </w:p>
    <w:p w14:paraId="7CDF1A96">
      <w:pPr>
        <w:spacing w:line="360" w:lineRule="auto"/>
        <w:rPr>
          <w:rFonts w:asciiTheme="minorEastAsia" w:hAnsiTheme="minorEastAsia" w:eastAsiaTheme="minorEastAsia"/>
          <w:bCs/>
          <w:color w:val="auto"/>
          <w:sz w:val="24"/>
          <w:highlight w:val="none"/>
        </w:rPr>
      </w:pPr>
    </w:p>
    <w:p w14:paraId="4AFB228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D89AE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7892389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26"/>
    <w:p w14:paraId="03F442C2">
      <w:pPr>
        <w:spacing w:line="360" w:lineRule="auto"/>
        <w:jc w:val="center"/>
        <w:outlineLvl w:val="1"/>
        <w:rPr>
          <w:rFonts w:asciiTheme="minorEastAsia" w:hAnsiTheme="minorEastAsia" w:eastAsiaTheme="minorEastAsia"/>
          <w:b/>
          <w:color w:val="auto"/>
          <w:sz w:val="24"/>
          <w:highlight w:val="none"/>
        </w:rPr>
      </w:pPr>
      <w:bookmarkStart w:id="227" w:name="_Toc3826"/>
      <w:bookmarkStart w:id="228" w:name="_Toc7807"/>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、其他相关证明材料</w:t>
      </w:r>
      <w:bookmarkEnd w:id="227"/>
      <w:bookmarkEnd w:id="228"/>
    </w:p>
    <w:p w14:paraId="42275D95">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65712A69">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拟组建的监理部人员情况一览表</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865"/>
        <w:gridCol w:w="866"/>
        <w:gridCol w:w="1269"/>
        <w:gridCol w:w="1692"/>
        <w:gridCol w:w="1692"/>
        <w:gridCol w:w="1692"/>
      </w:tblGrid>
      <w:tr w14:paraId="728F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11E0D625">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姓  名</w:t>
            </w:r>
          </w:p>
        </w:tc>
        <w:tc>
          <w:tcPr>
            <w:tcW w:w="865" w:type="dxa"/>
            <w:noWrap w:val="0"/>
            <w:vAlign w:val="center"/>
          </w:tcPr>
          <w:p w14:paraId="7AFAB5E4">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年龄</w:t>
            </w:r>
          </w:p>
        </w:tc>
        <w:tc>
          <w:tcPr>
            <w:tcW w:w="866" w:type="dxa"/>
            <w:noWrap w:val="0"/>
            <w:vAlign w:val="center"/>
          </w:tcPr>
          <w:p w14:paraId="33DA75C2">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性别</w:t>
            </w:r>
          </w:p>
        </w:tc>
        <w:tc>
          <w:tcPr>
            <w:tcW w:w="1269" w:type="dxa"/>
            <w:noWrap w:val="0"/>
            <w:vAlign w:val="center"/>
          </w:tcPr>
          <w:p w14:paraId="5401A1E3">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职称</w:t>
            </w:r>
          </w:p>
        </w:tc>
        <w:tc>
          <w:tcPr>
            <w:tcW w:w="1692" w:type="dxa"/>
            <w:noWrap w:val="0"/>
            <w:vAlign w:val="center"/>
          </w:tcPr>
          <w:p w14:paraId="77ACE275">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拟任职务</w:t>
            </w:r>
          </w:p>
        </w:tc>
        <w:tc>
          <w:tcPr>
            <w:tcW w:w="1692" w:type="dxa"/>
            <w:noWrap w:val="0"/>
            <w:vAlign w:val="center"/>
          </w:tcPr>
          <w:p w14:paraId="516BB2F6">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持证名称</w:t>
            </w:r>
          </w:p>
        </w:tc>
        <w:tc>
          <w:tcPr>
            <w:tcW w:w="1692" w:type="dxa"/>
            <w:noWrap w:val="0"/>
            <w:vAlign w:val="center"/>
          </w:tcPr>
          <w:p w14:paraId="18C69B2D">
            <w:pPr>
              <w:pStyle w:val="8"/>
              <w:tabs>
                <w:tab w:val="left" w:pos="432"/>
              </w:tabs>
              <w:spacing w:before="156" w:beforeLines="50" w:after="156" w:afterLines="50" w:line="440" w:lineRule="exact"/>
              <w:jc w:val="center"/>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持证证号</w:t>
            </w:r>
          </w:p>
        </w:tc>
      </w:tr>
      <w:tr w14:paraId="391D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24B6413A">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5" w:type="dxa"/>
            <w:noWrap w:val="0"/>
            <w:vAlign w:val="center"/>
          </w:tcPr>
          <w:p w14:paraId="37C7B262">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6" w:type="dxa"/>
            <w:noWrap w:val="0"/>
            <w:vAlign w:val="center"/>
          </w:tcPr>
          <w:p w14:paraId="7155004A">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269" w:type="dxa"/>
            <w:noWrap w:val="0"/>
            <w:vAlign w:val="center"/>
          </w:tcPr>
          <w:p w14:paraId="45267CC4">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67B824EA">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56B2AD71">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23DF4606">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r>
      <w:tr w14:paraId="392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2D2CB562">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5" w:type="dxa"/>
            <w:noWrap w:val="0"/>
            <w:vAlign w:val="center"/>
          </w:tcPr>
          <w:p w14:paraId="0BC6239B">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6" w:type="dxa"/>
            <w:noWrap w:val="0"/>
            <w:vAlign w:val="center"/>
          </w:tcPr>
          <w:p w14:paraId="68DE57F7">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269" w:type="dxa"/>
            <w:noWrap w:val="0"/>
            <w:vAlign w:val="center"/>
          </w:tcPr>
          <w:p w14:paraId="056E6105">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3032CCA8">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4F04D372">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58A18E90">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r>
      <w:tr w14:paraId="6BF4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08E98280">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5" w:type="dxa"/>
            <w:noWrap w:val="0"/>
            <w:vAlign w:val="center"/>
          </w:tcPr>
          <w:p w14:paraId="6ED5A7B8">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6" w:type="dxa"/>
            <w:noWrap w:val="0"/>
            <w:vAlign w:val="center"/>
          </w:tcPr>
          <w:p w14:paraId="5705E7F6">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269" w:type="dxa"/>
            <w:noWrap w:val="0"/>
            <w:vAlign w:val="center"/>
          </w:tcPr>
          <w:p w14:paraId="50E70CF2">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086B4024">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1551FC01">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79848809">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r>
      <w:tr w14:paraId="2EC1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1AF92519">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5" w:type="dxa"/>
            <w:noWrap w:val="0"/>
            <w:vAlign w:val="center"/>
          </w:tcPr>
          <w:p w14:paraId="4CF50461">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6" w:type="dxa"/>
            <w:noWrap w:val="0"/>
            <w:vAlign w:val="center"/>
          </w:tcPr>
          <w:p w14:paraId="264A9477">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269" w:type="dxa"/>
            <w:noWrap w:val="0"/>
            <w:vAlign w:val="center"/>
          </w:tcPr>
          <w:p w14:paraId="3A1CB51D">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2EAB96B9">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04051860">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63246BEB">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r>
      <w:tr w14:paraId="7925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46" w:type="dxa"/>
            <w:noWrap w:val="0"/>
            <w:vAlign w:val="center"/>
          </w:tcPr>
          <w:p w14:paraId="546859DA">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5" w:type="dxa"/>
            <w:noWrap w:val="0"/>
            <w:vAlign w:val="center"/>
          </w:tcPr>
          <w:p w14:paraId="3844E456">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866" w:type="dxa"/>
            <w:noWrap w:val="0"/>
            <w:vAlign w:val="center"/>
          </w:tcPr>
          <w:p w14:paraId="4548E704">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269" w:type="dxa"/>
            <w:noWrap w:val="0"/>
            <w:vAlign w:val="center"/>
          </w:tcPr>
          <w:p w14:paraId="7D40BED4">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59494784">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62DA0847">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c>
          <w:tcPr>
            <w:tcW w:w="1692" w:type="dxa"/>
            <w:noWrap w:val="0"/>
            <w:vAlign w:val="center"/>
          </w:tcPr>
          <w:p w14:paraId="5E5A13C9">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p>
        </w:tc>
      </w:tr>
    </w:tbl>
    <w:p w14:paraId="42EEB74E">
      <w:pPr>
        <w:spacing w:line="360" w:lineRule="auto"/>
        <w:rPr>
          <w:rFonts w:hint="eastAsia"/>
          <w:color w:val="auto"/>
          <w:sz w:val="24"/>
          <w:highlight w:val="none"/>
        </w:rPr>
      </w:pPr>
    </w:p>
    <w:p w14:paraId="4086721E">
      <w:pPr>
        <w:tabs>
          <w:tab w:val="left" w:pos="4620"/>
        </w:tabs>
        <w:spacing w:line="360" w:lineRule="auto"/>
        <w:ind w:firstLine="480" w:firstLineChars="200"/>
        <w:jc w:val="right"/>
        <w:rPr>
          <w:rFonts w:hint="eastAsia" w:ascii="宋体" w:hAnsi="宋体" w:eastAsia="宋体"/>
          <w:color w:val="auto"/>
          <w:sz w:val="24"/>
          <w:highlight w:val="none"/>
        </w:rPr>
      </w:pPr>
      <w:bookmarkStart w:id="229" w:name="_Toc346610497"/>
      <w:bookmarkStart w:id="230" w:name="_Toc488780200"/>
      <w:r>
        <w:rPr>
          <w:rFonts w:hint="eastAsia" w:ascii="宋体" w:hAnsi="宋体" w:eastAsia="宋体"/>
          <w:color w:val="auto"/>
          <w:sz w:val="24"/>
          <w:highlight w:val="none"/>
        </w:rPr>
        <w:t>投标人（签章）：</w:t>
      </w:r>
    </w:p>
    <w:p w14:paraId="453A69AC">
      <w:pPr>
        <w:tabs>
          <w:tab w:val="left" w:pos="4620"/>
        </w:tabs>
        <w:spacing w:line="360" w:lineRule="auto"/>
        <w:ind w:firstLine="480" w:firstLineChars="200"/>
        <w:jc w:val="right"/>
        <w:rPr>
          <w:rFonts w:hint="eastAsia" w:ascii="宋体" w:hAnsi="宋体" w:eastAsia="宋体"/>
          <w:color w:val="auto"/>
          <w:sz w:val="24"/>
          <w:highlight w:val="none"/>
        </w:rPr>
      </w:pPr>
      <w:r>
        <w:rPr>
          <w:rFonts w:hint="eastAsia" w:ascii="宋体" w:hAnsi="宋体" w:eastAsia="宋体"/>
          <w:color w:val="auto"/>
          <w:sz w:val="24"/>
          <w:highlight w:val="none"/>
        </w:rPr>
        <w:t>法定代表人（签章）：</w:t>
      </w:r>
    </w:p>
    <w:p w14:paraId="01F31BBD">
      <w:pPr>
        <w:spacing w:line="360" w:lineRule="auto"/>
        <w:jc w:val="righ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 xml:space="preserve">   日</w:t>
      </w:r>
    </w:p>
    <w:p w14:paraId="58EB948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F2FC6F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3F891220">
      <w:pPr>
        <w:tabs>
          <w:tab w:val="left" w:pos="4620"/>
        </w:tabs>
        <w:wordWrap w:val="0"/>
        <w:spacing w:line="360" w:lineRule="auto"/>
        <w:ind w:firstLine="480" w:firstLineChars="200"/>
        <w:jc w:val="right"/>
        <w:rPr>
          <w:rFonts w:hint="default" w:ascii="宋体" w:hAnsi="宋体" w:eastAsia="宋体"/>
          <w:color w:val="auto"/>
          <w:sz w:val="24"/>
          <w:highlight w:val="none"/>
          <w:lang w:val="en-US"/>
        </w:rPr>
        <w:sectPr>
          <w:footerReference r:id="rId5" w:type="default"/>
          <w:pgSz w:w="11907" w:h="16840"/>
          <w:pgMar w:top="1134" w:right="1418" w:bottom="1134" w:left="1418" w:header="680" w:footer="680" w:gutter="0"/>
          <w:pgNumType w:fmt="decimal"/>
          <w:cols w:space="720" w:num="1"/>
          <w:titlePg/>
          <w:docGrid w:type="lines" w:linePitch="312" w:charSpace="0"/>
        </w:sectPr>
      </w:pPr>
    </w:p>
    <w:bookmarkEnd w:id="229"/>
    <w:bookmarkEnd w:id="230"/>
    <w:p w14:paraId="7AD567B4">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color w:val="auto"/>
          <w:kern w:val="2"/>
          <w:sz w:val="28"/>
          <w:szCs w:val="28"/>
          <w:highlight w:val="none"/>
        </w:rPr>
      </w:pPr>
      <w:bookmarkStart w:id="231" w:name="_Toc11016"/>
      <w:bookmarkStart w:id="232" w:name="_Toc63440924"/>
      <w:bookmarkStart w:id="233" w:name="_Toc19418"/>
      <w:r>
        <w:rPr>
          <w:rFonts w:hint="eastAsia" w:ascii="宋体" w:hAnsi="宋体" w:eastAsia="宋体" w:cs="宋体"/>
          <w:b/>
          <w:bCs w:val="0"/>
          <w:color w:val="auto"/>
          <w:kern w:val="2"/>
          <w:sz w:val="28"/>
          <w:szCs w:val="28"/>
          <w:highlight w:val="none"/>
          <w:lang w:val="en-US" w:eastAsia="zh-CN" w:bidi="ar"/>
        </w:rPr>
        <w:t>附件</w:t>
      </w:r>
      <w:r>
        <w:rPr>
          <w:rFonts w:hint="default" w:ascii="Times New Roman" w:hAnsi="Times New Roman" w:eastAsia="宋体" w:cs="Times New Roman"/>
          <w:b/>
          <w:bCs w:val="0"/>
          <w:color w:val="auto"/>
          <w:kern w:val="2"/>
          <w:sz w:val="28"/>
          <w:szCs w:val="28"/>
          <w:highlight w:val="none"/>
          <w:lang w:val="en-US" w:eastAsia="zh-CN" w:bidi="ar"/>
        </w:rPr>
        <w:t>1</w:t>
      </w:r>
      <w:bookmarkEnd w:id="231"/>
    </w:p>
    <w:p w14:paraId="60D83092">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color w:val="auto"/>
          <w:kern w:val="2"/>
          <w:sz w:val="30"/>
          <w:szCs w:val="30"/>
          <w:highlight w:val="none"/>
        </w:rPr>
      </w:pPr>
      <w:r>
        <w:rPr>
          <w:rFonts w:hint="eastAsia" w:ascii="黑体" w:hAnsi="宋体" w:eastAsia="黑体" w:cs="黑体"/>
          <w:b/>
          <w:bCs w:val="0"/>
          <w:color w:val="auto"/>
          <w:kern w:val="2"/>
          <w:sz w:val="30"/>
          <w:szCs w:val="30"/>
          <w:highlight w:val="none"/>
          <w:lang w:val="en-US" w:eastAsia="zh-CN" w:bidi="ar"/>
        </w:rPr>
        <w:t>关于联合惩戒失信行为 加强信用查询管理的通知</w:t>
      </w:r>
    </w:p>
    <w:p w14:paraId="32566E03">
      <w:pPr>
        <w:keepNext w:val="0"/>
        <w:keepLines w:val="0"/>
        <w:widowControl w:val="0"/>
        <w:suppressLineNumbers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70445A1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62F9B137">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19B593A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5D8E60A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62ABDED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6736877B">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31AA93DB">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2E6CE4A3">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41279983">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12FDD57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6D2FA5D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50E1750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12284B6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3104CBC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2EFF30FE">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1C6B068D">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923FAF7">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7A3DE01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7AD1C97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5662497A">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1C26173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5B826A6A">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01FD6886">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t>
      </w:r>
      <w:r>
        <w:rPr>
          <w:rFonts w:hint="eastAsia" w:ascii="宋体" w:hAnsi="宋体" w:eastAsia="宋体" w:cs="宋体"/>
          <w:bCs/>
          <w:color w:val="auto"/>
          <w:kern w:val="0"/>
          <w:sz w:val="24"/>
          <w:szCs w:val="24"/>
          <w:highlight w:val="none"/>
          <w:vertAlign w:val="baseline"/>
          <w:lang w:val="en-US" w:eastAsia="zh-CN" w:bidi="ar"/>
        </w:rPr>
        <w:fldChar w:fldCharType="begin"/>
      </w:r>
      <w:r>
        <w:rPr>
          <w:rFonts w:hint="eastAsia" w:ascii="宋体" w:hAnsi="宋体" w:eastAsia="宋体" w:cs="宋体"/>
          <w:bCs/>
          <w:color w:val="auto"/>
          <w:kern w:val="0"/>
          <w:sz w:val="24"/>
          <w:szCs w:val="24"/>
          <w:highlight w:val="none"/>
          <w:vertAlign w:val="baseline"/>
          <w:lang w:val="en-US" w:eastAsia="zh-CN" w:bidi="ar"/>
        </w:rPr>
        <w:instrText xml:space="preserve"> HYPERLINK "http://www.gsxt.gov.cn）查询" </w:instrText>
      </w:r>
      <w:r>
        <w:rPr>
          <w:rFonts w:hint="eastAsia" w:ascii="宋体" w:hAnsi="宋体" w:eastAsia="宋体" w:cs="宋体"/>
          <w:bCs/>
          <w:color w:val="auto"/>
          <w:kern w:val="0"/>
          <w:sz w:val="24"/>
          <w:szCs w:val="24"/>
          <w:highlight w:val="none"/>
          <w:vertAlign w:val="baseline"/>
          <w:lang w:val="en-US" w:eastAsia="zh-CN" w:bidi="ar"/>
        </w:rPr>
        <w:fldChar w:fldCharType="separate"/>
      </w:r>
      <w:r>
        <w:rPr>
          <w:rFonts w:hint="eastAsia" w:ascii="宋体" w:hAnsi="宋体" w:eastAsia="宋体" w:cs="宋体"/>
          <w:bCs/>
          <w:color w:val="auto"/>
          <w:kern w:val="0"/>
          <w:sz w:val="24"/>
          <w:szCs w:val="24"/>
          <w:highlight w:val="none"/>
          <w:vertAlign w:val="baseline"/>
          <w:lang w:val="en-US" w:eastAsia="zh-CN" w:bidi="ar"/>
        </w:rPr>
        <w:t>www.gsxt.gov.cn）</w:t>
      </w:r>
      <w:r>
        <w:rPr>
          <w:rFonts w:hint="eastAsia" w:ascii="宋体" w:hAnsi="宋体" w:eastAsia="宋体" w:cs="宋体"/>
          <w:bCs/>
          <w:color w:val="auto"/>
          <w:kern w:val="0"/>
          <w:sz w:val="24"/>
          <w:szCs w:val="24"/>
          <w:highlight w:val="none"/>
          <w:vertAlign w:val="baseline"/>
          <w:lang w:val="en-US" w:eastAsia="zh-CN" w:bidi="ar"/>
        </w:rPr>
        <w:fldChar w:fldCharType="end"/>
      </w:r>
      <w:r>
        <w:rPr>
          <w:rFonts w:hint="eastAsia" w:ascii="宋体" w:hAnsi="宋体" w:eastAsia="宋体" w:cs="宋体"/>
          <w:bCs/>
          <w:color w:val="auto"/>
          <w:kern w:val="0"/>
          <w:sz w:val="24"/>
          <w:szCs w:val="24"/>
          <w:highlight w:val="none"/>
          <w:vertAlign w:val="baseline"/>
          <w:lang w:val="en-US" w:eastAsia="zh-CN" w:bidi="ar"/>
        </w:rPr>
        <w:t>查询供应商以下失信行为：</w:t>
      </w:r>
    </w:p>
    <w:p w14:paraId="73FB16D6">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w:t>
      </w:r>
      <w:bookmarkStart w:id="234" w:name="OLE_LINK101"/>
      <w:bookmarkStart w:id="235" w:name="OLE_LINK102"/>
      <w:bookmarkStart w:id="236" w:name="OLE_LINK100"/>
      <w:r>
        <w:rPr>
          <w:rFonts w:hint="eastAsia" w:ascii="宋体" w:hAnsi="宋体" w:eastAsia="宋体" w:cs="宋体"/>
          <w:bCs/>
          <w:color w:val="auto"/>
          <w:kern w:val="0"/>
          <w:sz w:val="24"/>
          <w:szCs w:val="24"/>
          <w:highlight w:val="none"/>
          <w:vertAlign w:val="baseline"/>
          <w:lang w:val="en-US" w:eastAsia="zh-CN" w:bidi="ar"/>
        </w:rPr>
        <w:t>被列入“经营异常名录”或者“严重违法失信名单”的</w:t>
      </w:r>
      <w:bookmarkEnd w:id="234"/>
      <w:bookmarkEnd w:id="235"/>
      <w:bookmarkEnd w:id="236"/>
      <w:r>
        <w:rPr>
          <w:rFonts w:hint="eastAsia" w:ascii="宋体" w:hAnsi="宋体" w:eastAsia="宋体" w:cs="宋体"/>
          <w:bCs/>
          <w:color w:val="auto"/>
          <w:kern w:val="0"/>
          <w:sz w:val="24"/>
          <w:szCs w:val="24"/>
          <w:highlight w:val="none"/>
          <w:vertAlign w:val="baseline"/>
          <w:lang w:val="en-US" w:eastAsia="zh-CN" w:bidi="ar"/>
        </w:rPr>
        <w:t>。</w:t>
      </w:r>
    </w:p>
    <w:p w14:paraId="5762D90D">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3、中国政府采购网站（</w:t>
      </w:r>
      <w:bookmarkStart w:id="237" w:name="OLE_LINK96"/>
      <w:bookmarkStart w:id="238" w:name="OLE_LINK95"/>
      <w:r>
        <w:rPr>
          <w:rFonts w:hint="eastAsia" w:ascii="宋体" w:hAnsi="宋体" w:eastAsia="宋体" w:cs="宋体"/>
          <w:bCs/>
          <w:color w:val="auto"/>
          <w:kern w:val="0"/>
          <w:sz w:val="24"/>
          <w:szCs w:val="24"/>
          <w:highlight w:val="none"/>
          <w:vertAlign w:val="baseline"/>
          <w:lang w:val="en-US" w:eastAsia="zh-CN" w:bidi="ar"/>
        </w:rPr>
        <w:fldChar w:fldCharType="begin"/>
      </w:r>
      <w:r>
        <w:rPr>
          <w:rFonts w:hint="eastAsia" w:ascii="宋体" w:hAnsi="宋体" w:eastAsia="宋体" w:cs="宋体"/>
          <w:bCs/>
          <w:color w:val="auto"/>
          <w:kern w:val="0"/>
          <w:sz w:val="24"/>
          <w:szCs w:val="24"/>
          <w:highlight w:val="none"/>
          <w:vertAlign w:val="baseline"/>
          <w:lang w:val="en-US" w:eastAsia="zh-CN" w:bidi="ar"/>
        </w:rPr>
        <w:instrText xml:space="preserve"> HYPERLINK "http://www.ccgp.gov.cn" </w:instrText>
      </w:r>
      <w:r>
        <w:rPr>
          <w:rFonts w:hint="eastAsia" w:ascii="宋体" w:hAnsi="宋体" w:eastAsia="宋体" w:cs="宋体"/>
          <w:bCs/>
          <w:color w:val="auto"/>
          <w:kern w:val="0"/>
          <w:sz w:val="24"/>
          <w:szCs w:val="24"/>
          <w:highlight w:val="none"/>
          <w:vertAlign w:val="baseline"/>
          <w:lang w:val="en-US" w:eastAsia="zh-CN" w:bidi="ar"/>
        </w:rPr>
        <w:fldChar w:fldCharType="separate"/>
      </w:r>
      <w:r>
        <w:rPr>
          <w:rFonts w:hint="eastAsia" w:ascii="宋体" w:hAnsi="宋体" w:eastAsia="宋体" w:cs="宋体"/>
          <w:bCs/>
          <w:color w:val="auto"/>
          <w:kern w:val="0"/>
          <w:sz w:val="24"/>
          <w:szCs w:val="24"/>
          <w:highlight w:val="none"/>
          <w:vertAlign w:val="baseline"/>
          <w:lang w:val="en-US" w:eastAsia="zh-CN" w:bidi="ar"/>
        </w:rPr>
        <w:t>www.ccgp.gov.cn</w:t>
      </w:r>
      <w:r>
        <w:rPr>
          <w:rFonts w:hint="eastAsia" w:ascii="宋体" w:hAnsi="宋体" w:eastAsia="宋体" w:cs="宋体"/>
          <w:bCs/>
          <w:color w:val="auto"/>
          <w:kern w:val="0"/>
          <w:sz w:val="24"/>
          <w:szCs w:val="24"/>
          <w:highlight w:val="none"/>
          <w:vertAlign w:val="baseline"/>
          <w:lang w:val="en-US" w:eastAsia="zh-CN" w:bidi="ar"/>
        </w:rPr>
        <w:fldChar w:fldCharType="end"/>
      </w:r>
      <w:bookmarkEnd w:id="237"/>
      <w:bookmarkEnd w:id="238"/>
      <w:r>
        <w:rPr>
          <w:rFonts w:hint="eastAsia" w:ascii="宋体" w:hAnsi="宋体" w:eastAsia="宋体" w:cs="宋体"/>
          <w:bCs/>
          <w:color w:val="auto"/>
          <w:kern w:val="0"/>
          <w:sz w:val="24"/>
          <w:szCs w:val="24"/>
          <w:highlight w:val="none"/>
          <w:vertAlign w:val="baseline"/>
          <w:lang w:val="en-US" w:eastAsia="zh-CN" w:bidi="ar"/>
        </w:rPr>
        <w:t>）查询以下失信行为：</w:t>
      </w:r>
    </w:p>
    <w:p w14:paraId="3565765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w:t>
      </w:r>
      <w:bookmarkStart w:id="239" w:name="OLE_LINK105"/>
      <w:bookmarkStart w:id="240" w:name="OLE_LINK106"/>
      <w:bookmarkStart w:id="241" w:name="OLE_LINK104"/>
      <w:r>
        <w:rPr>
          <w:rFonts w:hint="eastAsia" w:ascii="宋体" w:hAnsi="宋体" w:eastAsia="宋体" w:cs="宋体"/>
          <w:bCs/>
          <w:color w:val="auto"/>
          <w:kern w:val="0"/>
          <w:sz w:val="24"/>
          <w:szCs w:val="24"/>
          <w:highlight w:val="none"/>
          <w:vertAlign w:val="baseline"/>
          <w:lang w:val="en-US" w:eastAsia="zh-CN" w:bidi="ar"/>
        </w:rPr>
        <w:t>被列入“政府采购严重违法失信行为信息记录”的</w:t>
      </w:r>
      <w:bookmarkEnd w:id="239"/>
      <w:bookmarkEnd w:id="240"/>
      <w:bookmarkEnd w:id="241"/>
      <w:r>
        <w:rPr>
          <w:rFonts w:hint="eastAsia" w:ascii="宋体" w:hAnsi="宋体" w:eastAsia="宋体" w:cs="宋体"/>
          <w:bCs/>
          <w:color w:val="auto"/>
          <w:kern w:val="0"/>
          <w:sz w:val="24"/>
          <w:szCs w:val="24"/>
          <w:highlight w:val="none"/>
          <w:vertAlign w:val="baseline"/>
          <w:lang w:val="en-US" w:eastAsia="zh-CN" w:bidi="ar"/>
        </w:rPr>
        <w:t>。</w:t>
      </w:r>
    </w:p>
    <w:p w14:paraId="355AE9E0">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3E48D7D0">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22AA7A8B">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68D6BCF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0878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竞争性磋商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EA23AE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45F2A111">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066102A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1、参与公共资源交易活动的竞争主体根据上述范围查询的内容进行自查并承诺，出具《诚信响应承诺书》（诚信响应承诺书包括但不限于上述自查并承诺内容）并注明承诺日期（投标截止时间前5日内）。</w:t>
      </w:r>
    </w:p>
    <w:p w14:paraId="2AFB92E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EA033B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响应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6ED5839">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01F2D47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622EF38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w:t>
      </w:r>
      <w:r>
        <w:rPr>
          <w:rFonts w:hint="default" w:ascii="Times New Roman" w:hAnsi="Times New Roman" w:eastAsia="宋体" w:cs="Times New Roman"/>
          <w:b/>
          <w:bCs w:val="0"/>
          <w:color w:val="auto"/>
          <w:kern w:val="2"/>
          <w:sz w:val="24"/>
          <w:szCs w:val="24"/>
          <w:highlight w:val="none"/>
          <w:lang w:val="en-US" w:eastAsia="zh-CN" w:bidi="ar"/>
        </w:rPr>
        <w:t>2</w:t>
      </w:r>
    </w:p>
    <w:p w14:paraId="13C84D27">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2AFB8C56">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B4B5F7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0D69A1ED">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6123C66A">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20DDB53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1085019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4D93404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57F9555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5EB3ACB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23B7D86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5916543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55FC106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71020CA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6EFAA957">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4429B76F">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依据：《安全生产严重失信主体名单管理办法》（2023年8月8日应急管理部令第11号）</w:t>
      </w:r>
    </w:p>
    <w:p w14:paraId="7C158083">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895801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56D3DA8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538FB4FD">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251566B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0E6234D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6E1A6BE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4AC7871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7AF8AA4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2D5B2D6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19FC6628">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6C8225E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6E84B9D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26BD762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6ED0D6E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33D9536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6F045EED">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25EA1BEF">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71A9E2FA">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19F43FBF">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1172A5A0">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2BF1CAB6">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4BC16798">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（四）依法必须进行招标的项目的招标人向他人透露已获取竞争性磋商文件的潜在投标人的名称、数量或者可能影响公平竞争的有 关招标投标的其他情况的，或者泄露标底的；</w:t>
      </w:r>
    </w:p>
    <w:p w14:paraId="002201D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1CB1E55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4C73FC6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01DAD9B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E645CB6">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5F33861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5798286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（十一）招标人与中标人不按照竞争性磋商文件和中标人的投标文件订立合同的，或者招标人、中标人订立背离合同实质性内容的 协议的； </w:t>
      </w:r>
    </w:p>
    <w:p w14:paraId="7F9F67D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5398A88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7550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29A4F3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2DE6C357">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61012D9F">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A2FA61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0F71A2B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2C2BEE0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47919D78">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63497E43">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6DEF5A5B">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71AA5D80">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63A2FDCA">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287D41F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49F52FA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11EB662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10984AC4">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07698347">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8EFFC5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29D9638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1FD8B35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0F4A0834">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0730077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0936A8E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2F972BC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45D4CF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02B4D084">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09AFFCDE">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05B4A8BB">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A4E53C8">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54F19CF7">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7BF0ED98">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（一）三万元以上罚款；</w:t>
      </w:r>
    </w:p>
    <w:p w14:paraId="26227FBB">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25BF272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26D4BDC4">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7BE4486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4F55D61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84B56B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0"/>
          <w:sz w:val="24"/>
          <w:szCs w:val="24"/>
          <w:highlight w:val="none"/>
          <w:vertAlign w:val="baseline"/>
          <w:lang w:val="en-US" w:eastAsia="zh-CN" w:bidi="ar"/>
        </w:rPr>
      </w:pPr>
      <w:r>
        <w:rPr>
          <w:rFonts w:hint="eastAsia" w:ascii="宋体" w:hAnsi="宋体" w:eastAsia="宋体" w:cs="宋体"/>
          <w:b/>
          <w:bCs w:val="0"/>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p>
    <w:p w14:paraId="1425390C">
      <w:pPr>
        <w:spacing w:line="360" w:lineRule="auto"/>
        <w:jc w:val="center"/>
        <w:outlineLvl w:val="0"/>
        <w:rPr>
          <w:rFonts w:hint="eastAsia" w:ascii="宋体" w:hAnsi="宋体" w:eastAsia="宋体"/>
          <w:b/>
          <w:bCs/>
          <w:color w:val="auto"/>
          <w:sz w:val="28"/>
          <w:highlight w:val="none"/>
        </w:rPr>
      </w:pPr>
    </w:p>
    <w:p w14:paraId="66919D24">
      <w:pPr>
        <w:spacing w:line="360" w:lineRule="auto"/>
        <w:jc w:val="center"/>
        <w:outlineLvl w:val="0"/>
        <w:rPr>
          <w:rFonts w:hint="eastAsia" w:ascii="宋体" w:hAnsi="宋体" w:eastAsia="宋体"/>
          <w:b/>
          <w:bCs/>
          <w:color w:val="auto"/>
          <w:sz w:val="28"/>
          <w:highlight w:val="none"/>
        </w:rPr>
      </w:pPr>
    </w:p>
    <w:p w14:paraId="7F3D3922">
      <w:pPr>
        <w:rPr>
          <w:rFonts w:hint="eastAsia" w:ascii="宋体" w:hAnsi="宋体" w:eastAsia="宋体"/>
          <w:b/>
          <w:bCs/>
          <w:color w:val="auto"/>
          <w:sz w:val="28"/>
          <w:highlight w:val="none"/>
        </w:rPr>
      </w:pPr>
      <w:r>
        <w:rPr>
          <w:rFonts w:hint="eastAsia" w:ascii="宋体" w:hAnsi="宋体" w:eastAsia="宋体"/>
          <w:b/>
          <w:bCs/>
          <w:color w:val="auto"/>
          <w:sz w:val="28"/>
          <w:highlight w:val="none"/>
        </w:rPr>
        <w:br w:type="page"/>
      </w:r>
    </w:p>
    <w:p w14:paraId="5EC24F74">
      <w:pPr>
        <w:spacing w:line="360" w:lineRule="auto"/>
        <w:jc w:val="center"/>
        <w:outlineLvl w:val="0"/>
        <w:rPr>
          <w:rFonts w:ascii="宋体" w:hAnsi="宋体" w:eastAsia="宋体"/>
          <w:b/>
          <w:bCs/>
          <w:color w:val="auto"/>
          <w:sz w:val="28"/>
          <w:highlight w:val="none"/>
        </w:rPr>
      </w:pPr>
      <w:bookmarkStart w:id="242" w:name="_Toc7345"/>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32"/>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3"/>
      <w:bookmarkEnd w:id="242"/>
    </w:p>
    <w:p w14:paraId="6178FDF3">
      <w:pPr>
        <w:spacing w:line="360" w:lineRule="auto"/>
        <w:jc w:val="center"/>
        <w:outlineLvl w:val="1"/>
        <w:rPr>
          <w:rFonts w:ascii="仿宋" w:hAnsi="仿宋" w:eastAsia="仿宋" w:cs="仿宋"/>
          <w:b/>
          <w:bCs/>
          <w:color w:val="auto"/>
          <w:sz w:val="32"/>
          <w:szCs w:val="44"/>
          <w:highlight w:val="none"/>
        </w:rPr>
      </w:pPr>
      <w:bookmarkStart w:id="243" w:name="_Toc2142"/>
      <w:bookmarkStart w:id="244" w:name="_Toc8735"/>
      <w:r>
        <w:rPr>
          <w:rFonts w:hint="eastAsia" w:ascii="仿宋" w:hAnsi="仿宋" w:eastAsia="仿宋" w:cs="仿宋"/>
          <w:b/>
          <w:bCs/>
          <w:color w:val="auto"/>
          <w:sz w:val="32"/>
          <w:szCs w:val="44"/>
          <w:highlight w:val="none"/>
        </w:rPr>
        <w:t>询问函范本</w:t>
      </w:r>
      <w:bookmarkEnd w:id="243"/>
      <w:bookmarkEnd w:id="244"/>
    </w:p>
    <w:p w14:paraId="47BD5E7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97A4071">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627834C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741222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5" w:name="_Toc26386"/>
      <w:bookmarkStart w:id="246" w:name="_Toc9092"/>
      <w:r>
        <w:rPr>
          <w:rFonts w:hint="eastAsia" w:cs="仿宋" w:asciiTheme="minorEastAsia" w:hAnsiTheme="minorEastAsia" w:eastAsiaTheme="minorEastAsia"/>
          <w:color w:val="auto"/>
          <w:sz w:val="24"/>
          <w:szCs w:val="24"/>
          <w:highlight w:val="none"/>
        </w:rPr>
        <w:t>一、(事项一)</w:t>
      </w:r>
      <w:bookmarkEnd w:id="245"/>
      <w:bookmarkEnd w:id="246"/>
    </w:p>
    <w:p w14:paraId="37A802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9ADC85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33C735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AECE0D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7" w:name="_Toc9273"/>
      <w:bookmarkStart w:id="248" w:name="_Toc17582"/>
      <w:r>
        <w:rPr>
          <w:rFonts w:hint="eastAsia" w:cs="仿宋" w:asciiTheme="minorEastAsia" w:hAnsiTheme="minorEastAsia" w:eastAsiaTheme="minorEastAsia"/>
          <w:color w:val="auto"/>
          <w:sz w:val="24"/>
          <w:szCs w:val="24"/>
          <w:highlight w:val="none"/>
        </w:rPr>
        <w:t>二、(事项二)</w:t>
      </w:r>
      <w:bookmarkEnd w:id="247"/>
      <w:bookmarkEnd w:id="248"/>
    </w:p>
    <w:p w14:paraId="01F56FF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9CC245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874252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8B5C52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3CFAC8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D1EAA2">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5245215">
      <w:pPr>
        <w:jc w:val="center"/>
        <w:outlineLvl w:val="1"/>
        <w:rPr>
          <w:rFonts w:ascii="仿宋" w:hAnsi="仿宋" w:eastAsia="仿宋" w:cs="仿宋"/>
          <w:b/>
          <w:bCs/>
          <w:color w:val="auto"/>
          <w:sz w:val="32"/>
          <w:szCs w:val="44"/>
          <w:highlight w:val="none"/>
        </w:rPr>
      </w:pPr>
      <w:bookmarkStart w:id="249" w:name="_Toc26673"/>
      <w:bookmarkStart w:id="250" w:name="_Toc6990"/>
      <w:r>
        <w:rPr>
          <w:rFonts w:hint="eastAsia" w:ascii="仿宋" w:hAnsi="仿宋" w:eastAsia="仿宋" w:cs="仿宋"/>
          <w:b/>
          <w:bCs/>
          <w:color w:val="auto"/>
          <w:sz w:val="32"/>
          <w:szCs w:val="44"/>
          <w:highlight w:val="none"/>
        </w:rPr>
        <w:t>质疑函范本</w:t>
      </w:r>
      <w:bookmarkEnd w:id="249"/>
      <w:bookmarkEnd w:id="250"/>
    </w:p>
    <w:p w14:paraId="4F78C1A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51" w:name="_Toc2994"/>
      <w:bookmarkStart w:id="252" w:name="_Toc29510"/>
      <w:r>
        <w:rPr>
          <w:rFonts w:hint="eastAsia" w:cs="仿宋" w:asciiTheme="minorEastAsia" w:hAnsiTheme="minorEastAsia" w:eastAsiaTheme="minorEastAsia"/>
          <w:b/>
          <w:bCs/>
          <w:color w:val="auto"/>
          <w:sz w:val="24"/>
          <w:szCs w:val="24"/>
          <w:highlight w:val="none"/>
        </w:rPr>
        <w:t>一、质疑供应商基本信息</w:t>
      </w:r>
      <w:bookmarkEnd w:id="251"/>
      <w:bookmarkEnd w:id="252"/>
    </w:p>
    <w:p w14:paraId="5E752D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66764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783EB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16BCC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EB32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A8988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34FFD3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3" w:name="_Toc28130"/>
      <w:bookmarkStart w:id="254" w:name="_Toc31042"/>
      <w:r>
        <w:rPr>
          <w:rFonts w:hint="eastAsia" w:cs="仿宋" w:asciiTheme="minorEastAsia" w:hAnsiTheme="minorEastAsia" w:eastAsiaTheme="minorEastAsia"/>
          <w:b/>
          <w:bCs/>
          <w:color w:val="auto"/>
          <w:sz w:val="24"/>
          <w:szCs w:val="24"/>
          <w:highlight w:val="none"/>
        </w:rPr>
        <w:t>二、质疑项目基本情况</w:t>
      </w:r>
      <w:bookmarkEnd w:id="253"/>
      <w:bookmarkEnd w:id="254"/>
    </w:p>
    <w:p w14:paraId="30C07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0D27EB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09E11E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9ECC8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414F6F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5" w:name="_Toc6486"/>
      <w:bookmarkStart w:id="256" w:name="_Toc20587"/>
      <w:r>
        <w:rPr>
          <w:rFonts w:hint="eastAsia" w:cs="仿宋" w:asciiTheme="minorEastAsia" w:hAnsiTheme="minorEastAsia" w:eastAsiaTheme="minorEastAsia"/>
          <w:b/>
          <w:bCs/>
          <w:color w:val="auto"/>
          <w:sz w:val="24"/>
          <w:szCs w:val="24"/>
          <w:highlight w:val="none"/>
        </w:rPr>
        <w:t>三、质疑事项具体内容</w:t>
      </w:r>
      <w:bookmarkEnd w:id="255"/>
      <w:bookmarkEnd w:id="256"/>
    </w:p>
    <w:p w14:paraId="5C9CF4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B5A26C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0D36D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767C38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2CE974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085CBB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959E1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0CFBC6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7" w:name="_Toc20470"/>
      <w:bookmarkStart w:id="258" w:name="_Toc32755"/>
      <w:r>
        <w:rPr>
          <w:rFonts w:hint="eastAsia" w:cs="仿宋" w:asciiTheme="minorEastAsia" w:hAnsiTheme="minorEastAsia" w:eastAsiaTheme="minorEastAsia"/>
          <w:b/>
          <w:bCs/>
          <w:color w:val="auto"/>
          <w:sz w:val="24"/>
          <w:szCs w:val="24"/>
          <w:highlight w:val="none"/>
        </w:rPr>
        <w:t>四、与质疑事项相关的质疑请求</w:t>
      </w:r>
      <w:bookmarkEnd w:id="257"/>
      <w:bookmarkEnd w:id="258"/>
    </w:p>
    <w:p w14:paraId="04694AC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B8BCF4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60B5B9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D97829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7D69619">
      <w:pPr>
        <w:outlineLvl w:val="0"/>
        <w:rPr>
          <w:rFonts w:asciiTheme="minorEastAsia" w:hAnsiTheme="minorEastAsia" w:eastAsiaTheme="minorEastAsia"/>
          <w:b/>
          <w:color w:val="auto"/>
          <w:sz w:val="28"/>
          <w:szCs w:val="32"/>
          <w:highlight w:val="none"/>
        </w:rPr>
      </w:pPr>
      <w:bookmarkStart w:id="259" w:name="_Toc8368"/>
      <w:bookmarkStart w:id="260" w:name="_Toc20635"/>
      <w:bookmarkStart w:id="261" w:name="_Toc21667"/>
      <w:r>
        <w:rPr>
          <w:rFonts w:hint="eastAsia" w:asciiTheme="minorEastAsia" w:hAnsiTheme="minorEastAsia" w:eastAsiaTheme="minorEastAsia"/>
          <w:b/>
          <w:color w:val="auto"/>
          <w:sz w:val="28"/>
          <w:szCs w:val="32"/>
          <w:highlight w:val="none"/>
        </w:rPr>
        <w:t>质疑函制作说明：</w:t>
      </w:r>
      <w:bookmarkEnd w:id="259"/>
      <w:bookmarkEnd w:id="260"/>
      <w:bookmarkEnd w:id="261"/>
    </w:p>
    <w:p w14:paraId="386C97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4AD32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FB0B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FC20C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19EB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1975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98D5">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FEC1">
    <w:pPr>
      <w:pStyle w:val="18"/>
      <w:rPr>
        <w:rStyle w:val="30"/>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DAC97">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CDAC97">
                    <w:pPr>
                      <w:pStyle w:val="18"/>
                    </w:pPr>
                    <w:r>
                      <w:fldChar w:fldCharType="begin"/>
                    </w:r>
                    <w:r>
                      <w:instrText xml:space="preserve"> PAGE  \* MERGEFORMAT </w:instrText>
                    </w:r>
                    <w:r>
                      <w:fldChar w:fldCharType="separate"/>
                    </w:r>
                    <w:r>
                      <w:t>2</w:t>
                    </w:r>
                    <w:r>
                      <w:fldChar w:fldCharType="end"/>
                    </w:r>
                  </w:p>
                </w:txbxContent>
              </v:textbox>
            </v:shape>
          </w:pict>
        </mc:Fallback>
      </mc:AlternateContent>
    </w:r>
  </w:p>
  <w:p w14:paraId="12DDD06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F27D">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3C173">
                          <w:pPr>
                            <w:pStyle w:val="18"/>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14F3C173">
                    <w:pPr>
                      <w:pStyle w:val="18"/>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BD32">
    <w:pPr>
      <w:pStyle w:val="1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42B7">
    <w:pPr>
      <w:pStyle w:val="19"/>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43C"/>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356F"/>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B7314"/>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057174"/>
    <w:rsid w:val="015873C5"/>
    <w:rsid w:val="015C4E83"/>
    <w:rsid w:val="01722E9F"/>
    <w:rsid w:val="017600E6"/>
    <w:rsid w:val="017F5898"/>
    <w:rsid w:val="0185764C"/>
    <w:rsid w:val="01915CC2"/>
    <w:rsid w:val="019F4757"/>
    <w:rsid w:val="01D50C7E"/>
    <w:rsid w:val="02443CCC"/>
    <w:rsid w:val="02880C6E"/>
    <w:rsid w:val="02B63CEC"/>
    <w:rsid w:val="02EB0203"/>
    <w:rsid w:val="02EF2692"/>
    <w:rsid w:val="034445B5"/>
    <w:rsid w:val="03B629A7"/>
    <w:rsid w:val="03C43552"/>
    <w:rsid w:val="04DD5D12"/>
    <w:rsid w:val="04F80D9E"/>
    <w:rsid w:val="05D714EA"/>
    <w:rsid w:val="064A0C38"/>
    <w:rsid w:val="067E27BC"/>
    <w:rsid w:val="068F0ACF"/>
    <w:rsid w:val="06954AF6"/>
    <w:rsid w:val="069637C4"/>
    <w:rsid w:val="06AE129F"/>
    <w:rsid w:val="06DE5C58"/>
    <w:rsid w:val="072D20A4"/>
    <w:rsid w:val="073B420D"/>
    <w:rsid w:val="07C12195"/>
    <w:rsid w:val="07D71DC7"/>
    <w:rsid w:val="07EA15DC"/>
    <w:rsid w:val="08397703"/>
    <w:rsid w:val="08BA0E0D"/>
    <w:rsid w:val="091935E4"/>
    <w:rsid w:val="0937357F"/>
    <w:rsid w:val="098D7D07"/>
    <w:rsid w:val="09A909AA"/>
    <w:rsid w:val="09E00B6C"/>
    <w:rsid w:val="0A052B89"/>
    <w:rsid w:val="0A3D35AB"/>
    <w:rsid w:val="0A542106"/>
    <w:rsid w:val="0A6C4667"/>
    <w:rsid w:val="0AC97464"/>
    <w:rsid w:val="0AF049F1"/>
    <w:rsid w:val="0B2360D1"/>
    <w:rsid w:val="0B2C7DE0"/>
    <w:rsid w:val="0B9C06D5"/>
    <w:rsid w:val="0BBE711B"/>
    <w:rsid w:val="0BD47173"/>
    <w:rsid w:val="0C125A2E"/>
    <w:rsid w:val="0C1B47F2"/>
    <w:rsid w:val="0C4264AA"/>
    <w:rsid w:val="0C6157E5"/>
    <w:rsid w:val="0D224C0A"/>
    <w:rsid w:val="0D466B4A"/>
    <w:rsid w:val="0D474670"/>
    <w:rsid w:val="0D8458C4"/>
    <w:rsid w:val="0DB63633"/>
    <w:rsid w:val="0DCB75F9"/>
    <w:rsid w:val="0E812471"/>
    <w:rsid w:val="0E917266"/>
    <w:rsid w:val="0EFE3455"/>
    <w:rsid w:val="0F3B6457"/>
    <w:rsid w:val="0F403A6D"/>
    <w:rsid w:val="0FD85F3D"/>
    <w:rsid w:val="10090F42"/>
    <w:rsid w:val="10607C4F"/>
    <w:rsid w:val="10625C40"/>
    <w:rsid w:val="106E6418"/>
    <w:rsid w:val="10990825"/>
    <w:rsid w:val="10CD30DE"/>
    <w:rsid w:val="10D40911"/>
    <w:rsid w:val="11323C4E"/>
    <w:rsid w:val="11E45716"/>
    <w:rsid w:val="12067AF4"/>
    <w:rsid w:val="1299596E"/>
    <w:rsid w:val="12D71D5F"/>
    <w:rsid w:val="13147343"/>
    <w:rsid w:val="13622204"/>
    <w:rsid w:val="13D717CD"/>
    <w:rsid w:val="151B7FB7"/>
    <w:rsid w:val="15AF54A9"/>
    <w:rsid w:val="15CC7E09"/>
    <w:rsid w:val="16300397"/>
    <w:rsid w:val="167B6427"/>
    <w:rsid w:val="16A938D8"/>
    <w:rsid w:val="16B27D38"/>
    <w:rsid w:val="171B52F9"/>
    <w:rsid w:val="17255C8A"/>
    <w:rsid w:val="17D77080"/>
    <w:rsid w:val="17DE3E23"/>
    <w:rsid w:val="190515AC"/>
    <w:rsid w:val="19263CD4"/>
    <w:rsid w:val="1930691F"/>
    <w:rsid w:val="19ED66F3"/>
    <w:rsid w:val="1A352420"/>
    <w:rsid w:val="1A510CFD"/>
    <w:rsid w:val="1A54637E"/>
    <w:rsid w:val="1A6528FE"/>
    <w:rsid w:val="1A835004"/>
    <w:rsid w:val="1AD339E7"/>
    <w:rsid w:val="1B4B17D0"/>
    <w:rsid w:val="1B542D7A"/>
    <w:rsid w:val="1BA02D05"/>
    <w:rsid w:val="1BA61F6F"/>
    <w:rsid w:val="1BE94919"/>
    <w:rsid w:val="1C093B64"/>
    <w:rsid w:val="1C63029E"/>
    <w:rsid w:val="1C6B037B"/>
    <w:rsid w:val="1C715A71"/>
    <w:rsid w:val="1CA1494D"/>
    <w:rsid w:val="1CA52637"/>
    <w:rsid w:val="1CC921E7"/>
    <w:rsid w:val="1D0E0D07"/>
    <w:rsid w:val="1D1C4205"/>
    <w:rsid w:val="1D444EB6"/>
    <w:rsid w:val="1DA840EB"/>
    <w:rsid w:val="1DF83E22"/>
    <w:rsid w:val="1E1D46AD"/>
    <w:rsid w:val="1E4531C0"/>
    <w:rsid w:val="1F29350C"/>
    <w:rsid w:val="1F3139B1"/>
    <w:rsid w:val="1F8C2951"/>
    <w:rsid w:val="1FCB2EDF"/>
    <w:rsid w:val="20001E79"/>
    <w:rsid w:val="201A2AFF"/>
    <w:rsid w:val="203A2CE5"/>
    <w:rsid w:val="208539D6"/>
    <w:rsid w:val="20C16461"/>
    <w:rsid w:val="20ED2E58"/>
    <w:rsid w:val="20FF5536"/>
    <w:rsid w:val="21367194"/>
    <w:rsid w:val="21444369"/>
    <w:rsid w:val="21CB366A"/>
    <w:rsid w:val="223905D4"/>
    <w:rsid w:val="226F2197"/>
    <w:rsid w:val="22E91FFA"/>
    <w:rsid w:val="23146520"/>
    <w:rsid w:val="23205778"/>
    <w:rsid w:val="2322550C"/>
    <w:rsid w:val="23585502"/>
    <w:rsid w:val="23596C26"/>
    <w:rsid w:val="239767DA"/>
    <w:rsid w:val="23DB14C5"/>
    <w:rsid w:val="24042E63"/>
    <w:rsid w:val="24456480"/>
    <w:rsid w:val="24577437"/>
    <w:rsid w:val="24584540"/>
    <w:rsid w:val="24635A04"/>
    <w:rsid w:val="246851A0"/>
    <w:rsid w:val="24E0567E"/>
    <w:rsid w:val="25256AF7"/>
    <w:rsid w:val="255D409B"/>
    <w:rsid w:val="2561056D"/>
    <w:rsid w:val="25652EDE"/>
    <w:rsid w:val="25981AB5"/>
    <w:rsid w:val="262D78EB"/>
    <w:rsid w:val="263F3C7D"/>
    <w:rsid w:val="265D18B9"/>
    <w:rsid w:val="26EB3CAB"/>
    <w:rsid w:val="27CA60F4"/>
    <w:rsid w:val="27E234BC"/>
    <w:rsid w:val="27E85AF1"/>
    <w:rsid w:val="281D3C6A"/>
    <w:rsid w:val="28BF1224"/>
    <w:rsid w:val="28C929C1"/>
    <w:rsid w:val="29332221"/>
    <w:rsid w:val="295220BC"/>
    <w:rsid w:val="29934A6D"/>
    <w:rsid w:val="299A1C85"/>
    <w:rsid w:val="29A15E60"/>
    <w:rsid w:val="29DA6B0B"/>
    <w:rsid w:val="2A093B18"/>
    <w:rsid w:val="2A1C2D12"/>
    <w:rsid w:val="2A8D7B4E"/>
    <w:rsid w:val="2ABD245A"/>
    <w:rsid w:val="2AD104E2"/>
    <w:rsid w:val="2B412386"/>
    <w:rsid w:val="2B5B780D"/>
    <w:rsid w:val="2B876854"/>
    <w:rsid w:val="2BB34FD2"/>
    <w:rsid w:val="2BD15D21"/>
    <w:rsid w:val="2BE62A1C"/>
    <w:rsid w:val="2BFD6B16"/>
    <w:rsid w:val="2C251CF5"/>
    <w:rsid w:val="2C3A5674"/>
    <w:rsid w:val="2C6E3570"/>
    <w:rsid w:val="2C8124F8"/>
    <w:rsid w:val="2CE10D2D"/>
    <w:rsid w:val="2CEA687B"/>
    <w:rsid w:val="2D1633EB"/>
    <w:rsid w:val="2D345514"/>
    <w:rsid w:val="2D5819A5"/>
    <w:rsid w:val="2DA57F4B"/>
    <w:rsid w:val="2DCA3B5A"/>
    <w:rsid w:val="2DDE64D3"/>
    <w:rsid w:val="2DE16C1F"/>
    <w:rsid w:val="2E027D31"/>
    <w:rsid w:val="2E096892"/>
    <w:rsid w:val="2E1B2EA1"/>
    <w:rsid w:val="2E395380"/>
    <w:rsid w:val="2E63511A"/>
    <w:rsid w:val="2E636360"/>
    <w:rsid w:val="2EB35320"/>
    <w:rsid w:val="2EE6563F"/>
    <w:rsid w:val="2EF830D5"/>
    <w:rsid w:val="2F111D48"/>
    <w:rsid w:val="2F283EAA"/>
    <w:rsid w:val="2F317872"/>
    <w:rsid w:val="2F3F0C54"/>
    <w:rsid w:val="2F4615DA"/>
    <w:rsid w:val="2F810850"/>
    <w:rsid w:val="2FB40713"/>
    <w:rsid w:val="30444D13"/>
    <w:rsid w:val="30ED2B9B"/>
    <w:rsid w:val="310821E5"/>
    <w:rsid w:val="31197749"/>
    <w:rsid w:val="312608BD"/>
    <w:rsid w:val="323B0398"/>
    <w:rsid w:val="324A2389"/>
    <w:rsid w:val="32691053"/>
    <w:rsid w:val="32A538A5"/>
    <w:rsid w:val="32CF509C"/>
    <w:rsid w:val="330C4FCE"/>
    <w:rsid w:val="330E360D"/>
    <w:rsid w:val="33492641"/>
    <w:rsid w:val="335747AC"/>
    <w:rsid w:val="339A10EE"/>
    <w:rsid w:val="33B37D2E"/>
    <w:rsid w:val="33C06BFF"/>
    <w:rsid w:val="3468501E"/>
    <w:rsid w:val="348F2D94"/>
    <w:rsid w:val="34F051F3"/>
    <w:rsid w:val="352620DC"/>
    <w:rsid w:val="35E054DE"/>
    <w:rsid w:val="35E5310F"/>
    <w:rsid w:val="36097A13"/>
    <w:rsid w:val="36581519"/>
    <w:rsid w:val="3661430F"/>
    <w:rsid w:val="369D587E"/>
    <w:rsid w:val="36CF1D5D"/>
    <w:rsid w:val="36CF7301"/>
    <w:rsid w:val="370F3BF6"/>
    <w:rsid w:val="371D28E3"/>
    <w:rsid w:val="375D1E78"/>
    <w:rsid w:val="37E47653"/>
    <w:rsid w:val="382947EF"/>
    <w:rsid w:val="388D1222"/>
    <w:rsid w:val="38F01E0F"/>
    <w:rsid w:val="39293004"/>
    <w:rsid w:val="393336C0"/>
    <w:rsid w:val="39820C37"/>
    <w:rsid w:val="39882115"/>
    <w:rsid w:val="39D8471E"/>
    <w:rsid w:val="39E10D60"/>
    <w:rsid w:val="3A203377"/>
    <w:rsid w:val="3A3D1A61"/>
    <w:rsid w:val="3A8328DC"/>
    <w:rsid w:val="3A8C79E3"/>
    <w:rsid w:val="3A960861"/>
    <w:rsid w:val="3AB931B1"/>
    <w:rsid w:val="3ADC54E1"/>
    <w:rsid w:val="3B11613A"/>
    <w:rsid w:val="3BFC5E74"/>
    <w:rsid w:val="3C0059BB"/>
    <w:rsid w:val="3C5A58BF"/>
    <w:rsid w:val="3C5F3E33"/>
    <w:rsid w:val="3C706E90"/>
    <w:rsid w:val="3CC64D02"/>
    <w:rsid w:val="3CFC5061"/>
    <w:rsid w:val="3D1B7B1B"/>
    <w:rsid w:val="3D502D9B"/>
    <w:rsid w:val="3D9077EA"/>
    <w:rsid w:val="3DA908AC"/>
    <w:rsid w:val="3DFD7F8F"/>
    <w:rsid w:val="3EB72B54"/>
    <w:rsid w:val="3F5E4365"/>
    <w:rsid w:val="3FBE7F13"/>
    <w:rsid w:val="40012AD8"/>
    <w:rsid w:val="41214BFD"/>
    <w:rsid w:val="415470E2"/>
    <w:rsid w:val="41596343"/>
    <w:rsid w:val="416E38FB"/>
    <w:rsid w:val="41AF5742"/>
    <w:rsid w:val="41BB759E"/>
    <w:rsid w:val="42435353"/>
    <w:rsid w:val="425608D6"/>
    <w:rsid w:val="42664FBD"/>
    <w:rsid w:val="42B740A7"/>
    <w:rsid w:val="42CD2946"/>
    <w:rsid w:val="42FC216C"/>
    <w:rsid w:val="42FF3315"/>
    <w:rsid w:val="434C6F8D"/>
    <w:rsid w:val="4353477A"/>
    <w:rsid w:val="437A5885"/>
    <w:rsid w:val="43C05511"/>
    <w:rsid w:val="446B6021"/>
    <w:rsid w:val="447A6BAC"/>
    <w:rsid w:val="449F0313"/>
    <w:rsid w:val="456804A8"/>
    <w:rsid w:val="4595695A"/>
    <w:rsid w:val="45FC7108"/>
    <w:rsid w:val="46B53E1D"/>
    <w:rsid w:val="46BD7ED2"/>
    <w:rsid w:val="473A7BED"/>
    <w:rsid w:val="4779040E"/>
    <w:rsid w:val="477A5376"/>
    <w:rsid w:val="47863A67"/>
    <w:rsid w:val="478F71C4"/>
    <w:rsid w:val="47D34348"/>
    <w:rsid w:val="47EF335F"/>
    <w:rsid w:val="4821786A"/>
    <w:rsid w:val="4825146D"/>
    <w:rsid w:val="48253225"/>
    <w:rsid w:val="48D04F3E"/>
    <w:rsid w:val="49407CA0"/>
    <w:rsid w:val="498126DD"/>
    <w:rsid w:val="4A6169D0"/>
    <w:rsid w:val="4B014864"/>
    <w:rsid w:val="4B071F90"/>
    <w:rsid w:val="4B125CE2"/>
    <w:rsid w:val="4B2C48CA"/>
    <w:rsid w:val="4B321A3C"/>
    <w:rsid w:val="4B835265"/>
    <w:rsid w:val="4B954E7C"/>
    <w:rsid w:val="4C055307"/>
    <w:rsid w:val="4C2537F3"/>
    <w:rsid w:val="4C312198"/>
    <w:rsid w:val="4D3E64AE"/>
    <w:rsid w:val="4DBD7B27"/>
    <w:rsid w:val="4DC8085E"/>
    <w:rsid w:val="4E6B046C"/>
    <w:rsid w:val="4E6C5709"/>
    <w:rsid w:val="4E707289"/>
    <w:rsid w:val="4E9E4717"/>
    <w:rsid w:val="4EEA3D40"/>
    <w:rsid w:val="4EFD6CDC"/>
    <w:rsid w:val="4F00728A"/>
    <w:rsid w:val="4F3016F5"/>
    <w:rsid w:val="4F3F6AB1"/>
    <w:rsid w:val="4F5D071B"/>
    <w:rsid w:val="4F8151E4"/>
    <w:rsid w:val="4F9B688F"/>
    <w:rsid w:val="500109DB"/>
    <w:rsid w:val="50067073"/>
    <w:rsid w:val="50C36BA5"/>
    <w:rsid w:val="50E95575"/>
    <w:rsid w:val="511D0F3D"/>
    <w:rsid w:val="517D5E7F"/>
    <w:rsid w:val="51DD691E"/>
    <w:rsid w:val="51F64E25"/>
    <w:rsid w:val="52550769"/>
    <w:rsid w:val="52752746"/>
    <w:rsid w:val="527B72D6"/>
    <w:rsid w:val="527D5F08"/>
    <w:rsid w:val="52DD09D8"/>
    <w:rsid w:val="52EC3194"/>
    <w:rsid w:val="536B3351"/>
    <w:rsid w:val="5379560D"/>
    <w:rsid w:val="53C438F2"/>
    <w:rsid w:val="53DF072C"/>
    <w:rsid w:val="54087D99"/>
    <w:rsid w:val="543A3BB4"/>
    <w:rsid w:val="545D5AF4"/>
    <w:rsid w:val="548A4B3B"/>
    <w:rsid w:val="54A72003"/>
    <w:rsid w:val="54B576DE"/>
    <w:rsid w:val="54CE2C62"/>
    <w:rsid w:val="54DF4028"/>
    <w:rsid w:val="55723669"/>
    <w:rsid w:val="558D05EC"/>
    <w:rsid w:val="5593361B"/>
    <w:rsid w:val="55C013D0"/>
    <w:rsid w:val="55C645F4"/>
    <w:rsid w:val="56023921"/>
    <w:rsid w:val="56151261"/>
    <w:rsid w:val="56550D6B"/>
    <w:rsid w:val="5712706A"/>
    <w:rsid w:val="571A0F26"/>
    <w:rsid w:val="571C1C97"/>
    <w:rsid w:val="57305E0A"/>
    <w:rsid w:val="57803BF0"/>
    <w:rsid w:val="579D20FA"/>
    <w:rsid w:val="57BC2B32"/>
    <w:rsid w:val="57D4658D"/>
    <w:rsid w:val="57DA1D5C"/>
    <w:rsid w:val="5809250B"/>
    <w:rsid w:val="580E15DF"/>
    <w:rsid w:val="580F01B2"/>
    <w:rsid w:val="59011BEE"/>
    <w:rsid w:val="59080725"/>
    <w:rsid w:val="59387C36"/>
    <w:rsid w:val="59BE0FF0"/>
    <w:rsid w:val="59C01C6B"/>
    <w:rsid w:val="59C363FA"/>
    <w:rsid w:val="59D16B2C"/>
    <w:rsid w:val="5A2E6B8F"/>
    <w:rsid w:val="5A3617D9"/>
    <w:rsid w:val="5A513A05"/>
    <w:rsid w:val="5A737E20"/>
    <w:rsid w:val="5A7F6B6C"/>
    <w:rsid w:val="5AFB613D"/>
    <w:rsid w:val="5B080567"/>
    <w:rsid w:val="5B391CDC"/>
    <w:rsid w:val="5B884B20"/>
    <w:rsid w:val="5B971658"/>
    <w:rsid w:val="5BC0556E"/>
    <w:rsid w:val="5BC81C40"/>
    <w:rsid w:val="5BF353EE"/>
    <w:rsid w:val="5C0056E3"/>
    <w:rsid w:val="5C15773A"/>
    <w:rsid w:val="5C2A36C8"/>
    <w:rsid w:val="5C3F26AF"/>
    <w:rsid w:val="5C9A78E6"/>
    <w:rsid w:val="5CE609DA"/>
    <w:rsid w:val="5D3309DE"/>
    <w:rsid w:val="5D8B01B4"/>
    <w:rsid w:val="5DA327CA"/>
    <w:rsid w:val="5DE60909"/>
    <w:rsid w:val="5DE762FC"/>
    <w:rsid w:val="5DEB0B1F"/>
    <w:rsid w:val="5DEC23C3"/>
    <w:rsid w:val="5E624DA3"/>
    <w:rsid w:val="5E714AFD"/>
    <w:rsid w:val="5EA22A81"/>
    <w:rsid w:val="5ED300C5"/>
    <w:rsid w:val="5FA6034F"/>
    <w:rsid w:val="5FBF7663"/>
    <w:rsid w:val="5FC5111D"/>
    <w:rsid w:val="5FCD244A"/>
    <w:rsid w:val="5FD41360"/>
    <w:rsid w:val="5FD74633"/>
    <w:rsid w:val="607246D5"/>
    <w:rsid w:val="60885CA7"/>
    <w:rsid w:val="60E412C0"/>
    <w:rsid w:val="61AD1DFA"/>
    <w:rsid w:val="61DA1D04"/>
    <w:rsid w:val="61E323AE"/>
    <w:rsid w:val="622639C9"/>
    <w:rsid w:val="623331AC"/>
    <w:rsid w:val="6247406C"/>
    <w:rsid w:val="625772C4"/>
    <w:rsid w:val="633839B4"/>
    <w:rsid w:val="636F3034"/>
    <w:rsid w:val="63A064A2"/>
    <w:rsid w:val="63CD15D5"/>
    <w:rsid w:val="64B1428F"/>
    <w:rsid w:val="64E41ED7"/>
    <w:rsid w:val="64E831B8"/>
    <w:rsid w:val="650516A8"/>
    <w:rsid w:val="65330581"/>
    <w:rsid w:val="65830E72"/>
    <w:rsid w:val="65D44C7D"/>
    <w:rsid w:val="66550C7C"/>
    <w:rsid w:val="669F36BE"/>
    <w:rsid w:val="66D823BF"/>
    <w:rsid w:val="66E81280"/>
    <w:rsid w:val="66F607A6"/>
    <w:rsid w:val="67303132"/>
    <w:rsid w:val="674F5372"/>
    <w:rsid w:val="67BF46A4"/>
    <w:rsid w:val="67E900A7"/>
    <w:rsid w:val="67FD341E"/>
    <w:rsid w:val="68172908"/>
    <w:rsid w:val="689866A0"/>
    <w:rsid w:val="68C36416"/>
    <w:rsid w:val="69043521"/>
    <w:rsid w:val="69110DD3"/>
    <w:rsid w:val="691427CE"/>
    <w:rsid w:val="691D526F"/>
    <w:rsid w:val="695D4175"/>
    <w:rsid w:val="69676D3F"/>
    <w:rsid w:val="6A2E3597"/>
    <w:rsid w:val="6A894DD0"/>
    <w:rsid w:val="6B2D47E7"/>
    <w:rsid w:val="6B3D5CA9"/>
    <w:rsid w:val="6B8E2CAD"/>
    <w:rsid w:val="6BC32289"/>
    <w:rsid w:val="6C2E233F"/>
    <w:rsid w:val="6C705F6D"/>
    <w:rsid w:val="6C8D150C"/>
    <w:rsid w:val="6C964502"/>
    <w:rsid w:val="6CE35249"/>
    <w:rsid w:val="6D3527BF"/>
    <w:rsid w:val="6D3A6E8E"/>
    <w:rsid w:val="6D6C08BF"/>
    <w:rsid w:val="6DA73C10"/>
    <w:rsid w:val="6DC37FC8"/>
    <w:rsid w:val="6DFD5F26"/>
    <w:rsid w:val="6E39711A"/>
    <w:rsid w:val="6E997D6C"/>
    <w:rsid w:val="6ED742C8"/>
    <w:rsid w:val="6EED6E2B"/>
    <w:rsid w:val="6EF616F6"/>
    <w:rsid w:val="6F5D575B"/>
    <w:rsid w:val="6F653D83"/>
    <w:rsid w:val="708811A7"/>
    <w:rsid w:val="70951A45"/>
    <w:rsid w:val="70BB1D85"/>
    <w:rsid w:val="70CD22D0"/>
    <w:rsid w:val="71467526"/>
    <w:rsid w:val="71536A86"/>
    <w:rsid w:val="71902C0D"/>
    <w:rsid w:val="71C02DE5"/>
    <w:rsid w:val="723E4876"/>
    <w:rsid w:val="72630BB1"/>
    <w:rsid w:val="72824C4C"/>
    <w:rsid w:val="72834520"/>
    <w:rsid w:val="72D354A8"/>
    <w:rsid w:val="737722D7"/>
    <w:rsid w:val="73864CD9"/>
    <w:rsid w:val="74785E04"/>
    <w:rsid w:val="74FC2405"/>
    <w:rsid w:val="752C4F4C"/>
    <w:rsid w:val="753019CD"/>
    <w:rsid w:val="754058DD"/>
    <w:rsid w:val="75480DF3"/>
    <w:rsid w:val="7615092E"/>
    <w:rsid w:val="76621D63"/>
    <w:rsid w:val="768D6460"/>
    <w:rsid w:val="76976BFF"/>
    <w:rsid w:val="771A04F8"/>
    <w:rsid w:val="77AC54F3"/>
    <w:rsid w:val="77F30411"/>
    <w:rsid w:val="780F0D30"/>
    <w:rsid w:val="78105AA2"/>
    <w:rsid w:val="782D15D9"/>
    <w:rsid w:val="783C764B"/>
    <w:rsid w:val="784A4B73"/>
    <w:rsid w:val="78544995"/>
    <w:rsid w:val="78617423"/>
    <w:rsid w:val="786924FD"/>
    <w:rsid w:val="7894419D"/>
    <w:rsid w:val="78A3591C"/>
    <w:rsid w:val="78A91184"/>
    <w:rsid w:val="79022643"/>
    <w:rsid w:val="79224A93"/>
    <w:rsid w:val="7950018C"/>
    <w:rsid w:val="79837AAE"/>
    <w:rsid w:val="7995454B"/>
    <w:rsid w:val="799B26EC"/>
    <w:rsid w:val="79B0209F"/>
    <w:rsid w:val="7A5B3FA8"/>
    <w:rsid w:val="7A7632E8"/>
    <w:rsid w:val="7AE863F2"/>
    <w:rsid w:val="7AE91FA6"/>
    <w:rsid w:val="7B5200DC"/>
    <w:rsid w:val="7BA174E1"/>
    <w:rsid w:val="7BC04FC3"/>
    <w:rsid w:val="7BE4445E"/>
    <w:rsid w:val="7CA72746"/>
    <w:rsid w:val="7D230DDA"/>
    <w:rsid w:val="7D87580C"/>
    <w:rsid w:val="7D8A2C07"/>
    <w:rsid w:val="7D934720"/>
    <w:rsid w:val="7DC33C3F"/>
    <w:rsid w:val="7DD00A7F"/>
    <w:rsid w:val="7E3752FD"/>
    <w:rsid w:val="7E584AB3"/>
    <w:rsid w:val="7E877EF0"/>
    <w:rsid w:val="7EA0293B"/>
    <w:rsid w:val="7EA81A90"/>
    <w:rsid w:val="7EFC5E66"/>
    <w:rsid w:val="7F2B14FE"/>
    <w:rsid w:val="7F3802B9"/>
    <w:rsid w:val="7FCC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widowControl w:val="0"/>
      <w:spacing w:after="120" w:line="240" w:lineRule="auto"/>
      <w:ind w:left="420" w:leftChars="200"/>
      <w:textAlignment w:val="auto"/>
    </w:pPr>
    <w:rPr>
      <w:rFonts w:ascii="Times New Roman" w:hAnsi="Times New Roman" w:eastAsia="宋体"/>
      <w:color w:val="auto"/>
      <w:kern w:val="2"/>
      <w:szCs w:val="24"/>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60"/>
    <w:autoRedefine/>
    <w:qFormat/>
    <w:uiPriority w:val="0"/>
    <w:pPr>
      <w:jc w:val="left"/>
    </w:pPr>
    <w:rPr>
      <w:rFonts w:ascii="Arial" w:hAnsi="Arial" w:eastAsia="黑体" w:cs="Arial"/>
    </w:rPr>
  </w:style>
  <w:style w:type="paragraph" w:styleId="12">
    <w:name w:val="index 6"/>
    <w:basedOn w:val="1"/>
    <w:next w:val="1"/>
    <w:qFormat/>
    <w:uiPriority w:val="0"/>
    <w:pPr>
      <w:tabs>
        <w:tab w:val="left" w:pos="-9"/>
        <w:tab w:val="left" w:pos="3"/>
      </w:tabs>
      <w:ind w:left="0"/>
      <w:jc w:val="left"/>
    </w:pPr>
    <w:rPr>
      <w:b/>
      <w:bCs/>
      <w:color w:val="FF0000"/>
      <w:sz w:val="28"/>
      <w:szCs w:val="28"/>
    </w:rPr>
  </w:style>
  <w:style w:type="paragraph" w:styleId="13">
    <w:name w:val="Body Text"/>
    <w:basedOn w:val="1"/>
    <w:link w:val="69"/>
    <w:autoRedefine/>
    <w:qFormat/>
    <w:uiPriority w:val="0"/>
    <w:pPr>
      <w:spacing w:after="120"/>
    </w:pPr>
    <w:rPr>
      <w:rFonts w:ascii="@微软简标宋" w:hAnsi="@微软简标宋" w:eastAsia="@微软简标宋" w:cs="@微软简标宋"/>
      <w:szCs w:val="24"/>
      <w:lang w:val="zh-CN"/>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9"/>
    <w:autoRedefine/>
    <w:qFormat/>
    <w:uiPriority w:val="99"/>
    <w:rPr>
      <w:rFonts w:ascii="宋体" w:hAnsi="Courier New" w:eastAsiaTheme="minorEastAsia" w:cstheme="minorBidi"/>
      <w:szCs w:val="22"/>
    </w:rPr>
  </w:style>
  <w:style w:type="paragraph" w:styleId="16">
    <w:name w:val="Date"/>
    <w:basedOn w:val="1"/>
    <w:next w:val="1"/>
    <w:link w:val="56"/>
    <w:autoRedefine/>
    <w:qFormat/>
    <w:uiPriority w:val="0"/>
    <w:rPr>
      <w:rFonts w:ascii="Arial" w:hAnsi="Arial" w:eastAsia="宋体" w:cs="Arial"/>
      <w:b/>
      <w:sz w:val="28"/>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5"/>
    <w:qFormat/>
    <w:uiPriority w:val="0"/>
    <w:pPr>
      <w:ind w:left="420" w:hanging="420"/>
    </w:pPr>
    <w:rPr>
      <w:rFonts w:ascii="Arial" w:hAnsi="Arial"/>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Body Text First Indent"/>
    <w:basedOn w:val="13"/>
    <w:autoRedefine/>
    <w:unhideWhenUsed/>
    <w:qFormat/>
    <w:uiPriority w:val="99"/>
    <w:pPr>
      <w:ind w:firstLine="420" w:firstLineChars="1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page number"/>
    <w:basedOn w:val="28"/>
    <w:qFormat/>
    <w:uiPriority w:val="99"/>
    <w:rPr>
      <w:rFonts w:cs="Times New Roman"/>
    </w:rPr>
  </w:style>
  <w:style w:type="character" w:styleId="31">
    <w:name w:val="FollowedHyperlink"/>
    <w:basedOn w:val="28"/>
    <w:autoRedefine/>
    <w:semiHidden/>
    <w:unhideWhenUsed/>
    <w:qFormat/>
    <w:uiPriority w:val="99"/>
    <w:rPr>
      <w:color w:val="800080"/>
      <w:u w:val="none"/>
    </w:rPr>
  </w:style>
  <w:style w:type="character" w:styleId="32">
    <w:name w:val="Emphasis"/>
    <w:basedOn w:val="28"/>
    <w:autoRedefine/>
    <w:qFormat/>
    <w:uiPriority w:val="20"/>
    <w:rPr>
      <w:b/>
      <w:bCs/>
    </w:rPr>
  </w:style>
  <w:style w:type="character" w:styleId="33">
    <w:name w:val="HTML Definition"/>
    <w:basedOn w:val="28"/>
    <w:autoRedefine/>
    <w:semiHidden/>
    <w:unhideWhenUsed/>
    <w:qFormat/>
    <w:uiPriority w:val="99"/>
  </w:style>
  <w:style w:type="character" w:styleId="34">
    <w:name w:val="HTML Typewriter"/>
    <w:basedOn w:val="28"/>
    <w:autoRedefine/>
    <w:semiHidden/>
    <w:unhideWhenUsed/>
    <w:qFormat/>
    <w:uiPriority w:val="99"/>
    <w:rPr>
      <w:rFonts w:hint="default" w:ascii="monospace" w:hAnsi="monospace" w:eastAsia="monospace" w:cs="monospace"/>
      <w:sz w:val="20"/>
    </w:rPr>
  </w:style>
  <w:style w:type="character" w:styleId="35">
    <w:name w:val="HTML Acronym"/>
    <w:basedOn w:val="28"/>
    <w:autoRedefine/>
    <w:semiHidden/>
    <w:unhideWhenUsed/>
    <w:qFormat/>
    <w:uiPriority w:val="99"/>
  </w:style>
  <w:style w:type="character" w:styleId="36">
    <w:name w:val="HTML Variable"/>
    <w:basedOn w:val="28"/>
    <w:autoRedefine/>
    <w:semiHidden/>
    <w:unhideWhenUsed/>
    <w:qFormat/>
    <w:uiPriority w:val="99"/>
  </w:style>
  <w:style w:type="character" w:styleId="37">
    <w:name w:val="Hyperlink"/>
    <w:basedOn w:val="28"/>
    <w:autoRedefine/>
    <w:unhideWhenUsed/>
    <w:qFormat/>
    <w:uiPriority w:val="99"/>
    <w:rPr>
      <w:color w:val="0000FF" w:themeColor="hyperlink"/>
      <w:u w:val="single"/>
      <w14:textFill>
        <w14:solidFill>
          <w14:schemeClr w14:val="hlink"/>
        </w14:solidFill>
      </w14:textFill>
    </w:rPr>
  </w:style>
  <w:style w:type="character" w:styleId="38">
    <w:name w:val="HTML Code"/>
    <w:basedOn w:val="28"/>
    <w:autoRedefine/>
    <w:semiHidden/>
    <w:unhideWhenUsed/>
    <w:qFormat/>
    <w:uiPriority w:val="99"/>
    <w:rPr>
      <w:rFonts w:ascii="monospace" w:hAnsi="monospace" w:eastAsia="monospace" w:cs="monospace"/>
      <w:sz w:val="20"/>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hint="default" w:ascii="monospace" w:hAnsi="monospace" w:eastAsia="monospace" w:cs="monospace"/>
      <w:sz w:val="20"/>
    </w:rPr>
  </w:style>
  <w:style w:type="character" w:styleId="41">
    <w:name w:val="HTML Sample"/>
    <w:basedOn w:val="28"/>
    <w:autoRedefine/>
    <w:semiHidden/>
    <w:unhideWhenUsed/>
    <w:qFormat/>
    <w:uiPriority w:val="99"/>
    <w:rPr>
      <w:rFonts w:hint="default" w:ascii="monospace" w:hAnsi="monospace" w:eastAsia="monospace" w:cs="monospace"/>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43">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9"/>
    <w:autoRedefine/>
    <w:qFormat/>
    <w:uiPriority w:val="0"/>
    <w:rPr>
      <w:rFonts w:ascii="@仿宋_GB2312" w:hAnsi="@仿宋_GB2312" w:eastAsia="@仿宋_GB2312" w:cs="@仿宋_GB2312"/>
      <w:sz w:val="18"/>
      <w:szCs w:val="18"/>
    </w:rPr>
  </w:style>
  <w:style w:type="character" w:customStyle="1" w:styleId="48">
    <w:name w:val="页脚 Char"/>
    <w:basedOn w:val="28"/>
    <w:link w:val="18"/>
    <w:autoRedefine/>
    <w:qFormat/>
    <w:uiPriority w:val="99"/>
    <w:rPr>
      <w:rFonts w:ascii="@仿宋_GB2312" w:hAnsi="@仿宋_GB2312" w:eastAsia="@仿宋_GB2312" w:cs="@仿宋_GB2312"/>
      <w:sz w:val="18"/>
      <w:szCs w:val="18"/>
    </w:rPr>
  </w:style>
  <w:style w:type="character" w:customStyle="1" w:styleId="49">
    <w:name w:val="纯文本 Char"/>
    <w:link w:val="15"/>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6"/>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11"/>
    <w:autoRedefine/>
    <w:qFormat/>
    <w:uiPriority w:val="0"/>
    <w:rPr>
      <w:rFonts w:ascii="Arial" w:hAnsi="Arial" w:eastAsia="黑体" w:cs="Arial"/>
      <w:szCs w:val="20"/>
    </w:rPr>
  </w:style>
  <w:style w:type="character" w:customStyle="1" w:styleId="61">
    <w:name w:val="标题 1 Char"/>
    <w:basedOn w:val="28"/>
    <w:link w:val="6"/>
    <w:autoRedefine/>
    <w:qFormat/>
    <w:uiPriority w:val="9"/>
    <w:rPr>
      <w:rFonts w:ascii="@仿宋_GB2312" w:hAnsi="@仿宋_GB2312" w:eastAsia="@仿宋_GB2312" w:cs="@仿宋_GB2312"/>
      <w:b/>
      <w:bCs/>
      <w:kern w:val="44"/>
      <w:sz w:val="44"/>
      <w:szCs w:val="44"/>
    </w:rPr>
  </w:style>
  <w:style w:type="paragraph" w:customStyle="1" w:styleId="62">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8"/>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9"/>
    <w:autoRedefine/>
    <w:qFormat/>
    <w:uiPriority w:val="0"/>
    <w:rPr>
      <w:rFonts w:ascii="@仿宋_GB2312" w:hAnsi="@仿宋_GB2312" w:eastAsia="@仿宋_GB2312" w:cs="@仿宋_GB2312"/>
      <w:b/>
      <w:bCs/>
      <w:sz w:val="28"/>
      <w:szCs w:val="28"/>
    </w:rPr>
  </w:style>
  <w:style w:type="character" w:customStyle="1" w:styleId="69">
    <w:name w:val="正文文本 Char"/>
    <w:basedOn w:val="28"/>
    <w:link w:val="13"/>
    <w:autoRedefine/>
    <w:qFormat/>
    <w:uiPriority w:val="0"/>
    <w:rPr>
      <w:rFonts w:ascii="@微软简标宋" w:hAnsi="@微软简标宋" w:eastAsia="@微软简标宋" w:cs="@微软简标宋"/>
      <w:szCs w:val="24"/>
      <w:lang w:val="zh-CN" w:eastAsia="zh-CN"/>
    </w:rPr>
  </w:style>
  <w:style w:type="table" w:customStyle="1" w:styleId="70">
    <w:name w:val="网格型1"/>
    <w:basedOn w:val="2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character" w:customStyle="1" w:styleId="73">
    <w:name w:val="hover"/>
    <w:basedOn w:val="28"/>
    <w:qFormat/>
    <w:uiPriority w:val="0"/>
    <w:rPr>
      <w:color w:val="2590EB"/>
      <w:shd w:val="clear" w:fill="E9F4FD"/>
    </w:rPr>
  </w:style>
  <w:style w:type="character" w:customStyle="1" w:styleId="74">
    <w:name w:val="hover1"/>
    <w:basedOn w:val="28"/>
    <w:qFormat/>
    <w:uiPriority w:val="0"/>
  </w:style>
  <w:style w:type="character" w:customStyle="1" w:styleId="75">
    <w:name w:val="hover2"/>
    <w:basedOn w:val="28"/>
    <w:qFormat/>
    <w:uiPriority w:val="0"/>
    <w:rPr>
      <w:color w:val="2590EB"/>
    </w:rPr>
  </w:style>
  <w:style w:type="character" w:customStyle="1" w:styleId="76">
    <w:name w:val="hover3"/>
    <w:basedOn w:val="28"/>
    <w:qFormat/>
    <w:uiPriority w:val="0"/>
    <w:rPr>
      <w:color w:val="2590EB"/>
    </w:rPr>
  </w:style>
  <w:style w:type="character" w:customStyle="1" w:styleId="77">
    <w:name w:val="hover4"/>
    <w:basedOn w:val="28"/>
    <w:qFormat/>
    <w:uiPriority w:val="0"/>
    <w:rPr>
      <w:color w:val="2590EB"/>
      <w:shd w:val="clear" w:fill="E9F4FD"/>
    </w:rPr>
  </w:style>
  <w:style w:type="character" w:customStyle="1" w:styleId="78">
    <w:name w:val="font01"/>
    <w:basedOn w:val="28"/>
    <w:qFormat/>
    <w:uiPriority w:val="0"/>
    <w:rPr>
      <w:rFonts w:hint="eastAsia" w:ascii="宋体" w:hAnsi="宋体" w:eastAsia="宋体" w:cs="宋体"/>
      <w:color w:val="000000"/>
      <w:sz w:val="22"/>
      <w:szCs w:val="22"/>
      <w:u w:val="none"/>
    </w:rPr>
  </w:style>
  <w:style w:type="character" w:customStyle="1" w:styleId="79">
    <w:name w:val="font61"/>
    <w:basedOn w:val="28"/>
    <w:qFormat/>
    <w:uiPriority w:val="0"/>
    <w:rPr>
      <w:rFonts w:ascii="方正兰亭黑_GBK" w:hAnsi="方正兰亭黑_GBK" w:eastAsia="方正兰亭黑_GBK" w:cs="方正兰亭黑_GBK"/>
      <w:color w:val="000000"/>
      <w:sz w:val="22"/>
      <w:szCs w:val="22"/>
      <w:u w:val="none"/>
    </w:rPr>
  </w:style>
  <w:style w:type="paragraph" w:customStyle="1" w:styleId="80">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81">
    <w:name w:val="font31"/>
    <w:basedOn w:val="28"/>
    <w:qFormat/>
    <w:uiPriority w:val="0"/>
    <w:rPr>
      <w:rFonts w:hint="eastAsia" w:ascii="宋体" w:hAnsi="宋体" w:eastAsia="宋体" w:cs="宋体"/>
      <w:color w:val="000000"/>
      <w:sz w:val="20"/>
      <w:szCs w:val="20"/>
      <w:u w:val="none"/>
    </w:rPr>
  </w:style>
  <w:style w:type="paragraph" w:customStyle="1" w:styleId="82">
    <w:name w:val="正文文字 8"/>
    <w:basedOn w:val="1"/>
    <w:next w:val="1"/>
    <w:qFormat/>
    <w:uiPriority w:val="0"/>
    <w:pPr>
      <w:ind w:left="240"/>
    </w:pPr>
    <w:rPr>
      <w:sz w:val="16"/>
    </w:rPr>
  </w:style>
  <w:style w:type="paragraph" w:customStyle="1" w:styleId="83">
    <w:name w:val="Blockquote"/>
    <w:basedOn w:val="1"/>
    <w:autoRedefine/>
    <w:qFormat/>
    <w:uiPriority w:val="99"/>
    <w:pPr>
      <w:autoSpaceDE w:val="0"/>
      <w:autoSpaceDN w:val="0"/>
      <w:adjustRightInd w:val="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77</Pages>
  <Words>2474</Words>
  <Characters>2838</Characters>
  <Lines>1</Lines>
  <Paragraphs>1</Paragraphs>
  <TotalTime>38</TotalTime>
  <ScaleCrop>false</ScaleCrop>
  <LinksUpToDate>false</LinksUpToDate>
  <CharactersWithSpaces>2933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2019-12-07T15:20:00Z</cp:lastPrinted>
  <dcterms:modified xsi:type="dcterms:W3CDTF">2025-12-10T03:08:47Z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95329F198431405AA58893F6E72A907E_13</vt:lpwstr>
  </property>
  <property fmtid="{D5CDD505-2E9C-101B-9397-08002B2CF9AE}" pid="4" name="KSOTemplateDocerSaveRecord">
    <vt:lpwstr>eyJoZGlkIjoiY2RkMWEyZWQzMzVlMTIwNmU2NzU0ODgxZjI5MDllYTciLCJ1c2VySWQiOiI0MDkyMjI1MTkifQ==</vt:lpwstr>
  </property>
</Properties>
</file>